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51" w:rsidRPr="00CA3BEF" w:rsidRDefault="00D54951" w:rsidP="00D54951">
      <w:pPr>
        <w:jc w:val="center"/>
        <w:rPr>
          <w:rFonts w:ascii="Times New Roman" w:hAnsi="Times New Roman" w:cs="Times New Roman"/>
          <w:b/>
        </w:rPr>
      </w:pPr>
      <w:r w:rsidRPr="00CA3BEF">
        <w:rPr>
          <w:rFonts w:ascii="Times New Roman" w:hAnsi="Times New Roman" w:cs="Times New Roman"/>
          <w:b/>
        </w:rPr>
        <w:t>Supplementary Material</w:t>
      </w:r>
    </w:p>
    <w:p w:rsidR="00D54951" w:rsidRPr="00CA3BEF" w:rsidRDefault="00D54951" w:rsidP="00D54951">
      <w:pPr>
        <w:rPr>
          <w:rFonts w:ascii="Times New Roman" w:hAnsi="Times New Roman" w:cs="Times New Roman"/>
          <w:b/>
        </w:rPr>
      </w:pPr>
      <w:r w:rsidRPr="00CA3BEF">
        <w:rPr>
          <w:rFonts w:ascii="Times New Roman" w:hAnsi="Times New Roman" w:cs="Times New Roman"/>
          <w:b/>
        </w:rPr>
        <w:t>I. Development of Single-Factor Models for Delinquent Behaviors and SUDs</w:t>
      </w:r>
    </w:p>
    <w:p w:rsidR="00D54951" w:rsidRPr="00CA3BEF" w:rsidRDefault="00D54951" w:rsidP="00D54951">
      <w:pPr>
        <w:spacing w:after="120"/>
        <w:ind w:firstLine="720"/>
        <w:rPr>
          <w:rFonts w:ascii="Times New Roman" w:hAnsi="Times New Roman" w:cs="Times New Roman"/>
        </w:rPr>
      </w:pPr>
      <w:r w:rsidRPr="00CA3BEF">
        <w:rPr>
          <w:rFonts w:ascii="Times New Roman" w:hAnsi="Times New Roman" w:cs="Times New Roman"/>
          <w:i/>
        </w:rPr>
        <w:t xml:space="preserve">Rationale. </w:t>
      </w:r>
      <w:r w:rsidRPr="00CA3BEF">
        <w:rPr>
          <w:rFonts w:ascii="Times New Roman" w:hAnsi="Times New Roman" w:cs="Times New Roman"/>
        </w:rPr>
        <w:t xml:space="preserve">For delinquent behaviors and SUDs, we sought to examine whether trends in each set of outcomes could be described as a trend in an underlying latent trait, related to predisposition to delinquency and SUDs, respectively. This section describes steps </w:t>
      </w:r>
      <w:r>
        <w:rPr>
          <w:rFonts w:ascii="Times New Roman" w:hAnsi="Times New Roman" w:cs="Times New Roman"/>
        </w:rPr>
        <w:t>in</w:t>
      </w:r>
      <w:r w:rsidRPr="00CA3BEF">
        <w:rPr>
          <w:rFonts w:ascii="Times New Roman" w:hAnsi="Times New Roman" w:cs="Times New Roman"/>
        </w:rPr>
        <w:t xml:space="preserve"> the development of the single-factor models for delinquency (DQ) and SUDs. </w:t>
      </w:r>
    </w:p>
    <w:p w:rsidR="00661573" w:rsidRDefault="00D54951" w:rsidP="00D54951">
      <w:pPr>
        <w:spacing w:after="120"/>
        <w:ind w:firstLine="720"/>
        <w:rPr>
          <w:rFonts w:ascii="Times New Roman" w:hAnsi="Times New Roman" w:cs="Times New Roman"/>
        </w:rPr>
      </w:pPr>
      <w:r w:rsidRPr="00CA3BEF">
        <w:rPr>
          <w:rFonts w:ascii="Times New Roman" w:hAnsi="Times New Roman" w:cs="Times New Roman"/>
          <w:i/>
        </w:rPr>
        <w:t xml:space="preserve">Methods. </w:t>
      </w:r>
      <w:r w:rsidRPr="00CA3BEF">
        <w:rPr>
          <w:rFonts w:ascii="Times New Roman" w:hAnsi="Times New Roman" w:cs="Times New Roman"/>
        </w:rPr>
        <w:t xml:space="preserve">We conducted exploratory factor analyses </w:t>
      </w:r>
      <w:r w:rsidR="005F7A84">
        <w:rPr>
          <w:rFonts w:ascii="Times New Roman" w:hAnsi="Times New Roman" w:cs="Times New Roman"/>
        </w:rPr>
        <w:t xml:space="preserve">(EFA) </w:t>
      </w:r>
      <w:r w:rsidRPr="00CA3BEF">
        <w:rPr>
          <w:rFonts w:ascii="Times New Roman" w:hAnsi="Times New Roman" w:cs="Times New Roman"/>
        </w:rPr>
        <w:t>to verify that the DQ and SUD constructs were unidimensional and accounted for large portions of the item variance.</w:t>
      </w:r>
      <w:r w:rsidR="005F7A84">
        <w:rPr>
          <w:rFonts w:ascii="Times New Roman" w:hAnsi="Times New Roman" w:cs="Times New Roman"/>
        </w:rPr>
        <w:t xml:space="preserve">  This was done in MPlus specifying the </w:t>
      </w:r>
      <w:r w:rsidR="001D7B4F">
        <w:rPr>
          <w:rFonts w:ascii="Times New Roman" w:hAnsi="Times New Roman" w:cs="Times New Roman"/>
        </w:rPr>
        <w:t>outcome variables as categorical (binary)</w:t>
      </w:r>
      <w:r w:rsidR="005F7A84">
        <w:rPr>
          <w:rFonts w:ascii="Times New Roman" w:hAnsi="Times New Roman" w:cs="Times New Roman"/>
        </w:rPr>
        <w:t xml:space="preserve"> indicators. To ensure that the dimensionality did not change over time, we conducted EFA for the full 2003-2014 combined sample and for six</w:t>
      </w:r>
      <w:r w:rsidR="00661573">
        <w:rPr>
          <w:rFonts w:ascii="Times New Roman" w:hAnsi="Times New Roman" w:cs="Times New Roman"/>
        </w:rPr>
        <w:t xml:space="preserve"> samples </w:t>
      </w:r>
      <w:r w:rsidR="005F7A84">
        <w:rPr>
          <w:rFonts w:ascii="Times New Roman" w:hAnsi="Times New Roman" w:cs="Times New Roman"/>
        </w:rPr>
        <w:t xml:space="preserve">combined over </w:t>
      </w:r>
      <w:r w:rsidR="00661573">
        <w:rPr>
          <w:rFonts w:ascii="Times New Roman" w:hAnsi="Times New Roman" w:cs="Times New Roman"/>
        </w:rPr>
        <w:t xml:space="preserve">windows </w:t>
      </w:r>
      <w:r w:rsidR="005F7A84">
        <w:rPr>
          <w:rFonts w:ascii="Times New Roman" w:hAnsi="Times New Roman" w:cs="Times New Roman"/>
        </w:rPr>
        <w:t>two</w:t>
      </w:r>
      <w:r w:rsidR="00661573">
        <w:rPr>
          <w:rFonts w:ascii="Times New Roman" w:hAnsi="Times New Roman" w:cs="Times New Roman"/>
        </w:rPr>
        <w:t xml:space="preserve"> consecutive</w:t>
      </w:r>
      <w:r w:rsidR="005F7A84">
        <w:rPr>
          <w:rFonts w:ascii="Times New Roman" w:hAnsi="Times New Roman" w:cs="Times New Roman"/>
        </w:rPr>
        <w:t xml:space="preserve"> years (2003/4, 2005/6, etc.</w:t>
      </w:r>
      <w:r w:rsidR="00661573">
        <w:rPr>
          <w:rFonts w:ascii="Times New Roman" w:hAnsi="Times New Roman" w:cs="Times New Roman"/>
        </w:rPr>
        <w:t xml:space="preserve">). We chose to combine analyses over two consecutive years rather than analyze single-year samples to simplify presentation of result (i.e., 6 samples vs. 12).  </w:t>
      </w:r>
    </w:p>
    <w:p w:rsidR="00D54951" w:rsidRPr="00CA3BEF" w:rsidRDefault="00D54951" w:rsidP="00D54951">
      <w:pPr>
        <w:spacing w:after="120"/>
        <w:ind w:firstLine="720"/>
        <w:rPr>
          <w:rFonts w:ascii="Times New Roman" w:hAnsi="Times New Roman" w:cs="Times New Roman"/>
        </w:rPr>
      </w:pPr>
      <w:r w:rsidRPr="00CA3BEF">
        <w:rPr>
          <w:rFonts w:ascii="Times New Roman" w:hAnsi="Times New Roman" w:cs="Times New Roman"/>
        </w:rPr>
        <w:t>We then ana</w:t>
      </w:r>
      <w:r w:rsidR="00FB52FA">
        <w:rPr>
          <w:rFonts w:ascii="Times New Roman" w:hAnsi="Times New Roman" w:cs="Times New Roman"/>
        </w:rPr>
        <w:t xml:space="preserve">lyzed each construct using IRT </w:t>
      </w:r>
      <w:r w:rsidRPr="00CA3BEF">
        <w:rPr>
          <w:rFonts w:ascii="Times New Roman" w:hAnsi="Times New Roman" w:cs="Times New Roman"/>
        </w:rPr>
        <w:t xml:space="preserve">2-parameter logistic models (2PL), which yield estimates of an item </w:t>
      </w:r>
      <w:r w:rsidR="00077DB9">
        <w:rPr>
          <w:rFonts w:ascii="Times New Roman" w:hAnsi="Times New Roman" w:cs="Times New Roman"/>
        </w:rPr>
        <w:t>discrimination coefficient</w:t>
      </w:r>
      <w:r w:rsidRPr="00CA3BEF">
        <w:rPr>
          <w:rFonts w:ascii="Times New Roman" w:hAnsi="Times New Roman" w:cs="Times New Roman"/>
        </w:rPr>
        <w:t xml:space="preserve"> or slope, and difficulty parameter, or intercept. The </w:t>
      </w:r>
      <w:r w:rsidR="00077DB9">
        <w:rPr>
          <w:rFonts w:ascii="Times New Roman" w:hAnsi="Times New Roman" w:cs="Times New Roman"/>
        </w:rPr>
        <w:t>item</w:t>
      </w:r>
      <w:r w:rsidRPr="00CA3BEF">
        <w:rPr>
          <w:rFonts w:ascii="Times New Roman" w:hAnsi="Times New Roman" w:cs="Times New Roman"/>
        </w:rPr>
        <w:t xml:space="preserve"> </w:t>
      </w:r>
      <w:r w:rsidR="00077DB9">
        <w:rPr>
          <w:rFonts w:ascii="Times New Roman" w:hAnsi="Times New Roman" w:cs="Times New Roman"/>
        </w:rPr>
        <w:t xml:space="preserve">discrimination coefficient </w:t>
      </w:r>
      <w:r w:rsidRPr="00CA3BEF">
        <w:rPr>
          <w:rFonts w:ascii="Times New Roman" w:hAnsi="Times New Roman" w:cs="Times New Roman"/>
        </w:rPr>
        <w:t xml:space="preserve">describes the strength of the association between the observed variable and the latent trait, whereas the difficulty parameter is a measure of the frequency of the item in relation to the latent trait. That is, behaviors described by items with high difficulty parameters are rarer at any given value of the latent trait than items with lower difficulty parameters. </w:t>
      </w:r>
    </w:p>
    <w:p w:rsidR="00D54951" w:rsidRPr="00CA3BEF" w:rsidRDefault="00D54951" w:rsidP="00D40965">
      <w:pPr>
        <w:spacing w:after="120"/>
        <w:ind w:firstLine="720"/>
        <w:rPr>
          <w:rFonts w:ascii="Times New Roman" w:hAnsi="Times New Roman" w:cs="Times New Roman"/>
        </w:rPr>
      </w:pPr>
      <w:r w:rsidRPr="00CA3BEF">
        <w:rPr>
          <w:rFonts w:ascii="Times New Roman" w:hAnsi="Times New Roman" w:cs="Times New Roman"/>
          <w:i/>
        </w:rPr>
        <w:t xml:space="preserve">Results. </w:t>
      </w:r>
      <w:r w:rsidRPr="00CA3BEF">
        <w:rPr>
          <w:rFonts w:ascii="Times New Roman" w:hAnsi="Times New Roman" w:cs="Times New Roman"/>
        </w:rPr>
        <w:t>Exploratory analysis</w:t>
      </w:r>
      <w:r w:rsidR="005F7A84">
        <w:rPr>
          <w:rFonts w:ascii="Times New Roman" w:hAnsi="Times New Roman" w:cs="Times New Roman"/>
        </w:rPr>
        <w:t xml:space="preserve"> showed that a single-factor</w:t>
      </w:r>
      <w:r w:rsidRPr="00CA3BEF">
        <w:rPr>
          <w:rFonts w:ascii="Times New Roman" w:hAnsi="Times New Roman" w:cs="Times New Roman"/>
        </w:rPr>
        <w:t xml:space="preserve"> model for delinquency measures accounted for 60% of the total variance among the items </w:t>
      </w:r>
      <w:r w:rsidR="00753E03">
        <w:rPr>
          <w:rFonts w:ascii="Times New Roman" w:hAnsi="Times New Roman" w:cs="Times New Roman"/>
        </w:rPr>
        <w:t xml:space="preserve">in the combined sample. A single factor </w:t>
      </w:r>
      <w:r w:rsidRPr="00CA3BEF">
        <w:rPr>
          <w:rFonts w:ascii="Times New Roman" w:hAnsi="Times New Roman" w:cs="Times New Roman"/>
        </w:rPr>
        <w:t>accounted f</w:t>
      </w:r>
      <w:r w:rsidR="005F7A84">
        <w:rPr>
          <w:rFonts w:ascii="Times New Roman" w:hAnsi="Times New Roman" w:cs="Times New Roman"/>
        </w:rPr>
        <w:t>or 68% of the total variance</w:t>
      </w:r>
      <w:r w:rsidR="00753E03">
        <w:rPr>
          <w:rFonts w:ascii="Times New Roman" w:hAnsi="Times New Roman" w:cs="Times New Roman"/>
        </w:rPr>
        <w:t xml:space="preserve"> among SUD items</w:t>
      </w:r>
      <w:r w:rsidR="005F7A84">
        <w:rPr>
          <w:rFonts w:ascii="Times New Roman" w:hAnsi="Times New Roman" w:cs="Times New Roman"/>
        </w:rPr>
        <w:t xml:space="preserve">. </w:t>
      </w:r>
      <w:r w:rsidR="00D40965">
        <w:rPr>
          <w:rFonts w:ascii="Times New Roman" w:hAnsi="Times New Roman" w:cs="Times New Roman"/>
        </w:rPr>
        <w:t>Eigenvalues and correspoinding R</w:t>
      </w:r>
      <w:r w:rsidR="00D40965" w:rsidRPr="001D7B4F">
        <w:rPr>
          <w:rFonts w:ascii="Times New Roman" w:hAnsi="Times New Roman" w:cs="Times New Roman"/>
          <w:vertAlign w:val="superscript"/>
        </w:rPr>
        <w:t>2</w:t>
      </w:r>
      <w:r w:rsidR="00D40965">
        <w:rPr>
          <w:rFonts w:ascii="Times New Roman" w:hAnsi="Times New Roman" w:cs="Times New Roman"/>
        </w:rPr>
        <w:t xml:space="preserve"> are lis</w:t>
      </w:r>
      <w:r w:rsidR="001D7B4F">
        <w:rPr>
          <w:rFonts w:ascii="Times New Roman" w:hAnsi="Times New Roman" w:cs="Times New Roman"/>
        </w:rPr>
        <w:t>ted in Table S1</w:t>
      </w:r>
      <w:r w:rsidR="00D40965">
        <w:rPr>
          <w:rFonts w:ascii="Times New Roman" w:hAnsi="Times New Roman" w:cs="Times New Roman"/>
        </w:rPr>
        <w:t>. Factor</w:t>
      </w:r>
      <w:r w:rsidR="001D7B4F">
        <w:rPr>
          <w:rFonts w:ascii="Times New Roman" w:hAnsi="Times New Roman" w:cs="Times New Roman"/>
        </w:rPr>
        <w:t xml:space="preserve"> loadings are listed in Table S2</w:t>
      </w:r>
      <w:r w:rsidR="00D40965">
        <w:rPr>
          <w:rFonts w:ascii="Times New Roman" w:hAnsi="Times New Roman" w:cs="Times New Roman"/>
        </w:rPr>
        <w:t xml:space="preserve">. Eigenvalues and factor loadings for all of the two year samples closely resembled those for the overall sample </w:t>
      </w:r>
      <w:r w:rsidR="005F7A84">
        <w:rPr>
          <w:rFonts w:ascii="Times New Roman" w:hAnsi="Times New Roman" w:cs="Times New Roman"/>
        </w:rPr>
        <w:t>and did not vary appreciably over time</w:t>
      </w:r>
      <w:r w:rsidR="00D40965">
        <w:rPr>
          <w:rFonts w:ascii="Times New Roman" w:hAnsi="Times New Roman" w:cs="Times New Roman"/>
        </w:rPr>
        <w:t xml:space="preserve"> (with the pssible exception of the factor loadings for the gun-carrying item). </w:t>
      </w:r>
      <w:r w:rsidRPr="00CA3BEF">
        <w:rPr>
          <w:rFonts w:ascii="Times New Roman" w:hAnsi="Times New Roman" w:cs="Times New Roman"/>
        </w:rPr>
        <w:t>The high degree of variance accounted for by the first factor, coupled with the relatively high ratio of first to second Eigenvalues in each case provide evidence that the constructs can reasona</w:t>
      </w:r>
      <w:r w:rsidR="004E1356">
        <w:rPr>
          <w:rFonts w:ascii="Times New Roman" w:hAnsi="Times New Roman" w:cs="Times New Roman"/>
        </w:rPr>
        <w:t>bly be viewed as unidimensional.</w:t>
      </w:r>
      <w:r w:rsidR="004E1356">
        <w:rPr>
          <w:rStyle w:val="FootnoteReference"/>
          <w:rFonts w:ascii="Times New Roman" w:hAnsi="Times New Roman" w:cs="Times New Roman"/>
          <w:color w:val="000000" w:themeColor="text1"/>
        </w:rPr>
        <w:footnoteReference w:id="1"/>
      </w:r>
      <w:r w:rsidRPr="004E1356">
        <w:rPr>
          <w:rFonts w:ascii="Times New Roman" w:hAnsi="Times New Roman" w:cs="Times New Roman"/>
          <w:color w:val="000000" w:themeColor="text1"/>
        </w:rPr>
        <w:t xml:space="preserve"> </w:t>
      </w:r>
      <w:r w:rsidR="00D40965" w:rsidRPr="004E1356">
        <w:rPr>
          <w:rFonts w:ascii="Times New Roman" w:hAnsi="Times New Roman" w:cs="Times New Roman"/>
        </w:rPr>
        <w:t xml:space="preserve">Parameters </w:t>
      </w:r>
      <w:r w:rsidRPr="004E1356">
        <w:rPr>
          <w:rFonts w:ascii="Times New Roman" w:hAnsi="Times New Roman" w:cs="Times New Roman"/>
        </w:rPr>
        <w:t>for</w:t>
      </w:r>
      <w:r w:rsidRPr="00CA3BEF">
        <w:rPr>
          <w:rFonts w:ascii="Times New Roman" w:hAnsi="Times New Roman" w:cs="Times New Roman"/>
        </w:rPr>
        <w:t xml:space="preserve"> the single-factor IR</w:t>
      </w:r>
      <w:r w:rsidR="004E1356">
        <w:rPr>
          <w:rFonts w:ascii="Times New Roman" w:hAnsi="Times New Roman" w:cs="Times New Roman"/>
        </w:rPr>
        <w:t>T models are provided in Table S3</w:t>
      </w:r>
      <w:r w:rsidRPr="00CA3BEF">
        <w:rPr>
          <w:rFonts w:ascii="Times New Roman" w:hAnsi="Times New Roman" w:cs="Times New Roman"/>
        </w:rPr>
        <w:t>.</w:t>
      </w:r>
      <w:r w:rsidR="008E2DEA">
        <w:rPr>
          <w:rFonts w:ascii="Times New Roman" w:hAnsi="Times New Roman" w:cs="Times New Roman"/>
        </w:rPr>
        <w:t xml:space="preserve"> </w:t>
      </w:r>
    </w:p>
    <w:p w:rsidR="00D54951" w:rsidRPr="00CA3BEF" w:rsidRDefault="00D54951" w:rsidP="00D54951">
      <w:pPr>
        <w:spacing w:after="120"/>
        <w:ind w:firstLine="720"/>
        <w:rPr>
          <w:rStyle w:val="apple-converted-space"/>
          <w:rFonts w:ascii="Times New Roman" w:hAnsi="Times New Roman" w:cs="Times New Roman"/>
          <w:color w:val="000000"/>
          <w:shd w:val="clear" w:color="auto" w:fill="FFFFFF"/>
        </w:rPr>
      </w:pPr>
      <w:r w:rsidRPr="00CA3BEF">
        <w:rPr>
          <w:rStyle w:val="apple-converted-space"/>
          <w:rFonts w:ascii="Times New Roman" w:hAnsi="Times New Roman" w:cs="Times New Roman"/>
          <w:i/>
          <w:color w:val="000000"/>
          <w:shd w:val="clear" w:color="auto" w:fill="FFFFFF"/>
        </w:rPr>
        <w:t>Conclusion</w:t>
      </w:r>
      <w:r>
        <w:rPr>
          <w:rStyle w:val="apple-converted-space"/>
          <w:rFonts w:ascii="Times New Roman" w:hAnsi="Times New Roman" w:cs="Times New Roman"/>
          <w:i/>
          <w:color w:val="000000"/>
          <w:shd w:val="clear" w:color="auto" w:fill="FFFFFF"/>
        </w:rPr>
        <w:t xml:space="preserve">. </w:t>
      </w:r>
      <w:r w:rsidRPr="00CA3BEF">
        <w:rPr>
          <w:rStyle w:val="apple-converted-space"/>
          <w:rFonts w:ascii="Times New Roman" w:hAnsi="Times New Roman" w:cs="Times New Roman"/>
          <w:color w:val="000000"/>
          <w:shd w:val="clear" w:color="auto" w:fill="FFFFFF"/>
        </w:rPr>
        <w:t>Single-factor IRT models describing the six delinquency items and the six SUD outcomes each as a function of their respective underlying latent trait accounted for high portions of the variance among items and exhibited strong measurement invariance over time</w:t>
      </w:r>
      <w:r w:rsidR="00077DB9">
        <w:rPr>
          <w:rStyle w:val="apple-converted-space"/>
          <w:rFonts w:ascii="Times New Roman" w:hAnsi="Times New Roman" w:cs="Times New Roman"/>
          <w:color w:val="000000"/>
          <w:shd w:val="clear" w:color="auto" w:fill="FFFFFF"/>
        </w:rPr>
        <w:t xml:space="preserve"> (see main text Results)</w:t>
      </w:r>
      <w:r w:rsidRPr="00CA3BEF">
        <w:rPr>
          <w:rStyle w:val="apple-converted-space"/>
          <w:rFonts w:ascii="Times New Roman" w:hAnsi="Times New Roman" w:cs="Times New Roman"/>
          <w:color w:val="000000"/>
          <w:shd w:val="clear" w:color="auto" w:fill="FFFFFF"/>
        </w:rPr>
        <w:t xml:space="preserve">. This suggests that trends in the individual outcomes correspond to trends in the mean-levels of the latent traits. </w:t>
      </w:r>
    </w:p>
    <w:p w:rsidR="00D54951" w:rsidRPr="00CA3BEF" w:rsidRDefault="00D54951" w:rsidP="00D54951">
      <w:pPr>
        <w:spacing w:after="120"/>
        <w:rPr>
          <w:rStyle w:val="apple-converted-space"/>
          <w:rFonts w:ascii="Times New Roman" w:hAnsi="Times New Roman" w:cs="Times New Roman"/>
          <w:color w:val="000000"/>
          <w:shd w:val="clear" w:color="auto" w:fill="FFFFFF"/>
        </w:rPr>
      </w:pPr>
      <w:r w:rsidRPr="00CA3BEF">
        <w:rPr>
          <w:rFonts w:ascii="Times New Roman" w:hAnsi="Times New Roman" w:cs="Times New Roman"/>
          <w:b/>
        </w:rPr>
        <w:t xml:space="preserve">II. Development of the </w:t>
      </w:r>
      <w:r w:rsidR="00C523F5">
        <w:rPr>
          <w:rFonts w:ascii="Times New Roman" w:hAnsi="Times New Roman" w:cs="Times New Roman"/>
          <w:b/>
        </w:rPr>
        <w:t>EXT model</w:t>
      </w:r>
    </w:p>
    <w:p w:rsidR="00FB52FA" w:rsidRDefault="00D54951" w:rsidP="00D54951">
      <w:pPr>
        <w:spacing w:after="120"/>
        <w:ind w:firstLine="720"/>
        <w:rPr>
          <w:rFonts w:ascii="Times New Roman" w:hAnsi="Times New Roman" w:cs="Times New Roman"/>
        </w:rPr>
      </w:pPr>
      <w:r w:rsidRPr="00CA3BEF">
        <w:rPr>
          <w:rFonts w:ascii="Times New Roman" w:hAnsi="Times New Roman" w:cs="Times New Roman"/>
          <w:i/>
        </w:rPr>
        <w:t>Rationale</w:t>
      </w:r>
      <w:r>
        <w:rPr>
          <w:rFonts w:ascii="Times New Roman" w:hAnsi="Times New Roman" w:cs="Times New Roman"/>
          <w:i/>
        </w:rPr>
        <w:t xml:space="preserve">. </w:t>
      </w:r>
      <w:r w:rsidRPr="00CA3BEF">
        <w:rPr>
          <w:rFonts w:ascii="Times New Roman" w:hAnsi="Times New Roman" w:cs="Times New Roman"/>
        </w:rPr>
        <w:t xml:space="preserve">After establishing measurement </w:t>
      </w:r>
      <w:r w:rsidR="00AE01DA">
        <w:rPr>
          <w:rFonts w:ascii="Times New Roman" w:hAnsi="Times New Roman" w:cs="Times New Roman"/>
        </w:rPr>
        <w:t>in</w:t>
      </w:r>
      <w:r w:rsidRPr="00CA3BEF">
        <w:rPr>
          <w:rFonts w:ascii="Times New Roman" w:hAnsi="Times New Roman" w:cs="Times New Roman"/>
        </w:rPr>
        <w:t xml:space="preserve">variance for each of the one-factor models, our next objective was to determine whether trends in both delinquent behaviors and SUDs could be viewed as trends in an Externalizing-like trait. This might reflect a process in which a higher-order Externalizing factor (EXT) has direct influence on all outcomes (e.g., </w:t>
      </w:r>
      <w:r w:rsidR="004E1356">
        <w:rPr>
          <w:rFonts w:ascii="Times New Roman" w:hAnsi="Times New Roman" w:cs="Times New Roman"/>
        </w:rPr>
        <w:t>Figure S1, Panel A</w:t>
      </w:r>
      <w:r w:rsidRPr="00CA3BEF">
        <w:rPr>
          <w:rFonts w:ascii="Times New Roman" w:hAnsi="Times New Roman" w:cs="Times New Roman"/>
        </w:rPr>
        <w:t xml:space="preserve">) or acts on sub-factors related </w:t>
      </w:r>
      <w:r w:rsidRPr="00CA3BEF">
        <w:rPr>
          <w:rFonts w:ascii="Times New Roman" w:hAnsi="Times New Roman" w:cs="Times New Roman"/>
        </w:rPr>
        <w:lastRenderedPageBreak/>
        <w:t>to delinquency (DQ) and substance-use dis</w:t>
      </w:r>
      <w:r w:rsidR="004E1356">
        <w:rPr>
          <w:rFonts w:ascii="Times New Roman" w:hAnsi="Times New Roman" w:cs="Times New Roman"/>
        </w:rPr>
        <w:t>order (SUD) outcomes (Figure S1, Panel B</w:t>
      </w:r>
      <w:r w:rsidRPr="00CA3BEF">
        <w:rPr>
          <w:rFonts w:ascii="Times New Roman" w:hAnsi="Times New Roman" w:cs="Times New Roman"/>
        </w:rPr>
        <w:t>)</w:t>
      </w:r>
      <w:r>
        <w:rPr>
          <w:rFonts w:ascii="Times New Roman" w:hAnsi="Times New Roman" w:cs="Times New Roman"/>
        </w:rPr>
        <w:t xml:space="preserve">. </w:t>
      </w:r>
      <w:r w:rsidRPr="00CA3BEF">
        <w:rPr>
          <w:rFonts w:ascii="Times New Roman" w:hAnsi="Times New Roman" w:cs="Times New Roman"/>
        </w:rPr>
        <w:t>However, the latter model is under-identified, because the only information about the parameters describing the influences of the EXT factor on the two lower-order DQ and SUD factors come from the single correlation coefficient describing the relation between DQ and SUD. Therefore, we</w:t>
      </w:r>
      <w:r w:rsidR="00FB52FA">
        <w:rPr>
          <w:rFonts w:ascii="Times New Roman" w:hAnsi="Times New Roman" w:cs="Times New Roman"/>
        </w:rPr>
        <w:t xml:space="preserve"> </w:t>
      </w:r>
      <w:r w:rsidR="000C5368">
        <w:rPr>
          <w:rFonts w:ascii="Times New Roman" w:hAnsi="Times New Roman" w:cs="Times New Roman"/>
        </w:rPr>
        <w:t xml:space="preserve">used the one-factor EXT model for our final analyses in the main manuscript. Below we describe the characteristics of this model relative to a model in which the two latent factors DQ and SUD are correlated with each other (Figure S1, Panel C).  Note that this latter model is a re-parameterization of the hierarchical model drawn in Figure S1, Panel A. </w:t>
      </w:r>
      <w:r w:rsidR="00FB52FA">
        <w:rPr>
          <w:rFonts w:ascii="Times New Roman" w:hAnsi="Times New Roman" w:cs="Times New Roman"/>
        </w:rPr>
        <w:t xml:space="preserve"> </w:t>
      </w:r>
    </w:p>
    <w:p w:rsidR="00315E4D" w:rsidRPr="00C523F5" w:rsidRDefault="00D54951" w:rsidP="000C5368">
      <w:pPr>
        <w:spacing w:after="120"/>
        <w:rPr>
          <w:rFonts w:ascii="Times New Roman" w:hAnsi="Times New Roman" w:cs="Times New Roman"/>
          <w:sz w:val="24"/>
          <w:szCs w:val="24"/>
        </w:rPr>
      </w:pPr>
      <w:r w:rsidRPr="00C523F5">
        <w:rPr>
          <w:rFonts w:ascii="Times New Roman" w:hAnsi="Times New Roman" w:cs="Times New Roman"/>
          <w:i/>
          <w:sz w:val="24"/>
          <w:szCs w:val="24"/>
        </w:rPr>
        <w:t>Results.</w:t>
      </w:r>
      <w:r w:rsidRPr="00C523F5">
        <w:rPr>
          <w:rFonts w:ascii="Times New Roman" w:hAnsi="Times New Roman" w:cs="Times New Roman"/>
          <w:b/>
          <w:i/>
          <w:sz w:val="24"/>
          <w:szCs w:val="24"/>
        </w:rPr>
        <w:t xml:space="preserve"> </w:t>
      </w:r>
      <w:r w:rsidR="00315E4D" w:rsidRPr="00C523F5">
        <w:rPr>
          <w:rFonts w:ascii="Times New Roman" w:hAnsi="Times New Roman" w:cs="Times New Roman"/>
          <w:sz w:val="24"/>
          <w:szCs w:val="24"/>
        </w:rPr>
        <w:t>In an EFA of the 12 items (6 delinquent behaviors and 6 SUDs), the first factor described 53% of the variance (Eigenvalue=6.3);</w:t>
      </w:r>
      <w:r w:rsidR="00654E8D" w:rsidRPr="00C523F5">
        <w:rPr>
          <w:rFonts w:ascii="Times New Roman" w:hAnsi="Times New Roman" w:cs="Times New Roman"/>
          <w:sz w:val="24"/>
          <w:szCs w:val="24"/>
        </w:rPr>
        <w:t xml:space="preserve"> this result varied little when analyses were conducted in the six, two-year subsamples described above </w:t>
      </w:r>
      <w:r w:rsidR="00315E4D" w:rsidRPr="00C523F5">
        <w:rPr>
          <w:rFonts w:ascii="Times New Roman" w:hAnsi="Times New Roman" w:cs="Times New Roman"/>
          <w:sz w:val="24"/>
          <w:szCs w:val="24"/>
        </w:rPr>
        <w:t xml:space="preserve"> (</w:t>
      </w:r>
      <w:r w:rsidR="00654E8D" w:rsidRPr="00C523F5">
        <w:rPr>
          <w:rFonts w:ascii="Times New Roman" w:hAnsi="Times New Roman" w:cs="Times New Roman"/>
          <w:sz w:val="24"/>
          <w:szCs w:val="24"/>
        </w:rPr>
        <w:t>range=51.5% to 54.0%</w:t>
      </w:r>
      <w:r w:rsidR="00315E4D" w:rsidRPr="00C523F5">
        <w:rPr>
          <w:rFonts w:ascii="Times New Roman" w:hAnsi="Times New Roman" w:cs="Times New Roman"/>
          <w:sz w:val="24"/>
          <w:szCs w:val="24"/>
        </w:rPr>
        <w:t>)</w:t>
      </w:r>
      <w:r w:rsidR="00654E8D" w:rsidRPr="00C523F5">
        <w:rPr>
          <w:rFonts w:ascii="Times New Roman" w:hAnsi="Times New Roman" w:cs="Times New Roman"/>
          <w:sz w:val="24"/>
          <w:szCs w:val="24"/>
        </w:rPr>
        <w:t>. A</w:t>
      </w:r>
      <w:r w:rsidR="00315E4D" w:rsidRPr="00C523F5">
        <w:rPr>
          <w:rFonts w:ascii="Times New Roman" w:hAnsi="Times New Roman" w:cs="Times New Roman"/>
          <w:sz w:val="24"/>
          <w:szCs w:val="24"/>
        </w:rPr>
        <w:t xml:space="preserve"> second factor described an additional 12.5% (Eigenvalue=1.5), the third through twelfth factors all had Eigenvalues lower than 1 and described 7% or less of the variance. </w:t>
      </w:r>
      <w:r w:rsidR="007E6E09" w:rsidRPr="00C523F5">
        <w:rPr>
          <w:rFonts w:ascii="Times New Roman" w:hAnsi="Times New Roman" w:cs="Times New Roman"/>
          <w:sz w:val="24"/>
          <w:szCs w:val="24"/>
        </w:rPr>
        <w:t>The two correlated factor model (DQ ↔ SUD</w:t>
      </w:r>
      <w:r w:rsidR="00077DB9">
        <w:rPr>
          <w:rFonts w:ascii="Times New Roman" w:hAnsi="Times New Roman" w:cs="Times New Roman"/>
          <w:sz w:val="24"/>
          <w:szCs w:val="24"/>
        </w:rPr>
        <w:t>; Figure S1C</w:t>
      </w:r>
      <w:r w:rsidR="007E6E09" w:rsidRPr="00C523F5">
        <w:rPr>
          <w:rFonts w:ascii="Times New Roman" w:hAnsi="Times New Roman" w:cs="Times New Roman"/>
          <w:sz w:val="24"/>
          <w:szCs w:val="24"/>
        </w:rPr>
        <w:t xml:space="preserve">) </w:t>
      </w:r>
      <w:r w:rsidR="00FA070C" w:rsidRPr="00C523F5">
        <w:rPr>
          <w:rFonts w:ascii="Times New Roman" w:hAnsi="Times New Roman" w:cs="Times New Roman"/>
          <w:sz w:val="24"/>
          <w:szCs w:val="24"/>
        </w:rPr>
        <w:t xml:space="preserve"> exhibite</w:t>
      </w:r>
      <w:r w:rsidR="006E0CCB">
        <w:rPr>
          <w:rFonts w:ascii="Times New Roman" w:hAnsi="Times New Roman" w:cs="Times New Roman"/>
          <w:sz w:val="24"/>
          <w:szCs w:val="24"/>
        </w:rPr>
        <w:t xml:space="preserve">d </w:t>
      </w:r>
      <w:r w:rsidR="007E6E09" w:rsidRPr="00C523F5">
        <w:rPr>
          <w:rFonts w:ascii="Times New Roman" w:hAnsi="Times New Roman" w:cs="Times New Roman"/>
          <w:sz w:val="24"/>
          <w:szCs w:val="24"/>
        </w:rPr>
        <w:t xml:space="preserve">better fit than the one-factor EXT model; BIC=1,865,315  vs. 1,872,556; </w:t>
      </w:r>
      <w:r w:rsidR="00FA070C" w:rsidRPr="00C523F5">
        <w:rPr>
          <w:rFonts w:ascii="Times New Roman" w:hAnsi="Times New Roman" w:cs="Times New Roman"/>
          <w:sz w:val="24"/>
          <w:szCs w:val="24"/>
        </w:rPr>
        <w:t xml:space="preserve">CFI=0.961 vs. 0.946. However, in the two factor model, the DQ and SUD factors were highly correlated (R=0.74 for all years combined; ranging 0.68 to 0.77 when estimated separately by year). </w:t>
      </w:r>
    </w:p>
    <w:p w:rsidR="00C523F5" w:rsidRDefault="00C523F5" w:rsidP="00D54951">
      <w:pPr>
        <w:spacing w:after="120"/>
        <w:rPr>
          <w:rFonts w:ascii="Times New Roman" w:hAnsi="Times New Roman" w:cs="Times New Roman"/>
        </w:rPr>
      </w:pPr>
      <w:r>
        <w:rPr>
          <w:rFonts w:ascii="Times New Roman" w:hAnsi="Times New Roman" w:cs="Times New Roman"/>
        </w:rPr>
        <w:t>Given the identification issues with the hierarchic</w:t>
      </w:r>
      <w:r w:rsidR="006E0CCB">
        <w:rPr>
          <w:rFonts w:ascii="Times New Roman" w:hAnsi="Times New Roman" w:cs="Times New Roman"/>
        </w:rPr>
        <w:t>al model, we accepted the incrementally poorer</w:t>
      </w:r>
      <w:r>
        <w:rPr>
          <w:rFonts w:ascii="Times New Roman" w:hAnsi="Times New Roman" w:cs="Times New Roman"/>
        </w:rPr>
        <w:t xml:space="preserve"> fit of the single-factor EXT model, which still accounts for more than half of the variance among items. This allowed us to conduct measurement invariance tests parallel to those conducted for the SUD and DQ models (Main text, Table 3).  IRT parameters for the single-factor EXT model are listed in Table S4. </w:t>
      </w:r>
    </w:p>
    <w:p w:rsidR="00D54951" w:rsidRPr="00CA3BEF" w:rsidRDefault="00D54951" w:rsidP="00D54951">
      <w:pPr>
        <w:spacing w:after="120"/>
        <w:rPr>
          <w:rFonts w:ascii="Times New Roman" w:hAnsi="Times New Roman" w:cs="Times New Roman"/>
          <w:b/>
        </w:rPr>
      </w:pPr>
      <w:r w:rsidRPr="00CA3BEF">
        <w:rPr>
          <w:rFonts w:ascii="Times New Roman" w:hAnsi="Times New Roman" w:cs="Times New Roman"/>
          <w:b/>
        </w:rPr>
        <w:t>Part III. Estimation of Factor Means</w:t>
      </w:r>
    </w:p>
    <w:p w:rsidR="00D54951" w:rsidRPr="00CA3BEF" w:rsidRDefault="00D54951" w:rsidP="00D54951">
      <w:pPr>
        <w:spacing w:after="120"/>
        <w:rPr>
          <w:rFonts w:ascii="Times New Roman" w:hAnsi="Times New Roman" w:cs="Times New Roman"/>
        </w:rPr>
      </w:pPr>
      <w:r w:rsidRPr="00CA3BEF">
        <w:rPr>
          <w:rFonts w:ascii="Times New Roman" w:hAnsi="Times New Roman" w:cs="Times New Roman"/>
        </w:rPr>
        <w:tab/>
        <w:t xml:space="preserve">To estimate </w:t>
      </w:r>
      <w:r w:rsidR="00345851">
        <w:rPr>
          <w:rFonts w:ascii="Times New Roman" w:hAnsi="Times New Roman" w:cs="Times New Roman"/>
        </w:rPr>
        <w:t xml:space="preserve">the factor means for the DQ, </w:t>
      </w:r>
      <w:r w:rsidRPr="00CA3BEF">
        <w:rPr>
          <w:rFonts w:ascii="Times New Roman" w:hAnsi="Times New Roman" w:cs="Times New Roman"/>
        </w:rPr>
        <w:t>SUD</w:t>
      </w:r>
      <w:r w:rsidR="00345851">
        <w:rPr>
          <w:rFonts w:ascii="Times New Roman" w:hAnsi="Times New Roman" w:cs="Times New Roman"/>
        </w:rPr>
        <w:t>, and EXT</w:t>
      </w:r>
      <w:r w:rsidRPr="00CA3BEF">
        <w:rPr>
          <w:rFonts w:ascii="Times New Roman" w:hAnsi="Times New Roman" w:cs="Times New Roman"/>
        </w:rPr>
        <w:t xml:space="preserve"> factors by year, we estimated the </w:t>
      </w:r>
      <w:r w:rsidR="00661573">
        <w:rPr>
          <w:rFonts w:ascii="Times New Roman" w:hAnsi="Times New Roman" w:cs="Times New Roman"/>
        </w:rPr>
        <w:t>model</w:t>
      </w:r>
      <w:r w:rsidR="00345851">
        <w:rPr>
          <w:rFonts w:ascii="Times New Roman" w:hAnsi="Times New Roman" w:cs="Times New Roman"/>
        </w:rPr>
        <w:t>s</w:t>
      </w:r>
      <w:r w:rsidR="00661573">
        <w:rPr>
          <w:rFonts w:ascii="Times New Roman" w:hAnsi="Times New Roman" w:cs="Times New Roman"/>
        </w:rPr>
        <w:t xml:space="preserve"> desc</w:t>
      </w:r>
      <w:r w:rsidR="00345851">
        <w:rPr>
          <w:rFonts w:ascii="Times New Roman" w:hAnsi="Times New Roman" w:cs="Times New Roman"/>
        </w:rPr>
        <w:t>ribed in the main text, in which item discriminations and coefficients were held constant across years, factor variances were fixed at 1 and mean values  for latent traits were estimated freely for each year, except for 2003 which serves as the reference year for which the mean is set to</w:t>
      </w:r>
      <w:r w:rsidR="001C3724">
        <w:rPr>
          <w:rFonts w:ascii="Times New Roman" w:hAnsi="Times New Roman" w:cs="Times New Roman"/>
        </w:rPr>
        <w:t xml:space="preserve"> zero</w:t>
      </w:r>
      <w:r w:rsidR="00345851">
        <w:rPr>
          <w:rFonts w:ascii="Times New Roman" w:hAnsi="Times New Roman" w:cs="Times New Roman"/>
        </w:rPr>
        <w:t xml:space="preserve"> </w:t>
      </w:r>
      <w:r w:rsidRPr="00CA3BEF">
        <w:rPr>
          <w:rFonts w:ascii="Times New Roman" w:hAnsi="Times New Roman" w:cs="Times New Roman"/>
        </w:rPr>
        <w:t xml:space="preserve">. Factor means are plotted as a function of year in </w:t>
      </w:r>
      <w:r w:rsidR="00077DB9">
        <w:rPr>
          <w:rFonts w:ascii="Times New Roman" w:hAnsi="Times New Roman" w:cs="Times New Roman"/>
        </w:rPr>
        <w:t>Figure S2</w:t>
      </w:r>
      <w:r w:rsidRPr="00CA3BEF">
        <w:rPr>
          <w:rFonts w:ascii="Times New Roman" w:hAnsi="Times New Roman" w:cs="Times New Roman"/>
        </w:rPr>
        <w:t xml:space="preserve">. </w:t>
      </w:r>
      <w:r w:rsidR="00345851">
        <w:rPr>
          <w:rFonts w:ascii="Times New Roman" w:hAnsi="Times New Roman" w:cs="Times New Roman"/>
        </w:rPr>
        <w:t xml:space="preserve">This yields mean estimtes on a z-score or standard-normal metric. </w:t>
      </w:r>
      <w:r w:rsidRPr="001C3724">
        <w:rPr>
          <w:rFonts w:ascii="Times New Roman" w:hAnsi="Times New Roman" w:cs="Times New Roman"/>
        </w:rPr>
        <w:t>The plot reveals that both the DQ and SUD factors declined by about one-third of a standard deviation across the years 2003-2014</w:t>
      </w:r>
      <w:r w:rsidR="001C3724">
        <w:rPr>
          <w:rFonts w:ascii="Times New Roman" w:hAnsi="Times New Roman" w:cs="Times New Roman"/>
        </w:rPr>
        <w:t xml:space="preserve"> and that the EXT factor declined by nearly 0.4 standard deviations.</w:t>
      </w:r>
    </w:p>
    <w:p w:rsidR="00661573" w:rsidRDefault="001A28D9" w:rsidP="00661573">
      <w:pPr>
        <w:spacing w:after="0" w:line="480" w:lineRule="auto"/>
        <w:rPr>
          <w:rFonts w:ascii="Times New Roman" w:hAnsi="Times New Roman" w:cs="Times New Roman"/>
          <w:b/>
        </w:rPr>
      </w:pPr>
      <w:r w:rsidRPr="00661573">
        <w:rPr>
          <w:rFonts w:ascii="Times New Roman" w:hAnsi="Times New Roman" w:cs="Times New Roman"/>
          <w:b/>
        </w:rPr>
        <w:t>Part IV:  Handgun-carrying in relation to other delinquency behaviors</w:t>
      </w:r>
    </w:p>
    <w:p w:rsidR="00661573" w:rsidRPr="00CA3BEF" w:rsidRDefault="001A28D9" w:rsidP="00661573">
      <w:pPr>
        <w:spacing w:after="120"/>
        <w:ind w:firstLine="720"/>
        <w:rPr>
          <w:rFonts w:ascii="Times New Roman" w:hAnsi="Times New Roman" w:cs="Times New Roman"/>
        </w:rPr>
      </w:pPr>
      <w:r w:rsidRPr="00661573">
        <w:rPr>
          <w:rFonts w:ascii="Times New Roman" w:hAnsi="Times New Roman" w:cs="Times New Roman"/>
        </w:rPr>
        <w:t xml:space="preserve">As discussed in the main body of the text, the prevalence of handgun-carrying did not decline between 2003 and 2014.Yet the structural analyses suggest that the six delinquency items taken together serve as markers for a single underlying factor that underwent a temporal decline, thus leading to a decline in prevalence for all of the other 5 behaviors in both age groups. </w:t>
      </w:r>
    </w:p>
    <w:p w:rsidR="00661573" w:rsidRPr="00CA3BEF" w:rsidRDefault="001A28D9" w:rsidP="00661573">
      <w:pPr>
        <w:spacing w:after="120"/>
        <w:ind w:firstLine="720"/>
        <w:rPr>
          <w:rFonts w:ascii="Times New Roman" w:hAnsi="Times New Roman" w:cs="Times New Roman"/>
        </w:rPr>
      </w:pPr>
      <w:r w:rsidRPr="00661573">
        <w:rPr>
          <w:rFonts w:ascii="Times New Roman" w:hAnsi="Times New Roman" w:cs="Times New Roman"/>
        </w:rPr>
        <w:t>One interpretation for this is that the proportion of variance in handgun-carrying that is attributable to delinquency declined over the 2003-2014 period, but that this change in association between the latent factor and the manifest</w:t>
      </w:r>
      <w:r w:rsidR="00077DB9">
        <w:rPr>
          <w:rFonts w:ascii="Times New Roman" w:hAnsi="Times New Roman" w:cs="Times New Roman"/>
        </w:rPr>
        <w:t xml:space="preserve"> indicator was relatively small. For this reason, the assumption</w:t>
      </w:r>
      <w:r w:rsidRPr="00661573">
        <w:rPr>
          <w:rFonts w:ascii="Times New Roman" w:hAnsi="Times New Roman" w:cs="Times New Roman"/>
        </w:rPr>
        <w:t xml:space="preserve"> that the item discrimination coefficient </w:t>
      </w:r>
      <w:r w:rsidR="0074708A" w:rsidRPr="00661573">
        <w:rPr>
          <w:rFonts w:ascii="Times New Roman" w:hAnsi="Times New Roman" w:cs="Times New Roman"/>
        </w:rPr>
        <w:t xml:space="preserve">and difficulty parameters </w:t>
      </w:r>
      <w:r w:rsidRPr="00661573">
        <w:rPr>
          <w:rFonts w:ascii="Times New Roman" w:hAnsi="Times New Roman" w:cs="Times New Roman"/>
        </w:rPr>
        <w:t xml:space="preserve">remained constant </w:t>
      </w:r>
      <w:r w:rsidR="00077DB9">
        <w:rPr>
          <w:rFonts w:ascii="Times New Roman" w:hAnsi="Times New Roman" w:cs="Times New Roman"/>
        </w:rPr>
        <w:t xml:space="preserve">over time </w:t>
      </w:r>
      <w:r w:rsidRPr="00661573">
        <w:rPr>
          <w:rFonts w:ascii="Times New Roman" w:hAnsi="Times New Roman" w:cs="Times New Roman"/>
        </w:rPr>
        <w:t xml:space="preserve">did not </w:t>
      </w:r>
      <w:r w:rsidR="0074708A" w:rsidRPr="00661573">
        <w:rPr>
          <w:rFonts w:ascii="Times New Roman" w:hAnsi="Times New Roman" w:cs="Times New Roman"/>
        </w:rPr>
        <w:t xml:space="preserve">substantially </w:t>
      </w:r>
      <w:r w:rsidRPr="00661573">
        <w:rPr>
          <w:rFonts w:ascii="Times New Roman" w:hAnsi="Times New Roman" w:cs="Times New Roman"/>
        </w:rPr>
        <w:t>worse</w:t>
      </w:r>
      <w:r w:rsidR="00077DB9">
        <w:rPr>
          <w:rFonts w:ascii="Times New Roman" w:hAnsi="Times New Roman" w:cs="Times New Roman"/>
        </w:rPr>
        <w:t>n the model fit</w:t>
      </w:r>
      <w:bookmarkStart w:id="0" w:name="_GoBack"/>
      <w:bookmarkEnd w:id="0"/>
      <w:r w:rsidRPr="00661573">
        <w:rPr>
          <w:rFonts w:ascii="Times New Roman" w:hAnsi="Times New Roman" w:cs="Times New Roman"/>
        </w:rPr>
        <w:t xml:space="preserve">. In terms of manifest behavior, this would suggest that the prevalence </w:t>
      </w:r>
      <w:r w:rsidRPr="00661573">
        <w:rPr>
          <w:rFonts w:ascii="Times New Roman" w:hAnsi="Times New Roman" w:cs="Times New Roman"/>
        </w:rPr>
        <w:lastRenderedPageBreak/>
        <w:t xml:space="preserve">of handgun-carrying as an individual behavior, unrelated to delinquency, underwent an increase during this period.  We analyzed this graphically by plotting the prevalence of handgun-carrying without other delinquent behaviors and the prevalence of handgun-carrying with one or more other delinquent behaviors, for both age groups combined. The results are shown in Figure S3 and are consistent with that interpretation: the prevalence of handgun-carrying as a standalone behavior appears to have risen whereas the prevalence of handgun-carrying in the context of delinquency has declined. </w:t>
      </w:r>
    </w:p>
    <w:p w:rsidR="00753E03" w:rsidRDefault="00D54951" w:rsidP="00661573">
      <w:pPr>
        <w:spacing w:after="0" w:line="240" w:lineRule="auto"/>
        <w:ind w:firstLine="720"/>
        <w:rPr>
          <w:rFonts w:ascii="Times New Roman" w:hAnsi="Times New Roman" w:cs="Times New Roman"/>
          <w:sz w:val="20"/>
          <w:szCs w:val="20"/>
        </w:rPr>
        <w:sectPr w:rsidR="00753E03" w:rsidSect="00267E86">
          <w:pgSz w:w="12240" w:h="15840"/>
          <w:pgMar w:top="1440" w:right="1440" w:bottom="1440" w:left="1440" w:header="720" w:footer="720" w:gutter="0"/>
          <w:cols w:space="720"/>
          <w:docGrid w:linePitch="360"/>
        </w:sectPr>
      </w:pPr>
      <w:r>
        <w:rPr>
          <w:rFonts w:ascii="Times New Roman" w:hAnsi="Times New Roman" w:cs="Times New Roman"/>
          <w:sz w:val="20"/>
          <w:szCs w:val="20"/>
        </w:rPr>
        <w:br w:type="page"/>
      </w:r>
    </w:p>
    <w:tbl>
      <w:tblPr>
        <w:tblStyle w:val="TableGrid"/>
        <w:tblpPr w:leftFromText="187" w:rightFromText="187" w:vertAnchor="page" w:horzAnchor="margin" w:tblpXSpec="center" w:tblpY="1648"/>
        <w:tblW w:w="14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893"/>
        <w:gridCol w:w="894"/>
        <w:gridCol w:w="893"/>
        <w:gridCol w:w="894"/>
        <w:gridCol w:w="893"/>
        <w:gridCol w:w="894"/>
        <w:gridCol w:w="894"/>
        <w:gridCol w:w="893"/>
        <w:gridCol w:w="894"/>
        <w:gridCol w:w="893"/>
        <w:gridCol w:w="894"/>
        <w:gridCol w:w="893"/>
        <w:gridCol w:w="894"/>
        <w:gridCol w:w="894"/>
      </w:tblGrid>
      <w:tr w:rsidR="00FC13BA" w:rsidRPr="001F0A60" w:rsidTr="00FA070C">
        <w:trPr>
          <w:trHeight w:val="251"/>
        </w:trPr>
        <w:tc>
          <w:tcPr>
            <w:tcW w:w="14508" w:type="dxa"/>
            <w:gridSpan w:val="15"/>
            <w:tcBorders>
              <w:left w:val="nil"/>
              <w:bottom w:val="single" w:sz="4" w:space="0" w:color="auto"/>
              <w:right w:val="nil"/>
            </w:tcBorders>
          </w:tcPr>
          <w:p w:rsidR="00FC13BA" w:rsidRPr="004C4997" w:rsidRDefault="00661573" w:rsidP="00FA070C">
            <w:pPr>
              <w:rPr>
                <w:rFonts w:ascii="Arial" w:hAnsi="Arial" w:cs="Arial"/>
                <w:sz w:val="24"/>
                <w:szCs w:val="24"/>
              </w:rPr>
            </w:pPr>
            <w:r>
              <w:rPr>
                <w:rFonts w:ascii="Arial" w:hAnsi="Arial" w:cs="Arial"/>
                <w:b/>
                <w:sz w:val="24"/>
                <w:szCs w:val="24"/>
              </w:rPr>
              <w:lastRenderedPageBreak/>
              <w:t>Table S1</w:t>
            </w:r>
            <w:r w:rsidR="00FC13BA" w:rsidRPr="004C4997">
              <w:rPr>
                <w:rFonts w:ascii="Arial" w:hAnsi="Arial" w:cs="Arial"/>
                <w:b/>
                <w:sz w:val="24"/>
                <w:szCs w:val="24"/>
              </w:rPr>
              <w:t>:</w:t>
            </w:r>
            <w:r w:rsidR="00FC13BA" w:rsidRPr="004C4997">
              <w:rPr>
                <w:rFonts w:ascii="Arial" w:hAnsi="Arial" w:cs="Arial"/>
                <w:sz w:val="24"/>
                <w:szCs w:val="24"/>
              </w:rPr>
              <w:t xml:space="preserve"> Eigenvalues</w:t>
            </w:r>
            <w:r w:rsidR="00FC13BA">
              <w:rPr>
                <w:rFonts w:ascii="Arial" w:hAnsi="Arial" w:cs="Arial"/>
                <w:sz w:val="24"/>
                <w:szCs w:val="24"/>
              </w:rPr>
              <w:t xml:space="preserve"> / R</w:t>
            </w:r>
            <w:r w:rsidR="00FC13BA" w:rsidRPr="00267E86">
              <w:rPr>
                <w:rFonts w:ascii="Arial" w:hAnsi="Arial" w:cs="Arial"/>
                <w:sz w:val="24"/>
                <w:szCs w:val="24"/>
                <w:vertAlign w:val="superscript"/>
              </w:rPr>
              <w:t>2</w:t>
            </w:r>
            <w:r w:rsidR="00FC13BA">
              <w:rPr>
                <w:rFonts w:ascii="Arial" w:hAnsi="Arial" w:cs="Arial"/>
                <w:sz w:val="24"/>
                <w:szCs w:val="24"/>
              </w:rPr>
              <w:t xml:space="preserve"> values</w:t>
            </w:r>
            <w:r w:rsidR="00FC13BA" w:rsidRPr="004C4997">
              <w:rPr>
                <w:rFonts w:ascii="Arial" w:hAnsi="Arial" w:cs="Arial"/>
                <w:sz w:val="24"/>
                <w:szCs w:val="24"/>
              </w:rPr>
              <w:t xml:space="preserve"> from separate exploratory factor analyses of delinquent behaviors and SUDs</w:t>
            </w:r>
            <w:r w:rsidR="00D40965">
              <w:rPr>
                <w:rFonts w:ascii="Arial" w:hAnsi="Arial" w:cs="Arial"/>
                <w:sz w:val="24"/>
                <w:szCs w:val="24"/>
              </w:rPr>
              <w:t xml:space="preserve">  overall and by two-year intervals.</w:t>
            </w:r>
          </w:p>
        </w:tc>
      </w:tr>
      <w:tr w:rsidR="00FC13BA" w:rsidRPr="001F0A60" w:rsidTr="00FA070C">
        <w:trPr>
          <w:trHeight w:val="329"/>
        </w:trPr>
        <w:tc>
          <w:tcPr>
            <w:tcW w:w="1998" w:type="dxa"/>
            <w:tcBorders>
              <w:top w:val="single" w:sz="4" w:space="0" w:color="auto"/>
              <w:left w:val="nil"/>
              <w:bottom w:val="single" w:sz="4" w:space="0" w:color="auto"/>
              <w:right w:val="nil"/>
            </w:tcBorders>
            <w:vAlign w:val="center"/>
          </w:tcPr>
          <w:p w:rsidR="00FC13BA" w:rsidRPr="004C4997" w:rsidRDefault="00FC13BA" w:rsidP="00FA070C">
            <w:pPr>
              <w:rPr>
                <w:rFonts w:ascii="Arial" w:hAnsi="Arial" w:cs="Arial"/>
                <w:b/>
                <w:sz w:val="20"/>
                <w:szCs w:val="20"/>
              </w:rPr>
            </w:pPr>
          </w:p>
        </w:tc>
        <w:tc>
          <w:tcPr>
            <w:tcW w:w="6255" w:type="dxa"/>
            <w:gridSpan w:val="7"/>
            <w:tcBorders>
              <w:top w:val="single" w:sz="4" w:space="0" w:color="auto"/>
              <w:left w:val="nil"/>
              <w:bottom w:val="single" w:sz="4" w:space="0" w:color="auto"/>
              <w:right w:val="nil"/>
            </w:tcBorders>
            <w:vAlign w:val="bottom"/>
          </w:tcPr>
          <w:p w:rsidR="00FC13BA" w:rsidRPr="00267E86" w:rsidRDefault="00FC13BA" w:rsidP="00FA070C">
            <w:pPr>
              <w:jc w:val="center"/>
              <w:rPr>
                <w:rFonts w:ascii="Arial" w:hAnsi="Arial" w:cs="Arial"/>
                <w:b/>
                <w:sz w:val="20"/>
                <w:szCs w:val="20"/>
              </w:rPr>
            </w:pPr>
            <w:r>
              <w:rPr>
                <w:rFonts w:ascii="Arial" w:hAnsi="Arial" w:cs="Arial"/>
                <w:b/>
                <w:sz w:val="20"/>
                <w:szCs w:val="20"/>
              </w:rPr>
              <w:t>Eigenvalues</w:t>
            </w:r>
          </w:p>
        </w:tc>
        <w:tc>
          <w:tcPr>
            <w:tcW w:w="6255" w:type="dxa"/>
            <w:gridSpan w:val="7"/>
            <w:tcBorders>
              <w:top w:val="single" w:sz="4" w:space="0" w:color="auto"/>
              <w:left w:val="nil"/>
              <w:bottom w:val="single" w:sz="4" w:space="0" w:color="auto"/>
            </w:tcBorders>
            <w:vAlign w:val="bottom"/>
          </w:tcPr>
          <w:p w:rsidR="00FC13BA" w:rsidRPr="004C4997" w:rsidRDefault="00FC13BA" w:rsidP="00FA070C">
            <w:pPr>
              <w:jc w:val="center"/>
              <w:rPr>
                <w:rFonts w:ascii="Arial" w:hAnsi="Arial" w:cs="Arial"/>
                <w:b/>
                <w:sz w:val="20"/>
                <w:szCs w:val="20"/>
              </w:rPr>
            </w:pPr>
            <w:r>
              <w:rPr>
                <w:rFonts w:ascii="Arial" w:hAnsi="Arial" w:cs="Arial"/>
                <w:b/>
                <w:sz w:val="20"/>
                <w:szCs w:val="20"/>
              </w:rPr>
              <w:t>R-Squared</w:t>
            </w:r>
          </w:p>
        </w:tc>
      </w:tr>
      <w:tr w:rsidR="00FC13BA" w:rsidRPr="001F0A60" w:rsidTr="00FA070C">
        <w:trPr>
          <w:trHeight w:val="329"/>
        </w:trPr>
        <w:tc>
          <w:tcPr>
            <w:tcW w:w="1998" w:type="dxa"/>
            <w:tcBorders>
              <w:top w:val="single" w:sz="4" w:space="0" w:color="auto"/>
              <w:left w:val="nil"/>
              <w:bottom w:val="single" w:sz="4" w:space="0" w:color="auto"/>
              <w:right w:val="nil"/>
            </w:tcBorders>
            <w:vAlign w:val="bottom"/>
          </w:tcPr>
          <w:p w:rsidR="00FC13BA" w:rsidRDefault="00FC13BA" w:rsidP="00FA070C">
            <w:pPr>
              <w:spacing w:before="80" w:after="80"/>
              <w:rPr>
                <w:rFonts w:ascii="Arial" w:hAnsi="Arial" w:cs="Arial"/>
                <w:b/>
                <w:sz w:val="20"/>
                <w:szCs w:val="20"/>
              </w:rPr>
            </w:pPr>
            <w:r w:rsidRPr="004C4997">
              <w:rPr>
                <w:rFonts w:ascii="Arial" w:hAnsi="Arial" w:cs="Arial"/>
                <w:b/>
                <w:sz w:val="20"/>
                <w:szCs w:val="20"/>
              </w:rPr>
              <w:t>Delinquent</w:t>
            </w:r>
          </w:p>
          <w:p w:rsidR="00FC13BA" w:rsidRPr="004C4997" w:rsidRDefault="00FC13BA" w:rsidP="00FA070C">
            <w:pPr>
              <w:spacing w:before="80" w:after="80"/>
              <w:rPr>
                <w:rFonts w:ascii="Arial" w:hAnsi="Arial" w:cs="Arial"/>
                <w:b/>
                <w:sz w:val="20"/>
                <w:szCs w:val="20"/>
              </w:rPr>
            </w:pPr>
            <w:r w:rsidRPr="004C4997">
              <w:rPr>
                <w:rFonts w:ascii="Arial" w:hAnsi="Arial" w:cs="Arial"/>
                <w:b/>
                <w:sz w:val="20"/>
                <w:szCs w:val="20"/>
              </w:rPr>
              <w:t>Behavior</w:t>
            </w:r>
          </w:p>
        </w:tc>
        <w:tc>
          <w:tcPr>
            <w:tcW w:w="893" w:type="dxa"/>
            <w:tcBorders>
              <w:top w:val="single" w:sz="4" w:space="0" w:color="auto"/>
              <w:left w:val="nil"/>
              <w:bottom w:val="single" w:sz="4" w:space="0" w:color="auto"/>
              <w:right w:val="nil"/>
            </w:tcBorders>
            <w:vAlign w:val="bottom"/>
          </w:tcPr>
          <w:p w:rsidR="00FC13BA" w:rsidRPr="00B36B21" w:rsidRDefault="00FC13BA" w:rsidP="00FA070C">
            <w:pPr>
              <w:spacing w:before="80" w:after="80"/>
              <w:jc w:val="center"/>
              <w:rPr>
                <w:rFonts w:ascii="Arial Narrow" w:hAnsi="Arial Narrow" w:cs="Arial"/>
                <w:b/>
                <w:sz w:val="20"/>
                <w:szCs w:val="20"/>
              </w:rPr>
            </w:pPr>
            <w:r w:rsidRPr="00B36B21">
              <w:rPr>
                <w:rFonts w:ascii="Arial Narrow" w:hAnsi="Arial Narrow" w:cs="Arial"/>
                <w:b/>
                <w:sz w:val="20"/>
                <w:szCs w:val="20"/>
              </w:rPr>
              <w:t>All Years</w:t>
            </w:r>
          </w:p>
        </w:tc>
        <w:tc>
          <w:tcPr>
            <w:tcW w:w="894" w:type="dxa"/>
            <w:tcBorders>
              <w:top w:val="single" w:sz="4" w:space="0" w:color="auto"/>
              <w:left w:val="nil"/>
              <w:bottom w:val="single" w:sz="4" w:space="0" w:color="auto"/>
              <w:right w:val="nil"/>
            </w:tcBorders>
            <w:vAlign w:val="bottom"/>
          </w:tcPr>
          <w:p w:rsidR="00FC13BA" w:rsidRPr="00B36B21" w:rsidRDefault="00FC13BA" w:rsidP="00FA070C">
            <w:pPr>
              <w:spacing w:before="80" w:after="80"/>
              <w:jc w:val="center"/>
              <w:rPr>
                <w:rFonts w:ascii="Arial Narrow" w:hAnsi="Arial Narrow" w:cs="Arial"/>
                <w:b/>
                <w:sz w:val="20"/>
                <w:szCs w:val="20"/>
              </w:rPr>
            </w:pPr>
            <w:r w:rsidRPr="00B36B21">
              <w:rPr>
                <w:rFonts w:ascii="Arial Narrow" w:hAnsi="Arial Narrow" w:cs="Arial"/>
                <w:b/>
                <w:sz w:val="20"/>
                <w:szCs w:val="20"/>
              </w:rPr>
              <w:t>2003/4</w:t>
            </w:r>
          </w:p>
        </w:tc>
        <w:tc>
          <w:tcPr>
            <w:tcW w:w="893" w:type="dxa"/>
            <w:tcBorders>
              <w:top w:val="single" w:sz="4" w:space="0" w:color="auto"/>
              <w:left w:val="nil"/>
              <w:bottom w:val="single" w:sz="4" w:space="0" w:color="auto"/>
              <w:right w:val="nil"/>
            </w:tcBorders>
            <w:vAlign w:val="bottom"/>
          </w:tcPr>
          <w:p w:rsidR="00FC13BA" w:rsidRPr="00B36B21" w:rsidRDefault="00FC13BA" w:rsidP="00FA070C">
            <w:pPr>
              <w:spacing w:before="80" w:after="80"/>
              <w:jc w:val="center"/>
              <w:rPr>
                <w:rFonts w:ascii="Arial Narrow" w:hAnsi="Arial Narrow" w:cs="Arial"/>
                <w:b/>
                <w:sz w:val="20"/>
                <w:szCs w:val="20"/>
              </w:rPr>
            </w:pPr>
            <w:r w:rsidRPr="00B36B21">
              <w:rPr>
                <w:rFonts w:ascii="Arial Narrow" w:hAnsi="Arial Narrow" w:cs="Arial"/>
                <w:b/>
                <w:sz w:val="20"/>
                <w:szCs w:val="20"/>
              </w:rPr>
              <w:t>2005/6</w:t>
            </w:r>
          </w:p>
        </w:tc>
        <w:tc>
          <w:tcPr>
            <w:tcW w:w="894" w:type="dxa"/>
            <w:tcBorders>
              <w:top w:val="single" w:sz="4" w:space="0" w:color="auto"/>
              <w:left w:val="nil"/>
              <w:bottom w:val="single" w:sz="4" w:space="0" w:color="auto"/>
              <w:right w:val="nil"/>
            </w:tcBorders>
            <w:vAlign w:val="bottom"/>
          </w:tcPr>
          <w:p w:rsidR="00FC13BA" w:rsidRPr="00B36B21" w:rsidRDefault="00FC13BA" w:rsidP="00FA070C">
            <w:pPr>
              <w:spacing w:before="80" w:after="80"/>
              <w:jc w:val="center"/>
              <w:rPr>
                <w:rFonts w:ascii="Arial Narrow" w:hAnsi="Arial Narrow" w:cs="Arial"/>
                <w:b/>
                <w:sz w:val="20"/>
                <w:szCs w:val="20"/>
              </w:rPr>
            </w:pPr>
            <w:r w:rsidRPr="00B36B21">
              <w:rPr>
                <w:rFonts w:ascii="Arial Narrow" w:hAnsi="Arial Narrow" w:cs="Arial"/>
                <w:b/>
                <w:sz w:val="20"/>
                <w:szCs w:val="20"/>
              </w:rPr>
              <w:t>2007/8</w:t>
            </w:r>
          </w:p>
        </w:tc>
        <w:tc>
          <w:tcPr>
            <w:tcW w:w="893" w:type="dxa"/>
            <w:tcBorders>
              <w:top w:val="single" w:sz="4" w:space="0" w:color="auto"/>
              <w:left w:val="nil"/>
              <w:bottom w:val="single" w:sz="4" w:space="0" w:color="auto"/>
              <w:right w:val="nil"/>
            </w:tcBorders>
            <w:vAlign w:val="bottom"/>
          </w:tcPr>
          <w:p w:rsidR="00FC13BA" w:rsidRPr="00B36B21" w:rsidRDefault="00FC13BA" w:rsidP="00FA070C">
            <w:pPr>
              <w:spacing w:before="80" w:after="80"/>
              <w:jc w:val="center"/>
              <w:rPr>
                <w:rFonts w:ascii="Arial Narrow" w:hAnsi="Arial Narrow" w:cs="Arial"/>
                <w:b/>
                <w:sz w:val="20"/>
                <w:szCs w:val="20"/>
              </w:rPr>
            </w:pPr>
            <w:r w:rsidRPr="00B36B21">
              <w:rPr>
                <w:rFonts w:ascii="Arial Narrow" w:hAnsi="Arial Narrow" w:cs="Arial"/>
                <w:b/>
                <w:sz w:val="20"/>
                <w:szCs w:val="20"/>
              </w:rPr>
              <w:t>2009/10</w:t>
            </w:r>
          </w:p>
        </w:tc>
        <w:tc>
          <w:tcPr>
            <w:tcW w:w="894" w:type="dxa"/>
            <w:tcBorders>
              <w:top w:val="single" w:sz="4" w:space="0" w:color="auto"/>
              <w:left w:val="nil"/>
              <w:bottom w:val="single" w:sz="4" w:space="0" w:color="auto"/>
              <w:right w:val="nil"/>
            </w:tcBorders>
            <w:vAlign w:val="bottom"/>
          </w:tcPr>
          <w:p w:rsidR="00FC13BA" w:rsidRPr="00B36B21" w:rsidRDefault="00FC13BA" w:rsidP="00FA070C">
            <w:pPr>
              <w:spacing w:before="80" w:after="80"/>
              <w:jc w:val="center"/>
              <w:rPr>
                <w:rFonts w:ascii="Arial Narrow" w:hAnsi="Arial Narrow" w:cs="Arial"/>
                <w:b/>
                <w:sz w:val="20"/>
                <w:szCs w:val="20"/>
              </w:rPr>
            </w:pPr>
            <w:r w:rsidRPr="00B36B21">
              <w:rPr>
                <w:rFonts w:ascii="Arial Narrow" w:hAnsi="Arial Narrow" w:cs="Arial"/>
                <w:b/>
                <w:sz w:val="20"/>
                <w:szCs w:val="20"/>
              </w:rPr>
              <w:t>2011/12</w:t>
            </w:r>
          </w:p>
        </w:tc>
        <w:tc>
          <w:tcPr>
            <w:tcW w:w="894" w:type="dxa"/>
            <w:tcBorders>
              <w:top w:val="single" w:sz="4" w:space="0" w:color="auto"/>
              <w:left w:val="nil"/>
              <w:bottom w:val="single" w:sz="4" w:space="0" w:color="auto"/>
              <w:right w:val="nil"/>
            </w:tcBorders>
            <w:vAlign w:val="bottom"/>
          </w:tcPr>
          <w:p w:rsidR="00FC13BA" w:rsidRPr="00B36B21" w:rsidRDefault="00FC13BA" w:rsidP="00FA070C">
            <w:pPr>
              <w:spacing w:before="80" w:after="80"/>
              <w:jc w:val="center"/>
              <w:rPr>
                <w:rFonts w:ascii="Arial Narrow" w:hAnsi="Arial Narrow" w:cs="Arial"/>
                <w:b/>
                <w:sz w:val="20"/>
                <w:szCs w:val="20"/>
              </w:rPr>
            </w:pPr>
            <w:r w:rsidRPr="00B36B21">
              <w:rPr>
                <w:rFonts w:ascii="Arial Narrow" w:hAnsi="Arial Narrow" w:cs="Arial"/>
                <w:b/>
                <w:sz w:val="20"/>
                <w:szCs w:val="20"/>
              </w:rPr>
              <w:t>2013/14</w:t>
            </w:r>
          </w:p>
        </w:tc>
        <w:tc>
          <w:tcPr>
            <w:tcW w:w="893" w:type="dxa"/>
            <w:tcBorders>
              <w:top w:val="single" w:sz="4" w:space="0" w:color="auto"/>
              <w:left w:val="nil"/>
              <w:bottom w:val="single" w:sz="4" w:space="0" w:color="auto"/>
              <w:right w:val="nil"/>
            </w:tcBorders>
            <w:vAlign w:val="bottom"/>
          </w:tcPr>
          <w:p w:rsidR="00FC13BA" w:rsidRPr="00B36B21" w:rsidRDefault="00FC13BA" w:rsidP="00FA070C">
            <w:pPr>
              <w:spacing w:before="80" w:after="80"/>
              <w:jc w:val="center"/>
              <w:rPr>
                <w:rFonts w:ascii="Arial Narrow" w:hAnsi="Arial Narrow" w:cs="Arial"/>
                <w:b/>
                <w:sz w:val="20"/>
                <w:szCs w:val="20"/>
              </w:rPr>
            </w:pPr>
            <w:r w:rsidRPr="00B36B21">
              <w:rPr>
                <w:rFonts w:ascii="Arial Narrow" w:hAnsi="Arial Narrow" w:cs="Arial"/>
                <w:b/>
                <w:sz w:val="20"/>
                <w:szCs w:val="20"/>
              </w:rPr>
              <w:t>All Years</w:t>
            </w:r>
          </w:p>
        </w:tc>
        <w:tc>
          <w:tcPr>
            <w:tcW w:w="894" w:type="dxa"/>
            <w:tcBorders>
              <w:top w:val="single" w:sz="4" w:space="0" w:color="auto"/>
              <w:left w:val="nil"/>
              <w:bottom w:val="single" w:sz="4" w:space="0" w:color="auto"/>
              <w:right w:val="nil"/>
            </w:tcBorders>
            <w:vAlign w:val="bottom"/>
          </w:tcPr>
          <w:p w:rsidR="00FC13BA" w:rsidRPr="00B36B21" w:rsidRDefault="00FC13BA" w:rsidP="00FA070C">
            <w:pPr>
              <w:spacing w:before="80" w:after="80"/>
              <w:jc w:val="center"/>
              <w:rPr>
                <w:rFonts w:ascii="Arial Narrow" w:hAnsi="Arial Narrow" w:cs="Arial"/>
                <w:b/>
                <w:sz w:val="20"/>
                <w:szCs w:val="20"/>
              </w:rPr>
            </w:pPr>
            <w:r w:rsidRPr="00B36B21">
              <w:rPr>
                <w:rFonts w:ascii="Arial Narrow" w:hAnsi="Arial Narrow" w:cs="Arial"/>
                <w:b/>
                <w:sz w:val="20"/>
                <w:szCs w:val="20"/>
              </w:rPr>
              <w:t>2003/4</w:t>
            </w:r>
          </w:p>
        </w:tc>
        <w:tc>
          <w:tcPr>
            <w:tcW w:w="893" w:type="dxa"/>
            <w:tcBorders>
              <w:top w:val="single" w:sz="4" w:space="0" w:color="auto"/>
              <w:left w:val="nil"/>
              <w:bottom w:val="single" w:sz="4" w:space="0" w:color="auto"/>
              <w:right w:val="nil"/>
            </w:tcBorders>
            <w:vAlign w:val="bottom"/>
          </w:tcPr>
          <w:p w:rsidR="00FC13BA" w:rsidRPr="00B36B21" w:rsidRDefault="00FC13BA" w:rsidP="00FA070C">
            <w:pPr>
              <w:spacing w:before="80" w:after="80"/>
              <w:jc w:val="center"/>
              <w:rPr>
                <w:rFonts w:ascii="Arial Narrow" w:hAnsi="Arial Narrow" w:cs="Arial"/>
                <w:b/>
                <w:sz w:val="20"/>
                <w:szCs w:val="20"/>
              </w:rPr>
            </w:pPr>
            <w:r w:rsidRPr="00B36B21">
              <w:rPr>
                <w:rFonts w:ascii="Arial Narrow" w:hAnsi="Arial Narrow" w:cs="Arial"/>
                <w:b/>
                <w:sz w:val="20"/>
                <w:szCs w:val="20"/>
              </w:rPr>
              <w:t>2005/6</w:t>
            </w:r>
          </w:p>
        </w:tc>
        <w:tc>
          <w:tcPr>
            <w:tcW w:w="894" w:type="dxa"/>
            <w:tcBorders>
              <w:top w:val="single" w:sz="4" w:space="0" w:color="auto"/>
              <w:left w:val="nil"/>
              <w:bottom w:val="single" w:sz="4" w:space="0" w:color="auto"/>
              <w:right w:val="nil"/>
            </w:tcBorders>
            <w:vAlign w:val="bottom"/>
          </w:tcPr>
          <w:p w:rsidR="00FC13BA" w:rsidRPr="00B36B21" w:rsidRDefault="00FC13BA" w:rsidP="00FA070C">
            <w:pPr>
              <w:spacing w:before="80" w:after="80"/>
              <w:jc w:val="center"/>
              <w:rPr>
                <w:rFonts w:ascii="Arial Narrow" w:hAnsi="Arial Narrow" w:cs="Arial"/>
                <w:b/>
                <w:sz w:val="20"/>
                <w:szCs w:val="20"/>
              </w:rPr>
            </w:pPr>
            <w:r w:rsidRPr="00B36B21">
              <w:rPr>
                <w:rFonts w:ascii="Arial Narrow" w:hAnsi="Arial Narrow" w:cs="Arial"/>
                <w:b/>
                <w:sz w:val="20"/>
                <w:szCs w:val="20"/>
              </w:rPr>
              <w:t>2007/8</w:t>
            </w:r>
          </w:p>
        </w:tc>
        <w:tc>
          <w:tcPr>
            <w:tcW w:w="893" w:type="dxa"/>
            <w:tcBorders>
              <w:top w:val="single" w:sz="4" w:space="0" w:color="auto"/>
              <w:left w:val="nil"/>
              <w:bottom w:val="single" w:sz="4" w:space="0" w:color="auto"/>
              <w:right w:val="nil"/>
            </w:tcBorders>
            <w:vAlign w:val="bottom"/>
          </w:tcPr>
          <w:p w:rsidR="00FC13BA" w:rsidRPr="00B36B21" w:rsidRDefault="00FC13BA" w:rsidP="00FA070C">
            <w:pPr>
              <w:spacing w:before="80" w:after="80"/>
              <w:jc w:val="center"/>
              <w:rPr>
                <w:rFonts w:ascii="Arial Narrow" w:hAnsi="Arial Narrow" w:cs="Arial"/>
                <w:b/>
                <w:sz w:val="20"/>
                <w:szCs w:val="20"/>
              </w:rPr>
            </w:pPr>
            <w:r w:rsidRPr="00B36B21">
              <w:rPr>
                <w:rFonts w:ascii="Arial Narrow" w:hAnsi="Arial Narrow" w:cs="Arial"/>
                <w:b/>
                <w:sz w:val="20"/>
                <w:szCs w:val="20"/>
              </w:rPr>
              <w:t>2009/10</w:t>
            </w:r>
          </w:p>
        </w:tc>
        <w:tc>
          <w:tcPr>
            <w:tcW w:w="894" w:type="dxa"/>
            <w:tcBorders>
              <w:top w:val="single" w:sz="4" w:space="0" w:color="auto"/>
              <w:left w:val="nil"/>
              <w:bottom w:val="single" w:sz="4" w:space="0" w:color="auto"/>
              <w:right w:val="nil"/>
            </w:tcBorders>
            <w:vAlign w:val="bottom"/>
          </w:tcPr>
          <w:p w:rsidR="00FC13BA" w:rsidRPr="00B36B21" w:rsidRDefault="00FC13BA" w:rsidP="00FA070C">
            <w:pPr>
              <w:spacing w:before="80" w:after="80"/>
              <w:jc w:val="center"/>
              <w:rPr>
                <w:rFonts w:ascii="Arial Narrow" w:hAnsi="Arial Narrow" w:cs="Arial"/>
                <w:b/>
                <w:sz w:val="20"/>
                <w:szCs w:val="20"/>
              </w:rPr>
            </w:pPr>
            <w:r w:rsidRPr="00B36B21">
              <w:rPr>
                <w:rFonts w:ascii="Arial Narrow" w:hAnsi="Arial Narrow" w:cs="Arial"/>
                <w:b/>
                <w:sz w:val="20"/>
                <w:szCs w:val="20"/>
              </w:rPr>
              <w:t>2011/12</w:t>
            </w:r>
          </w:p>
        </w:tc>
        <w:tc>
          <w:tcPr>
            <w:tcW w:w="894" w:type="dxa"/>
            <w:tcBorders>
              <w:top w:val="single" w:sz="4" w:space="0" w:color="auto"/>
              <w:left w:val="nil"/>
              <w:bottom w:val="single" w:sz="4" w:space="0" w:color="auto"/>
              <w:right w:val="nil"/>
            </w:tcBorders>
            <w:vAlign w:val="bottom"/>
          </w:tcPr>
          <w:p w:rsidR="00FC13BA" w:rsidRPr="00B36B21" w:rsidRDefault="00FC13BA" w:rsidP="00FA070C">
            <w:pPr>
              <w:spacing w:before="80" w:after="80"/>
              <w:jc w:val="center"/>
              <w:rPr>
                <w:rFonts w:ascii="Arial Narrow" w:hAnsi="Arial Narrow" w:cs="Arial"/>
                <w:b/>
                <w:sz w:val="20"/>
                <w:szCs w:val="20"/>
              </w:rPr>
            </w:pPr>
            <w:r w:rsidRPr="00B36B21">
              <w:rPr>
                <w:rFonts w:ascii="Arial Narrow" w:hAnsi="Arial Narrow" w:cs="Arial"/>
                <w:b/>
                <w:sz w:val="20"/>
                <w:szCs w:val="20"/>
              </w:rPr>
              <w:t>2013/14</w:t>
            </w:r>
          </w:p>
        </w:tc>
      </w:tr>
      <w:tr w:rsidR="00FC13BA" w:rsidRPr="001F0A60" w:rsidTr="00FA070C">
        <w:trPr>
          <w:trHeight w:val="251"/>
        </w:trPr>
        <w:tc>
          <w:tcPr>
            <w:tcW w:w="1998" w:type="dxa"/>
            <w:tcBorders>
              <w:top w:val="single" w:sz="4" w:space="0" w:color="auto"/>
              <w:left w:val="nil"/>
              <w:bottom w:val="nil"/>
              <w:right w:val="nil"/>
            </w:tcBorders>
            <w:vAlign w:val="bottom"/>
            <w:hideMark/>
          </w:tcPr>
          <w:p w:rsidR="00FC13BA" w:rsidRPr="004C4997" w:rsidRDefault="00FC13BA" w:rsidP="00FA070C">
            <w:pPr>
              <w:spacing w:before="80" w:after="80"/>
              <w:rPr>
                <w:rFonts w:ascii="Arial" w:hAnsi="Arial" w:cs="Arial"/>
                <w:sz w:val="20"/>
                <w:szCs w:val="20"/>
              </w:rPr>
            </w:pPr>
            <w:r w:rsidRPr="004C4997">
              <w:rPr>
                <w:rFonts w:ascii="Arial" w:hAnsi="Arial" w:cs="Arial"/>
                <w:sz w:val="20"/>
                <w:szCs w:val="20"/>
              </w:rPr>
              <w:t>First Factor</w:t>
            </w:r>
          </w:p>
        </w:tc>
        <w:tc>
          <w:tcPr>
            <w:tcW w:w="893" w:type="dxa"/>
            <w:tcBorders>
              <w:top w:val="single" w:sz="4" w:space="0" w:color="auto"/>
              <w:left w:val="nil"/>
              <w:bottom w:val="nil"/>
              <w:right w:val="nil"/>
            </w:tcBorders>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3.57</w:t>
            </w:r>
          </w:p>
        </w:tc>
        <w:tc>
          <w:tcPr>
            <w:tcW w:w="894" w:type="dxa"/>
            <w:tcBorders>
              <w:top w:val="single" w:sz="4" w:space="0" w:color="auto"/>
              <w:left w:val="nil"/>
              <w:bottom w:val="nil"/>
              <w:right w:val="nil"/>
            </w:tcBorders>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3.58</w:t>
            </w:r>
          </w:p>
        </w:tc>
        <w:tc>
          <w:tcPr>
            <w:tcW w:w="893" w:type="dxa"/>
            <w:tcBorders>
              <w:top w:val="single" w:sz="4" w:space="0" w:color="auto"/>
              <w:left w:val="nil"/>
              <w:bottom w:val="nil"/>
              <w:right w:val="nil"/>
            </w:tcBorders>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3.60</w:t>
            </w:r>
          </w:p>
        </w:tc>
        <w:tc>
          <w:tcPr>
            <w:tcW w:w="894" w:type="dxa"/>
            <w:tcBorders>
              <w:top w:val="single" w:sz="4" w:space="0" w:color="auto"/>
              <w:left w:val="nil"/>
              <w:bottom w:val="nil"/>
              <w:right w:val="nil"/>
            </w:tcBorders>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3.58</w:t>
            </w:r>
          </w:p>
        </w:tc>
        <w:tc>
          <w:tcPr>
            <w:tcW w:w="893" w:type="dxa"/>
            <w:tcBorders>
              <w:top w:val="single" w:sz="4" w:space="0" w:color="auto"/>
              <w:left w:val="nil"/>
              <w:bottom w:val="nil"/>
              <w:right w:val="nil"/>
            </w:tcBorders>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3.64</w:t>
            </w:r>
          </w:p>
        </w:tc>
        <w:tc>
          <w:tcPr>
            <w:tcW w:w="894" w:type="dxa"/>
            <w:tcBorders>
              <w:top w:val="single" w:sz="4" w:space="0" w:color="auto"/>
              <w:left w:val="nil"/>
              <w:bottom w:val="nil"/>
              <w:right w:val="nil"/>
            </w:tcBorders>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3.55</w:t>
            </w:r>
          </w:p>
        </w:tc>
        <w:tc>
          <w:tcPr>
            <w:tcW w:w="894" w:type="dxa"/>
            <w:tcBorders>
              <w:top w:val="single" w:sz="4" w:space="0" w:color="auto"/>
              <w:left w:val="nil"/>
              <w:bottom w:val="nil"/>
              <w:right w:val="nil"/>
            </w:tcBorders>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3.44</w:t>
            </w:r>
          </w:p>
        </w:tc>
        <w:tc>
          <w:tcPr>
            <w:tcW w:w="893" w:type="dxa"/>
            <w:tcBorders>
              <w:top w:val="single" w:sz="4" w:space="0" w:color="auto"/>
              <w:left w:val="nil"/>
              <w:bottom w:val="nil"/>
              <w:right w:val="nil"/>
            </w:tcBorders>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0.60</w:t>
            </w:r>
          </w:p>
        </w:tc>
        <w:tc>
          <w:tcPr>
            <w:tcW w:w="894" w:type="dxa"/>
            <w:tcBorders>
              <w:top w:val="single" w:sz="4" w:space="0" w:color="auto"/>
              <w:left w:val="nil"/>
              <w:right w:val="nil"/>
            </w:tcBorders>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0.60</w:t>
            </w:r>
          </w:p>
        </w:tc>
        <w:tc>
          <w:tcPr>
            <w:tcW w:w="893" w:type="dxa"/>
            <w:tcBorders>
              <w:top w:val="single" w:sz="4" w:space="0" w:color="auto"/>
              <w:left w:val="nil"/>
              <w:right w:val="nil"/>
            </w:tcBorders>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0.60</w:t>
            </w:r>
          </w:p>
        </w:tc>
        <w:tc>
          <w:tcPr>
            <w:tcW w:w="894" w:type="dxa"/>
            <w:tcBorders>
              <w:top w:val="single" w:sz="4" w:space="0" w:color="auto"/>
              <w:left w:val="nil"/>
              <w:right w:val="nil"/>
            </w:tcBorders>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0.60</w:t>
            </w:r>
          </w:p>
        </w:tc>
        <w:tc>
          <w:tcPr>
            <w:tcW w:w="893" w:type="dxa"/>
            <w:tcBorders>
              <w:top w:val="single" w:sz="4" w:space="0" w:color="auto"/>
              <w:left w:val="nil"/>
              <w:right w:val="nil"/>
            </w:tcBorders>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0.61</w:t>
            </w:r>
          </w:p>
        </w:tc>
        <w:tc>
          <w:tcPr>
            <w:tcW w:w="894" w:type="dxa"/>
            <w:tcBorders>
              <w:top w:val="single" w:sz="4" w:space="0" w:color="auto"/>
              <w:left w:val="nil"/>
              <w:right w:val="nil"/>
            </w:tcBorders>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0.59</w:t>
            </w:r>
          </w:p>
        </w:tc>
        <w:tc>
          <w:tcPr>
            <w:tcW w:w="894" w:type="dxa"/>
            <w:tcBorders>
              <w:top w:val="single" w:sz="4" w:space="0" w:color="auto"/>
              <w:left w:val="nil"/>
              <w:right w:val="nil"/>
            </w:tcBorders>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0.60</w:t>
            </w:r>
          </w:p>
        </w:tc>
      </w:tr>
      <w:tr w:rsidR="00FC13BA" w:rsidRPr="001F0A60" w:rsidTr="00FA070C">
        <w:trPr>
          <w:trHeight w:val="251"/>
        </w:trPr>
        <w:tc>
          <w:tcPr>
            <w:tcW w:w="1998" w:type="dxa"/>
            <w:vAlign w:val="bottom"/>
            <w:hideMark/>
          </w:tcPr>
          <w:p w:rsidR="00FC13BA" w:rsidRPr="004C4997" w:rsidRDefault="00FC13BA" w:rsidP="00FA070C">
            <w:pPr>
              <w:spacing w:before="80" w:after="80"/>
              <w:rPr>
                <w:rFonts w:ascii="Arial" w:hAnsi="Arial" w:cs="Arial"/>
                <w:sz w:val="20"/>
                <w:szCs w:val="20"/>
              </w:rPr>
            </w:pPr>
            <w:r w:rsidRPr="004C4997">
              <w:rPr>
                <w:rFonts w:ascii="Arial" w:hAnsi="Arial" w:cs="Arial"/>
                <w:sz w:val="20"/>
                <w:szCs w:val="20"/>
              </w:rPr>
              <w:t>Second Factor</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0.86</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0.84</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0.85</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0.88</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0.84</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0.84</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0.90</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0.14</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0.14</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0.14</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0.15</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0.14</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0.14</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0.14</w:t>
            </w:r>
          </w:p>
        </w:tc>
      </w:tr>
      <w:tr w:rsidR="00FC13BA" w:rsidRPr="001F0A60" w:rsidTr="00FA070C">
        <w:trPr>
          <w:trHeight w:val="251"/>
        </w:trPr>
        <w:tc>
          <w:tcPr>
            <w:tcW w:w="1998" w:type="dxa"/>
            <w:vAlign w:val="bottom"/>
          </w:tcPr>
          <w:p w:rsidR="00FC13BA" w:rsidRPr="004C4997" w:rsidRDefault="00FC13BA" w:rsidP="00FA070C">
            <w:pPr>
              <w:spacing w:before="80" w:after="80"/>
              <w:rPr>
                <w:rFonts w:ascii="Arial" w:hAnsi="Arial" w:cs="Arial"/>
                <w:sz w:val="20"/>
                <w:szCs w:val="20"/>
              </w:rPr>
            </w:pPr>
            <w:r w:rsidRPr="004C4997">
              <w:rPr>
                <w:rFonts w:ascii="Arial" w:hAnsi="Arial" w:cs="Arial"/>
                <w:sz w:val="20"/>
                <w:szCs w:val="20"/>
              </w:rPr>
              <w:t>Third Factor</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0.50</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0.47</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0.49</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0.47</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0.49</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0.54</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0.58</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0.08</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0.08</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0.08</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0.08</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0.08</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0.09</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0.08</w:t>
            </w:r>
          </w:p>
        </w:tc>
      </w:tr>
      <w:tr w:rsidR="00FC13BA" w:rsidRPr="001F0A60" w:rsidTr="00FA070C">
        <w:trPr>
          <w:trHeight w:val="251"/>
        </w:trPr>
        <w:tc>
          <w:tcPr>
            <w:tcW w:w="1998" w:type="dxa"/>
            <w:vAlign w:val="bottom"/>
          </w:tcPr>
          <w:p w:rsidR="00FC13BA" w:rsidRPr="004C4997" w:rsidRDefault="00FC13BA" w:rsidP="00FA070C">
            <w:pPr>
              <w:spacing w:before="80" w:after="80"/>
              <w:rPr>
                <w:rFonts w:ascii="Arial" w:hAnsi="Arial" w:cs="Arial"/>
                <w:sz w:val="20"/>
                <w:szCs w:val="20"/>
              </w:rPr>
            </w:pPr>
            <w:r w:rsidRPr="004C4997">
              <w:rPr>
                <w:rFonts w:ascii="Arial" w:hAnsi="Arial" w:cs="Arial"/>
                <w:sz w:val="20"/>
                <w:szCs w:val="20"/>
              </w:rPr>
              <w:t>Fourth Factor</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0.43</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0.43</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0.43</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0.42</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0.42</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0.44</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0.45</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0.07</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0.07</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0.07</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0.07</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0.07</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0.07</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0.07</w:t>
            </w:r>
          </w:p>
        </w:tc>
      </w:tr>
      <w:tr w:rsidR="00FC13BA" w:rsidRPr="001F0A60" w:rsidTr="00FA070C">
        <w:trPr>
          <w:trHeight w:val="251"/>
        </w:trPr>
        <w:tc>
          <w:tcPr>
            <w:tcW w:w="1998" w:type="dxa"/>
            <w:vAlign w:val="bottom"/>
          </w:tcPr>
          <w:p w:rsidR="00FC13BA" w:rsidRPr="004C4997" w:rsidRDefault="00FC13BA" w:rsidP="00FA070C">
            <w:pPr>
              <w:spacing w:before="80" w:after="80"/>
              <w:rPr>
                <w:rFonts w:ascii="Arial" w:hAnsi="Arial" w:cs="Arial"/>
                <w:sz w:val="20"/>
                <w:szCs w:val="20"/>
              </w:rPr>
            </w:pPr>
            <w:r w:rsidRPr="004C4997">
              <w:rPr>
                <w:rFonts w:ascii="Arial" w:hAnsi="Arial" w:cs="Arial"/>
                <w:sz w:val="20"/>
                <w:szCs w:val="20"/>
              </w:rPr>
              <w:t>Fifth Factor</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0.35</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0.36</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0.35</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0.34</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0.33</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0.35</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0.36</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0.06</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0.06</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0.06</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0.06</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0.06</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0.06</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0.06</w:t>
            </w:r>
          </w:p>
        </w:tc>
      </w:tr>
      <w:tr w:rsidR="00FC13BA" w:rsidRPr="001F0A60" w:rsidTr="00FA070C">
        <w:trPr>
          <w:trHeight w:val="251"/>
        </w:trPr>
        <w:tc>
          <w:tcPr>
            <w:tcW w:w="1998" w:type="dxa"/>
            <w:vAlign w:val="bottom"/>
          </w:tcPr>
          <w:p w:rsidR="00FC13BA" w:rsidRPr="004C4997" w:rsidRDefault="00FC13BA" w:rsidP="00FA070C">
            <w:pPr>
              <w:spacing w:before="80" w:after="80"/>
              <w:rPr>
                <w:rFonts w:ascii="Arial" w:hAnsi="Arial" w:cs="Arial"/>
                <w:sz w:val="20"/>
                <w:szCs w:val="20"/>
              </w:rPr>
            </w:pPr>
            <w:r w:rsidRPr="004C4997">
              <w:rPr>
                <w:rFonts w:ascii="Arial" w:hAnsi="Arial" w:cs="Arial"/>
                <w:sz w:val="20"/>
                <w:szCs w:val="20"/>
              </w:rPr>
              <w:t>Sixth Factor</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0.30</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0.32</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0.31</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0.30</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0.29</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0.29</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0.29</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0.05</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0.05</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0.05</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0.05</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0.05</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0.05</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0.05</w:t>
            </w:r>
          </w:p>
        </w:tc>
      </w:tr>
      <w:tr w:rsidR="00FC13BA" w:rsidRPr="001F0A60" w:rsidTr="00FA070C">
        <w:trPr>
          <w:trHeight w:val="251"/>
        </w:trPr>
        <w:tc>
          <w:tcPr>
            <w:tcW w:w="1998" w:type="dxa"/>
            <w:vAlign w:val="bottom"/>
          </w:tcPr>
          <w:p w:rsidR="00FC13BA" w:rsidRPr="00124464" w:rsidRDefault="00FC13BA" w:rsidP="00FA070C">
            <w:pPr>
              <w:spacing w:before="80" w:after="80"/>
              <w:rPr>
                <w:rFonts w:ascii="Arial" w:hAnsi="Arial" w:cs="Arial"/>
                <w:b/>
                <w:sz w:val="20"/>
                <w:szCs w:val="20"/>
              </w:rPr>
            </w:pPr>
            <w:r>
              <w:rPr>
                <w:rFonts w:ascii="Arial" w:hAnsi="Arial" w:cs="Arial"/>
                <w:b/>
                <w:sz w:val="20"/>
                <w:szCs w:val="20"/>
              </w:rPr>
              <w:t>SUDs</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p>
        </w:tc>
      </w:tr>
      <w:tr w:rsidR="00FC13BA" w:rsidRPr="001F0A60" w:rsidTr="00FA070C">
        <w:trPr>
          <w:trHeight w:val="251"/>
        </w:trPr>
        <w:tc>
          <w:tcPr>
            <w:tcW w:w="1998" w:type="dxa"/>
            <w:vAlign w:val="bottom"/>
          </w:tcPr>
          <w:p w:rsidR="00FC13BA" w:rsidRPr="004C4997" w:rsidRDefault="00FC13BA" w:rsidP="00FA070C">
            <w:pPr>
              <w:spacing w:before="80" w:after="80"/>
              <w:rPr>
                <w:rFonts w:ascii="Arial" w:hAnsi="Arial" w:cs="Arial"/>
                <w:sz w:val="20"/>
                <w:szCs w:val="20"/>
              </w:rPr>
            </w:pPr>
            <w:r w:rsidRPr="004C4997">
              <w:rPr>
                <w:rFonts w:ascii="Arial" w:hAnsi="Arial" w:cs="Arial"/>
                <w:sz w:val="20"/>
                <w:szCs w:val="20"/>
              </w:rPr>
              <w:t>First Factor</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4.10</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4.10</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4.10</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4.10</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4.20</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4.20</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4.00</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0.68</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0.68</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0.68</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0.68</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0.70</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0.70</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0.68</w:t>
            </w:r>
          </w:p>
        </w:tc>
      </w:tr>
      <w:tr w:rsidR="00FC13BA" w:rsidRPr="001F0A60" w:rsidTr="00FA070C">
        <w:trPr>
          <w:trHeight w:val="251"/>
        </w:trPr>
        <w:tc>
          <w:tcPr>
            <w:tcW w:w="1998" w:type="dxa"/>
            <w:vAlign w:val="bottom"/>
          </w:tcPr>
          <w:p w:rsidR="00FC13BA" w:rsidRPr="004C4997" w:rsidRDefault="00FC13BA" w:rsidP="00FA070C">
            <w:pPr>
              <w:spacing w:before="80" w:after="80"/>
              <w:rPr>
                <w:rFonts w:ascii="Arial" w:hAnsi="Arial" w:cs="Arial"/>
                <w:sz w:val="20"/>
                <w:szCs w:val="20"/>
              </w:rPr>
            </w:pPr>
            <w:r w:rsidRPr="004C4997">
              <w:rPr>
                <w:rFonts w:ascii="Arial" w:hAnsi="Arial" w:cs="Arial"/>
                <w:sz w:val="20"/>
                <w:szCs w:val="20"/>
              </w:rPr>
              <w:t>Second Factor</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0.71</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0.76</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0.77</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0.74</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0.66</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0.62</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0.73</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0.12</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0.13</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0.13</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0.12</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0.11</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0.10</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0.12</w:t>
            </w:r>
          </w:p>
        </w:tc>
      </w:tr>
      <w:tr w:rsidR="00FC13BA" w:rsidRPr="001F0A60" w:rsidTr="00FA070C">
        <w:trPr>
          <w:trHeight w:val="251"/>
        </w:trPr>
        <w:tc>
          <w:tcPr>
            <w:tcW w:w="1998" w:type="dxa"/>
            <w:vAlign w:val="bottom"/>
          </w:tcPr>
          <w:p w:rsidR="00FC13BA" w:rsidRPr="004C4997" w:rsidRDefault="00FC13BA" w:rsidP="00FA070C">
            <w:pPr>
              <w:spacing w:before="80" w:after="80"/>
              <w:rPr>
                <w:rFonts w:ascii="Arial" w:hAnsi="Arial" w:cs="Arial"/>
                <w:sz w:val="20"/>
                <w:szCs w:val="20"/>
              </w:rPr>
            </w:pPr>
            <w:r w:rsidRPr="004C4997">
              <w:rPr>
                <w:rFonts w:ascii="Arial" w:hAnsi="Arial" w:cs="Arial"/>
                <w:sz w:val="20"/>
                <w:szCs w:val="20"/>
              </w:rPr>
              <w:t>Third Factor</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0.42</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0.45</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0.42</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0.40</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0.43</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0.42</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0.45</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0.07</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0.08</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0.07</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0.07</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0.07</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0.07</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0.07</w:t>
            </w:r>
          </w:p>
        </w:tc>
      </w:tr>
      <w:tr w:rsidR="00FC13BA" w:rsidRPr="001F0A60" w:rsidTr="00FA070C">
        <w:trPr>
          <w:trHeight w:val="251"/>
        </w:trPr>
        <w:tc>
          <w:tcPr>
            <w:tcW w:w="1998" w:type="dxa"/>
            <w:vAlign w:val="bottom"/>
          </w:tcPr>
          <w:p w:rsidR="00FC13BA" w:rsidRPr="004C4997" w:rsidRDefault="00FC13BA" w:rsidP="00FA070C">
            <w:pPr>
              <w:spacing w:before="80" w:after="80"/>
              <w:rPr>
                <w:rFonts w:ascii="Arial" w:hAnsi="Arial" w:cs="Arial"/>
                <w:sz w:val="20"/>
                <w:szCs w:val="20"/>
              </w:rPr>
            </w:pPr>
            <w:r w:rsidRPr="004C4997">
              <w:rPr>
                <w:rFonts w:ascii="Arial" w:hAnsi="Arial" w:cs="Arial"/>
                <w:sz w:val="20"/>
                <w:szCs w:val="20"/>
              </w:rPr>
              <w:t>Fourth Factor</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0.30</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0.35</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0.31</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0.30</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0.28</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0.32</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0.31</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0.05</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0.06</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0.05</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0.05</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0.05</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0.05</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0.05</w:t>
            </w:r>
          </w:p>
        </w:tc>
      </w:tr>
      <w:tr w:rsidR="00FC13BA" w:rsidRPr="001F0A60" w:rsidTr="00FA070C">
        <w:trPr>
          <w:trHeight w:val="251"/>
        </w:trPr>
        <w:tc>
          <w:tcPr>
            <w:tcW w:w="1998" w:type="dxa"/>
            <w:vAlign w:val="bottom"/>
          </w:tcPr>
          <w:p w:rsidR="00FC13BA" w:rsidRPr="004C4997" w:rsidRDefault="00FC13BA" w:rsidP="00FA070C">
            <w:pPr>
              <w:spacing w:before="80" w:after="80"/>
              <w:rPr>
                <w:rFonts w:ascii="Arial" w:hAnsi="Arial" w:cs="Arial"/>
                <w:sz w:val="20"/>
                <w:szCs w:val="20"/>
              </w:rPr>
            </w:pPr>
            <w:r w:rsidRPr="004C4997">
              <w:rPr>
                <w:rFonts w:ascii="Arial" w:hAnsi="Arial" w:cs="Arial"/>
                <w:sz w:val="20"/>
                <w:szCs w:val="20"/>
              </w:rPr>
              <w:t>Fifth Factor</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0.29</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0.26</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0.26</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0.27</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0.26</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0.28</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0.30</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0.05</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0.04</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0.04</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0.05</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0.04</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0.05</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0.05</w:t>
            </w:r>
          </w:p>
        </w:tc>
      </w:tr>
      <w:tr w:rsidR="00FC13BA" w:rsidRPr="001F0A60" w:rsidTr="00FA070C">
        <w:trPr>
          <w:trHeight w:val="251"/>
        </w:trPr>
        <w:tc>
          <w:tcPr>
            <w:tcW w:w="1998" w:type="dxa"/>
            <w:vAlign w:val="bottom"/>
          </w:tcPr>
          <w:p w:rsidR="00FC13BA" w:rsidRPr="004C4997" w:rsidRDefault="00FC13BA" w:rsidP="00FA070C">
            <w:pPr>
              <w:spacing w:before="80" w:after="80"/>
              <w:rPr>
                <w:rFonts w:ascii="Arial" w:hAnsi="Arial" w:cs="Arial"/>
                <w:sz w:val="20"/>
                <w:szCs w:val="20"/>
              </w:rPr>
            </w:pPr>
            <w:r w:rsidRPr="004C4997">
              <w:rPr>
                <w:rFonts w:ascii="Arial" w:hAnsi="Arial" w:cs="Arial"/>
                <w:sz w:val="20"/>
                <w:szCs w:val="20"/>
              </w:rPr>
              <w:t>Sixth Factor</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0.19</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0.18</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0.18</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0.19</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0.17</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0.16</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0.22</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0.03</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0.03</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0.03</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0.03</w:t>
            </w:r>
          </w:p>
        </w:tc>
        <w:tc>
          <w:tcPr>
            <w:tcW w:w="893"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0.03</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0.03</w:t>
            </w:r>
          </w:p>
        </w:tc>
        <w:tc>
          <w:tcPr>
            <w:tcW w:w="894" w:type="dxa"/>
            <w:vAlign w:val="bottom"/>
          </w:tcPr>
          <w:p w:rsidR="00FC13BA" w:rsidRPr="00A953D2" w:rsidRDefault="00FC13BA" w:rsidP="00FA070C">
            <w:pPr>
              <w:spacing w:before="80" w:after="80"/>
              <w:jc w:val="center"/>
              <w:rPr>
                <w:rFonts w:ascii="Arial" w:hAnsi="Arial" w:cs="Arial"/>
                <w:color w:val="000000"/>
                <w:sz w:val="20"/>
                <w:szCs w:val="20"/>
              </w:rPr>
            </w:pPr>
            <w:r w:rsidRPr="00A953D2">
              <w:rPr>
                <w:rFonts w:ascii="Arial" w:hAnsi="Arial" w:cs="Arial"/>
                <w:color w:val="000000"/>
                <w:sz w:val="20"/>
                <w:szCs w:val="20"/>
              </w:rPr>
              <w:t>0.03</w:t>
            </w:r>
          </w:p>
        </w:tc>
      </w:tr>
      <w:tr w:rsidR="00FC13BA" w:rsidRPr="001F0A60" w:rsidTr="00FA070C">
        <w:trPr>
          <w:trHeight w:val="251"/>
        </w:trPr>
        <w:tc>
          <w:tcPr>
            <w:tcW w:w="1998" w:type="dxa"/>
            <w:tcBorders>
              <w:bottom w:val="single" w:sz="4" w:space="0" w:color="auto"/>
            </w:tcBorders>
            <w:vAlign w:val="bottom"/>
          </w:tcPr>
          <w:p w:rsidR="00FC13BA" w:rsidRPr="004C4997" w:rsidRDefault="00FC13BA" w:rsidP="00FA070C">
            <w:pPr>
              <w:spacing w:before="80" w:after="80"/>
              <w:rPr>
                <w:rFonts w:ascii="Arial" w:hAnsi="Arial" w:cs="Arial"/>
                <w:sz w:val="20"/>
                <w:szCs w:val="20"/>
              </w:rPr>
            </w:pPr>
          </w:p>
        </w:tc>
        <w:tc>
          <w:tcPr>
            <w:tcW w:w="893" w:type="dxa"/>
            <w:tcBorders>
              <w:bottom w:val="single" w:sz="4" w:space="0" w:color="auto"/>
            </w:tcBorders>
            <w:vAlign w:val="bottom"/>
          </w:tcPr>
          <w:p w:rsidR="00FC13BA" w:rsidRPr="00A953D2" w:rsidRDefault="00FC13BA" w:rsidP="00FA070C">
            <w:pPr>
              <w:spacing w:before="80" w:after="80"/>
              <w:jc w:val="center"/>
              <w:rPr>
                <w:rFonts w:ascii="Arial" w:hAnsi="Arial" w:cs="Arial"/>
                <w:color w:val="000000"/>
                <w:szCs w:val="20"/>
              </w:rPr>
            </w:pPr>
          </w:p>
        </w:tc>
        <w:tc>
          <w:tcPr>
            <w:tcW w:w="894" w:type="dxa"/>
            <w:tcBorders>
              <w:bottom w:val="single" w:sz="4" w:space="0" w:color="auto"/>
            </w:tcBorders>
            <w:vAlign w:val="bottom"/>
          </w:tcPr>
          <w:p w:rsidR="00FC13BA" w:rsidRPr="00A953D2" w:rsidRDefault="00FC13BA" w:rsidP="00FA070C">
            <w:pPr>
              <w:spacing w:before="80" w:after="80"/>
              <w:jc w:val="center"/>
              <w:rPr>
                <w:rFonts w:ascii="Arial" w:hAnsi="Arial" w:cs="Arial"/>
                <w:color w:val="000000"/>
                <w:szCs w:val="20"/>
              </w:rPr>
            </w:pPr>
          </w:p>
        </w:tc>
        <w:tc>
          <w:tcPr>
            <w:tcW w:w="893" w:type="dxa"/>
            <w:tcBorders>
              <w:bottom w:val="single" w:sz="4" w:space="0" w:color="auto"/>
            </w:tcBorders>
            <w:vAlign w:val="bottom"/>
          </w:tcPr>
          <w:p w:rsidR="00FC13BA" w:rsidRPr="00A953D2" w:rsidRDefault="00FC13BA" w:rsidP="00FA070C">
            <w:pPr>
              <w:spacing w:before="80" w:after="80"/>
              <w:jc w:val="center"/>
              <w:rPr>
                <w:rFonts w:ascii="Arial" w:hAnsi="Arial" w:cs="Arial"/>
                <w:color w:val="000000"/>
                <w:szCs w:val="20"/>
              </w:rPr>
            </w:pPr>
          </w:p>
        </w:tc>
        <w:tc>
          <w:tcPr>
            <w:tcW w:w="894" w:type="dxa"/>
            <w:tcBorders>
              <w:bottom w:val="single" w:sz="4" w:space="0" w:color="auto"/>
            </w:tcBorders>
            <w:vAlign w:val="bottom"/>
          </w:tcPr>
          <w:p w:rsidR="00FC13BA" w:rsidRPr="00A953D2" w:rsidRDefault="00FC13BA" w:rsidP="00FA070C">
            <w:pPr>
              <w:spacing w:before="80" w:after="80"/>
              <w:jc w:val="center"/>
              <w:rPr>
                <w:rFonts w:ascii="Arial" w:hAnsi="Arial" w:cs="Arial"/>
                <w:color w:val="000000"/>
                <w:szCs w:val="20"/>
              </w:rPr>
            </w:pPr>
          </w:p>
        </w:tc>
        <w:tc>
          <w:tcPr>
            <w:tcW w:w="893" w:type="dxa"/>
            <w:tcBorders>
              <w:bottom w:val="single" w:sz="4" w:space="0" w:color="auto"/>
            </w:tcBorders>
            <w:vAlign w:val="bottom"/>
          </w:tcPr>
          <w:p w:rsidR="00FC13BA" w:rsidRPr="00A953D2" w:rsidRDefault="00FC13BA" w:rsidP="00FA070C">
            <w:pPr>
              <w:spacing w:before="80" w:after="80"/>
              <w:jc w:val="center"/>
              <w:rPr>
                <w:rFonts w:ascii="Arial" w:hAnsi="Arial" w:cs="Arial"/>
                <w:color w:val="000000"/>
                <w:szCs w:val="20"/>
              </w:rPr>
            </w:pPr>
          </w:p>
        </w:tc>
        <w:tc>
          <w:tcPr>
            <w:tcW w:w="894" w:type="dxa"/>
            <w:tcBorders>
              <w:bottom w:val="single" w:sz="4" w:space="0" w:color="auto"/>
            </w:tcBorders>
            <w:vAlign w:val="bottom"/>
          </w:tcPr>
          <w:p w:rsidR="00FC13BA" w:rsidRPr="00A953D2" w:rsidRDefault="00FC13BA" w:rsidP="00FA070C">
            <w:pPr>
              <w:spacing w:before="80" w:after="80"/>
              <w:jc w:val="center"/>
              <w:rPr>
                <w:rFonts w:ascii="Arial" w:hAnsi="Arial" w:cs="Arial"/>
                <w:color w:val="000000"/>
                <w:szCs w:val="20"/>
              </w:rPr>
            </w:pPr>
          </w:p>
        </w:tc>
        <w:tc>
          <w:tcPr>
            <w:tcW w:w="894" w:type="dxa"/>
            <w:tcBorders>
              <w:bottom w:val="single" w:sz="4" w:space="0" w:color="auto"/>
            </w:tcBorders>
            <w:vAlign w:val="bottom"/>
          </w:tcPr>
          <w:p w:rsidR="00FC13BA" w:rsidRPr="00A953D2" w:rsidRDefault="00FC13BA" w:rsidP="00FA070C">
            <w:pPr>
              <w:spacing w:before="80" w:after="80"/>
              <w:jc w:val="center"/>
              <w:rPr>
                <w:rFonts w:ascii="Arial" w:hAnsi="Arial" w:cs="Arial"/>
                <w:color w:val="000000"/>
                <w:szCs w:val="20"/>
              </w:rPr>
            </w:pPr>
          </w:p>
        </w:tc>
        <w:tc>
          <w:tcPr>
            <w:tcW w:w="893" w:type="dxa"/>
            <w:tcBorders>
              <w:bottom w:val="single" w:sz="4" w:space="0" w:color="auto"/>
            </w:tcBorders>
            <w:vAlign w:val="bottom"/>
          </w:tcPr>
          <w:p w:rsidR="00FC13BA" w:rsidRPr="00A953D2" w:rsidRDefault="00FC13BA" w:rsidP="00FA070C">
            <w:pPr>
              <w:spacing w:before="80" w:after="80"/>
              <w:jc w:val="center"/>
              <w:rPr>
                <w:rFonts w:ascii="Arial" w:hAnsi="Arial" w:cs="Arial"/>
                <w:color w:val="000000"/>
                <w:szCs w:val="20"/>
              </w:rPr>
            </w:pPr>
          </w:p>
        </w:tc>
        <w:tc>
          <w:tcPr>
            <w:tcW w:w="894" w:type="dxa"/>
            <w:tcBorders>
              <w:bottom w:val="single" w:sz="4" w:space="0" w:color="auto"/>
            </w:tcBorders>
            <w:vAlign w:val="bottom"/>
          </w:tcPr>
          <w:p w:rsidR="00FC13BA" w:rsidRPr="00A953D2" w:rsidRDefault="00FC13BA" w:rsidP="00FA070C">
            <w:pPr>
              <w:spacing w:before="80" w:after="80"/>
              <w:jc w:val="center"/>
              <w:rPr>
                <w:rFonts w:ascii="Arial" w:hAnsi="Arial" w:cs="Arial"/>
                <w:color w:val="000000"/>
                <w:szCs w:val="20"/>
              </w:rPr>
            </w:pPr>
          </w:p>
        </w:tc>
        <w:tc>
          <w:tcPr>
            <w:tcW w:w="893" w:type="dxa"/>
            <w:tcBorders>
              <w:bottom w:val="single" w:sz="4" w:space="0" w:color="auto"/>
            </w:tcBorders>
            <w:vAlign w:val="bottom"/>
          </w:tcPr>
          <w:p w:rsidR="00FC13BA" w:rsidRPr="00A953D2" w:rsidRDefault="00FC13BA" w:rsidP="00FA070C">
            <w:pPr>
              <w:spacing w:before="80" w:after="80"/>
              <w:jc w:val="center"/>
              <w:rPr>
                <w:rFonts w:ascii="Arial" w:hAnsi="Arial" w:cs="Arial"/>
                <w:color w:val="000000"/>
                <w:szCs w:val="20"/>
              </w:rPr>
            </w:pPr>
          </w:p>
        </w:tc>
        <w:tc>
          <w:tcPr>
            <w:tcW w:w="894" w:type="dxa"/>
            <w:tcBorders>
              <w:bottom w:val="single" w:sz="4" w:space="0" w:color="auto"/>
            </w:tcBorders>
            <w:vAlign w:val="bottom"/>
          </w:tcPr>
          <w:p w:rsidR="00FC13BA" w:rsidRPr="00A953D2" w:rsidRDefault="00FC13BA" w:rsidP="00FA070C">
            <w:pPr>
              <w:spacing w:before="80" w:after="80"/>
              <w:jc w:val="center"/>
              <w:rPr>
                <w:rFonts w:ascii="Arial" w:hAnsi="Arial" w:cs="Arial"/>
                <w:color w:val="000000"/>
                <w:szCs w:val="20"/>
              </w:rPr>
            </w:pPr>
          </w:p>
        </w:tc>
        <w:tc>
          <w:tcPr>
            <w:tcW w:w="893" w:type="dxa"/>
            <w:tcBorders>
              <w:bottom w:val="single" w:sz="4" w:space="0" w:color="auto"/>
            </w:tcBorders>
            <w:vAlign w:val="bottom"/>
          </w:tcPr>
          <w:p w:rsidR="00FC13BA" w:rsidRPr="00A953D2" w:rsidRDefault="00FC13BA" w:rsidP="00FA070C">
            <w:pPr>
              <w:spacing w:before="80" w:after="80"/>
              <w:jc w:val="center"/>
              <w:rPr>
                <w:rFonts w:ascii="Arial" w:hAnsi="Arial" w:cs="Arial"/>
                <w:color w:val="000000"/>
                <w:szCs w:val="20"/>
              </w:rPr>
            </w:pPr>
          </w:p>
        </w:tc>
        <w:tc>
          <w:tcPr>
            <w:tcW w:w="894" w:type="dxa"/>
            <w:tcBorders>
              <w:bottom w:val="single" w:sz="4" w:space="0" w:color="auto"/>
            </w:tcBorders>
            <w:vAlign w:val="bottom"/>
          </w:tcPr>
          <w:p w:rsidR="00FC13BA" w:rsidRPr="00A953D2" w:rsidRDefault="00FC13BA" w:rsidP="00FA070C">
            <w:pPr>
              <w:spacing w:before="80" w:after="80"/>
              <w:jc w:val="center"/>
              <w:rPr>
                <w:rFonts w:ascii="Arial" w:hAnsi="Arial" w:cs="Arial"/>
                <w:color w:val="000000"/>
                <w:szCs w:val="20"/>
              </w:rPr>
            </w:pPr>
          </w:p>
        </w:tc>
        <w:tc>
          <w:tcPr>
            <w:tcW w:w="894" w:type="dxa"/>
            <w:tcBorders>
              <w:bottom w:val="single" w:sz="4" w:space="0" w:color="auto"/>
            </w:tcBorders>
            <w:vAlign w:val="bottom"/>
          </w:tcPr>
          <w:p w:rsidR="00FC13BA" w:rsidRPr="00A953D2" w:rsidRDefault="00FC13BA" w:rsidP="00FA070C">
            <w:pPr>
              <w:spacing w:before="80" w:after="80"/>
              <w:jc w:val="center"/>
              <w:rPr>
                <w:rFonts w:ascii="Arial" w:hAnsi="Arial" w:cs="Arial"/>
                <w:color w:val="000000"/>
                <w:szCs w:val="20"/>
              </w:rPr>
            </w:pPr>
          </w:p>
        </w:tc>
      </w:tr>
    </w:tbl>
    <w:p w:rsidR="00FC13BA" w:rsidRDefault="00FC13BA">
      <w:pPr>
        <w:rPr>
          <w:rFonts w:ascii="Times New Roman" w:hAnsi="Times New Roman" w:cs="Times New Roman"/>
          <w:sz w:val="20"/>
          <w:szCs w:val="20"/>
        </w:rPr>
      </w:pPr>
      <w:r>
        <w:rPr>
          <w:rFonts w:ascii="Times New Roman" w:hAnsi="Times New Roman" w:cs="Times New Roman"/>
          <w:sz w:val="20"/>
          <w:szCs w:val="20"/>
        </w:rPr>
        <w:br w:type="page"/>
      </w:r>
    </w:p>
    <w:p w:rsidR="00FC13BA" w:rsidRDefault="00FC13BA">
      <w:pPr>
        <w:rPr>
          <w:rFonts w:ascii="Times New Roman" w:hAnsi="Times New Roman" w:cs="Times New Roman"/>
          <w:sz w:val="20"/>
          <w:szCs w:val="20"/>
        </w:rPr>
      </w:pPr>
    </w:p>
    <w:tbl>
      <w:tblPr>
        <w:tblStyle w:val="TableGrid"/>
        <w:tblpPr w:leftFromText="187" w:rightFromText="187" w:vertAnchor="page" w:horzAnchor="margin" w:tblpXSpec="center" w:tblpY="1602"/>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9"/>
        <w:gridCol w:w="892"/>
        <w:gridCol w:w="893"/>
        <w:gridCol w:w="893"/>
        <w:gridCol w:w="894"/>
        <w:gridCol w:w="893"/>
        <w:gridCol w:w="894"/>
        <w:gridCol w:w="894"/>
        <w:gridCol w:w="48"/>
      </w:tblGrid>
      <w:tr w:rsidR="00FC13BA" w:rsidRPr="001F0A60" w:rsidTr="00FC13BA">
        <w:trPr>
          <w:trHeight w:val="251"/>
        </w:trPr>
        <w:tc>
          <w:tcPr>
            <w:tcW w:w="9360" w:type="dxa"/>
            <w:gridSpan w:val="9"/>
            <w:tcBorders>
              <w:left w:val="nil"/>
              <w:bottom w:val="single" w:sz="4" w:space="0" w:color="auto"/>
              <w:right w:val="nil"/>
            </w:tcBorders>
          </w:tcPr>
          <w:p w:rsidR="00FC13BA" w:rsidRPr="004C4997" w:rsidRDefault="00661573" w:rsidP="00D40965">
            <w:pPr>
              <w:rPr>
                <w:rFonts w:ascii="Arial" w:hAnsi="Arial" w:cs="Arial"/>
                <w:sz w:val="24"/>
                <w:szCs w:val="24"/>
              </w:rPr>
            </w:pPr>
            <w:r>
              <w:rPr>
                <w:rFonts w:ascii="Arial" w:hAnsi="Arial" w:cs="Arial"/>
                <w:b/>
                <w:sz w:val="24"/>
                <w:szCs w:val="24"/>
              </w:rPr>
              <w:t>Table S2</w:t>
            </w:r>
            <w:r w:rsidR="00FC13BA" w:rsidRPr="00D40965">
              <w:rPr>
                <w:rFonts w:ascii="Arial" w:hAnsi="Arial" w:cs="Arial"/>
                <w:b/>
                <w:sz w:val="24"/>
                <w:szCs w:val="24"/>
              </w:rPr>
              <w:t>:</w:t>
            </w:r>
            <w:r w:rsidR="00FC13BA" w:rsidRPr="00D40965">
              <w:rPr>
                <w:rFonts w:ascii="Arial" w:hAnsi="Arial" w:cs="Arial"/>
                <w:sz w:val="24"/>
                <w:szCs w:val="24"/>
              </w:rPr>
              <w:t xml:space="preserve"> </w:t>
            </w:r>
            <w:r w:rsidR="00D40965">
              <w:rPr>
                <w:rFonts w:ascii="Arial" w:hAnsi="Arial" w:cs="Arial"/>
                <w:sz w:val="24"/>
                <w:szCs w:val="24"/>
              </w:rPr>
              <w:t>Factor loadings</w:t>
            </w:r>
            <w:r w:rsidR="00FC13BA" w:rsidRPr="004C4997">
              <w:rPr>
                <w:rFonts w:ascii="Arial" w:hAnsi="Arial" w:cs="Arial"/>
                <w:sz w:val="24"/>
                <w:szCs w:val="24"/>
              </w:rPr>
              <w:t xml:space="preserve"> from separate exploratory factor analyses of delinquent behaviors and SUDs</w:t>
            </w:r>
            <w:r w:rsidR="00D40965">
              <w:rPr>
                <w:rFonts w:ascii="Arial" w:hAnsi="Arial" w:cs="Arial"/>
                <w:sz w:val="24"/>
                <w:szCs w:val="24"/>
              </w:rPr>
              <w:t xml:space="preserve"> overall and by two-year intervals.</w:t>
            </w:r>
          </w:p>
        </w:tc>
      </w:tr>
      <w:tr w:rsidR="00FC13BA" w:rsidRPr="001F0A60" w:rsidTr="00FC13BA">
        <w:trPr>
          <w:gridAfter w:val="1"/>
          <w:wAfter w:w="48" w:type="dxa"/>
          <w:trHeight w:val="329"/>
        </w:trPr>
        <w:tc>
          <w:tcPr>
            <w:tcW w:w="3059" w:type="dxa"/>
            <w:tcBorders>
              <w:top w:val="single" w:sz="4" w:space="0" w:color="auto"/>
              <w:left w:val="nil"/>
              <w:bottom w:val="single" w:sz="4" w:space="0" w:color="auto"/>
              <w:right w:val="nil"/>
            </w:tcBorders>
            <w:vAlign w:val="center"/>
          </w:tcPr>
          <w:p w:rsidR="00FC13BA" w:rsidRPr="004C4997" w:rsidRDefault="00FC13BA" w:rsidP="00FC13BA">
            <w:pPr>
              <w:rPr>
                <w:rFonts w:ascii="Arial" w:hAnsi="Arial" w:cs="Arial"/>
                <w:b/>
                <w:sz w:val="20"/>
                <w:szCs w:val="20"/>
              </w:rPr>
            </w:pPr>
          </w:p>
        </w:tc>
        <w:tc>
          <w:tcPr>
            <w:tcW w:w="6253" w:type="dxa"/>
            <w:gridSpan w:val="7"/>
            <w:tcBorders>
              <w:top w:val="single" w:sz="4" w:space="0" w:color="auto"/>
              <w:left w:val="nil"/>
              <w:bottom w:val="single" w:sz="4" w:space="0" w:color="auto"/>
              <w:right w:val="nil"/>
            </w:tcBorders>
            <w:vAlign w:val="bottom"/>
          </w:tcPr>
          <w:p w:rsidR="00FC13BA" w:rsidRPr="00267E86" w:rsidRDefault="008D27B3" w:rsidP="00FC13BA">
            <w:pPr>
              <w:jc w:val="center"/>
              <w:rPr>
                <w:rFonts w:ascii="Arial" w:hAnsi="Arial" w:cs="Arial"/>
                <w:b/>
                <w:sz w:val="20"/>
                <w:szCs w:val="20"/>
              </w:rPr>
            </w:pPr>
            <w:r>
              <w:rPr>
                <w:rFonts w:ascii="Arial" w:hAnsi="Arial" w:cs="Arial"/>
                <w:b/>
                <w:sz w:val="20"/>
                <w:szCs w:val="20"/>
              </w:rPr>
              <w:t>Factor Loadings</w:t>
            </w:r>
          </w:p>
        </w:tc>
      </w:tr>
      <w:tr w:rsidR="00FC13BA" w:rsidRPr="001F0A60" w:rsidTr="00FC13BA">
        <w:trPr>
          <w:gridAfter w:val="1"/>
          <w:wAfter w:w="48" w:type="dxa"/>
          <w:trHeight w:val="329"/>
        </w:trPr>
        <w:tc>
          <w:tcPr>
            <w:tcW w:w="3059" w:type="dxa"/>
            <w:tcBorders>
              <w:top w:val="single" w:sz="4" w:space="0" w:color="auto"/>
              <w:left w:val="nil"/>
              <w:bottom w:val="single" w:sz="4" w:space="0" w:color="auto"/>
              <w:right w:val="nil"/>
            </w:tcBorders>
            <w:vAlign w:val="bottom"/>
          </w:tcPr>
          <w:p w:rsidR="00FC13BA" w:rsidRDefault="00FC13BA" w:rsidP="00FC13BA">
            <w:pPr>
              <w:spacing w:before="80" w:after="80"/>
              <w:rPr>
                <w:rFonts w:ascii="Arial" w:hAnsi="Arial" w:cs="Arial"/>
                <w:b/>
                <w:sz w:val="20"/>
                <w:szCs w:val="20"/>
              </w:rPr>
            </w:pPr>
            <w:r w:rsidRPr="004C4997">
              <w:rPr>
                <w:rFonts w:ascii="Arial" w:hAnsi="Arial" w:cs="Arial"/>
                <w:b/>
                <w:sz w:val="20"/>
                <w:szCs w:val="20"/>
              </w:rPr>
              <w:t>Delinquent</w:t>
            </w:r>
          </w:p>
          <w:p w:rsidR="00FC13BA" w:rsidRPr="004C4997" w:rsidRDefault="00FC13BA" w:rsidP="00FC13BA">
            <w:pPr>
              <w:spacing w:before="80" w:after="80"/>
              <w:rPr>
                <w:rFonts w:ascii="Arial" w:hAnsi="Arial" w:cs="Arial"/>
                <w:b/>
                <w:sz w:val="20"/>
                <w:szCs w:val="20"/>
              </w:rPr>
            </w:pPr>
            <w:r w:rsidRPr="004C4997">
              <w:rPr>
                <w:rFonts w:ascii="Arial" w:hAnsi="Arial" w:cs="Arial"/>
                <w:b/>
                <w:sz w:val="20"/>
                <w:szCs w:val="20"/>
              </w:rPr>
              <w:t>Behavior</w:t>
            </w:r>
          </w:p>
        </w:tc>
        <w:tc>
          <w:tcPr>
            <w:tcW w:w="892" w:type="dxa"/>
            <w:tcBorders>
              <w:top w:val="single" w:sz="4" w:space="0" w:color="auto"/>
              <w:left w:val="nil"/>
              <w:bottom w:val="single" w:sz="4" w:space="0" w:color="auto"/>
              <w:right w:val="nil"/>
            </w:tcBorders>
            <w:vAlign w:val="bottom"/>
          </w:tcPr>
          <w:p w:rsidR="00FC13BA" w:rsidRPr="00B36B21" w:rsidRDefault="00FC13BA" w:rsidP="00FC13BA">
            <w:pPr>
              <w:spacing w:before="80" w:after="80"/>
              <w:jc w:val="center"/>
              <w:rPr>
                <w:rFonts w:ascii="Arial Narrow" w:hAnsi="Arial Narrow" w:cs="Arial"/>
                <w:b/>
                <w:sz w:val="20"/>
                <w:szCs w:val="20"/>
              </w:rPr>
            </w:pPr>
            <w:r w:rsidRPr="00B36B21">
              <w:rPr>
                <w:rFonts w:ascii="Arial Narrow" w:hAnsi="Arial Narrow" w:cs="Arial"/>
                <w:b/>
                <w:sz w:val="20"/>
                <w:szCs w:val="20"/>
              </w:rPr>
              <w:t>All Years</w:t>
            </w:r>
          </w:p>
        </w:tc>
        <w:tc>
          <w:tcPr>
            <w:tcW w:w="893" w:type="dxa"/>
            <w:tcBorders>
              <w:top w:val="single" w:sz="4" w:space="0" w:color="auto"/>
              <w:left w:val="nil"/>
              <w:bottom w:val="single" w:sz="4" w:space="0" w:color="auto"/>
              <w:right w:val="nil"/>
            </w:tcBorders>
            <w:vAlign w:val="bottom"/>
          </w:tcPr>
          <w:p w:rsidR="00FC13BA" w:rsidRPr="00B36B21" w:rsidRDefault="00FC13BA" w:rsidP="00FC13BA">
            <w:pPr>
              <w:spacing w:before="80" w:after="80"/>
              <w:jc w:val="center"/>
              <w:rPr>
                <w:rFonts w:ascii="Arial Narrow" w:hAnsi="Arial Narrow" w:cs="Arial"/>
                <w:b/>
                <w:sz w:val="20"/>
                <w:szCs w:val="20"/>
              </w:rPr>
            </w:pPr>
            <w:r w:rsidRPr="00B36B21">
              <w:rPr>
                <w:rFonts w:ascii="Arial Narrow" w:hAnsi="Arial Narrow" w:cs="Arial"/>
                <w:b/>
                <w:sz w:val="20"/>
                <w:szCs w:val="20"/>
              </w:rPr>
              <w:t>2003/4</w:t>
            </w:r>
          </w:p>
        </w:tc>
        <w:tc>
          <w:tcPr>
            <w:tcW w:w="893" w:type="dxa"/>
            <w:tcBorders>
              <w:top w:val="single" w:sz="4" w:space="0" w:color="auto"/>
              <w:left w:val="nil"/>
              <w:bottom w:val="single" w:sz="4" w:space="0" w:color="auto"/>
              <w:right w:val="nil"/>
            </w:tcBorders>
            <w:vAlign w:val="bottom"/>
          </w:tcPr>
          <w:p w:rsidR="00FC13BA" w:rsidRPr="00B36B21" w:rsidRDefault="00FC13BA" w:rsidP="00FC13BA">
            <w:pPr>
              <w:spacing w:before="80" w:after="80"/>
              <w:jc w:val="center"/>
              <w:rPr>
                <w:rFonts w:ascii="Arial Narrow" w:hAnsi="Arial Narrow" w:cs="Arial"/>
                <w:b/>
                <w:sz w:val="20"/>
                <w:szCs w:val="20"/>
              </w:rPr>
            </w:pPr>
            <w:r w:rsidRPr="00B36B21">
              <w:rPr>
                <w:rFonts w:ascii="Arial Narrow" w:hAnsi="Arial Narrow" w:cs="Arial"/>
                <w:b/>
                <w:sz w:val="20"/>
                <w:szCs w:val="20"/>
              </w:rPr>
              <w:t>2005/6</w:t>
            </w:r>
          </w:p>
        </w:tc>
        <w:tc>
          <w:tcPr>
            <w:tcW w:w="894" w:type="dxa"/>
            <w:tcBorders>
              <w:top w:val="single" w:sz="4" w:space="0" w:color="auto"/>
              <w:left w:val="nil"/>
              <w:bottom w:val="single" w:sz="4" w:space="0" w:color="auto"/>
              <w:right w:val="nil"/>
            </w:tcBorders>
            <w:vAlign w:val="bottom"/>
          </w:tcPr>
          <w:p w:rsidR="00FC13BA" w:rsidRPr="00B36B21" w:rsidRDefault="00FC13BA" w:rsidP="00FC13BA">
            <w:pPr>
              <w:spacing w:before="80" w:after="80"/>
              <w:jc w:val="center"/>
              <w:rPr>
                <w:rFonts w:ascii="Arial Narrow" w:hAnsi="Arial Narrow" w:cs="Arial"/>
                <w:b/>
                <w:sz w:val="20"/>
                <w:szCs w:val="20"/>
              </w:rPr>
            </w:pPr>
            <w:r w:rsidRPr="00B36B21">
              <w:rPr>
                <w:rFonts w:ascii="Arial Narrow" w:hAnsi="Arial Narrow" w:cs="Arial"/>
                <w:b/>
                <w:sz w:val="20"/>
                <w:szCs w:val="20"/>
              </w:rPr>
              <w:t>2007/8</w:t>
            </w:r>
          </w:p>
        </w:tc>
        <w:tc>
          <w:tcPr>
            <w:tcW w:w="893" w:type="dxa"/>
            <w:tcBorders>
              <w:top w:val="single" w:sz="4" w:space="0" w:color="auto"/>
              <w:left w:val="nil"/>
              <w:bottom w:val="single" w:sz="4" w:space="0" w:color="auto"/>
              <w:right w:val="nil"/>
            </w:tcBorders>
            <w:vAlign w:val="bottom"/>
          </w:tcPr>
          <w:p w:rsidR="00FC13BA" w:rsidRPr="00B36B21" w:rsidRDefault="00FC13BA" w:rsidP="00FC13BA">
            <w:pPr>
              <w:spacing w:before="80" w:after="80"/>
              <w:jc w:val="center"/>
              <w:rPr>
                <w:rFonts w:ascii="Arial Narrow" w:hAnsi="Arial Narrow" w:cs="Arial"/>
                <w:b/>
                <w:sz w:val="20"/>
                <w:szCs w:val="20"/>
              </w:rPr>
            </w:pPr>
            <w:r w:rsidRPr="00B36B21">
              <w:rPr>
                <w:rFonts w:ascii="Arial Narrow" w:hAnsi="Arial Narrow" w:cs="Arial"/>
                <w:b/>
                <w:sz w:val="20"/>
                <w:szCs w:val="20"/>
              </w:rPr>
              <w:t>2009/10</w:t>
            </w:r>
          </w:p>
        </w:tc>
        <w:tc>
          <w:tcPr>
            <w:tcW w:w="894" w:type="dxa"/>
            <w:tcBorders>
              <w:top w:val="single" w:sz="4" w:space="0" w:color="auto"/>
              <w:left w:val="nil"/>
              <w:bottom w:val="single" w:sz="4" w:space="0" w:color="auto"/>
              <w:right w:val="nil"/>
            </w:tcBorders>
            <w:vAlign w:val="bottom"/>
          </w:tcPr>
          <w:p w:rsidR="00FC13BA" w:rsidRPr="00B36B21" w:rsidRDefault="00FC13BA" w:rsidP="00FC13BA">
            <w:pPr>
              <w:spacing w:before="80" w:after="80"/>
              <w:jc w:val="center"/>
              <w:rPr>
                <w:rFonts w:ascii="Arial Narrow" w:hAnsi="Arial Narrow" w:cs="Arial"/>
                <w:b/>
                <w:sz w:val="20"/>
                <w:szCs w:val="20"/>
              </w:rPr>
            </w:pPr>
            <w:r w:rsidRPr="00B36B21">
              <w:rPr>
                <w:rFonts w:ascii="Arial Narrow" w:hAnsi="Arial Narrow" w:cs="Arial"/>
                <w:b/>
                <w:sz w:val="20"/>
                <w:szCs w:val="20"/>
              </w:rPr>
              <w:t>2011/12</w:t>
            </w:r>
          </w:p>
        </w:tc>
        <w:tc>
          <w:tcPr>
            <w:tcW w:w="894" w:type="dxa"/>
            <w:tcBorders>
              <w:top w:val="single" w:sz="4" w:space="0" w:color="auto"/>
              <w:left w:val="nil"/>
              <w:bottom w:val="single" w:sz="4" w:space="0" w:color="auto"/>
              <w:right w:val="nil"/>
            </w:tcBorders>
            <w:vAlign w:val="bottom"/>
          </w:tcPr>
          <w:p w:rsidR="00FC13BA" w:rsidRPr="00B36B21" w:rsidRDefault="00FC13BA" w:rsidP="00FC13BA">
            <w:pPr>
              <w:spacing w:before="80" w:after="80"/>
              <w:jc w:val="center"/>
              <w:rPr>
                <w:rFonts w:ascii="Arial Narrow" w:hAnsi="Arial Narrow" w:cs="Arial"/>
                <w:b/>
                <w:sz w:val="20"/>
                <w:szCs w:val="20"/>
              </w:rPr>
            </w:pPr>
            <w:r w:rsidRPr="00B36B21">
              <w:rPr>
                <w:rFonts w:ascii="Arial Narrow" w:hAnsi="Arial Narrow" w:cs="Arial"/>
                <w:b/>
                <w:sz w:val="20"/>
                <w:szCs w:val="20"/>
              </w:rPr>
              <w:t>2013/14</w:t>
            </w:r>
          </w:p>
        </w:tc>
      </w:tr>
      <w:tr w:rsidR="00FC13BA" w:rsidRPr="001F0A60" w:rsidTr="00FC13BA">
        <w:trPr>
          <w:gridAfter w:val="1"/>
          <w:wAfter w:w="48" w:type="dxa"/>
          <w:trHeight w:val="251"/>
        </w:trPr>
        <w:tc>
          <w:tcPr>
            <w:tcW w:w="3059" w:type="dxa"/>
            <w:tcBorders>
              <w:top w:val="single" w:sz="4" w:space="0" w:color="auto"/>
              <w:left w:val="nil"/>
              <w:bottom w:val="nil"/>
              <w:right w:val="nil"/>
            </w:tcBorders>
            <w:vAlign w:val="bottom"/>
            <w:hideMark/>
          </w:tcPr>
          <w:p w:rsidR="00FC13BA" w:rsidRPr="00250C4F" w:rsidRDefault="00FC13BA" w:rsidP="00FC13BA">
            <w:pPr>
              <w:spacing w:before="100" w:after="100"/>
              <w:rPr>
                <w:rFonts w:ascii="Arial" w:hAnsi="Arial" w:cs="Arial"/>
                <w:sz w:val="20"/>
                <w:szCs w:val="20"/>
              </w:rPr>
            </w:pPr>
            <w:r w:rsidRPr="00250C4F">
              <w:rPr>
                <w:rFonts w:ascii="Arial" w:hAnsi="Arial" w:cs="Arial"/>
                <w:sz w:val="20"/>
                <w:szCs w:val="20"/>
              </w:rPr>
              <w:t>Serious Fight</w:t>
            </w:r>
          </w:p>
        </w:tc>
        <w:tc>
          <w:tcPr>
            <w:tcW w:w="892" w:type="dxa"/>
            <w:tcBorders>
              <w:top w:val="single" w:sz="4" w:space="0" w:color="auto"/>
              <w:left w:val="nil"/>
              <w:bottom w:val="nil"/>
              <w:right w:val="nil"/>
            </w:tcBorders>
            <w:vAlign w:val="bottom"/>
          </w:tcPr>
          <w:p w:rsidR="00FC13BA" w:rsidRDefault="00FC13BA" w:rsidP="00FC13BA">
            <w:pPr>
              <w:jc w:val="right"/>
              <w:rPr>
                <w:rFonts w:ascii="Calibri" w:hAnsi="Calibri"/>
                <w:color w:val="000000"/>
              </w:rPr>
            </w:pPr>
            <w:r>
              <w:rPr>
                <w:rFonts w:ascii="Calibri" w:hAnsi="Calibri"/>
                <w:color w:val="000000"/>
              </w:rPr>
              <w:t>0.73</w:t>
            </w:r>
          </w:p>
        </w:tc>
        <w:tc>
          <w:tcPr>
            <w:tcW w:w="893" w:type="dxa"/>
            <w:tcBorders>
              <w:top w:val="single" w:sz="4" w:space="0" w:color="auto"/>
              <w:left w:val="nil"/>
              <w:bottom w:val="nil"/>
              <w:right w:val="nil"/>
            </w:tcBorders>
            <w:vAlign w:val="bottom"/>
          </w:tcPr>
          <w:p w:rsidR="00FC13BA" w:rsidRDefault="00FC13BA" w:rsidP="00FC13BA">
            <w:pPr>
              <w:jc w:val="right"/>
              <w:rPr>
                <w:rFonts w:ascii="Calibri" w:hAnsi="Calibri"/>
                <w:color w:val="000000"/>
              </w:rPr>
            </w:pPr>
            <w:r>
              <w:rPr>
                <w:rFonts w:ascii="Calibri" w:hAnsi="Calibri"/>
                <w:color w:val="000000"/>
              </w:rPr>
              <w:t>0.73</w:t>
            </w:r>
          </w:p>
        </w:tc>
        <w:tc>
          <w:tcPr>
            <w:tcW w:w="893" w:type="dxa"/>
            <w:tcBorders>
              <w:top w:val="single" w:sz="4" w:space="0" w:color="auto"/>
              <w:left w:val="nil"/>
              <w:bottom w:val="nil"/>
              <w:right w:val="nil"/>
            </w:tcBorders>
            <w:vAlign w:val="bottom"/>
          </w:tcPr>
          <w:p w:rsidR="00FC13BA" w:rsidRDefault="00FC13BA" w:rsidP="00FC13BA">
            <w:pPr>
              <w:jc w:val="right"/>
              <w:rPr>
                <w:rFonts w:ascii="Calibri" w:hAnsi="Calibri"/>
                <w:color w:val="000000"/>
              </w:rPr>
            </w:pPr>
            <w:r>
              <w:rPr>
                <w:rFonts w:ascii="Calibri" w:hAnsi="Calibri"/>
                <w:color w:val="000000"/>
              </w:rPr>
              <w:t>0.73</w:t>
            </w:r>
          </w:p>
        </w:tc>
        <w:tc>
          <w:tcPr>
            <w:tcW w:w="894" w:type="dxa"/>
            <w:tcBorders>
              <w:top w:val="single" w:sz="4" w:space="0" w:color="auto"/>
              <w:left w:val="nil"/>
              <w:bottom w:val="nil"/>
              <w:right w:val="nil"/>
            </w:tcBorders>
            <w:vAlign w:val="bottom"/>
          </w:tcPr>
          <w:p w:rsidR="00FC13BA" w:rsidRDefault="00FC13BA" w:rsidP="00FC13BA">
            <w:pPr>
              <w:jc w:val="right"/>
              <w:rPr>
                <w:rFonts w:ascii="Calibri" w:hAnsi="Calibri"/>
                <w:color w:val="000000"/>
              </w:rPr>
            </w:pPr>
            <w:r>
              <w:rPr>
                <w:rFonts w:ascii="Calibri" w:hAnsi="Calibri"/>
                <w:color w:val="000000"/>
              </w:rPr>
              <w:t>0.73</w:t>
            </w:r>
          </w:p>
        </w:tc>
        <w:tc>
          <w:tcPr>
            <w:tcW w:w="893" w:type="dxa"/>
            <w:tcBorders>
              <w:top w:val="single" w:sz="4" w:space="0" w:color="auto"/>
              <w:left w:val="nil"/>
              <w:bottom w:val="nil"/>
              <w:right w:val="nil"/>
            </w:tcBorders>
            <w:vAlign w:val="bottom"/>
          </w:tcPr>
          <w:p w:rsidR="00FC13BA" w:rsidRDefault="00FC13BA" w:rsidP="00FC13BA">
            <w:pPr>
              <w:jc w:val="right"/>
              <w:rPr>
                <w:rFonts w:ascii="Calibri" w:hAnsi="Calibri"/>
                <w:color w:val="000000"/>
              </w:rPr>
            </w:pPr>
            <w:r>
              <w:rPr>
                <w:rFonts w:ascii="Calibri" w:hAnsi="Calibri"/>
                <w:color w:val="000000"/>
              </w:rPr>
              <w:t>0.75</w:t>
            </w:r>
          </w:p>
        </w:tc>
        <w:tc>
          <w:tcPr>
            <w:tcW w:w="894" w:type="dxa"/>
            <w:tcBorders>
              <w:top w:val="single" w:sz="4" w:space="0" w:color="auto"/>
              <w:left w:val="nil"/>
              <w:bottom w:val="nil"/>
              <w:right w:val="nil"/>
            </w:tcBorders>
            <w:vAlign w:val="bottom"/>
          </w:tcPr>
          <w:p w:rsidR="00FC13BA" w:rsidRDefault="00FC13BA" w:rsidP="00FC13BA">
            <w:pPr>
              <w:jc w:val="right"/>
              <w:rPr>
                <w:rFonts w:ascii="Calibri" w:hAnsi="Calibri"/>
                <w:color w:val="000000"/>
              </w:rPr>
            </w:pPr>
            <w:r>
              <w:rPr>
                <w:rFonts w:ascii="Calibri" w:hAnsi="Calibri"/>
                <w:color w:val="000000"/>
              </w:rPr>
              <w:t>0.72</w:t>
            </w:r>
          </w:p>
        </w:tc>
        <w:tc>
          <w:tcPr>
            <w:tcW w:w="894" w:type="dxa"/>
            <w:tcBorders>
              <w:top w:val="single" w:sz="4" w:space="0" w:color="auto"/>
              <w:left w:val="nil"/>
              <w:bottom w:val="nil"/>
              <w:right w:val="nil"/>
            </w:tcBorders>
            <w:vAlign w:val="bottom"/>
          </w:tcPr>
          <w:p w:rsidR="00FC13BA" w:rsidRDefault="00FC13BA" w:rsidP="00FC13BA">
            <w:pPr>
              <w:jc w:val="right"/>
              <w:rPr>
                <w:rFonts w:ascii="Calibri" w:hAnsi="Calibri"/>
                <w:color w:val="000000"/>
              </w:rPr>
            </w:pPr>
            <w:r>
              <w:rPr>
                <w:rFonts w:ascii="Calibri" w:hAnsi="Calibri"/>
                <w:color w:val="000000"/>
              </w:rPr>
              <w:t>0.73</w:t>
            </w:r>
          </w:p>
        </w:tc>
      </w:tr>
      <w:tr w:rsidR="00FC13BA" w:rsidRPr="001F0A60" w:rsidTr="00FC13BA">
        <w:trPr>
          <w:gridAfter w:val="1"/>
          <w:wAfter w:w="48" w:type="dxa"/>
          <w:trHeight w:val="251"/>
        </w:trPr>
        <w:tc>
          <w:tcPr>
            <w:tcW w:w="3059" w:type="dxa"/>
            <w:vAlign w:val="bottom"/>
            <w:hideMark/>
          </w:tcPr>
          <w:p w:rsidR="00FC13BA" w:rsidRPr="00250C4F" w:rsidRDefault="00FC13BA" w:rsidP="00FC13BA">
            <w:pPr>
              <w:spacing w:before="100" w:after="100"/>
              <w:rPr>
                <w:rFonts w:ascii="Arial" w:hAnsi="Arial" w:cs="Arial"/>
                <w:sz w:val="20"/>
                <w:szCs w:val="20"/>
              </w:rPr>
            </w:pPr>
            <w:r w:rsidRPr="00250C4F">
              <w:rPr>
                <w:rFonts w:ascii="Arial" w:hAnsi="Arial" w:cs="Arial"/>
                <w:sz w:val="20"/>
                <w:szCs w:val="20"/>
              </w:rPr>
              <w:t>Group Fight</w:t>
            </w:r>
          </w:p>
        </w:tc>
        <w:tc>
          <w:tcPr>
            <w:tcW w:w="892" w:type="dxa"/>
            <w:vAlign w:val="bottom"/>
          </w:tcPr>
          <w:p w:rsidR="00FC13BA" w:rsidRDefault="00FC13BA" w:rsidP="00FC13BA">
            <w:pPr>
              <w:jc w:val="right"/>
              <w:rPr>
                <w:rFonts w:ascii="Calibri" w:hAnsi="Calibri"/>
                <w:color w:val="000000"/>
              </w:rPr>
            </w:pPr>
            <w:r>
              <w:rPr>
                <w:rFonts w:ascii="Calibri" w:hAnsi="Calibri"/>
                <w:color w:val="000000"/>
              </w:rPr>
              <w:t>0.76</w:t>
            </w:r>
          </w:p>
        </w:tc>
        <w:tc>
          <w:tcPr>
            <w:tcW w:w="893" w:type="dxa"/>
            <w:vAlign w:val="bottom"/>
          </w:tcPr>
          <w:p w:rsidR="00FC13BA" w:rsidRDefault="00FC13BA" w:rsidP="00FC13BA">
            <w:pPr>
              <w:jc w:val="right"/>
              <w:rPr>
                <w:rFonts w:ascii="Calibri" w:hAnsi="Calibri"/>
                <w:color w:val="000000"/>
              </w:rPr>
            </w:pPr>
            <w:r>
              <w:rPr>
                <w:rFonts w:ascii="Calibri" w:hAnsi="Calibri"/>
                <w:color w:val="000000"/>
              </w:rPr>
              <w:t>0.75</w:t>
            </w:r>
          </w:p>
        </w:tc>
        <w:tc>
          <w:tcPr>
            <w:tcW w:w="893" w:type="dxa"/>
            <w:vAlign w:val="bottom"/>
          </w:tcPr>
          <w:p w:rsidR="00FC13BA" w:rsidRDefault="00FC13BA" w:rsidP="00FC13BA">
            <w:pPr>
              <w:jc w:val="right"/>
              <w:rPr>
                <w:rFonts w:ascii="Calibri" w:hAnsi="Calibri"/>
                <w:color w:val="000000"/>
              </w:rPr>
            </w:pPr>
            <w:r>
              <w:rPr>
                <w:rFonts w:ascii="Calibri" w:hAnsi="Calibri"/>
                <w:color w:val="000000"/>
              </w:rPr>
              <w:t>0.77</w:t>
            </w:r>
          </w:p>
        </w:tc>
        <w:tc>
          <w:tcPr>
            <w:tcW w:w="894" w:type="dxa"/>
            <w:vAlign w:val="bottom"/>
          </w:tcPr>
          <w:p w:rsidR="00FC13BA" w:rsidRDefault="00FC13BA" w:rsidP="00FC13BA">
            <w:pPr>
              <w:jc w:val="right"/>
              <w:rPr>
                <w:rFonts w:ascii="Calibri" w:hAnsi="Calibri"/>
                <w:color w:val="000000"/>
              </w:rPr>
            </w:pPr>
            <w:r>
              <w:rPr>
                <w:rFonts w:ascii="Calibri" w:hAnsi="Calibri"/>
                <w:color w:val="000000"/>
              </w:rPr>
              <w:t>0.77</w:t>
            </w:r>
          </w:p>
        </w:tc>
        <w:tc>
          <w:tcPr>
            <w:tcW w:w="893" w:type="dxa"/>
            <w:vAlign w:val="bottom"/>
          </w:tcPr>
          <w:p w:rsidR="00FC13BA" w:rsidRDefault="00FC13BA" w:rsidP="00FC13BA">
            <w:pPr>
              <w:jc w:val="right"/>
              <w:rPr>
                <w:rFonts w:ascii="Calibri" w:hAnsi="Calibri"/>
                <w:color w:val="000000"/>
              </w:rPr>
            </w:pPr>
            <w:r>
              <w:rPr>
                <w:rFonts w:ascii="Calibri" w:hAnsi="Calibri"/>
                <w:color w:val="000000"/>
              </w:rPr>
              <w:t>0.76</w:t>
            </w:r>
          </w:p>
        </w:tc>
        <w:tc>
          <w:tcPr>
            <w:tcW w:w="894" w:type="dxa"/>
            <w:vAlign w:val="bottom"/>
          </w:tcPr>
          <w:p w:rsidR="00FC13BA" w:rsidRDefault="00FC13BA" w:rsidP="00FC13BA">
            <w:pPr>
              <w:jc w:val="right"/>
              <w:rPr>
                <w:rFonts w:ascii="Calibri" w:hAnsi="Calibri"/>
                <w:color w:val="000000"/>
              </w:rPr>
            </w:pPr>
            <w:r>
              <w:rPr>
                <w:rFonts w:ascii="Calibri" w:hAnsi="Calibri"/>
                <w:color w:val="000000"/>
              </w:rPr>
              <w:t>0.74</w:t>
            </w:r>
          </w:p>
        </w:tc>
        <w:tc>
          <w:tcPr>
            <w:tcW w:w="894" w:type="dxa"/>
            <w:vAlign w:val="bottom"/>
          </w:tcPr>
          <w:p w:rsidR="00FC13BA" w:rsidRDefault="00FC13BA" w:rsidP="00FC13BA">
            <w:pPr>
              <w:jc w:val="right"/>
              <w:rPr>
                <w:rFonts w:ascii="Calibri" w:hAnsi="Calibri"/>
                <w:color w:val="000000"/>
              </w:rPr>
            </w:pPr>
            <w:r>
              <w:rPr>
                <w:rFonts w:ascii="Calibri" w:hAnsi="Calibri"/>
                <w:color w:val="000000"/>
              </w:rPr>
              <w:t>0.74</w:t>
            </w:r>
          </w:p>
        </w:tc>
      </w:tr>
      <w:tr w:rsidR="00FC13BA" w:rsidRPr="001F0A60" w:rsidTr="00FC13BA">
        <w:trPr>
          <w:gridAfter w:val="1"/>
          <w:wAfter w:w="48" w:type="dxa"/>
          <w:trHeight w:val="251"/>
        </w:trPr>
        <w:tc>
          <w:tcPr>
            <w:tcW w:w="3059" w:type="dxa"/>
            <w:vAlign w:val="bottom"/>
          </w:tcPr>
          <w:p w:rsidR="00FC13BA" w:rsidRPr="00250C4F" w:rsidRDefault="00FC13BA" w:rsidP="00FC13BA">
            <w:pPr>
              <w:spacing w:before="100" w:after="100"/>
              <w:rPr>
                <w:rFonts w:ascii="Arial" w:hAnsi="Arial" w:cs="Arial"/>
                <w:sz w:val="20"/>
                <w:szCs w:val="20"/>
              </w:rPr>
            </w:pPr>
            <w:r w:rsidRPr="00250C4F">
              <w:rPr>
                <w:rFonts w:ascii="Arial" w:hAnsi="Arial" w:cs="Arial"/>
                <w:sz w:val="20"/>
                <w:szCs w:val="20"/>
              </w:rPr>
              <w:t>Attack to Injure</w:t>
            </w:r>
          </w:p>
        </w:tc>
        <w:tc>
          <w:tcPr>
            <w:tcW w:w="892" w:type="dxa"/>
            <w:vAlign w:val="bottom"/>
          </w:tcPr>
          <w:p w:rsidR="00FC13BA" w:rsidRDefault="00FC13BA" w:rsidP="00FC13BA">
            <w:pPr>
              <w:jc w:val="right"/>
              <w:rPr>
                <w:rFonts w:ascii="Calibri" w:hAnsi="Calibri"/>
                <w:color w:val="000000"/>
              </w:rPr>
            </w:pPr>
            <w:r>
              <w:rPr>
                <w:rFonts w:ascii="Calibri" w:hAnsi="Calibri"/>
                <w:color w:val="000000"/>
              </w:rPr>
              <w:t>0.77</w:t>
            </w:r>
          </w:p>
        </w:tc>
        <w:tc>
          <w:tcPr>
            <w:tcW w:w="893" w:type="dxa"/>
            <w:vAlign w:val="bottom"/>
          </w:tcPr>
          <w:p w:rsidR="00FC13BA" w:rsidRDefault="00FC13BA" w:rsidP="00FC13BA">
            <w:pPr>
              <w:jc w:val="right"/>
              <w:rPr>
                <w:rFonts w:ascii="Calibri" w:hAnsi="Calibri"/>
                <w:color w:val="000000"/>
              </w:rPr>
            </w:pPr>
            <w:r>
              <w:rPr>
                <w:rFonts w:ascii="Calibri" w:hAnsi="Calibri"/>
                <w:color w:val="000000"/>
              </w:rPr>
              <w:t>0.76</w:t>
            </w:r>
          </w:p>
        </w:tc>
        <w:tc>
          <w:tcPr>
            <w:tcW w:w="893" w:type="dxa"/>
            <w:vAlign w:val="bottom"/>
          </w:tcPr>
          <w:p w:rsidR="00FC13BA" w:rsidRDefault="00FC13BA" w:rsidP="00FC13BA">
            <w:pPr>
              <w:jc w:val="right"/>
              <w:rPr>
                <w:rFonts w:ascii="Calibri" w:hAnsi="Calibri"/>
                <w:color w:val="000000"/>
              </w:rPr>
            </w:pPr>
            <w:r>
              <w:rPr>
                <w:rFonts w:ascii="Calibri" w:hAnsi="Calibri"/>
                <w:color w:val="000000"/>
              </w:rPr>
              <w:t>0.76</w:t>
            </w:r>
          </w:p>
        </w:tc>
        <w:tc>
          <w:tcPr>
            <w:tcW w:w="894" w:type="dxa"/>
            <w:vAlign w:val="bottom"/>
          </w:tcPr>
          <w:p w:rsidR="00FC13BA" w:rsidRDefault="00FC13BA" w:rsidP="00FC13BA">
            <w:pPr>
              <w:jc w:val="right"/>
              <w:rPr>
                <w:rFonts w:ascii="Calibri" w:hAnsi="Calibri"/>
                <w:color w:val="000000"/>
              </w:rPr>
            </w:pPr>
            <w:r>
              <w:rPr>
                <w:rFonts w:ascii="Calibri" w:hAnsi="Calibri"/>
                <w:color w:val="000000"/>
              </w:rPr>
              <w:t>0.76</w:t>
            </w:r>
          </w:p>
        </w:tc>
        <w:tc>
          <w:tcPr>
            <w:tcW w:w="893" w:type="dxa"/>
            <w:vAlign w:val="bottom"/>
          </w:tcPr>
          <w:p w:rsidR="00FC13BA" w:rsidRDefault="00FC13BA" w:rsidP="00FC13BA">
            <w:pPr>
              <w:jc w:val="right"/>
              <w:rPr>
                <w:rFonts w:ascii="Calibri" w:hAnsi="Calibri"/>
                <w:color w:val="000000"/>
              </w:rPr>
            </w:pPr>
            <w:r>
              <w:rPr>
                <w:rFonts w:ascii="Calibri" w:hAnsi="Calibri"/>
                <w:color w:val="000000"/>
              </w:rPr>
              <w:t>0.77</w:t>
            </w:r>
          </w:p>
        </w:tc>
        <w:tc>
          <w:tcPr>
            <w:tcW w:w="894" w:type="dxa"/>
            <w:vAlign w:val="bottom"/>
          </w:tcPr>
          <w:p w:rsidR="00FC13BA" w:rsidRDefault="00FC13BA" w:rsidP="00FC13BA">
            <w:pPr>
              <w:jc w:val="right"/>
              <w:rPr>
                <w:rFonts w:ascii="Calibri" w:hAnsi="Calibri"/>
                <w:color w:val="000000"/>
              </w:rPr>
            </w:pPr>
            <w:r>
              <w:rPr>
                <w:rFonts w:ascii="Calibri" w:hAnsi="Calibri"/>
                <w:color w:val="000000"/>
              </w:rPr>
              <w:t>0.77</w:t>
            </w:r>
          </w:p>
        </w:tc>
        <w:tc>
          <w:tcPr>
            <w:tcW w:w="894" w:type="dxa"/>
            <w:vAlign w:val="bottom"/>
          </w:tcPr>
          <w:p w:rsidR="00FC13BA" w:rsidRDefault="00FC13BA" w:rsidP="00FC13BA">
            <w:pPr>
              <w:jc w:val="right"/>
              <w:rPr>
                <w:rFonts w:ascii="Calibri" w:hAnsi="Calibri"/>
                <w:color w:val="000000"/>
              </w:rPr>
            </w:pPr>
            <w:r>
              <w:rPr>
                <w:rFonts w:ascii="Calibri" w:hAnsi="Calibri"/>
                <w:color w:val="000000"/>
              </w:rPr>
              <w:t>0.75</w:t>
            </w:r>
          </w:p>
        </w:tc>
      </w:tr>
      <w:tr w:rsidR="00FC13BA" w:rsidRPr="001F0A60" w:rsidTr="00FC13BA">
        <w:trPr>
          <w:gridAfter w:val="1"/>
          <w:wAfter w:w="48" w:type="dxa"/>
          <w:trHeight w:val="251"/>
        </w:trPr>
        <w:tc>
          <w:tcPr>
            <w:tcW w:w="3059" w:type="dxa"/>
            <w:vAlign w:val="bottom"/>
          </w:tcPr>
          <w:p w:rsidR="00FC13BA" w:rsidRPr="00250C4F" w:rsidRDefault="00FC13BA" w:rsidP="00FC13BA">
            <w:pPr>
              <w:spacing w:before="100" w:after="100"/>
              <w:rPr>
                <w:rFonts w:ascii="Arial" w:hAnsi="Arial" w:cs="Arial"/>
                <w:sz w:val="20"/>
                <w:szCs w:val="20"/>
              </w:rPr>
            </w:pPr>
            <w:r w:rsidRPr="00250C4F">
              <w:rPr>
                <w:rFonts w:ascii="Arial" w:hAnsi="Arial" w:cs="Arial"/>
                <w:sz w:val="20"/>
                <w:szCs w:val="20"/>
              </w:rPr>
              <w:t>Stealing Item &gt;$50</w:t>
            </w:r>
          </w:p>
        </w:tc>
        <w:tc>
          <w:tcPr>
            <w:tcW w:w="892" w:type="dxa"/>
            <w:vAlign w:val="bottom"/>
          </w:tcPr>
          <w:p w:rsidR="00FC13BA" w:rsidRDefault="00FC13BA" w:rsidP="00FC13BA">
            <w:pPr>
              <w:jc w:val="right"/>
              <w:rPr>
                <w:rFonts w:ascii="Calibri" w:hAnsi="Calibri"/>
                <w:color w:val="000000"/>
              </w:rPr>
            </w:pPr>
            <w:r>
              <w:rPr>
                <w:rFonts w:ascii="Calibri" w:hAnsi="Calibri"/>
                <w:color w:val="000000"/>
              </w:rPr>
              <w:t>0.72</w:t>
            </w:r>
          </w:p>
        </w:tc>
        <w:tc>
          <w:tcPr>
            <w:tcW w:w="893" w:type="dxa"/>
            <w:vAlign w:val="bottom"/>
          </w:tcPr>
          <w:p w:rsidR="00FC13BA" w:rsidRDefault="00FC13BA" w:rsidP="00FC13BA">
            <w:pPr>
              <w:jc w:val="right"/>
              <w:rPr>
                <w:rFonts w:ascii="Calibri" w:hAnsi="Calibri"/>
                <w:color w:val="000000"/>
              </w:rPr>
            </w:pPr>
            <w:r>
              <w:rPr>
                <w:rFonts w:ascii="Calibri" w:hAnsi="Calibri"/>
                <w:color w:val="000000"/>
              </w:rPr>
              <w:t>0.70</w:t>
            </w:r>
          </w:p>
        </w:tc>
        <w:tc>
          <w:tcPr>
            <w:tcW w:w="893" w:type="dxa"/>
            <w:vAlign w:val="bottom"/>
          </w:tcPr>
          <w:p w:rsidR="00FC13BA" w:rsidRDefault="00FC13BA" w:rsidP="00FC13BA">
            <w:pPr>
              <w:jc w:val="right"/>
              <w:rPr>
                <w:rFonts w:ascii="Calibri" w:hAnsi="Calibri"/>
                <w:color w:val="000000"/>
              </w:rPr>
            </w:pPr>
            <w:r>
              <w:rPr>
                <w:rFonts w:ascii="Calibri" w:hAnsi="Calibri"/>
                <w:color w:val="000000"/>
              </w:rPr>
              <w:t>0.71</w:t>
            </w:r>
          </w:p>
        </w:tc>
        <w:tc>
          <w:tcPr>
            <w:tcW w:w="894" w:type="dxa"/>
            <w:vAlign w:val="bottom"/>
          </w:tcPr>
          <w:p w:rsidR="00FC13BA" w:rsidRDefault="00FC13BA" w:rsidP="00FC13BA">
            <w:pPr>
              <w:jc w:val="right"/>
              <w:rPr>
                <w:rFonts w:ascii="Calibri" w:hAnsi="Calibri"/>
                <w:color w:val="000000"/>
              </w:rPr>
            </w:pPr>
            <w:r>
              <w:rPr>
                <w:rFonts w:ascii="Calibri" w:hAnsi="Calibri"/>
                <w:color w:val="000000"/>
              </w:rPr>
              <w:t>0.71</w:t>
            </w:r>
          </w:p>
        </w:tc>
        <w:tc>
          <w:tcPr>
            <w:tcW w:w="893" w:type="dxa"/>
            <w:vAlign w:val="bottom"/>
          </w:tcPr>
          <w:p w:rsidR="00FC13BA" w:rsidRDefault="00FC13BA" w:rsidP="00FC13BA">
            <w:pPr>
              <w:jc w:val="right"/>
              <w:rPr>
                <w:rFonts w:ascii="Calibri" w:hAnsi="Calibri"/>
                <w:color w:val="000000"/>
              </w:rPr>
            </w:pPr>
            <w:r>
              <w:rPr>
                <w:rFonts w:ascii="Calibri" w:hAnsi="Calibri"/>
                <w:color w:val="000000"/>
              </w:rPr>
              <w:t>0.73</w:t>
            </w:r>
          </w:p>
        </w:tc>
        <w:tc>
          <w:tcPr>
            <w:tcW w:w="894" w:type="dxa"/>
            <w:vAlign w:val="bottom"/>
          </w:tcPr>
          <w:p w:rsidR="00FC13BA" w:rsidRDefault="00FC13BA" w:rsidP="00FC13BA">
            <w:pPr>
              <w:jc w:val="right"/>
              <w:rPr>
                <w:rFonts w:ascii="Calibri" w:hAnsi="Calibri"/>
                <w:color w:val="000000"/>
              </w:rPr>
            </w:pPr>
            <w:r>
              <w:rPr>
                <w:rFonts w:ascii="Calibri" w:hAnsi="Calibri"/>
                <w:color w:val="000000"/>
              </w:rPr>
              <w:t>0.75</w:t>
            </w:r>
          </w:p>
        </w:tc>
        <w:tc>
          <w:tcPr>
            <w:tcW w:w="894" w:type="dxa"/>
            <w:vAlign w:val="bottom"/>
          </w:tcPr>
          <w:p w:rsidR="00FC13BA" w:rsidRDefault="00FC13BA" w:rsidP="00FC13BA">
            <w:pPr>
              <w:jc w:val="right"/>
              <w:rPr>
                <w:rFonts w:ascii="Calibri" w:hAnsi="Calibri"/>
                <w:color w:val="000000"/>
              </w:rPr>
            </w:pPr>
            <w:r>
              <w:rPr>
                <w:rFonts w:ascii="Calibri" w:hAnsi="Calibri"/>
                <w:color w:val="000000"/>
              </w:rPr>
              <w:t>0.73</w:t>
            </w:r>
          </w:p>
        </w:tc>
      </w:tr>
      <w:tr w:rsidR="00FC13BA" w:rsidRPr="001F0A60" w:rsidTr="00FC13BA">
        <w:trPr>
          <w:gridAfter w:val="1"/>
          <w:wAfter w:w="48" w:type="dxa"/>
          <w:trHeight w:val="251"/>
        </w:trPr>
        <w:tc>
          <w:tcPr>
            <w:tcW w:w="3059" w:type="dxa"/>
            <w:vAlign w:val="bottom"/>
          </w:tcPr>
          <w:p w:rsidR="00FC13BA" w:rsidRPr="00250C4F" w:rsidRDefault="00FC13BA" w:rsidP="00FC13BA">
            <w:pPr>
              <w:spacing w:before="100" w:after="100"/>
              <w:rPr>
                <w:rFonts w:ascii="Arial" w:hAnsi="Arial" w:cs="Arial"/>
                <w:sz w:val="20"/>
                <w:szCs w:val="20"/>
              </w:rPr>
            </w:pPr>
            <w:r w:rsidRPr="00250C4F">
              <w:rPr>
                <w:rFonts w:ascii="Arial" w:hAnsi="Arial" w:cs="Arial"/>
                <w:sz w:val="20"/>
                <w:szCs w:val="20"/>
              </w:rPr>
              <w:t>Selling Drugs</w:t>
            </w:r>
          </w:p>
        </w:tc>
        <w:tc>
          <w:tcPr>
            <w:tcW w:w="892" w:type="dxa"/>
            <w:vAlign w:val="bottom"/>
          </w:tcPr>
          <w:p w:rsidR="00FC13BA" w:rsidRDefault="00FC13BA" w:rsidP="00FC13BA">
            <w:pPr>
              <w:jc w:val="right"/>
              <w:rPr>
                <w:rFonts w:ascii="Calibri" w:hAnsi="Calibri"/>
                <w:color w:val="000000"/>
              </w:rPr>
            </w:pPr>
            <w:r>
              <w:rPr>
                <w:rFonts w:ascii="Calibri" w:hAnsi="Calibri"/>
                <w:color w:val="000000"/>
              </w:rPr>
              <w:t>0.74</w:t>
            </w:r>
          </w:p>
        </w:tc>
        <w:tc>
          <w:tcPr>
            <w:tcW w:w="893" w:type="dxa"/>
            <w:vAlign w:val="bottom"/>
          </w:tcPr>
          <w:p w:rsidR="00FC13BA" w:rsidRDefault="00FC13BA" w:rsidP="00FC13BA">
            <w:pPr>
              <w:jc w:val="right"/>
              <w:rPr>
                <w:rFonts w:ascii="Calibri" w:hAnsi="Calibri"/>
                <w:color w:val="000000"/>
              </w:rPr>
            </w:pPr>
            <w:r>
              <w:rPr>
                <w:rFonts w:ascii="Calibri" w:hAnsi="Calibri"/>
                <w:color w:val="000000"/>
              </w:rPr>
              <w:t>0.73</w:t>
            </w:r>
          </w:p>
        </w:tc>
        <w:tc>
          <w:tcPr>
            <w:tcW w:w="893" w:type="dxa"/>
            <w:vAlign w:val="bottom"/>
          </w:tcPr>
          <w:p w:rsidR="00FC13BA" w:rsidRDefault="00FC13BA" w:rsidP="00FC13BA">
            <w:pPr>
              <w:jc w:val="right"/>
              <w:rPr>
                <w:rFonts w:ascii="Calibri" w:hAnsi="Calibri"/>
                <w:color w:val="000000"/>
              </w:rPr>
            </w:pPr>
            <w:r>
              <w:rPr>
                <w:rFonts w:ascii="Calibri" w:hAnsi="Calibri"/>
                <w:color w:val="000000"/>
              </w:rPr>
              <w:t>0.74</w:t>
            </w:r>
          </w:p>
        </w:tc>
        <w:tc>
          <w:tcPr>
            <w:tcW w:w="894" w:type="dxa"/>
            <w:vAlign w:val="bottom"/>
          </w:tcPr>
          <w:p w:rsidR="00FC13BA" w:rsidRDefault="00FC13BA" w:rsidP="00FC13BA">
            <w:pPr>
              <w:jc w:val="right"/>
              <w:rPr>
                <w:rFonts w:ascii="Calibri" w:hAnsi="Calibri"/>
                <w:color w:val="000000"/>
              </w:rPr>
            </w:pPr>
            <w:r>
              <w:rPr>
                <w:rFonts w:ascii="Calibri" w:hAnsi="Calibri"/>
                <w:color w:val="000000"/>
              </w:rPr>
              <w:t>0.73</w:t>
            </w:r>
          </w:p>
        </w:tc>
        <w:tc>
          <w:tcPr>
            <w:tcW w:w="893" w:type="dxa"/>
            <w:vAlign w:val="bottom"/>
          </w:tcPr>
          <w:p w:rsidR="00FC13BA" w:rsidRDefault="00FC13BA" w:rsidP="00FC13BA">
            <w:pPr>
              <w:jc w:val="right"/>
              <w:rPr>
                <w:rFonts w:ascii="Calibri" w:hAnsi="Calibri"/>
                <w:color w:val="000000"/>
              </w:rPr>
            </w:pPr>
            <w:r>
              <w:rPr>
                <w:rFonts w:ascii="Calibri" w:hAnsi="Calibri"/>
                <w:color w:val="000000"/>
              </w:rPr>
              <w:t>0.76</w:t>
            </w:r>
          </w:p>
        </w:tc>
        <w:tc>
          <w:tcPr>
            <w:tcW w:w="894" w:type="dxa"/>
            <w:vAlign w:val="bottom"/>
          </w:tcPr>
          <w:p w:rsidR="00FC13BA" w:rsidRDefault="00FC13BA" w:rsidP="00FC13BA">
            <w:pPr>
              <w:jc w:val="right"/>
              <w:rPr>
                <w:rFonts w:ascii="Calibri" w:hAnsi="Calibri"/>
                <w:color w:val="000000"/>
              </w:rPr>
            </w:pPr>
            <w:r>
              <w:rPr>
                <w:rFonts w:ascii="Calibri" w:hAnsi="Calibri"/>
                <w:color w:val="000000"/>
              </w:rPr>
              <w:t>0.76</w:t>
            </w:r>
          </w:p>
        </w:tc>
        <w:tc>
          <w:tcPr>
            <w:tcW w:w="894" w:type="dxa"/>
            <w:vAlign w:val="bottom"/>
          </w:tcPr>
          <w:p w:rsidR="00FC13BA" w:rsidRDefault="00FC13BA" w:rsidP="00FC13BA">
            <w:pPr>
              <w:jc w:val="right"/>
              <w:rPr>
                <w:rFonts w:ascii="Calibri" w:hAnsi="Calibri"/>
                <w:color w:val="000000"/>
              </w:rPr>
            </w:pPr>
            <w:r>
              <w:rPr>
                <w:rFonts w:ascii="Calibri" w:hAnsi="Calibri"/>
                <w:color w:val="000000"/>
              </w:rPr>
              <w:t>0.74</w:t>
            </w:r>
          </w:p>
        </w:tc>
      </w:tr>
      <w:tr w:rsidR="00FC13BA" w:rsidRPr="001F0A60" w:rsidTr="00FC13BA">
        <w:trPr>
          <w:gridAfter w:val="1"/>
          <w:wAfter w:w="48" w:type="dxa"/>
          <w:trHeight w:val="251"/>
        </w:trPr>
        <w:tc>
          <w:tcPr>
            <w:tcW w:w="3059" w:type="dxa"/>
            <w:vAlign w:val="bottom"/>
          </w:tcPr>
          <w:p w:rsidR="00FC13BA" w:rsidRPr="00250C4F" w:rsidRDefault="00FC13BA" w:rsidP="00FC13BA">
            <w:pPr>
              <w:spacing w:before="100" w:after="100"/>
              <w:rPr>
                <w:rFonts w:ascii="Arial" w:hAnsi="Arial" w:cs="Arial"/>
                <w:sz w:val="20"/>
                <w:szCs w:val="20"/>
              </w:rPr>
            </w:pPr>
            <w:r w:rsidRPr="00250C4F">
              <w:rPr>
                <w:rFonts w:ascii="Arial" w:hAnsi="Arial" w:cs="Arial"/>
                <w:sz w:val="20"/>
                <w:szCs w:val="20"/>
              </w:rPr>
              <w:t>Hand Gun Carrying</w:t>
            </w:r>
          </w:p>
        </w:tc>
        <w:tc>
          <w:tcPr>
            <w:tcW w:w="892" w:type="dxa"/>
            <w:vAlign w:val="bottom"/>
          </w:tcPr>
          <w:p w:rsidR="00FC13BA" w:rsidRDefault="00FC13BA" w:rsidP="00FC13BA">
            <w:pPr>
              <w:jc w:val="right"/>
              <w:rPr>
                <w:rFonts w:ascii="Calibri" w:hAnsi="Calibri"/>
                <w:color w:val="000000"/>
              </w:rPr>
            </w:pPr>
            <w:r>
              <w:rPr>
                <w:rFonts w:ascii="Calibri" w:hAnsi="Calibri"/>
                <w:color w:val="000000"/>
              </w:rPr>
              <w:t>0.63</w:t>
            </w:r>
          </w:p>
        </w:tc>
        <w:tc>
          <w:tcPr>
            <w:tcW w:w="893" w:type="dxa"/>
            <w:vAlign w:val="bottom"/>
          </w:tcPr>
          <w:p w:rsidR="00FC13BA" w:rsidRDefault="00FC13BA" w:rsidP="00FC13BA">
            <w:pPr>
              <w:jc w:val="right"/>
              <w:rPr>
                <w:rFonts w:ascii="Calibri" w:hAnsi="Calibri"/>
                <w:color w:val="000000"/>
              </w:rPr>
            </w:pPr>
            <w:r>
              <w:rPr>
                <w:rFonts w:ascii="Calibri" w:hAnsi="Calibri"/>
                <w:color w:val="000000"/>
              </w:rPr>
              <w:t>0.68</w:t>
            </w:r>
          </w:p>
        </w:tc>
        <w:tc>
          <w:tcPr>
            <w:tcW w:w="893" w:type="dxa"/>
            <w:vAlign w:val="bottom"/>
          </w:tcPr>
          <w:p w:rsidR="00FC13BA" w:rsidRDefault="00FC13BA" w:rsidP="00FC13BA">
            <w:pPr>
              <w:jc w:val="right"/>
              <w:rPr>
                <w:rFonts w:ascii="Calibri" w:hAnsi="Calibri"/>
                <w:color w:val="000000"/>
              </w:rPr>
            </w:pPr>
            <w:r>
              <w:rPr>
                <w:rFonts w:ascii="Calibri" w:hAnsi="Calibri"/>
                <w:color w:val="000000"/>
              </w:rPr>
              <w:t>0.65</w:t>
            </w:r>
          </w:p>
        </w:tc>
        <w:tc>
          <w:tcPr>
            <w:tcW w:w="894" w:type="dxa"/>
            <w:vAlign w:val="bottom"/>
          </w:tcPr>
          <w:p w:rsidR="00FC13BA" w:rsidRDefault="00FC13BA" w:rsidP="00FC13BA">
            <w:pPr>
              <w:jc w:val="right"/>
              <w:rPr>
                <w:rFonts w:ascii="Calibri" w:hAnsi="Calibri"/>
                <w:color w:val="000000"/>
              </w:rPr>
            </w:pPr>
            <w:r>
              <w:rPr>
                <w:rFonts w:ascii="Calibri" w:hAnsi="Calibri"/>
                <w:color w:val="000000"/>
              </w:rPr>
              <w:t>0.67</w:t>
            </w:r>
          </w:p>
        </w:tc>
        <w:tc>
          <w:tcPr>
            <w:tcW w:w="893" w:type="dxa"/>
            <w:vAlign w:val="bottom"/>
          </w:tcPr>
          <w:p w:rsidR="00FC13BA" w:rsidRDefault="00FC13BA" w:rsidP="00FC13BA">
            <w:pPr>
              <w:jc w:val="right"/>
              <w:rPr>
                <w:rFonts w:ascii="Calibri" w:hAnsi="Calibri"/>
                <w:color w:val="000000"/>
              </w:rPr>
            </w:pPr>
            <w:r>
              <w:rPr>
                <w:rFonts w:ascii="Calibri" w:hAnsi="Calibri"/>
                <w:color w:val="000000"/>
              </w:rPr>
              <w:t>0.65</w:t>
            </w:r>
          </w:p>
        </w:tc>
        <w:tc>
          <w:tcPr>
            <w:tcW w:w="894" w:type="dxa"/>
            <w:vAlign w:val="bottom"/>
          </w:tcPr>
          <w:p w:rsidR="00FC13BA" w:rsidRDefault="00FC13BA" w:rsidP="00FC13BA">
            <w:pPr>
              <w:jc w:val="right"/>
              <w:rPr>
                <w:rFonts w:ascii="Calibri" w:hAnsi="Calibri"/>
                <w:color w:val="000000"/>
              </w:rPr>
            </w:pPr>
            <w:r>
              <w:rPr>
                <w:rFonts w:ascii="Calibri" w:hAnsi="Calibri"/>
                <w:color w:val="000000"/>
              </w:rPr>
              <w:t>0.60</w:t>
            </w:r>
          </w:p>
        </w:tc>
        <w:tc>
          <w:tcPr>
            <w:tcW w:w="894" w:type="dxa"/>
            <w:vAlign w:val="bottom"/>
          </w:tcPr>
          <w:p w:rsidR="00FC13BA" w:rsidRDefault="00FC13BA" w:rsidP="00FC13BA">
            <w:pPr>
              <w:jc w:val="right"/>
              <w:rPr>
                <w:rFonts w:ascii="Calibri" w:hAnsi="Calibri"/>
                <w:color w:val="000000"/>
              </w:rPr>
            </w:pPr>
            <w:r>
              <w:rPr>
                <w:rFonts w:ascii="Calibri" w:hAnsi="Calibri"/>
                <w:color w:val="000000"/>
              </w:rPr>
              <w:t>0.54</w:t>
            </w:r>
          </w:p>
        </w:tc>
      </w:tr>
      <w:tr w:rsidR="00FC13BA" w:rsidRPr="001F0A60" w:rsidTr="00FC13BA">
        <w:trPr>
          <w:gridAfter w:val="1"/>
          <w:wAfter w:w="48" w:type="dxa"/>
          <w:trHeight w:val="251"/>
        </w:trPr>
        <w:tc>
          <w:tcPr>
            <w:tcW w:w="3059" w:type="dxa"/>
            <w:vAlign w:val="bottom"/>
          </w:tcPr>
          <w:p w:rsidR="00FC13BA" w:rsidRPr="00124464" w:rsidRDefault="00FC13BA" w:rsidP="00FC13BA">
            <w:pPr>
              <w:spacing w:before="100" w:after="100"/>
              <w:rPr>
                <w:rFonts w:ascii="Arial" w:hAnsi="Arial" w:cs="Arial"/>
                <w:b/>
                <w:sz w:val="20"/>
                <w:szCs w:val="20"/>
              </w:rPr>
            </w:pPr>
            <w:r>
              <w:rPr>
                <w:rFonts w:ascii="Arial" w:hAnsi="Arial" w:cs="Arial"/>
                <w:b/>
                <w:sz w:val="20"/>
                <w:szCs w:val="20"/>
              </w:rPr>
              <w:t>SUDs</w:t>
            </w:r>
          </w:p>
        </w:tc>
        <w:tc>
          <w:tcPr>
            <w:tcW w:w="892" w:type="dxa"/>
            <w:vAlign w:val="bottom"/>
          </w:tcPr>
          <w:p w:rsidR="00FC13BA" w:rsidRPr="00A953D2" w:rsidRDefault="00FC13BA" w:rsidP="00FC13BA">
            <w:pPr>
              <w:spacing w:before="100" w:after="100"/>
              <w:jc w:val="center"/>
              <w:rPr>
                <w:rFonts w:ascii="Arial" w:hAnsi="Arial" w:cs="Arial"/>
                <w:color w:val="000000"/>
                <w:sz w:val="20"/>
                <w:szCs w:val="20"/>
              </w:rPr>
            </w:pPr>
          </w:p>
        </w:tc>
        <w:tc>
          <w:tcPr>
            <w:tcW w:w="893" w:type="dxa"/>
            <w:vAlign w:val="bottom"/>
          </w:tcPr>
          <w:p w:rsidR="00FC13BA" w:rsidRPr="00A953D2" w:rsidRDefault="00FC13BA" w:rsidP="00FC13BA">
            <w:pPr>
              <w:spacing w:before="100" w:after="100"/>
              <w:jc w:val="center"/>
              <w:rPr>
                <w:rFonts w:ascii="Arial" w:hAnsi="Arial" w:cs="Arial"/>
                <w:color w:val="000000"/>
                <w:sz w:val="20"/>
                <w:szCs w:val="20"/>
              </w:rPr>
            </w:pPr>
          </w:p>
        </w:tc>
        <w:tc>
          <w:tcPr>
            <w:tcW w:w="893" w:type="dxa"/>
            <w:vAlign w:val="bottom"/>
          </w:tcPr>
          <w:p w:rsidR="00FC13BA" w:rsidRPr="00A953D2" w:rsidRDefault="00FC13BA" w:rsidP="00FC13BA">
            <w:pPr>
              <w:spacing w:before="100" w:after="100"/>
              <w:jc w:val="center"/>
              <w:rPr>
                <w:rFonts w:ascii="Arial" w:hAnsi="Arial" w:cs="Arial"/>
                <w:color w:val="000000"/>
                <w:sz w:val="20"/>
                <w:szCs w:val="20"/>
              </w:rPr>
            </w:pPr>
          </w:p>
        </w:tc>
        <w:tc>
          <w:tcPr>
            <w:tcW w:w="894" w:type="dxa"/>
            <w:vAlign w:val="bottom"/>
          </w:tcPr>
          <w:p w:rsidR="00FC13BA" w:rsidRPr="00A953D2" w:rsidRDefault="00FC13BA" w:rsidP="00FC13BA">
            <w:pPr>
              <w:spacing w:before="100" w:after="100"/>
              <w:jc w:val="center"/>
              <w:rPr>
                <w:rFonts w:ascii="Arial" w:hAnsi="Arial" w:cs="Arial"/>
                <w:color w:val="000000"/>
                <w:sz w:val="20"/>
                <w:szCs w:val="20"/>
              </w:rPr>
            </w:pPr>
          </w:p>
        </w:tc>
        <w:tc>
          <w:tcPr>
            <w:tcW w:w="893" w:type="dxa"/>
            <w:vAlign w:val="bottom"/>
          </w:tcPr>
          <w:p w:rsidR="00FC13BA" w:rsidRPr="00A953D2" w:rsidRDefault="00FC13BA" w:rsidP="00FC13BA">
            <w:pPr>
              <w:spacing w:before="100" w:after="100"/>
              <w:jc w:val="center"/>
              <w:rPr>
                <w:rFonts w:ascii="Arial" w:hAnsi="Arial" w:cs="Arial"/>
                <w:color w:val="000000"/>
                <w:sz w:val="20"/>
                <w:szCs w:val="20"/>
              </w:rPr>
            </w:pPr>
          </w:p>
        </w:tc>
        <w:tc>
          <w:tcPr>
            <w:tcW w:w="894" w:type="dxa"/>
            <w:vAlign w:val="bottom"/>
          </w:tcPr>
          <w:p w:rsidR="00FC13BA" w:rsidRPr="00A953D2" w:rsidRDefault="00FC13BA" w:rsidP="00FC13BA">
            <w:pPr>
              <w:spacing w:before="100" w:after="100"/>
              <w:jc w:val="center"/>
              <w:rPr>
                <w:rFonts w:ascii="Arial" w:hAnsi="Arial" w:cs="Arial"/>
                <w:color w:val="000000"/>
                <w:sz w:val="20"/>
                <w:szCs w:val="20"/>
              </w:rPr>
            </w:pPr>
          </w:p>
        </w:tc>
        <w:tc>
          <w:tcPr>
            <w:tcW w:w="894" w:type="dxa"/>
            <w:vAlign w:val="bottom"/>
          </w:tcPr>
          <w:p w:rsidR="00FC13BA" w:rsidRPr="00A953D2" w:rsidRDefault="00FC13BA" w:rsidP="00FC13BA">
            <w:pPr>
              <w:spacing w:before="100" w:after="100"/>
              <w:jc w:val="center"/>
              <w:rPr>
                <w:rFonts w:ascii="Arial" w:hAnsi="Arial" w:cs="Arial"/>
                <w:color w:val="000000"/>
                <w:sz w:val="20"/>
                <w:szCs w:val="20"/>
              </w:rPr>
            </w:pPr>
          </w:p>
        </w:tc>
      </w:tr>
      <w:tr w:rsidR="00FC13BA" w:rsidRPr="001F0A60" w:rsidTr="00FC13BA">
        <w:trPr>
          <w:gridAfter w:val="1"/>
          <w:wAfter w:w="48" w:type="dxa"/>
          <w:trHeight w:val="251"/>
        </w:trPr>
        <w:tc>
          <w:tcPr>
            <w:tcW w:w="3059" w:type="dxa"/>
            <w:vAlign w:val="bottom"/>
          </w:tcPr>
          <w:p w:rsidR="00FC13BA" w:rsidRPr="004C4997" w:rsidRDefault="00FC13BA" w:rsidP="00FC13BA">
            <w:pPr>
              <w:spacing w:before="100" w:after="100"/>
              <w:rPr>
                <w:rFonts w:ascii="Arial" w:hAnsi="Arial" w:cs="Arial"/>
                <w:sz w:val="20"/>
                <w:szCs w:val="20"/>
              </w:rPr>
            </w:pPr>
            <w:r w:rsidRPr="004C4997">
              <w:rPr>
                <w:rFonts w:ascii="Arial" w:hAnsi="Arial" w:cs="Arial"/>
                <w:sz w:val="20"/>
                <w:szCs w:val="20"/>
              </w:rPr>
              <w:t xml:space="preserve">Alcohol </w:t>
            </w:r>
          </w:p>
        </w:tc>
        <w:tc>
          <w:tcPr>
            <w:tcW w:w="892" w:type="dxa"/>
            <w:vAlign w:val="bottom"/>
          </w:tcPr>
          <w:p w:rsidR="00FC13BA" w:rsidRDefault="00FC13BA" w:rsidP="00FC13BA">
            <w:pPr>
              <w:spacing w:before="100" w:after="100"/>
              <w:jc w:val="right"/>
              <w:rPr>
                <w:rFonts w:ascii="Calibri" w:hAnsi="Calibri"/>
                <w:color w:val="000000"/>
              </w:rPr>
            </w:pPr>
            <w:r>
              <w:rPr>
                <w:rFonts w:ascii="Calibri" w:hAnsi="Calibri"/>
                <w:color w:val="000000"/>
              </w:rPr>
              <w:t>0.68</w:t>
            </w:r>
          </w:p>
        </w:tc>
        <w:tc>
          <w:tcPr>
            <w:tcW w:w="893" w:type="dxa"/>
            <w:vAlign w:val="bottom"/>
          </w:tcPr>
          <w:p w:rsidR="00FC13BA" w:rsidRDefault="00FC13BA" w:rsidP="00FC13BA">
            <w:pPr>
              <w:spacing w:before="100" w:after="100"/>
              <w:jc w:val="right"/>
              <w:rPr>
                <w:rFonts w:ascii="Calibri" w:hAnsi="Calibri"/>
                <w:color w:val="000000"/>
              </w:rPr>
            </w:pPr>
            <w:r>
              <w:rPr>
                <w:rFonts w:ascii="Calibri" w:hAnsi="Calibri"/>
                <w:color w:val="000000"/>
              </w:rPr>
              <w:t>0.67</w:t>
            </w:r>
          </w:p>
        </w:tc>
        <w:tc>
          <w:tcPr>
            <w:tcW w:w="893" w:type="dxa"/>
            <w:vAlign w:val="bottom"/>
          </w:tcPr>
          <w:p w:rsidR="00FC13BA" w:rsidRDefault="00FC13BA" w:rsidP="00FC13BA">
            <w:pPr>
              <w:spacing w:before="100" w:after="100"/>
              <w:jc w:val="right"/>
              <w:rPr>
                <w:rFonts w:ascii="Calibri" w:hAnsi="Calibri"/>
                <w:color w:val="000000"/>
              </w:rPr>
            </w:pPr>
            <w:r>
              <w:rPr>
                <w:rFonts w:ascii="Calibri" w:hAnsi="Calibri"/>
                <w:color w:val="000000"/>
              </w:rPr>
              <w:t>0.68</w:t>
            </w:r>
          </w:p>
        </w:tc>
        <w:tc>
          <w:tcPr>
            <w:tcW w:w="894" w:type="dxa"/>
            <w:vAlign w:val="bottom"/>
          </w:tcPr>
          <w:p w:rsidR="00FC13BA" w:rsidRDefault="00FC13BA" w:rsidP="00FC13BA">
            <w:pPr>
              <w:spacing w:before="100" w:after="100"/>
              <w:jc w:val="right"/>
              <w:rPr>
                <w:rFonts w:ascii="Calibri" w:hAnsi="Calibri"/>
                <w:color w:val="000000"/>
              </w:rPr>
            </w:pPr>
            <w:r>
              <w:rPr>
                <w:rFonts w:ascii="Calibri" w:hAnsi="Calibri"/>
                <w:color w:val="000000"/>
              </w:rPr>
              <w:t>0.68</w:t>
            </w:r>
          </w:p>
        </w:tc>
        <w:tc>
          <w:tcPr>
            <w:tcW w:w="893" w:type="dxa"/>
            <w:vAlign w:val="bottom"/>
          </w:tcPr>
          <w:p w:rsidR="00FC13BA" w:rsidRDefault="00FC13BA" w:rsidP="00FC13BA">
            <w:pPr>
              <w:spacing w:before="100" w:after="100"/>
              <w:jc w:val="right"/>
              <w:rPr>
                <w:rFonts w:ascii="Calibri" w:hAnsi="Calibri"/>
                <w:color w:val="000000"/>
              </w:rPr>
            </w:pPr>
            <w:r>
              <w:rPr>
                <w:rFonts w:ascii="Calibri" w:hAnsi="Calibri"/>
                <w:color w:val="000000"/>
              </w:rPr>
              <w:t>0.69</w:t>
            </w:r>
          </w:p>
        </w:tc>
        <w:tc>
          <w:tcPr>
            <w:tcW w:w="894" w:type="dxa"/>
            <w:vAlign w:val="bottom"/>
          </w:tcPr>
          <w:p w:rsidR="00FC13BA" w:rsidRDefault="00FC13BA" w:rsidP="00FC13BA">
            <w:pPr>
              <w:spacing w:before="100" w:after="100"/>
              <w:jc w:val="right"/>
              <w:rPr>
                <w:rFonts w:ascii="Calibri" w:hAnsi="Calibri"/>
                <w:color w:val="000000"/>
              </w:rPr>
            </w:pPr>
            <w:r>
              <w:rPr>
                <w:rFonts w:ascii="Calibri" w:hAnsi="Calibri"/>
                <w:color w:val="000000"/>
              </w:rPr>
              <w:t>0.71</w:t>
            </w:r>
          </w:p>
        </w:tc>
        <w:tc>
          <w:tcPr>
            <w:tcW w:w="894" w:type="dxa"/>
            <w:vAlign w:val="bottom"/>
          </w:tcPr>
          <w:p w:rsidR="00FC13BA" w:rsidRDefault="00FC13BA" w:rsidP="00FC13BA">
            <w:pPr>
              <w:spacing w:before="100" w:after="100"/>
              <w:jc w:val="right"/>
              <w:rPr>
                <w:rFonts w:ascii="Calibri" w:hAnsi="Calibri"/>
                <w:color w:val="000000"/>
              </w:rPr>
            </w:pPr>
            <w:r>
              <w:rPr>
                <w:rFonts w:ascii="Calibri" w:hAnsi="Calibri"/>
                <w:color w:val="000000"/>
              </w:rPr>
              <w:t>0.66</w:t>
            </w:r>
          </w:p>
        </w:tc>
      </w:tr>
      <w:tr w:rsidR="00FC13BA" w:rsidRPr="001F0A60" w:rsidTr="00FC13BA">
        <w:trPr>
          <w:gridAfter w:val="1"/>
          <w:wAfter w:w="48" w:type="dxa"/>
          <w:trHeight w:val="251"/>
        </w:trPr>
        <w:tc>
          <w:tcPr>
            <w:tcW w:w="3059" w:type="dxa"/>
            <w:vAlign w:val="bottom"/>
          </w:tcPr>
          <w:p w:rsidR="00FC13BA" w:rsidRPr="004C4997" w:rsidRDefault="00FC13BA" w:rsidP="00FC13BA">
            <w:pPr>
              <w:spacing w:before="100" w:after="100"/>
              <w:rPr>
                <w:rFonts w:ascii="Arial" w:hAnsi="Arial" w:cs="Arial"/>
                <w:sz w:val="20"/>
                <w:szCs w:val="20"/>
              </w:rPr>
            </w:pPr>
            <w:r w:rsidRPr="004C4997">
              <w:rPr>
                <w:rFonts w:ascii="Arial" w:hAnsi="Arial" w:cs="Arial"/>
                <w:sz w:val="20"/>
                <w:szCs w:val="20"/>
              </w:rPr>
              <w:t>Nicotine</w:t>
            </w:r>
          </w:p>
        </w:tc>
        <w:tc>
          <w:tcPr>
            <w:tcW w:w="892" w:type="dxa"/>
            <w:vAlign w:val="bottom"/>
          </w:tcPr>
          <w:p w:rsidR="00FC13BA" w:rsidRDefault="00FC13BA" w:rsidP="00FC13BA">
            <w:pPr>
              <w:spacing w:before="100" w:after="100"/>
              <w:jc w:val="right"/>
              <w:rPr>
                <w:rFonts w:ascii="Calibri" w:hAnsi="Calibri"/>
                <w:color w:val="000000"/>
              </w:rPr>
            </w:pPr>
            <w:r>
              <w:rPr>
                <w:rFonts w:ascii="Calibri" w:hAnsi="Calibri"/>
                <w:color w:val="000000"/>
              </w:rPr>
              <w:t>0.80</w:t>
            </w:r>
          </w:p>
        </w:tc>
        <w:tc>
          <w:tcPr>
            <w:tcW w:w="893" w:type="dxa"/>
            <w:vAlign w:val="bottom"/>
          </w:tcPr>
          <w:p w:rsidR="00FC13BA" w:rsidRDefault="00FC13BA" w:rsidP="00FC13BA">
            <w:pPr>
              <w:spacing w:before="100" w:after="100"/>
              <w:jc w:val="right"/>
              <w:rPr>
                <w:rFonts w:ascii="Calibri" w:hAnsi="Calibri"/>
                <w:color w:val="000000"/>
              </w:rPr>
            </w:pPr>
            <w:r>
              <w:rPr>
                <w:rFonts w:ascii="Calibri" w:hAnsi="Calibri"/>
                <w:color w:val="000000"/>
              </w:rPr>
              <w:t>0.79</w:t>
            </w:r>
          </w:p>
        </w:tc>
        <w:tc>
          <w:tcPr>
            <w:tcW w:w="893" w:type="dxa"/>
            <w:vAlign w:val="bottom"/>
          </w:tcPr>
          <w:p w:rsidR="00FC13BA" w:rsidRDefault="00FC13BA" w:rsidP="00FC13BA">
            <w:pPr>
              <w:spacing w:before="100" w:after="100"/>
              <w:jc w:val="right"/>
              <w:rPr>
                <w:rFonts w:ascii="Calibri" w:hAnsi="Calibri"/>
                <w:color w:val="000000"/>
              </w:rPr>
            </w:pPr>
            <w:r>
              <w:rPr>
                <w:rFonts w:ascii="Calibri" w:hAnsi="Calibri"/>
                <w:color w:val="000000"/>
              </w:rPr>
              <w:t>0.80</w:t>
            </w:r>
          </w:p>
        </w:tc>
        <w:tc>
          <w:tcPr>
            <w:tcW w:w="894" w:type="dxa"/>
            <w:vAlign w:val="bottom"/>
          </w:tcPr>
          <w:p w:rsidR="00FC13BA" w:rsidRDefault="00FC13BA" w:rsidP="00FC13BA">
            <w:pPr>
              <w:spacing w:before="100" w:after="100"/>
              <w:jc w:val="right"/>
              <w:rPr>
                <w:rFonts w:ascii="Calibri" w:hAnsi="Calibri"/>
                <w:color w:val="000000"/>
              </w:rPr>
            </w:pPr>
            <w:r>
              <w:rPr>
                <w:rFonts w:ascii="Calibri" w:hAnsi="Calibri"/>
                <w:color w:val="000000"/>
              </w:rPr>
              <w:t>0.81</w:t>
            </w:r>
          </w:p>
        </w:tc>
        <w:tc>
          <w:tcPr>
            <w:tcW w:w="893" w:type="dxa"/>
            <w:vAlign w:val="bottom"/>
          </w:tcPr>
          <w:p w:rsidR="00FC13BA" w:rsidRDefault="00FC13BA" w:rsidP="00FC13BA">
            <w:pPr>
              <w:spacing w:before="100" w:after="100"/>
              <w:jc w:val="right"/>
              <w:rPr>
                <w:rFonts w:ascii="Calibri" w:hAnsi="Calibri"/>
                <w:color w:val="000000"/>
              </w:rPr>
            </w:pPr>
            <w:r>
              <w:rPr>
                <w:rFonts w:ascii="Calibri" w:hAnsi="Calibri"/>
                <w:color w:val="000000"/>
              </w:rPr>
              <w:t>0.81</w:t>
            </w:r>
          </w:p>
        </w:tc>
        <w:tc>
          <w:tcPr>
            <w:tcW w:w="894" w:type="dxa"/>
            <w:vAlign w:val="bottom"/>
          </w:tcPr>
          <w:p w:rsidR="00FC13BA" w:rsidRDefault="00FC13BA" w:rsidP="00FC13BA">
            <w:pPr>
              <w:spacing w:before="100" w:after="100"/>
              <w:jc w:val="right"/>
              <w:rPr>
                <w:rFonts w:ascii="Calibri" w:hAnsi="Calibri"/>
                <w:color w:val="000000"/>
              </w:rPr>
            </w:pPr>
            <w:r>
              <w:rPr>
                <w:rFonts w:ascii="Calibri" w:hAnsi="Calibri"/>
                <w:color w:val="000000"/>
              </w:rPr>
              <w:t>0.79</w:t>
            </w:r>
          </w:p>
        </w:tc>
        <w:tc>
          <w:tcPr>
            <w:tcW w:w="894" w:type="dxa"/>
            <w:vAlign w:val="bottom"/>
          </w:tcPr>
          <w:p w:rsidR="00FC13BA" w:rsidRDefault="00FC13BA" w:rsidP="00FC13BA">
            <w:pPr>
              <w:spacing w:before="100" w:after="100"/>
              <w:jc w:val="right"/>
              <w:rPr>
                <w:rFonts w:ascii="Calibri" w:hAnsi="Calibri"/>
                <w:color w:val="000000"/>
              </w:rPr>
            </w:pPr>
            <w:r>
              <w:rPr>
                <w:rFonts w:ascii="Calibri" w:hAnsi="Calibri"/>
                <w:color w:val="000000"/>
              </w:rPr>
              <w:t>0.81</w:t>
            </w:r>
          </w:p>
        </w:tc>
      </w:tr>
      <w:tr w:rsidR="00FC13BA" w:rsidRPr="001F0A60" w:rsidTr="00FC13BA">
        <w:trPr>
          <w:gridAfter w:val="1"/>
          <w:wAfter w:w="48" w:type="dxa"/>
          <w:trHeight w:val="251"/>
        </w:trPr>
        <w:tc>
          <w:tcPr>
            <w:tcW w:w="3059" w:type="dxa"/>
            <w:vAlign w:val="bottom"/>
          </w:tcPr>
          <w:p w:rsidR="00FC13BA" w:rsidRPr="004C4997" w:rsidRDefault="00FC13BA" w:rsidP="00FC13BA">
            <w:pPr>
              <w:spacing w:before="100" w:after="100"/>
              <w:rPr>
                <w:rFonts w:ascii="Arial" w:hAnsi="Arial" w:cs="Arial"/>
                <w:sz w:val="20"/>
                <w:szCs w:val="20"/>
              </w:rPr>
            </w:pPr>
            <w:r w:rsidRPr="004C4997">
              <w:rPr>
                <w:rFonts w:ascii="Arial" w:hAnsi="Arial" w:cs="Arial"/>
                <w:sz w:val="20"/>
                <w:szCs w:val="20"/>
              </w:rPr>
              <w:t>Marijuana</w:t>
            </w:r>
          </w:p>
        </w:tc>
        <w:tc>
          <w:tcPr>
            <w:tcW w:w="892" w:type="dxa"/>
            <w:vAlign w:val="bottom"/>
          </w:tcPr>
          <w:p w:rsidR="00FC13BA" w:rsidRDefault="00FC13BA" w:rsidP="00FC13BA">
            <w:pPr>
              <w:spacing w:before="100" w:after="100"/>
              <w:jc w:val="right"/>
              <w:rPr>
                <w:rFonts w:ascii="Calibri" w:hAnsi="Calibri"/>
                <w:color w:val="000000"/>
              </w:rPr>
            </w:pPr>
            <w:r>
              <w:rPr>
                <w:rFonts w:ascii="Calibri" w:hAnsi="Calibri"/>
                <w:color w:val="000000"/>
              </w:rPr>
              <w:t>0.84</w:t>
            </w:r>
          </w:p>
        </w:tc>
        <w:tc>
          <w:tcPr>
            <w:tcW w:w="893" w:type="dxa"/>
            <w:vAlign w:val="bottom"/>
          </w:tcPr>
          <w:p w:rsidR="00FC13BA" w:rsidRDefault="00FC13BA" w:rsidP="00FC13BA">
            <w:pPr>
              <w:spacing w:before="100" w:after="100"/>
              <w:jc w:val="right"/>
              <w:rPr>
                <w:rFonts w:ascii="Calibri" w:hAnsi="Calibri"/>
                <w:color w:val="000000"/>
              </w:rPr>
            </w:pPr>
            <w:r>
              <w:rPr>
                <w:rFonts w:ascii="Calibri" w:hAnsi="Calibri"/>
                <w:color w:val="000000"/>
              </w:rPr>
              <w:t>0.87</w:t>
            </w:r>
          </w:p>
        </w:tc>
        <w:tc>
          <w:tcPr>
            <w:tcW w:w="893" w:type="dxa"/>
            <w:vAlign w:val="bottom"/>
          </w:tcPr>
          <w:p w:rsidR="00FC13BA" w:rsidRDefault="00FC13BA" w:rsidP="00FC13BA">
            <w:pPr>
              <w:spacing w:before="100" w:after="100"/>
              <w:jc w:val="right"/>
              <w:rPr>
                <w:rFonts w:ascii="Calibri" w:hAnsi="Calibri"/>
                <w:color w:val="000000"/>
              </w:rPr>
            </w:pPr>
            <w:r>
              <w:rPr>
                <w:rFonts w:ascii="Calibri" w:hAnsi="Calibri"/>
                <w:color w:val="000000"/>
              </w:rPr>
              <w:t>0.84</w:t>
            </w:r>
          </w:p>
        </w:tc>
        <w:tc>
          <w:tcPr>
            <w:tcW w:w="894" w:type="dxa"/>
            <w:vAlign w:val="bottom"/>
          </w:tcPr>
          <w:p w:rsidR="00FC13BA" w:rsidRDefault="00FC13BA" w:rsidP="00FC13BA">
            <w:pPr>
              <w:spacing w:before="100" w:after="100"/>
              <w:jc w:val="right"/>
              <w:rPr>
                <w:rFonts w:ascii="Calibri" w:hAnsi="Calibri"/>
                <w:color w:val="000000"/>
              </w:rPr>
            </w:pPr>
            <w:r>
              <w:rPr>
                <w:rFonts w:ascii="Calibri" w:hAnsi="Calibri"/>
                <w:color w:val="000000"/>
              </w:rPr>
              <w:t>0.85</w:t>
            </w:r>
          </w:p>
        </w:tc>
        <w:tc>
          <w:tcPr>
            <w:tcW w:w="893" w:type="dxa"/>
            <w:vAlign w:val="bottom"/>
          </w:tcPr>
          <w:p w:rsidR="00FC13BA" w:rsidRDefault="00FC13BA" w:rsidP="00FC13BA">
            <w:pPr>
              <w:spacing w:before="100" w:after="100"/>
              <w:jc w:val="right"/>
              <w:rPr>
                <w:rFonts w:ascii="Calibri" w:hAnsi="Calibri"/>
                <w:color w:val="000000"/>
              </w:rPr>
            </w:pPr>
            <w:r>
              <w:rPr>
                <w:rFonts w:ascii="Calibri" w:hAnsi="Calibri"/>
                <w:color w:val="000000"/>
              </w:rPr>
              <w:t>0.83</w:t>
            </w:r>
          </w:p>
        </w:tc>
        <w:tc>
          <w:tcPr>
            <w:tcW w:w="894" w:type="dxa"/>
            <w:vAlign w:val="bottom"/>
          </w:tcPr>
          <w:p w:rsidR="00FC13BA" w:rsidRDefault="00FC13BA" w:rsidP="00FC13BA">
            <w:pPr>
              <w:spacing w:before="100" w:after="100"/>
              <w:jc w:val="right"/>
              <w:rPr>
                <w:rFonts w:ascii="Calibri" w:hAnsi="Calibri"/>
                <w:color w:val="000000"/>
              </w:rPr>
            </w:pPr>
            <w:r>
              <w:rPr>
                <w:rFonts w:ascii="Calibri" w:hAnsi="Calibri"/>
                <w:color w:val="000000"/>
              </w:rPr>
              <w:t>0.81</w:t>
            </w:r>
          </w:p>
        </w:tc>
        <w:tc>
          <w:tcPr>
            <w:tcW w:w="894" w:type="dxa"/>
            <w:vAlign w:val="bottom"/>
          </w:tcPr>
          <w:p w:rsidR="00FC13BA" w:rsidRDefault="00FC13BA" w:rsidP="00FC13BA">
            <w:pPr>
              <w:spacing w:before="100" w:after="100"/>
              <w:jc w:val="right"/>
              <w:rPr>
                <w:rFonts w:ascii="Calibri" w:hAnsi="Calibri"/>
                <w:color w:val="000000"/>
              </w:rPr>
            </w:pPr>
            <w:r>
              <w:rPr>
                <w:rFonts w:ascii="Calibri" w:hAnsi="Calibri"/>
                <w:color w:val="000000"/>
              </w:rPr>
              <w:t>0.81</w:t>
            </w:r>
          </w:p>
        </w:tc>
      </w:tr>
      <w:tr w:rsidR="00FC13BA" w:rsidRPr="001F0A60" w:rsidTr="00FC13BA">
        <w:trPr>
          <w:gridAfter w:val="1"/>
          <w:wAfter w:w="48" w:type="dxa"/>
          <w:trHeight w:val="251"/>
        </w:trPr>
        <w:tc>
          <w:tcPr>
            <w:tcW w:w="3059" w:type="dxa"/>
            <w:vAlign w:val="bottom"/>
          </w:tcPr>
          <w:p w:rsidR="00FC13BA" w:rsidRPr="004C4997" w:rsidRDefault="00FC13BA" w:rsidP="00FC13BA">
            <w:pPr>
              <w:spacing w:before="100" w:after="100"/>
              <w:rPr>
                <w:rFonts w:ascii="Arial" w:hAnsi="Arial" w:cs="Arial"/>
                <w:sz w:val="20"/>
                <w:szCs w:val="20"/>
              </w:rPr>
            </w:pPr>
            <w:r w:rsidRPr="004C4997">
              <w:rPr>
                <w:rFonts w:ascii="Arial" w:hAnsi="Arial" w:cs="Arial"/>
                <w:sz w:val="20"/>
                <w:szCs w:val="20"/>
              </w:rPr>
              <w:t>Analgesics</w:t>
            </w:r>
          </w:p>
        </w:tc>
        <w:tc>
          <w:tcPr>
            <w:tcW w:w="892" w:type="dxa"/>
            <w:vAlign w:val="bottom"/>
          </w:tcPr>
          <w:p w:rsidR="00FC13BA" w:rsidRDefault="00FC13BA" w:rsidP="00FC13BA">
            <w:pPr>
              <w:spacing w:before="100" w:after="100"/>
              <w:jc w:val="right"/>
              <w:rPr>
                <w:rFonts w:ascii="Calibri" w:hAnsi="Calibri"/>
                <w:color w:val="000000"/>
              </w:rPr>
            </w:pPr>
            <w:r>
              <w:rPr>
                <w:rFonts w:ascii="Calibri" w:hAnsi="Calibri"/>
                <w:color w:val="000000"/>
              </w:rPr>
              <w:t>0.81</w:t>
            </w:r>
          </w:p>
        </w:tc>
        <w:tc>
          <w:tcPr>
            <w:tcW w:w="893" w:type="dxa"/>
            <w:vAlign w:val="bottom"/>
          </w:tcPr>
          <w:p w:rsidR="00FC13BA" w:rsidRDefault="00FC13BA" w:rsidP="00FC13BA">
            <w:pPr>
              <w:spacing w:before="100" w:after="100"/>
              <w:jc w:val="right"/>
              <w:rPr>
                <w:rFonts w:ascii="Calibri" w:hAnsi="Calibri"/>
                <w:color w:val="000000"/>
              </w:rPr>
            </w:pPr>
            <w:r>
              <w:rPr>
                <w:rFonts w:ascii="Calibri" w:hAnsi="Calibri"/>
                <w:color w:val="000000"/>
              </w:rPr>
              <w:t>0.78</w:t>
            </w:r>
          </w:p>
        </w:tc>
        <w:tc>
          <w:tcPr>
            <w:tcW w:w="893" w:type="dxa"/>
            <w:vAlign w:val="bottom"/>
          </w:tcPr>
          <w:p w:rsidR="00FC13BA" w:rsidRDefault="00FC13BA" w:rsidP="00FC13BA">
            <w:pPr>
              <w:spacing w:before="100" w:after="100"/>
              <w:jc w:val="right"/>
              <w:rPr>
                <w:rFonts w:ascii="Calibri" w:hAnsi="Calibri"/>
                <w:color w:val="000000"/>
              </w:rPr>
            </w:pPr>
            <w:r>
              <w:rPr>
                <w:rFonts w:ascii="Calibri" w:hAnsi="Calibri"/>
                <w:color w:val="000000"/>
              </w:rPr>
              <w:t>0.80</w:t>
            </w:r>
          </w:p>
        </w:tc>
        <w:tc>
          <w:tcPr>
            <w:tcW w:w="894" w:type="dxa"/>
            <w:vAlign w:val="bottom"/>
          </w:tcPr>
          <w:p w:rsidR="00FC13BA" w:rsidRDefault="00FC13BA" w:rsidP="00FC13BA">
            <w:pPr>
              <w:spacing w:before="100" w:after="100"/>
              <w:jc w:val="right"/>
              <w:rPr>
                <w:rFonts w:ascii="Calibri" w:hAnsi="Calibri"/>
                <w:color w:val="000000"/>
              </w:rPr>
            </w:pPr>
            <w:r>
              <w:rPr>
                <w:rFonts w:ascii="Calibri" w:hAnsi="Calibri"/>
                <w:color w:val="000000"/>
              </w:rPr>
              <w:t>0.82</w:t>
            </w:r>
          </w:p>
        </w:tc>
        <w:tc>
          <w:tcPr>
            <w:tcW w:w="893" w:type="dxa"/>
            <w:vAlign w:val="bottom"/>
          </w:tcPr>
          <w:p w:rsidR="00FC13BA" w:rsidRDefault="00FC13BA" w:rsidP="00FC13BA">
            <w:pPr>
              <w:spacing w:before="100" w:after="100"/>
              <w:jc w:val="right"/>
              <w:rPr>
                <w:rFonts w:ascii="Calibri" w:hAnsi="Calibri"/>
                <w:color w:val="000000"/>
              </w:rPr>
            </w:pPr>
            <w:r>
              <w:rPr>
                <w:rFonts w:ascii="Calibri" w:hAnsi="Calibri"/>
                <w:color w:val="000000"/>
              </w:rPr>
              <w:t>0.83</w:t>
            </w:r>
          </w:p>
        </w:tc>
        <w:tc>
          <w:tcPr>
            <w:tcW w:w="894" w:type="dxa"/>
            <w:vAlign w:val="bottom"/>
          </w:tcPr>
          <w:p w:rsidR="00FC13BA" w:rsidRDefault="00FC13BA" w:rsidP="00FC13BA">
            <w:pPr>
              <w:spacing w:before="100" w:after="100"/>
              <w:jc w:val="right"/>
              <w:rPr>
                <w:rFonts w:ascii="Calibri" w:hAnsi="Calibri"/>
                <w:color w:val="000000"/>
              </w:rPr>
            </w:pPr>
            <w:r>
              <w:rPr>
                <w:rFonts w:ascii="Calibri" w:hAnsi="Calibri"/>
                <w:color w:val="000000"/>
              </w:rPr>
              <w:t>0.82</w:t>
            </w:r>
          </w:p>
        </w:tc>
        <w:tc>
          <w:tcPr>
            <w:tcW w:w="894" w:type="dxa"/>
            <w:vAlign w:val="bottom"/>
          </w:tcPr>
          <w:p w:rsidR="00FC13BA" w:rsidRDefault="00FC13BA" w:rsidP="00FC13BA">
            <w:pPr>
              <w:spacing w:before="100" w:after="100"/>
              <w:jc w:val="right"/>
              <w:rPr>
                <w:rFonts w:ascii="Calibri" w:hAnsi="Calibri"/>
                <w:color w:val="000000"/>
              </w:rPr>
            </w:pPr>
            <w:r>
              <w:rPr>
                <w:rFonts w:ascii="Calibri" w:hAnsi="Calibri"/>
                <w:color w:val="000000"/>
              </w:rPr>
              <w:t>0.79</w:t>
            </w:r>
          </w:p>
        </w:tc>
      </w:tr>
      <w:tr w:rsidR="00FC13BA" w:rsidRPr="001F0A60" w:rsidTr="00FC13BA">
        <w:trPr>
          <w:gridAfter w:val="1"/>
          <w:wAfter w:w="48" w:type="dxa"/>
          <w:trHeight w:val="251"/>
        </w:trPr>
        <w:tc>
          <w:tcPr>
            <w:tcW w:w="3059" w:type="dxa"/>
            <w:vAlign w:val="bottom"/>
          </w:tcPr>
          <w:p w:rsidR="00FC13BA" w:rsidRPr="004C4997" w:rsidRDefault="00FC13BA" w:rsidP="00FC13BA">
            <w:pPr>
              <w:spacing w:before="100" w:after="100"/>
              <w:rPr>
                <w:rFonts w:ascii="Arial" w:hAnsi="Arial" w:cs="Arial"/>
                <w:sz w:val="20"/>
                <w:szCs w:val="20"/>
              </w:rPr>
            </w:pPr>
            <w:r w:rsidRPr="004C4997">
              <w:rPr>
                <w:rFonts w:ascii="Arial" w:hAnsi="Arial" w:cs="Arial"/>
                <w:sz w:val="20"/>
                <w:szCs w:val="20"/>
              </w:rPr>
              <w:t>Other Non-Prescription Drugs</w:t>
            </w:r>
          </w:p>
        </w:tc>
        <w:tc>
          <w:tcPr>
            <w:tcW w:w="892" w:type="dxa"/>
            <w:vAlign w:val="bottom"/>
          </w:tcPr>
          <w:p w:rsidR="00FC13BA" w:rsidRDefault="00FC13BA" w:rsidP="00FC13BA">
            <w:pPr>
              <w:spacing w:before="100" w:after="100"/>
              <w:jc w:val="right"/>
              <w:rPr>
                <w:rFonts w:ascii="Calibri" w:hAnsi="Calibri"/>
                <w:color w:val="000000"/>
              </w:rPr>
            </w:pPr>
            <w:r>
              <w:rPr>
                <w:rFonts w:ascii="Calibri" w:hAnsi="Calibri"/>
                <w:color w:val="000000"/>
              </w:rPr>
              <w:t>0.85</w:t>
            </w:r>
          </w:p>
        </w:tc>
        <w:tc>
          <w:tcPr>
            <w:tcW w:w="893" w:type="dxa"/>
            <w:vAlign w:val="bottom"/>
          </w:tcPr>
          <w:p w:rsidR="00FC13BA" w:rsidRDefault="00FC13BA" w:rsidP="00FC13BA">
            <w:pPr>
              <w:spacing w:before="100" w:after="100"/>
              <w:jc w:val="right"/>
              <w:rPr>
                <w:rFonts w:ascii="Calibri" w:hAnsi="Calibri"/>
                <w:color w:val="000000"/>
              </w:rPr>
            </w:pPr>
            <w:r>
              <w:rPr>
                <w:rFonts w:ascii="Calibri" w:hAnsi="Calibri"/>
                <w:color w:val="000000"/>
              </w:rPr>
              <w:t>0.85</w:t>
            </w:r>
          </w:p>
        </w:tc>
        <w:tc>
          <w:tcPr>
            <w:tcW w:w="893" w:type="dxa"/>
            <w:vAlign w:val="bottom"/>
          </w:tcPr>
          <w:p w:rsidR="00FC13BA" w:rsidRDefault="00FC13BA" w:rsidP="00FC13BA">
            <w:pPr>
              <w:spacing w:before="100" w:after="100"/>
              <w:jc w:val="right"/>
              <w:rPr>
                <w:rFonts w:ascii="Calibri" w:hAnsi="Calibri"/>
                <w:color w:val="000000"/>
              </w:rPr>
            </w:pPr>
            <w:r>
              <w:rPr>
                <w:rFonts w:ascii="Calibri" w:hAnsi="Calibri"/>
                <w:color w:val="000000"/>
              </w:rPr>
              <w:t>0.86</w:t>
            </w:r>
          </w:p>
        </w:tc>
        <w:tc>
          <w:tcPr>
            <w:tcW w:w="894" w:type="dxa"/>
            <w:vAlign w:val="bottom"/>
          </w:tcPr>
          <w:p w:rsidR="00FC13BA" w:rsidRDefault="00FC13BA" w:rsidP="00FC13BA">
            <w:pPr>
              <w:spacing w:before="100" w:after="100"/>
              <w:jc w:val="right"/>
              <w:rPr>
                <w:rFonts w:ascii="Calibri" w:hAnsi="Calibri"/>
                <w:color w:val="000000"/>
              </w:rPr>
            </w:pPr>
            <w:r>
              <w:rPr>
                <w:rFonts w:ascii="Calibri" w:hAnsi="Calibri"/>
                <w:color w:val="000000"/>
              </w:rPr>
              <w:t>0.82</w:t>
            </w:r>
          </w:p>
        </w:tc>
        <w:tc>
          <w:tcPr>
            <w:tcW w:w="893" w:type="dxa"/>
            <w:vAlign w:val="bottom"/>
          </w:tcPr>
          <w:p w:rsidR="00FC13BA" w:rsidRDefault="00FC13BA" w:rsidP="00FC13BA">
            <w:pPr>
              <w:spacing w:before="100" w:after="100"/>
              <w:jc w:val="right"/>
              <w:rPr>
                <w:rFonts w:ascii="Calibri" w:hAnsi="Calibri"/>
                <w:color w:val="000000"/>
              </w:rPr>
            </w:pPr>
            <w:r>
              <w:rPr>
                <w:rFonts w:ascii="Calibri" w:hAnsi="Calibri"/>
                <w:color w:val="000000"/>
              </w:rPr>
              <w:t>0.87</w:t>
            </w:r>
          </w:p>
        </w:tc>
        <w:tc>
          <w:tcPr>
            <w:tcW w:w="894" w:type="dxa"/>
            <w:vAlign w:val="bottom"/>
          </w:tcPr>
          <w:p w:rsidR="00FC13BA" w:rsidRDefault="00FC13BA" w:rsidP="00FC13BA">
            <w:pPr>
              <w:spacing w:before="100" w:after="100"/>
              <w:jc w:val="right"/>
              <w:rPr>
                <w:rFonts w:ascii="Calibri" w:hAnsi="Calibri"/>
                <w:color w:val="000000"/>
              </w:rPr>
            </w:pPr>
            <w:r>
              <w:rPr>
                <w:rFonts w:ascii="Calibri" w:hAnsi="Calibri"/>
                <w:color w:val="000000"/>
              </w:rPr>
              <w:t>0.90</w:t>
            </w:r>
          </w:p>
        </w:tc>
        <w:tc>
          <w:tcPr>
            <w:tcW w:w="894" w:type="dxa"/>
            <w:vAlign w:val="bottom"/>
          </w:tcPr>
          <w:p w:rsidR="00FC13BA" w:rsidRDefault="00FC13BA" w:rsidP="00FC13BA">
            <w:pPr>
              <w:spacing w:before="100" w:after="100"/>
              <w:jc w:val="right"/>
              <w:rPr>
                <w:rFonts w:ascii="Calibri" w:hAnsi="Calibri"/>
                <w:color w:val="000000"/>
              </w:rPr>
            </w:pPr>
            <w:r>
              <w:rPr>
                <w:rFonts w:ascii="Calibri" w:hAnsi="Calibri"/>
                <w:color w:val="000000"/>
              </w:rPr>
              <w:t>0.82</w:t>
            </w:r>
          </w:p>
        </w:tc>
      </w:tr>
      <w:tr w:rsidR="00FC13BA" w:rsidRPr="001F0A60" w:rsidTr="00FC13BA">
        <w:trPr>
          <w:gridAfter w:val="1"/>
          <w:wAfter w:w="48" w:type="dxa"/>
          <w:trHeight w:val="251"/>
        </w:trPr>
        <w:tc>
          <w:tcPr>
            <w:tcW w:w="3059" w:type="dxa"/>
            <w:vAlign w:val="bottom"/>
          </w:tcPr>
          <w:p w:rsidR="00FC13BA" w:rsidRPr="004C4997" w:rsidRDefault="00FC13BA" w:rsidP="00FC13BA">
            <w:pPr>
              <w:spacing w:before="100" w:after="100"/>
              <w:rPr>
                <w:rFonts w:ascii="Arial" w:hAnsi="Arial" w:cs="Arial"/>
                <w:sz w:val="20"/>
                <w:szCs w:val="20"/>
              </w:rPr>
            </w:pPr>
            <w:r w:rsidRPr="004C4997">
              <w:rPr>
                <w:rFonts w:ascii="Arial" w:hAnsi="Arial" w:cs="Arial"/>
                <w:sz w:val="20"/>
                <w:szCs w:val="20"/>
              </w:rPr>
              <w:t>Other Prescription Drugs</w:t>
            </w:r>
          </w:p>
        </w:tc>
        <w:tc>
          <w:tcPr>
            <w:tcW w:w="892" w:type="dxa"/>
            <w:vAlign w:val="bottom"/>
          </w:tcPr>
          <w:p w:rsidR="00FC13BA" w:rsidRDefault="00FC13BA" w:rsidP="00FC13BA">
            <w:pPr>
              <w:spacing w:before="100" w:after="100"/>
              <w:jc w:val="right"/>
              <w:rPr>
                <w:rFonts w:ascii="Calibri" w:hAnsi="Calibri"/>
                <w:color w:val="000000"/>
              </w:rPr>
            </w:pPr>
            <w:r>
              <w:rPr>
                <w:rFonts w:ascii="Calibri" w:hAnsi="Calibri"/>
                <w:color w:val="000000"/>
              </w:rPr>
              <w:t>0.81</w:t>
            </w:r>
          </w:p>
        </w:tc>
        <w:tc>
          <w:tcPr>
            <w:tcW w:w="893" w:type="dxa"/>
            <w:vAlign w:val="bottom"/>
          </w:tcPr>
          <w:p w:rsidR="00FC13BA" w:rsidRDefault="00FC13BA" w:rsidP="00FC13BA">
            <w:pPr>
              <w:spacing w:before="100" w:after="100"/>
              <w:jc w:val="right"/>
              <w:rPr>
                <w:rFonts w:ascii="Calibri" w:hAnsi="Calibri"/>
                <w:color w:val="000000"/>
              </w:rPr>
            </w:pPr>
            <w:r>
              <w:rPr>
                <w:rFonts w:ascii="Calibri" w:hAnsi="Calibri"/>
                <w:color w:val="000000"/>
              </w:rPr>
              <w:t>0.78</w:t>
            </w:r>
          </w:p>
        </w:tc>
        <w:tc>
          <w:tcPr>
            <w:tcW w:w="893" w:type="dxa"/>
            <w:vAlign w:val="bottom"/>
          </w:tcPr>
          <w:p w:rsidR="00FC13BA" w:rsidRDefault="00FC13BA" w:rsidP="00FC13BA">
            <w:pPr>
              <w:spacing w:before="100" w:after="100"/>
              <w:jc w:val="right"/>
              <w:rPr>
                <w:rFonts w:ascii="Calibri" w:hAnsi="Calibri"/>
                <w:color w:val="000000"/>
              </w:rPr>
            </w:pPr>
            <w:r>
              <w:rPr>
                <w:rFonts w:ascii="Calibri" w:hAnsi="Calibri"/>
                <w:color w:val="000000"/>
              </w:rPr>
              <w:t>0.82</w:t>
            </w:r>
          </w:p>
        </w:tc>
        <w:tc>
          <w:tcPr>
            <w:tcW w:w="894" w:type="dxa"/>
            <w:vAlign w:val="bottom"/>
          </w:tcPr>
          <w:p w:rsidR="00FC13BA" w:rsidRDefault="00FC13BA" w:rsidP="00FC13BA">
            <w:pPr>
              <w:spacing w:before="100" w:after="100"/>
              <w:jc w:val="right"/>
              <w:rPr>
                <w:rFonts w:ascii="Calibri" w:hAnsi="Calibri"/>
                <w:color w:val="000000"/>
              </w:rPr>
            </w:pPr>
            <w:r>
              <w:rPr>
                <w:rFonts w:ascii="Calibri" w:hAnsi="Calibri"/>
                <w:color w:val="000000"/>
              </w:rPr>
              <w:t>0.82</w:t>
            </w:r>
          </w:p>
        </w:tc>
        <w:tc>
          <w:tcPr>
            <w:tcW w:w="893" w:type="dxa"/>
            <w:vAlign w:val="bottom"/>
          </w:tcPr>
          <w:p w:rsidR="00FC13BA" w:rsidRDefault="00FC13BA" w:rsidP="00FC13BA">
            <w:pPr>
              <w:spacing w:before="100" w:after="100"/>
              <w:jc w:val="right"/>
              <w:rPr>
                <w:rFonts w:ascii="Calibri" w:hAnsi="Calibri"/>
                <w:color w:val="000000"/>
              </w:rPr>
            </w:pPr>
            <w:r>
              <w:rPr>
                <w:rFonts w:ascii="Calibri" w:hAnsi="Calibri"/>
                <w:color w:val="000000"/>
              </w:rPr>
              <w:t>0.82</w:t>
            </w:r>
          </w:p>
        </w:tc>
        <w:tc>
          <w:tcPr>
            <w:tcW w:w="894" w:type="dxa"/>
            <w:vAlign w:val="bottom"/>
          </w:tcPr>
          <w:p w:rsidR="00FC13BA" w:rsidRDefault="00FC13BA" w:rsidP="00FC13BA">
            <w:pPr>
              <w:spacing w:before="100" w:after="100"/>
              <w:jc w:val="right"/>
              <w:rPr>
                <w:rFonts w:ascii="Calibri" w:hAnsi="Calibri"/>
                <w:color w:val="000000"/>
              </w:rPr>
            </w:pPr>
            <w:r>
              <w:rPr>
                <w:rFonts w:ascii="Calibri" w:hAnsi="Calibri"/>
                <w:color w:val="000000"/>
              </w:rPr>
              <w:t>0.82</w:t>
            </w:r>
          </w:p>
        </w:tc>
        <w:tc>
          <w:tcPr>
            <w:tcW w:w="894" w:type="dxa"/>
            <w:vAlign w:val="bottom"/>
          </w:tcPr>
          <w:p w:rsidR="00FC13BA" w:rsidRDefault="00FC13BA" w:rsidP="00FC13BA">
            <w:pPr>
              <w:spacing w:before="100" w:after="100"/>
              <w:jc w:val="right"/>
              <w:rPr>
                <w:rFonts w:ascii="Calibri" w:hAnsi="Calibri"/>
                <w:color w:val="000000"/>
              </w:rPr>
            </w:pPr>
            <w:r>
              <w:rPr>
                <w:rFonts w:ascii="Calibri" w:hAnsi="Calibri"/>
                <w:color w:val="000000"/>
              </w:rPr>
              <w:t>0.81</w:t>
            </w:r>
          </w:p>
        </w:tc>
      </w:tr>
      <w:tr w:rsidR="00FC13BA" w:rsidRPr="001F0A60" w:rsidTr="00FC13BA">
        <w:trPr>
          <w:gridAfter w:val="1"/>
          <w:wAfter w:w="48" w:type="dxa"/>
          <w:trHeight w:val="251"/>
        </w:trPr>
        <w:tc>
          <w:tcPr>
            <w:tcW w:w="3059" w:type="dxa"/>
            <w:tcBorders>
              <w:bottom w:val="single" w:sz="4" w:space="0" w:color="auto"/>
            </w:tcBorders>
            <w:vAlign w:val="bottom"/>
          </w:tcPr>
          <w:p w:rsidR="00FC13BA" w:rsidRPr="004C4997" w:rsidRDefault="00FC13BA" w:rsidP="00FC13BA">
            <w:pPr>
              <w:spacing w:before="80" w:after="80"/>
              <w:rPr>
                <w:rFonts w:ascii="Arial" w:hAnsi="Arial" w:cs="Arial"/>
                <w:sz w:val="20"/>
                <w:szCs w:val="20"/>
              </w:rPr>
            </w:pPr>
          </w:p>
        </w:tc>
        <w:tc>
          <w:tcPr>
            <w:tcW w:w="892" w:type="dxa"/>
            <w:tcBorders>
              <w:bottom w:val="single" w:sz="4" w:space="0" w:color="auto"/>
            </w:tcBorders>
            <w:vAlign w:val="bottom"/>
          </w:tcPr>
          <w:p w:rsidR="00FC13BA" w:rsidRPr="00A953D2" w:rsidRDefault="00FC13BA" w:rsidP="00FC13BA">
            <w:pPr>
              <w:spacing w:before="80" w:after="80"/>
              <w:jc w:val="center"/>
              <w:rPr>
                <w:rFonts w:ascii="Arial" w:hAnsi="Arial" w:cs="Arial"/>
                <w:color w:val="000000"/>
                <w:szCs w:val="20"/>
              </w:rPr>
            </w:pPr>
          </w:p>
        </w:tc>
        <w:tc>
          <w:tcPr>
            <w:tcW w:w="893" w:type="dxa"/>
            <w:tcBorders>
              <w:bottom w:val="single" w:sz="4" w:space="0" w:color="auto"/>
            </w:tcBorders>
            <w:vAlign w:val="bottom"/>
          </w:tcPr>
          <w:p w:rsidR="00FC13BA" w:rsidRPr="00A953D2" w:rsidRDefault="00FC13BA" w:rsidP="00FC13BA">
            <w:pPr>
              <w:spacing w:before="80" w:after="80"/>
              <w:jc w:val="center"/>
              <w:rPr>
                <w:rFonts w:ascii="Arial" w:hAnsi="Arial" w:cs="Arial"/>
                <w:color w:val="000000"/>
                <w:szCs w:val="20"/>
              </w:rPr>
            </w:pPr>
          </w:p>
        </w:tc>
        <w:tc>
          <w:tcPr>
            <w:tcW w:w="893" w:type="dxa"/>
            <w:tcBorders>
              <w:bottom w:val="single" w:sz="4" w:space="0" w:color="auto"/>
            </w:tcBorders>
            <w:vAlign w:val="bottom"/>
          </w:tcPr>
          <w:p w:rsidR="00FC13BA" w:rsidRPr="00A953D2" w:rsidRDefault="00FC13BA" w:rsidP="00FC13BA">
            <w:pPr>
              <w:spacing w:before="80" w:after="80"/>
              <w:jc w:val="center"/>
              <w:rPr>
                <w:rFonts w:ascii="Arial" w:hAnsi="Arial" w:cs="Arial"/>
                <w:color w:val="000000"/>
                <w:szCs w:val="20"/>
              </w:rPr>
            </w:pPr>
          </w:p>
        </w:tc>
        <w:tc>
          <w:tcPr>
            <w:tcW w:w="894" w:type="dxa"/>
            <w:tcBorders>
              <w:bottom w:val="single" w:sz="4" w:space="0" w:color="auto"/>
            </w:tcBorders>
            <w:vAlign w:val="bottom"/>
          </w:tcPr>
          <w:p w:rsidR="00FC13BA" w:rsidRPr="00A953D2" w:rsidRDefault="00FC13BA" w:rsidP="00FC13BA">
            <w:pPr>
              <w:spacing w:before="80" w:after="80"/>
              <w:jc w:val="center"/>
              <w:rPr>
                <w:rFonts w:ascii="Arial" w:hAnsi="Arial" w:cs="Arial"/>
                <w:color w:val="000000"/>
                <w:szCs w:val="20"/>
              </w:rPr>
            </w:pPr>
          </w:p>
        </w:tc>
        <w:tc>
          <w:tcPr>
            <w:tcW w:w="893" w:type="dxa"/>
            <w:tcBorders>
              <w:bottom w:val="single" w:sz="4" w:space="0" w:color="auto"/>
            </w:tcBorders>
            <w:vAlign w:val="bottom"/>
          </w:tcPr>
          <w:p w:rsidR="00FC13BA" w:rsidRPr="00A953D2" w:rsidRDefault="00FC13BA" w:rsidP="00FC13BA">
            <w:pPr>
              <w:spacing w:before="80" w:after="80"/>
              <w:jc w:val="center"/>
              <w:rPr>
                <w:rFonts w:ascii="Arial" w:hAnsi="Arial" w:cs="Arial"/>
                <w:color w:val="000000"/>
                <w:szCs w:val="20"/>
              </w:rPr>
            </w:pPr>
          </w:p>
        </w:tc>
        <w:tc>
          <w:tcPr>
            <w:tcW w:w="894" w:type="dxa"/>
            <w:tcBorders>
              <w:bottom w:val="single" w:sz="4" w:space="0" w:color="auto"/>
            </w:tcBorders>
            <w:vAlign w:val="bottom"/>
          </w:tcPr>
          <w:p w:rsidR="00FC13BA" w:rsidRPr="00A953D2" w:rsidRDefault="00FC13BA" w:rsidP="00FC13BA">
            <w:pPr>
              <w:spacing w:before="80" w:after="80"/>
              <w:jc w:val="center"/>
              <w:rPr>
                <w:rFonts w:ascii="Arial" w:hAnsi="Arial" w:cs="Arial"/>
                <w:color w:val="000000"/>
                <w:szCs w:val="20"/>
              </w:rPr>
            </w:pPr>
          </w:p>
        </w:tc>
        <w:tc>
          <w:tcPr>
            <w:tcW w:w="894" w:type="dxa"/>
            <w:tcBorders>
              <w:bottom w:val="single" w:sz="4" w:space="0" w:color="auto"/>
            </w:tcBorders>
            <w:vAlign w:val="bottom"/>
          </w:tcPr>
          <w:p w:rsidR="00FC13BA" w:rsidRPr="00A953D2" w:rsidRDefault="00FC13BA" w:rsidP="00FC13BA">
            <w:pPr>
              <w:spacing w:before="80" w:after="80"/>
              <w:jc w:val="center"/>
              <w:rPr>
                <w:rFonts w:ascii="Arial" w:hAnsi="Arial" w:cs="Arial"/>
                <w:color w:val="000000"/>
                <w:szCs w:val="20"/>
              </w:rPr>
            </w:pPr>
          </w:p>
        </w:tc>
      </w:tr>
    </w:tbl>
    <w:p w:rsidR="00267E86" w:rsidRDefault="00267E86">
      <w:pPr>
        <w:rPr>
          <w:rFonts w:ascii="Times New Roman" w:hAnsi="Times New Roman" w:cs="Times New Roman"/>
          <w:sz w:val="20"/>
          <w:szCs w:val="20"/>
        </w:rPr>
      </w:pPr>
    </w:p>
    <w:p w:rsidR="00267E86" w:rsidRDefault="00267E86">
      <w:pPr>
        <w:rPr>
          <w:rFonts w:ascii="Times New Roman" w:hAnsi="Times New Roman" w:cs="Times New Roman"/>
          <w:sz w:val="20"/>
          <w:szCs w:val="20"/>
        </w:rPr>
      </w:pPr>
    </w:p>
    <w:p w:rsidR="00267E86" w:rsidRDefault="00267E86">
      <w:pPr>
        <w:rPr>
          <w:rFonts w:ascii="Times New Roman" w:hAnsi="Times New Roman" w:cs="Times New Roman"/>
          <w:sz w:val="20"/>
          <w:szCs w:val="20"/>
        </w:rPr>
      </w:pPr>
    </w:p>
    <w:p w:rsidR="00352257" w:rsidRDefault="00352257">
      <w:pPr>
        <w:rPr>
          <w:rFonts w:ascii="Times New Roman" w:hAnsi="Times New Roman" w:cs="Times New Roman"/>
          <w:sz w:val="20"/>
          <w:szCs w:val="20"/>
        </w:rPr>
        <w:sectPr w:rsidR="00352257" w:rsidSect="001A28D9">
          <w:type w:val="continuous"/>
          <w:pgSz w:w="15840" w:h="12240" w:orient="landscape"/>
          <w:pgMar w:top="1440" w:right="1440" w:bottom="1440" w:left="1440" w:header="720" w:footer="720" w:gutter="0"/>
          <w:cols w:space="720"/>
          <w:docGrid w:linePitch="360"/>
        </w:sectPr>
      </w:pPr>
    </w:p>
    <w:p w:rsidR="00753E03" w:rsidRDefault="00753E03">
      <w:pPr>
        <w:rPr>
          <w:rFonts w:ascii="Times New Roman" w:hAnsi="Times New Roman" w:cs="Times New Roman"/>
          <w:sz w:val="20"/>
          <w:szCs w:val="20"/>
        </w:rPr>
      </w:pPr>
    </w:p>
    <w:p w:rsidR="00D54951" w:rsidRDefault="00D54951" w:rsidP="00D54951">
      <w:pPr>
        <w:rPr>
          <w:rFonts w:ascii="Times New Roman" w:hAnsi="Times New Roman" w:cs="Times New Roman"/>
          <w:sz w:val="20"/>
          <w:szCs w:val="20"/>
        </w:rPr>
      </w:pPr>
    </w:p>
    <w:p w:rsidR="00D54951" w:rsidRDefault="00D54951" w:rsidP="00D54951">
      <w:pPr>
        <w:spacing w:after="120" w:line="240" w:lineRule="auto"/>
        <w:rPr>
          <w:rFonts w:ascii="Times New Roman" w:hAnsi="Times New Roman" w:cs="Times New Roman"/>
          <w:sz w:val="20"/>
          <w:szCs w:val="20"/>
        </w:rPr>
      </w:pPr>
    </w:p>
    <w:p w:rsidR="00D54951" w:rsidRPr="00D5377D" w:rsidRDefault="00D54951" w:rsidP="00D54951">
      <w:pPr>
        <w:spacing w:after="120" w:line="240" w:lineRule="auto"/>
        <w:rPr>
          <w:b/>
          <w:color w:val="000000"/>
          <w:sz w:val="20"/>
          <w:szCs w:val="20"/>
          <w:shd w:val="clear" w:color="auto" w:fill="FFFFFF"/>
        </w:rPr>
      </w:pPr>
      <w:r>
        <w:rPr>
          <w:rFonts w:ascii="Times New Roman" w:hAnsi="Times New Roman" w:cs="Times New Roman"/>
          <w:sz w:val="20"/>
          <w:szCs w:val="20"/>
        </w:rPr>
        <w:t xml:space="preserve"> </w:t>
      </w:r>
    </w:p>
    <w:tbl>
      <w:tblPr>
        <w:tblStyle w:val="TableGrid"/>
        <w:tblpPr w:leftFromText="187" w:rightFromText="187" w:vertAnchor="page" w:horzAnchor="page" w:tblpX="1943" w:tblpY="2743"/>
        <w:tblW w:w="7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2232"/>
        <w:gridCol w:w="2538"/>
      </w:tblGrid>
      <w:tr w:rsidR="00753E03" w:rsidRPr="001F0A60" w:rsidTr="00753E03">
        <w:trPr>
          <w:trHeight w:val="251"/>
        </w:trPr>
        <w:tc>
          <w:tcPr>
            <w:tcW w:w="7758" w:type="dxa"/>
            <w:gridSpan w:val="3"/>
            <w:tcBorders>
              <w:left w:val="nil"/>
              <w:bottom w:val="single" w:sz="4" w:space="0" w:color="auto"/>
              <w:right w:val="nil"/>
            </w:tcBorders>
            <w:shd w:val="clear" w:color="auto" w:fill="auto"/>
            <w:hideMark/>
          </w:tcPr>
          <w:p w:rsidR="00753E03" w:rsidRPr="004C4997" w:rsidRDefault="00661573" w:rsidP="00D40965">
            <w:pPr>
              <w:rPr>
                <w:rFonts w:ascii="Arial" w:hAnsi="Arial" w:cs="Arial"/>
                <w:sz w:val="20"/>
                <w:szCs w:val="20"/>
              </w:rPr>
            </w:pPr>
            <w:r>
              <w:rPr>
                <w:rFonts w:ascii="Arial" w:hAnsi="Arial" w:cs="Arial"/>
                <w:b/>
                <w:sz w:val="24"/>
                <w:szCs w:val="20"/>
              </w:rPr>
              <w:t>Table S3</w:t>
            </w:r>
            <w:r w:rsidR="00753E03" w:rsidRPr="004C4997">
              <w:rPr>
                <w:rFonts w:ascii="Arial" w:hAnsi="Arial" w:cs="Arial"/>
                <w:b/>
                <w:sz w:val="24"/>
                <w:szCs w:val="20"/>
              </w:rPr>
              <w:t>:</w:t>
            </w:r>
            <w:r w:rsidR="00753E03" w:rsidRPr="004C4997">
              <w:rPr>
                <w:rFonts w:ascii="Arial" w:hAnsi="Arial" w:cs="Arial"/>
                <w:sz w:val="24"/>
                <w:szCs w:val="20"/>
              </w:rPr>
              <w:t xml:space="preserve"> Parameter estimates from single-factor IRT models for delinquency (top) and SUDs (bottom) combining all years of data. N=210,599</w:t>
            </w:r>
          </w:p>
        </w:tc>
      </w:tr>
      <w:tr w:rsidR="00753E03" w:rsidRPr="001F0A60" w:rsidTr="00753E03">
        <w:trPr>
          <w:trHeight w:val="763"/>
        </w:trPr>
        <w:tc>
          <w:tcPr>
            <w:tcW w:w="2988" w:type="dxa"/>
            <w:tcBorders>
              <w:top w:val="single" w:sz="4" w:space="0" w:color="auto"/>
              <w:left w:val="nil"/>
              <w:bottom w:val="single" w:sz="4" w:space="0" w:color="auto"/>
              <w:right w:val="nil"/>
            </w:tcBorders>
            <w:vAlign w:val="center"/>
            <w:hideMark/>
          </w:tcPr>
          <w:p w:rsidR="00753E03" w:rsidRPr="004C4997" w:rsidRDefault="00753E03" w:rsidP="00753E03">
            <w:pPr>
              <w:rPr>
                <w:rFonts w:ascii="Arial" w:hAnsi="Arial" w:cs="Arial"/>
                <w:b/>
                <w:sz w:val="20"/>
                <w:szCs w:val="20"/>
              </w:rPr>
            </w:pPr>
          </w:p>
        </w:tc>
        <w:tc>
          <w:tcPr>
            <w:tcW w:w="2232" w:type="dxa"/>
            <w:tcBorders>
              <w:top w:val="single" w:sz="4" w:space="0" w:color="auto"/>
              <w:left w:val="nil"/>
              <w:bottom w:val="single" w:sz="4" w:space="0" w:color="auto"/>
              <w:right w:val="nil"/>
            </w:tcBorders>
            <w:vAlign w:val="center"/>
          </w:tcPr>
          <w:p w:rsidR="00753E03" w:rsidRPr="004C4997" w:rsidRDefault="00753E03" w:rsidP="00753E03">
            <w:pPr>
              <w:jc w:val="center"/>
              <w:rPr>
                <w:rFonts w:ascii="Arial" w:hAnsi="Arial" w:cs="Arial"/>
                <w:b/>
                <w:sz w:val="20"/>
                <w:szCs w:val="20"/>
              </w:rPr>
            </w:pPr>
            <w:r w:rsidRPr="004C4997">
              <w:rPr>
                <w:rFonts w:ascii="Arial" w:hAnsi="Arial" w:cs="Arial"/>
                <w:b/>
                <w:sz w:val="20"/>
                <w:szCs w:val="20"/>
              </w:rPr>
              <w:t>Item Discrim. Coeff</w:t>
            </w:r>
            <w:r>
              <w:rPr>
                <w:rFonts w:ascii="Arial" w:hAnsi="Arial" w:cs="Arial"/>
                <w:b/>
                <w:sz w:val="20"/>
                <w:szCs w:val="20"/>
              </w:rPr>
              <w:t xml:space="preserve">. </w:t>
            </w:r>
            <w:r w:rsidRPr="004C4997">
              <w:rPr>
                <w:rFonts w:ascii="Arial" w:hAnsi="Arial" w:cs="Arial"/>
                <w:b/>
                <w:sz w:val="20"/>
                <w:szCs w:val="20"/>
              </w:rPr>
              <w:t>(S.E.)</w:t>
            </w:r>
          </w:p>
        </w:tc>
        <w:tc>
          <w:tcPr>
            <w:tcW w:w="2538" w:type="dxa"/>
            <w:tcBorders>
              <w:top w:val="single" w:sz="4" w:space="0" w:color="auto"/>
              <w:left w:val="nil"/>
              <w:bottom w:val="single" w:sz="4" w:space="0" w:color="auto"/>
              <w:right w:val="nil"/>
            </w:tcBorders>
            <w:vAlign w:val="center"/>
          </w:tcPr>
          <w:p w:rsidR="00753E03" w:rsidRPr="004C4997" w:rsidRDefault="00753E03" w:rsidP="00753E03">
            <w:pPr>
              <w:jc w:val="center"/>
              <w:rPr>
                <w:rFonts w:ascii="Arial" w:hAnsi="Arial" w:cs="Arial"/>
                <w:b/>
                <w:sz w:val="20"/>
                <w:szCs w:val="20"/>
              </w:rPr>
            </w:pPr>
            <w:r w:rsidRPr="004C4997">
              <w:rPr>
                <w:rFonts w:ascii="Arial" w:hAnsi="Arial" w:cs="Arial"/>
                <w:b/>
                <w:sz w:val="20"/>
                <w:szCs w:val="20"/>
              </w:rPr>
              <w:t>Difficulty</w:t>
            </w:r>
          </w:p>
        </w:tc>
      </w:tr>
      <w:tr w:rsidR="00753E03" w:rsidRPr="001F0A60" w:rsidTr="00753E03">
        <w:trPr>
          <w:trHeight w:val="251"/>
        </w:trPr>
        <w:tc>
          <w:tcPr>
            <w:tcW w:w="2988" w:type="dxa"/>
            <w:tcBorders>
              <w:top w:val="single" w:sz="4" w:space="0" w:color="auto"/>
              <w:left w:val="nil"/>
              <w:bottom w:val="nil"/>
              <w:right w:val="nil"/>
            </w:tcBorders>
            <w:vAlign w:val="bottom"/>
            <w:hideMark/>
          </w:tcPr>
          <w:p w:rsidR="00753E03" w:rsidRPr="004C4997" w:rsidRDefault="00753E03" w:rsidP="00D40965">
            <w:pPr>
              <w:spacing w:before="100" w:after="100"/>
              <w:rPr>
                <w:rFonts w:ascii="Arial" w:hAnsi="Arial" w:cs="Arial"/>
                <w:sz w:val="20"/>
                <w:szCs w:val="20"/>
              </w:rPr>
            </w:pPr>
            <w:r w:rsidRPr="004C4997">
              <w:rPr>
                <w:rFonts w:ascii="Arial" w:hAnsi="Arial" w:cs="Arial"/>
                <w:sz w:val="20"/>
                <w:szCs w:val="20"/>
              </w:rPr>
              <w:t>Serious Fight</w:t>
            </w:r>
          </w:p>
        </w:tc>
        <w:tc>
          <w:tcPr>
            <w:tcW w:w="2232" w:type="dxa"/>
            <w:tcBorders>
              <w:top w:val="single" w:sz="4" w:space="0" w:color="auto"/>
              <w:left w:val="nil"/>
              <w:bottom w:val="nil"/>
              <w:right w:val="nil"/>
            </w:tcBorders>
            <w:vAlign w:val="bottom"/>
          </w:tcPr>
          <w:p w:rsidR="00753E03" w:rsidRPr="004C4997" w:rsidRDefault="00753E03" w:rsidP="00D40965">
            <w:pPr>
              <w:spacing w:before="100" w:after="100"/>
              <w:ind w:right="288"/>
              <w:jc w:val="right"/>
              <w:rPr>
                <w:rFonts w:ascii="Arial" w:hAnsi="Arial" w:cs="Arial"/>
                <w:color w:val="000000"/>
                <w:sz w:val="20"/>
                <w:szCs w:val="20"/>
              </w:rPr>
            </w:pPr>
            <w:r w:rsidRPr="004C4997">
              <w:rPr>
                <w:rFonts w:ascii="Arial" w:hAnsi="Arial" w:cs="Arial"/>
                <w:color w:val="000000"/>
                <w:sz w:val="20"/>
                <w:szCs w:val="20"/>
              </w:rPr>
              <w:t>1.99 (0.03)</w:t>
            </w:r>
          </w:p>
        </w:tc>
        <w:tc>
          <w:tcPr>
            <w:tcW w:w="2538" w:type="dxa"/>
            <w:tcBorders>
              <w:top w:val="single" w:sz="4" w:space="0" w:color="auto"/>
              <w:left w:val="nil"/>
              <w:right w:val="nil"/>
            </w:tcBorders>
            <w:vAlign w:val="bottom"/>
          </w:tcPr>
          <w:p w:rsidR="00753E03" w:rsidRPr="004C4997" w:rsidRDefault="00753E03" w:rsidP="00D40965">
            <w:pPr>
              <w:spacing w:before="100" w:after="100"/>
              <w:ind w:right="288"/>
              <w:jc w:val="right"/>
              <w:rPr>
                <w:rFonts w:ascii="Arial" w:hAnsi="Arial" w:cs="Arial"/>
                <w:color w:val="000000"/>
                <w:sz w:val="20"/>
                <w:szCs w:val="20"/>
              </w:rPr>
            </w:pPr>
            <w:r w:rsidRPr="004C4997">
              <w:rPr>
                <w:rFonts w:ascii="Arial" w:hAnsi="Arial" w:cs="Arial"/>
                <w:color w:val="000000"/>
                <w:sz w:val="20"/>
                <w:szCs w:val="20"/>
              </w:rPr>
              <w:t>1.07 (0.01)</w:t>
            </w:r>
          </w:p>
        </w:tc>
      </w:tr>
      <w:tr w:rsidR="00753E03" w:rsidRPr="001F0A60" w:rsidTr="00753E03">
        <w:trPr>
          <w:trHeight w:val="251"/>
        </w:trPr>
        <w:tc>
          <w:tcPr>
            <w:tcW w:w="2988" w:type="dxa"/>
            <w:vAlign w:val="bottom"/>
            <w:hideMark/>
          </w:tcPr>
          <w:p w:rsidR="00753E03" w:rsidRPr="004C4997" w:rsidRDefault="00753E03" w:rsidP="00D40965">
            <w:pPr>
              <w:spacing w:before="100" w:after="100"/>
              <w:rPr>
                <w:rFonts w:ascii="Arial" w:hAnsi="Arial" w:cs="Arial"/>
                <w:sz w:val="20"/>
                <w:szCs w:val="20"/>
              </w:rPr>
            </w:pPr>
            <w:r w:rsidRPr="004C4997">
              <w:rPr>
                <w:rFonts w:ascii="Arial" w:hAnsi="Arial" w:cs="Arial"/>
                <w:sz w:val="20"/>
                <w:szCs w:val="20"/>
              </w:rPr>
              <w:t>Group Fight</w:t>
            </w:r>
          </w:p>
        </w:tc>
        <w:tc>
          <w:tcPr>
            <w:tcW w:w="2232" w:type="dxa"/>
            <w:vAlign w:val="bottom"/>
          </w:tcPr>
          <w:p w:rsidR="00753E03" w:rsidRPr="004C4997" w:rsidRDefault="00753E03" w:rsidP="00D40965">
            <w:pPr>
              <w:spacing w:before="100" w:after="100"/>
              <w:ind w:right="288"/>
              <w:jc w:val="right"/>
              <w:rPr>
                <w:rFonts w:ascii="Arial" w:hAnsi="Arial" w:cs="Arial"/>
                <w:color w:val="000000"/>
                <w:sz w:val="20"/>
                <w:szCs w:val="20"/>
              </w:rPr>
            </w:pPr>
            <w:r w:rsidRPr="004C4997">
              <w:rPr>
                <w:rFonts w:ascii="Arial" w:hAnsi="Arial" w:cs="Arial"/>
                <w:color w:val="000000"/>
                <w:sz w:val="20"/>
                <w:szCs w:val="20"/>
              </w:rPr>
              <w:t>2.14 (0.03)</w:t>
            </w:r>
          </w:p>
        </w:tc>
        <w:tc>
          <w:tcPr>
            <w:tcW w:w="2538" w:type="dxa"/>
            <w:vAlign w:val="bottom"/>
          </w:tcPr>
          <w:p w:rsidR="00753E03" w:rsidRPr="004C4997" w:rsidRDefault="00753E03" w:rsidP="00D40965">
            <w:pPr>
              <w:spacing w:before="100" w:after="100"/>
              <w:ind w:right="288"/>
              <w:jc w:val="right"/>
              <w:rPr>
                <w:rFonts w:ascii="Arial" w:hAnsi="Arial" w:cs="Arial"/>
                <w:color w:val="000000"/>
                <w:sz w:val="20"/>
                <w:szCs w:val="20"/>
              </w:rPr>
            </w:pPr>
            <w:r w:rsidRPr="004C4997">
              <w:rPr>
                <w:rFonts w:ascii="Arial" w:hAnsi="Arial" w:cs="Arial"/>
                <w:color w:val="000000"/>
                <w:sz w:val="20"/>
                <w:szCs w:val="20"/>
              </w:rPr>
              <w:t>1.38 (0.01)</w:t>
            </w:r>
          </w:p>
        </w:tc>
      </w:tr>
      <w:tr w:rsidR="00753E03" w:rsidRPr="001F0A60" w:rsidTr="00753E03">
        <w:trPr>
          <w:trHeight w:val="251"/>
        </w:trPr>
        <w:tc>
          <w:tcPr>
            <w:tcW w:w="2988" w:type="dxa"/>
            <w:vAlign w:val="bottom"/>
          </w:tcPr>
          <w:p w:rsidR="00753E03" w:rsidRPr="004C4997" w:rsidRDefault="00753E03" w:rsidP="00D40965">
            <w:pPr>
              <w:spacing w:before="100" w:after="100"/>
              <w:rPr>
                <w:rFonts w:ascii="Arial" w:hAnsi="Arial" w:cs="Arial"/>
                <w:sz w:val="20"/>
                <w:szCs w:val="20"/>
              </w:rPr>
            </w:pPr>
            <w:r w:rsidRPr="004C4997">
              <w:rPr>
                <w:rFonts w:ascii="Arial" w:hAnsi="Arial" w:cs="Arial"/>
                <w:sz w:val="20"/>
                <w:szCs w:val="20"/>
              </w:rPr>
              <w:t>Attack to Injure</w:t>
            </w:r>
          </w:p>
        </w:tc>
        <w:tc>
          <w:tcPr>
            <w:tcW w:w="2232" w:type="dxa"/>
            <w:vAlign w:val="bottom"/>
          </w:tcPr>
          <w:p w:rsidR="00753E03" w:rsidRPr="004C4997" w:rsidRDefault="00753E03" w:rsidP="00D40965">
            <w:pPr>
              <w:spacing w:before="100" w:after="100"/>
              <w:ind w:right="288"/>
              <w:jc w:val="right"/>
              <w:rPr>
                <w:rFonts w:ascii="Arial" w:hAnsi="Arial" w:cs="Arial"/>
                <w:color w:val="000000"/>
                <w:sz w:val="20"/>
                <w:szCs w:val="20"/>
              </w:rPr>
            </w:pPr>
            <w:r w:rsidRPr="004C4997">
              <w:rPr>
                <w:rFonts w:ascii="Arial" w:hAnsi="Arial" w:cs="Arial"/>
                <w:color w:val="000000"/>
                <w:sz w:val="20"/>
                <w:szCs w:val="20"/>
              </w:rPr>
              <w:t>2.16 (0.03)</w:t>
            </w:r>
          </w:p>
        </w:tc>
        <w:tc>
          <w:tcPr>
            <w:tcW w:w="2538" w:type="dxa"/>
            <w:vAlign w:val="bottom"/>
          </w:tcPr>
          <w:p w:rsidR="00753E03" w:rsidRPr="004C4997" w:rsidRDefault="00753E03" w:rsidP="00D40965">
            <w:pPr>
              <w:spacing w:before="100" w:after="100"/>
              <w:ind w:right="288"/>
              <w:jc w:val="right"/>
              <w:rPr>
                <w:rFonts w:ascii="Arial" w:hAnsi="Arial" w:cs="Arial"/>
                <w:color w:val="000000"/>
                <w:sz w:val="20"/>
                <w:szCs w:val="20"/>
              </w:rPr>
            </w:pPr>
            <w:r w:rsidRPr="004C4997">
              <w:rPr>
                <w:rFonts w:ascii="Arial" w:hAnsi="Arial" w:cs="Arial"/>
                <w:color w:val="000000"/>
                <w:sz w:val="20"/>
                <w:szCs w:val="20"/>
              </w:rPr>
              <w:t>1.92 (0.01)</w:t>
            </w:r>
          </w:p>
        </w:tc>
      </w:tr>
      <w:tr w:rsidR="00753E03" w:rsidRPr="001F0A60" w:rsidTr="00753E03">
        <w:trPr>
          <w:trHeight w:val="251"/>
        </w:trPr>
        <w:tc>
          <w:tcPr>
            <w:tcW w:w="2988" w:type="dxa"/>
            <w:vAlign w:val="bottom"/>
          </w:tcPr>
          <w:p w:rsidR="00753E03" w:rsidRPr="004C4997" w:rsidRDefault="00753E03" w:rsidP="00D40965">
            <w:pPr>
              <w:spacing w:before="100" w:after="100"/>
              <w:rPr>
                <w:rFonts w:ascii="Arial" w:hAnsi="Arial" w:cs="Arial"/>
                <w:sz w:val="20"/>
                <w:szCs w:val="20"/>
              </w:rPr>
            </w:pPr>
            <w:r w:rsidRPr="004C4997">
              <w:rPr>
                <w:rFonts w:ascii="Arial" w:hAnsi="Arial" w:cs="Arial"/>
                <w:sz w:val="20"/>
                <w:szCs w:val="20"/>
              </w:rPr>
              <w:t>Stealing Item &gt;$50</w:t>
            </w:r>
          </w:p>
        </w:tc>
        <w:tc>
          <w:tcPr>
            <w:tcW w:w="2232" w:type="dxa"/>
            <w:vAlign w:val="bottom"/>
          </w:tcPr>
          <w:p w:rsidR="00753E03" w:rsidRPr="004C4997" w:rsidRDefault="00753E03" w:rsidP="00D40965">
            <w:pPr>
              <w:spacing w:before="100" w:after="100"/>
              <w:ind w:right="288"/>
              <w:jc w:val="right"/>
              <w:rPr>
                <w:rFonts w:ascii="Arial" w:hAnsi="Arial" w:cs="Arial"/>
                <w:color w:val="000000"/>
                <w:sz w:val="20"/>
                <w:szCs w:val="20"/>
              </w:rPr>
            </w:pPr>
            <w:r w:rsidRPr="004C4997">
              <w:rPr>
                <w:rFonts w:ascii="Arial" w:hAnsi="Arial" w:cs="Arial"/>
                <w:color w:val="000000"/>
                <w:sz w:val="20"/>
                <w:szCs w:val="20"/>
              </w:rPr>
              <w:t>1.81 (0.03)</w:t>
            </w:r>
          </w:p>
        </w:tc>
        <w:tc>
          <w:tcPr>
            <w:tcW w:w="2538" w:type="dxa"/>
            <w:vAlign w:val="bottom"/>
          </w:tcPr>
          <w:p w:rsidR="00753E03" w:rsidRPr="004C4997" w:rsidRDefault="00753E03" w:rsidP="00D40965">
            <w:pPr>
              <w:spacing w:before="100" w:after="100"/>
              <w:ind w:right="288"/>
              <w:jc w:val="right"/>
              <w:rPr>
                <w:rFonts w:ascii="Arial" w:hAnsi="Arial" w:cs="Arial"/>
                <w:color w:val="000000"/>
                <w:sz w:val="20"/>
                <w:szCs w:val="20"/>
              </w:rPr>
            </w:pPr>
            <w:r w:rsidRPr="004C4997">
              <w:rPr>
                <w:rFonts w:ascii="Arial" w:hAnsi="Arial" w:cs="Arial"/>
                <w:color w:val="000000"/>
                <w:sz w:val="20"/>
                <w:szCs w:val="20"/>
              </w:rPr>
              <w:t>2.47 (0.02)</w:t>
            </w:r>
          </w:p>
        </w:tc>
      </w:tr>
      <w:tr w:rsidR="00753E03" w:rsidRPr="001F0A60" w:rsidTr="00753E03">
        <w:trPr>
          <w:trHeight w:val="251"/>
        </w:trPr>
        <w:tc>
          <w:tcPr>
            <w:tcW w:w="2988" w:type="dxa"/>
            <w:vAlign w:val="bottom"/>
          </w:tcPr>
          <w:p w:rsidR="00753E03" w:rsidRPr="004C4997" w:rsidRDefault="00753E03" w:rsidP="00D40965">
            <w:pPr>
              <w:spacing w:before="100" w:after="100"/>
              <w:rPr>
                <w:rFonts w:ascii="Arial" w:hAnsi="Arial" w:cs="Arial"/>
                <w:sz w:val="20"/>
                <w:szCs w:val="20"/>
              </w:rPr>
            </w:pPr>
            <w:r w:rsidRPr="004C4997">
              <w:rPr>
                <w:rFonts w:ascii="Arial" w:hAnsi="Arial" w:cs="Arial"/>
                <w:sz w:val="20"/>
                <w:szCs w:val="20"/>
              </w:rPr>
              <w:t>Selling Drugs</w:t>
            </w:r>
          </w:p>
        </w:tc>
        <w:tc>
          <w:tcPr>
            <w:tcW w:w="2232" w:type="dxa"/>
            <w:vAlign w:val="bottom"/>
          </w:tcPr>
          <w:p w:rsidR="00753E03" w:rsidRPr="004C4997" w:rsidRDefault="00753E03" w:rsidP="00D40965">
            <w:pPr>
              <w:spacing w:before="100" w:after="100"/>
              <w:ind w:right="288"/>
              <w:jc w:val="right"/>
              <w:rPr>
                <w:rFonts w:ascii="Arial" w:hAnsi="Arial" w:cs="Arial"/>
                <w:color w:val="000000"/>
                <w:sz w:val="20"/>
                <w:szCs w:val="20"/>
              </w:rPr>
            </w:pPr>
            <w:r w:rsidRPr="004C4997">
              <w:rPr>
                <w:rFonts w:ascii="Arial" w:hAnsi="Arial" w:cs="Arial"/>
                <w:color w:val="000000"/>
                <w:sz w:val="20"/>
                <w:szCs w:val="20"/>
              </w:rPr>
              <w:t>1.92 (0.03)</w:t>
            </w:r>
          </w:p>
        </w:tc>
        <w:tc>
          <w:tcPr>
            <w:tcW w:w="2538" w:type="dxa"/>
            <w:vAlign w:val="bottom"/>
          </w:tcPr>
          <w:p w:rsidR="00753E03" w:rsidRPr="004C4997" w:rsidRDefault="00753E03" w:rsidP="00D40965">
            <w:pPr>
              <w:spacing w:before="100" w:after="100"/>
              <w:ind w:right="288"/>
              <w:jc w:val="right"/>
              <w:rPr>
                <w:rFonts w:ascii="Arial" w:hAnsi="Arial" w:cs="Arial"/>
                <w:color w:val="000000"/>
                <w:sz w:val="20"/>
                <w:szCs w:val="20"/>
              </w:rPr>
            </w:pPr>
            <w:r w:rsidRPr="004C4997">
              <w:rPr>
                <w:rFonts w:ascii="Arial" w:hAnsi="Arial" w:cs="Arial"/>
                <w:color w:val="000000"/>
                <w:sz w:val="20"/>
                <w:szCs w:val="20"/>
              </w:rPr>
              <w:t>2.58 (0.03)</w:t>
            </w:r>
          </w:p>
        </w:tc>
      </w:tr>
      <w:tr w:rsidR="00753E03" w:rsidRPr="001F0A60" w:rsidTr="00753E03">
        <w:trPr>
          <w:trHeight w:val="251"/>
        </w:trPr>
        <w:tc>
          <w:tcPr>
            <w:tcW w:w="2988" w:type="dxa"/>
            <w:vAlign w:val="bottom"/>
          </w:tcPr>
          <w:p w:rsidR="00753E03" w:rsidRPr="004C4997" w:rsidRDefault="00753E03" w:rsidP="00D40965">
            <w:pPr>
              <w:spacing w:before="100" w:after="100"/>
              <w:rPr>
                <w:rFonts w:ascii="Arial" w:hAnsi="Arial" w:cs="Arial"/>
                <w:sz w:val="20"/>
                <w:szCs w:val="20"/>
              </w:rPr>
            </w:pPr>
            <w:r w:rsidRPr="004C4997">
              <w:rPr>
                <w:rFonts w:ascii="Arial" w:hAnsi="Arial" w:cs="Arial"/>
                <w:sz w:val="20"/>
                <w:szCs w:val="20"/>
              </w:rPr>
              <w:t>Hand Gun Carrying</w:t>
            </w:r>
          </w:p>
        </w:tc>
        <w:tc>
          <w:tcPr>
            <w:tcW w:w="2232" w:type="dxa"/>
            <w:vAlign w:val="bottom"/>
          </w:tcPr>
          <w:p w:rsidR="00753E03" w:rsidRPr="004C4997" w:rsidRDefault="00753E03" w:rsidP="00D40965">
            <w:pPr>
              <w:spacing w:before="100" w:after="100"/>
              <w:ind w:right="288"/>
              <w:jc w:val="right"/>
              <w:rPr>
                <w:rFonts w:ascii="Arial" w:hAnsi="Arial" w:cs="Arial"/>
                <w:color w:val="000000"/>
                <w:sz w:val="20"/>
                <w:szCs w:val="20"/>
              </w:rPr>
            </w:pPr>
            <w:r w:rsidRPr="004C4997">
              <w:rPr>
                <w:rFonts w:ascii="Arial" w:hAnsi="Arial" w:cs="Arial"/>
                <w:color w:val="000000"/>
                <w:sz w:val="20"/>
                <w:szCs w:val="20"/>
              </w:rPr>
              <w:t>1.49 (0.03)</w:t>
            </w:r>
          </w:p>
        </w:tc>
        <w:tc>
          <w:tcPr>
            <w:tcW w:w="2538" w:type="dxa"/>
            <w:vAlign w:val="bottom"/>
          </w:tcPr>
          <w:p w:rsidR="00753E03" w:rsidRPr="004C4997" w:rsidRDefault="00753E03" w:rsidP="00D40965">
            <w:pPr>
              <w:spacing w:before="100" w:after="100"/>
              <w:ind w:right="288"/>
              <w:jc w:val="right"/>
              <w:rPr>
                <w:rFonts w:ascii="Arial" w:hAnsi="Arial" w:cs="Arial"/>
                <w:color w:val="000000"/>
                <w:sz w:val="20"/>
                <w:szCs w:val="20"/>
              </w:rPr>
            </w:pPr>
            <w:r w:rsidRPr="004C4997">
              <w:rPr>
                <w:rFonts w:ascii="Arial" w:hAnsi="Arial" w:cs="Arial"/>
                <w:color w:val="000000"/>
                <w:sz w:val="20"/>
                <w:szCs w:val="20"/>
              </w:rPr>
              <w:t>2.89 (0.03)</w:t>
            </w:r>
          </w:p>
        </w:tc>
      </w:tr>
      <w:tr w:rsidR="00753E03" w:rsidRPr="001F0A60" w:rsidTr="00753E03">
        <w:trPr>
          <w:trHeight w:val="251"/>
        </w:trPr>
        <w:tc>
          <w:tcPr>
            <w:tcW w:w="2988" w:type="dxa"/>
            <w:vAlign w:val="bottom"/>
          </w:tcPr>
          <w:p w:rsidR="00753E03" w:rsidRPr="004C4997" w:rsidRDefault="00753E03" w:rsidP="00D40965">
            <w:pPr>
              <w:spacing w:before="100" w:after="100"/>
              <w:rPr>
                <w:rFonts w:ascii="Arial" w:hAnsi="Arial" w:cs="Arial"/>
                <w:sz w:val="20"/>
                <w:szCs w:val="20"/>
              </w:rPr>
            </w:pPr>
          </w:p>
        </w:tc>
        <w:tc>
          <w:tcPr>
            <w:tcW w:w="2232" w:type="dxa"/>
            <w:vAlign w:val="bottom"/>
          </w:tcPr>
          <w:p w:rsidR="00753E03" w:rsidRPr="004C4997" w:rsidRDefault="00753E03" w:rsidP="00D40965">
            <w:pPr>
              <w:spacing w:before="100" w:after="100"/>
              <w:ind w:right="288"/>
              <w:jc w:val="right"/>
              <w:rPr>
                <w:rFonts w:ascii="Arial" w:hAnsi="Arial" w:cs="Arial"/>
                <w:color w:val="000000"/>
                <w:sz w:val="20"/>
                <w:szCs w:val="20"/>
              </w:rPr>
            </w:pPr>
          </w:p>
        </w:tc>
        <w:tc>
          <w:tcPr>
            <w:tcW w:w="2538" w:type="dxa"/>
            <w:vAlign w:val="bottom"/>
          </w:tcPr>
          <w:p w:rsidR="00753E03" w:rsidRPr="004C4997" w:rsidRDefault="00753E03" w:rsidP="00D40965">
            <w:pPr>
              <w:spacing w:before="100" w:after="100"/>
              <w:ind w:right="288"/>
              <w:jc w:val="right"/>
              <w:rPr>
                <w:rFonts w:ascii="Arial" w:hAnsi="Arial" w:cs="Arial"/>
                <w:color w:val="000000"/>
                <w:sz w:val="20"/>
                <w:szCs w:val="20"/>
              </w:rPr>
            </w:pPr>
          </w:p>
        </w:tc>
      </w:tr>
      <w:tr w:rsidR="00753E03" w:rsidRPr="001F0A60" w:rsidTr="00753E03">
        <w:trPr>
          <w:trHeight w:val="251"/>
        </w:trPr>
        <w:tc>
          <w:tcPr>
            <w:tcW w:w="2988" w:type="dxa"/>
            <w:vAlign w:val="bottom"/>
          </w:tcPr>
          <w:p w:rsidR="00753E03" w:rsidRPr="004C4997" w:rsidRDefault="00753E03" w:rsidP="00D40965">
            <w:pPr>
              <w:spacing w:before="100" w:after="100"/>
              <w:rPr>
                <w:rFonts w:ascii="Arial" w:hAnsi="Arial" w:cs="Arial"/>
                <w:sz w:val="20"/>
                <w:szCs w:val="20"/>
              </w:rPr>
            </w:pPr>
            <w:r w:rsidRPr="004C4997">
              <w:rPr>
                <w:rFonts w:ascii="Arial" w:hAnsi="Arial" w:cs="Arial"/>
                <w:sz w:val="20"/>
                <w:szCs w:val="20"/>
              </w:rPr>
              <w:t xml:space="preserve">Alcohol </w:t>
            </w:r>
          </w:p>
        </w:tc>
        <w:tc>
          <w:tcPr>
            <w:tcW w:w="2232" w:type="dxa"/>
            <w:vAlign w:val="bottom"/>
          </w:tcPr>
          <w:p w:rsidR="00753E03" w:rsidRPr="004C4997" w:rsidRDefault="00753E03" w:rsidP="00D40965">
            <w:pPr>
              <w:spacing w:before="100" w:after="100"/>
              <w:ind w:right="288"/>
              <w:jc w:val="right"/>
              <w:rPr>
                <w:rFonts w:ascii="Arial" w:hAnsi="Arial" w:cs="Arial"/>
                <w:color w:val="000000"/>
                <w:sz w:val="20"/>
                <w:szCs w:val="20"/>
              </w:rPr>
            </w:pPr>
            <w:r w:rsidRPr="004C4997">
              <w:rPr>
                <w:rFonts w:ascii="Arial" w:hAnsi="Arial" w:cs="Arial"/>
                <w:color w:val="000000"/>
                <w:sz w:val="20"/>
                <w:szCs w:val="20"/>
              </w:rPr>
              <w:t>1.91 (0.04)</w:t>
            </w:r>
          </w:p>
        </w:tc>
        <w:tc>
          <w:tcPr>
            <w:tcW w:w="2538" w:type="dxa"/>
            <w:vAlign w:val="bottom"/>
          </w:tcPr>
          <w:p w:rsidR="00753E03" w:rsidRPr="004C4997" w:rsidRDefault="00753E03" w:rsidP="00D40965">
            <w:pPr>
              <w:spacing w:before="100" w:after="100"/>
              <w:ind w:right="288"/>
              <w:jc w:val="right"/>
              <w:rPr>
                <w:rFonts w:ascii="Arial" w:hAnsi="Arial" w:cs="Arial"/>
                <w:color w:val="000000"/>
                <w:sz w:val="20"/>
                <w:szCs w:val="20"/>
              </w:rPr>
            </w:pPr>
            <w:r w:rsidRPr="004C4997">
              <w:rPr>
                <w:rFonts w:ascii="Arial" w:hAnsi="Arial" w:cs="Arial"/>
                <w:color w:val="000000"/>
                <w:sz w:val="20"/>
                <w:szCs w:val="20"/>
              </w:rPr>
              <w:t>2.57 (0.03)</w:t>
            </w:r>
          </w:p>
        </w:tc>
      </w:tr>
      <w:tr w:rsidR="00753E03" w:rsidRPr="001F0A60" w:rsidTr="00753E03">
        <w:trPr>
          <w:trHeight w:val="251"/>
        </w:trPr>
        <w:tc>
          <w:tcPr>
            <w:tcW w:w="2988" w:type="dxa"/>
            <w:vAlign w:val="bottom"/>
          </w:tcPr>
          <w:p w:rsidR="00753E03" w:rsidRPr="004C4997" w:rsidRDefault="00753E03" w:rsidP="00D40965">
            <w:pPr>
              <w:spacing w:before="100" w:after="100"/>
              <w:rPr>
                <w:rFonts w:ascii="Arial" w:hAnsi="Arial" w:cs="Arial"/>
                <w:sz w:val="20"/>
                <w:szCs w:val="20"/>
              </w:rPr>
            </w:pPr>
            <w:r w:rsidRPr="004C4997">
              <w:rPr>
                <w:rFonts w:ascii="Arial" w:hAnsi="Arial" w:cs="Arial"/>
                <w:sz w:val="20"/>
                <w:szCs w:val="20"/>
              </w:rPr>
              <w:t>Nicotine</w:t>
            </w:r>
          </w:p>
        </w:tc>
        <w:tc>
          <w:tcPr>
            <w:tcW w:w="2232" w:type="dxa"/>
            <w:vAlign w:val="bottom"/>
          </w:tcPr>
          <w:p w:rsidR="00753E03" w:rsidRPr="004C4997" w:rsidRDefault="00753E03" w:rsidP="00D40965">
            <w:pPr>
              <w:spacing w:before="100" w:after="100"/>
              <w:ind w:right="288"/>
              <w:jc w:val="right"/>
              <w:rPr>
                <w:rFonts w:ascii="Arial" w:hAnsi="Arial" w:cs="Arial"/>
                <w:color w:val="000000"/>
                <w:sz w:val="20"/>
                <w:szCs w:val="20"/>
              </w:rPr>
            </w:pPr>
            <w:r w:rsidRPr="004C4997">
              <w:rPr>
                <w:rFonts w:ascii="Arial" w:hAnsi="Arial" w:cs="Arial"/>
                <w:color w:val="000000"/>
                <w:sz w:val="20"/>
                <w:szCs w:val="20"/>
              </w:rPr>
              <w:t>2.59 (0.05)</w:t>
            </w:r>
          </w:p>
        </w:tc>
        <w:tc>
          <w:tcPr>
            <w:tcW w:w="2538" w:type="dxa"/>
            <w:vAlign w:val="bottom"/>
          </w:tcPr>
          <w:p w:rsidR="00753E03" w:rsidRPr="004C4997" w:rsidRDefault="00753E03" w:rsidP="00D40965">
            <w:pPr>
              <w:spacing w:before="100" w:after="100"/>
              <w:ind w:right="288"/>
              <w:jc w:val="right"/>
              <w:rPr>
                <w:rFonts w:ascii="Arial" w:hAnsi="Arial" w:cs="Arial"/>
                <w:color w:val="000000"/>
                <w:sz w:val="20"/>
                <w:szCs w:val="20"/>
              </w:rPr>
            </w:pPr>
            <w:r w:rsidRPr="004C4997">
              <w:rPr>
                <w:rFonts w:ascii="Arial" w:hAnsi="Arial" w:cs="Arial"/>
                <w:color w:val="000000"/>
                <w:sz w:val="20"/>
                <w:szCs w:val="20"/>
              </w:rPr>
              <w:t>2.06 (0.01)</w:t>
            </w:r>
          </w:p>
        </w:tc>
      </w:tr>
      <w:tr w:rsidR="00753E03" w:rsidRPr="001F0A60" w:rsidTr="00753E03">
        <w:trPr>
          <w:trHeight w:val="251"/>
        </w:trPr>
        <w:tc>
          <w:tcPr>
            <w:tcW w:w="2988" w:type="dxa"/>
            <w:vAlign w:val="bottom"/>
          </w:tcPr>
          <w:p w:rsidR="00753E03" w:rsidRPr="004C4997" w:rsidRDefault="00753E03" w:rsidP="00D40965">
            <w:pPr>
              <w:spacing w:before="100" w:after="100"/>
              <w:rPr>
                <w:rFonts w:ascii="Arial" w:hAnsi="Arial" w:cs="Arial"/>
                <w:sz w:val="20"/>
                <w:szCs w:val="20"/>
              </w:rPr>
            </w:pPr>
            <w:r w:rsidRPr="004C4997">
              <w:rPr>
                <w:rFonts w:ascii="Arial" w:hAnsi="Arial" w:cs="Arial"/>
                <w:sz w:val="20"/>
                <w:szCs w:val="20"/>
              </w:rPr>
              <w:t>Marijuana</w:t>
            </w:r>
          </w:p>
        </w:tc>
        <w:tc>
          <w:tcPr>
            <w:tcW w:w="2232" w:type="dxa"/>
            <w:vAlign w:val="bottom"/>
          </w:tcPr>
          <w:p w:rsidR="00753E03" w:rsidRPr="004C4997" w:rsidRDefault="00753E03" w:rsidP="00D40965">
            <w:pPr>
              <w:spacing w:before="100" w:after="100"/>
              <w:ind w:right="288"/>
              <w:jc w:val="right"/>
              <w:rPr>
                <w:rFonts w:ascii="Arial" w:hAnsi="Arial" w:cs="Arial"/>
                <w:color w:val="000000"/>
                <w:sz w:val="20"/>
                <w:szCs w:val="20"/>
              </w:rPr>
            </w:pPr>
            <w:r w:rsidRPr="004C4997">
              <w:rPr>
                <w:rFonts w:ascii="Arial" w:hAnsi="Arial" w:cs="Arial"/>
                <w:color w:val="000000"/>
                <w:sz w:val="20"/>
                <w:szCs w:val="20"/>
              </w:rPr>
              <w:t>3.01 (0.05)</w:t>
            </w:r>
          </w:p>
        </w:tc>
        <w:tc>
          <w:tcPr>
            <w:tcW w:w="2538" w:type="dxa"/>
            <w:vAlign w:val="bottom"/>
          </w:tcPr>
          <w:p w:rsidR="00753E03" w:rsidRPr="004C4997" w:rsidRDefault="00753E03" w:rsidP="00D40965">
            <w:pPr>
              <w:spacing w:before="100" w:after="100"/>
              <w:ind w:right="288"/>
              <w:jc w:val="right"/>
              <w:rPr>
                <w:rFonts w:ascii="Arial" w:hAnsi="Arial" w:cs="Arial"/>
                <w:color w:val="000000"/>
                <w:sz w:val="20"/>
                <w:szCs w:val="20"/>
              </w:rPr>
            </w:pPr>
            <w:r w:rsidRPr="004C4997">
              <w:rPr>
                <w:rFonts w:ascii="Arial" w:hAnsi="Arial" w:cs="Arial"/>
                <w:color w:val="000000"/>
                <w:sz w:val="20"/>
                <w:szCs w:val="20"/>
              </w:rPr>
              <w:t>2.14 (0.01)</w:t>
            </w:r>
          </w:p>
        </w:tc>
      </w:tr>
      <w:tr w:rsidR="00753E03" w:rsidRPr="001F0A60" w:rsidTr="00753E03">
        <w:trPr>
          <w:trHeight w:val="251"/>
        </w:trPr>
        <w:tc>
          <w:tcPr>
            <w:tcW w:w="2988" w:type="dxa"/>
            <w:vAlign w:val="bottom"/>
          </w:tcPr>
          <w:p w:rsidR="00753E03" w:rsidRPr="004C4997" w:rsidRDefault="00753E03" w:rsidP="00D40965">
            <w:pPr>
              <w:spacing w:before="100" w:after="100"/>
              <w:rPr>
                <w:rFonts w:ascii="Arial" w:hAnsi="Arial" w:cs="Arial"/>
                <w:sz w:val="20"/>
                <w:szCs w:val="20"/>
              </w:rPr>
            </w:pPr>
            <w:r w:rsidRPr="004C4997">
              <w:rPr>
                <w:rFonts w:ascii="Arial" w:hAnsi="Arial" w:cs="Arial"/>
                <w:sz w:val="20"/>
                <w:szCs w:val="20"/>
              </w:rPr>
              <w:t>Analgesics</w:t>
            </w:r>
          </w:p>
        </w:tc>
        <w:tc>
          <w:tcPr>
            <w:tcW w:w="2232" w:type="dxa"/>
            <w:vAlign w:val="bottom"/>
          </w:tcPr>
          <w:p w:rsidR="00753E03" w:rsidRPr="004C4997" w:rsidRDefault="00753E03" w:rsidP="00D40965">
            <w:pPr>
              <w:spacing w:before="100" w:after="100"/>
              <w:ind w:right="288"/>
              <w:jc w:val="right"/>
              <w:rPr>
                <w:rFonts w:ascii="Arial" w:hAnsi="Arial" w:cs="Arial"/>
                <w:color w:val="000000"/>
                <w:sz w:val="20"/>
                <w:szCs w:val="20"/>
              </w:rPr>
            </w:pPr>
            <w:r w:rsidRPr="004C4997">
              <w:rPr>
                <w:rFonts w:ascii="Arial" w:hAnsi="Arial" w:cs="Arial"/>
                <w:color w:val="000000"/>
                <w:sz w:val="20"/>
                <w:szCs w:val="20"/>
              </w:rPr>
              <w:t>2.59 (0.08)</w:t>
            </w:r>
          </w:p>
        </w:tc>
        <w:tc>
          <w:tcPr>
            <w:tcW w:w="2538" w:type="dxa"/>
            <w:vAlign w:val="bottom"/>
          </w:tcPr>
          <w:p w:rsidR="00753E03" w:rsidRPr="004C4997" w:rsidRDefault="00753E03" w:rsidP="00D40965">
            <w:pPr>
              <w:spacing w:before="100" w:after="100"/>
              <w:ind w:right="288"/>
              <w:jc w:val="right"/>
              <w:rPr>
                <w:rFonts w:ascii="Arial" w:hAnsi="Arial" w:cs="Arial"/>
                <w:color w:val="000000"/>
                <w:sz w:val="20"/>
                <w:szCs w:val="20"/>
              </w:rPr>
            </w:pPr>
            <w:r w:rsidRPr="004C4997">
              <w:rPr>
                <w:rFonts w:ascii="Arial" w:hAnsi="Arial" w:cs="Arial"/>
                <w:color w:val="000000"/>
                <w:sz w:val="20"/>
                <w:szCs w:val="20"/>
              </w:rPr>
              <w:t>2.91 (0.04)</w:t>
            </w:r>
          </w:p>
        </w:tc>
      </w:tr>
      <w:tr w:rsidR="00753E03" w:rsidRPr="001F0A60" w:rsidTr="00753E03">
        <w:trPr>
          <w:trHeight w:val="251"/>
        </w:trPr>
        <w:tc>
          <w:tcPr>
            <w:tcW w:w="2988" w:type="dxa"/>
            <w:vAlign w:val="bottom"/>
          </w:tcPr>
          <w:p w:rsidR="00753E03" w:rsidRPr="004C4997" w:rsidRDefault="00753E03" w:rsidP="00D40965">
            <w:pPr>
              <w:spacing w:before="100" w:after="100"/>
              <w:rPr>
                <w:rFonts w:ascii="Arial" w:hAnsi="Arial" w:cs="Arial"/>
                <w:sz w:val="20"/>
                <w:szCs w:val="20"/>
              </w:rPr>
            </w:pPr>
            <w:r w:rsidRPr="004C4997">
              <w:rPr>
                <w:rFonts w:ascii="Arial" w:hAnsi="Arial" w:cs="Arial"/>
                <w:sz w:val="20"/>
                <w:szCs w:val="20"/>
              </w:rPr>
              <w:t>Other Non-Prescription Drugs</w:t>
            </w:r>
          </w:p>
        </w:tc>
        <w:tc>
          <w:tcPr>
            <w:tcW w:w="2232" w:type="dxa"/>
            <w:vAlign w:val="bottom"/>
          </w:tcPr>
          <w:p w:rsidR="00753E03" w:rsidRPr="004C4997" w:rsidRDefault="00753E03" w:rsidP="00D40965">
            <w:pPr>
              <w:spacing w:before="100" w:after="100"/>
              <w:ind w:right="288"/>
              <w:jc w:val="right"/>
              <w:rPr>
                <w:rFonts w:ascii="Arial" w:hAnsi="Arial" w:cs="Arial"/>
                <w:color w:val="000000"/>
                <w:sz w:val="20"/>
                <w:szCs w:val="20"/>
              </w:rPr>
            </w:pPr>
            <w:r w:rsidRPr="004C4997">
              <w:rPr>
                <w:rFonts w:ascii="Arial" w:hAnsi="Arial" w:cs="Arial"/>
                <w:color w:val="000000"/>
                <w:sz w:val="20"/>
                <w:szCs w:val="20"/>
              </w:rPr>
              <w:t>3.03 (0.10)</w:t>
            </w:r>
          </w:p>
        </w:tc>
        <w:tc>
          <w:tcPr>
            <w:tcW w:w="2538" w:type="dxa"/>
            <w:vAlign w:val="bottom"/>
          </w:tcPr>
          <w:p w:rsidR="00753E03" w:rsidRPr="004C4997" w:rsidRDefault="00753E03" w:rsidP="00D40965">
            <w:pPr>
              <w:spacing w:before="100" w:after="100"/>
              <w:ind w:right="288"/>
              <w:jc w:val="right"/>
              <w:rPr>
                <w:rFonts w:ascii="Arial" w:hAnsi="Arial" w:cs="Arial"/>
                <w:color w:val="000000"/>
                <w:sz w:val="20"/>
                <w:szCs w:val="20"/>
              </w:rPr>
            </w:pPr>
            <w:r w:rsidRPr="004C4997">
              <w:rPr>
                <w:rFonts w:ascii="Arial" w:hAnsi="Arial" w:cs="Arial"/>
                <w:color w:val="000000"/>
                <w:sz w:val="20"/>
                <w:szCs w:val="20"/>
              </w:rPr>
              <w:t>3.03 (0.04)</w:t>
            </w:r>
          </w:p>
        </w:tc>
      </w:tr>
      <w:tr w:rsidR="00753E03" w:rsidRPr="001F0A60" w:rsidTr="00753E03">
        <w:trPr>
          <w:trHeight w:val="251"/>
        </w:trPr>
        <w:tc>
          <w:tcPr>
            <w:tcW w:w="2988" w:type="dxa"/>
            <w:tcBorders>
              <w:bottom w:val="single" w:sz="4" w:space="0" w:color="auto"/>
            </w:tcBorders>
            <w:vAlign w:val="bottom"/>
          </w:tcPr>
          <w:p w:rsidR="00753E03" w:rsidRPr="004C4997" w:rsidRDefault="00753E03" w:rsidP="00D40965">
            <w:pPr>
              <w:spacing w:before="100" w:after="100"/>
              <w:rPr>
                <w:rFonts w:ascii="Arial" w:hAnsi="Arial" w:cs="Arial"/>
                <w:sz w:val="20"/>
                <w:szCs w:val="20"/>
              </w:rPr>
            </w:pPr>
            <w:r w:rsidRPr="004C4997">
              <w:rPr>
                <w:rFonts w:ascii="Arial" w:hAnsi="Arial" w:cs="Arial"/>
                <w:sz w:val="20"/>
                <w:szCs w:val="20"/>
              </w:rPr>
              <w:t>Other Prescription Drugs</w:t>
            </w:r>
          </w:p>
        </w:tc>
        <w:tc>
          <w:tcPr>
            <w:tcW w:w="2232" w:type="dxa"/>
            <w:tcBorders>
              <w:bottom w:val="single" w:sz="4" w:space="0" w:color="auto"/>
            </w:tcBorders>
            <w:vAlign w:val="bottom"/>
          </w:tcPr>
          <w:p w:rsidR="00753E03" w:rsidRPr="004C4997" w:rsidRDefault="00753E03" w:rsidP="00D40965">
            <w:pPr>
              <w:spacing w:before="100" w:after="100"/>
              <w:ind w:right="288"/>
              <w:jc w:val="right"/>
              <w:rPr>
                <w:rFonts w:ascii="Arial" w:hAnsi="Arial" w:cs="Arial"/>
                <w:color w:val="000000"/>
                <w:sz w:val="20"/>
                <w:szCs w:val="20"/>
              </w:rPr>
            </w:pPr>
            <w:r w:rsidRPr="004C4997">
              <w:rPr>
                <w:rFonts w:ascii="Arial" w:hAnsi="Arial" w:cs="Arial"/>
                <w:color w:val="000000"/>
                <w:sz w:val="20"/>
                <w:szCs w:val="20"/>
              </w:rPr>
              <w:t>2.90 (0.09)</w:t>
            </w:r>
          </w:p>
        </w:tc>
        <w:tc>
          <w:tcPr>
            <w:tcW w:w="2538" w:type="dxa"/>
            <w:tcBorders>
              <w:bottom w:val="single" w:sz="4" w:space="0" w:color="auto"/>
            </w:tcBorders>
            <w:vAlign w:val="bottom"/>
          </w:tcPr>
          <w:p w:rsidR="00753E03" w:rsidRPr="004C4997" w:rsidRDefault="00753E03" w:rsidP="00D40965">
            <w:pPr>
              <w:spacing w:before="100" w:after="100"/>
              <w:ind w:right="288"/>
              <w:jc w:val="right"/>
              <w:rPr>
                <w:rFonts w:ascii="Arial" w:hAnsi="Arial" w:cs="Arial"/>
                <w:color w:val="000000"/>
                <w:sz w:val="20"/>
                <w:szCs w:val="20"/>
              </w:rPr>
            </w:pPr>
            <w:r w:rsidRPr="004C4997">
              <w:rPr>
                <w:rFonts w:ascii="Arial" w:hAnsi="Arial" w:cs="Arial"/>
                <w:color w:val="000000"/>
                <w:sz w:val="20"/>
                <w:szCs w:val="20"/>
              </w:rPr>
              <w:t>2.82 (0.03)</w:t>
            </w:r>
          </w:p>
        </w:tc>
      </w:tr>
    </w:tbl>
    <w:p w:rsidR="00D54951" w:rsidRDefault="00D54951" w:rsidP="00D54951">
      <w:pPr>
        <w:spacing w:after="120" w:line="480" w:lineRule="auto"/>
        <w:rPr>
          <w:rFonts w:ascii="Times New Roman" w:hAnsi="Times New Roman" w:cs="Times New Roman"/>
          <w:b/>
          <w:sz w:val="20"/>
          <w:szCs w:val="20"/>
        </w:rPr>
      </w:pPr>
    </w:p>
    <w:p w:rsidR="00D54951" w:rsidRDefault="00D54951" w:rsidP="00D54951">
      <w:pPr>
        <w:rPr>
          <w:rFonts w:ascii="Times New Roman" w:hAnsi="Times New Roman" w:cs="Times New Roman"/>
          <w:sz w:val="24"/>
          <w:szCs w:val="24"/>
        </w:rPr>
      </w:pPr>
    </w:p>
    <w:p w:rsidR="00D54951" w:rsidRDefault="00D54951" w:rsidP="00D54951">
      <w:pPr>
        <w:rPr>
          <w:rFonts w:ascii="Times New Roman" w:hAnsi="Times New Roman" w:cs="Times New Roman"/>
          <w:sz w:val="24"/>
          <w:szCs w:val="24"/>
        </w:rPr>
      </w:pPr>
    </w:p>
    <w:p w:rsidR="00D54951" w:rsidRDefault="00D54951" w:rsidP="00D54951">
      <w:pPr>
        <w:rPr>
          <w:rStyle w:val="apple-converted-space"/>
          <w:rFonts w:ascii="Times New Roman" w:hAnsi="Times New Roman" w:cs="Times New Roman"/>
          <w:color w:val="000000"/>
          <w:sz w:val="24"/>
          <w:szCs w:val="24"/>
          <w:shd w:val="clear" w:color="auto" w:fill="FFFFFF"/>
        </w:rPr>
      </w:pPr>
    </w:p>
    <w:p w:rsidR="00D54951" w:rsidRPr="001F0A60" w:rsidRDefault="00D54951" w:rsidP="00D54951">
      <w:pPr>
        <w:spacing w:after="0" w:line="480" w:lineRule="auto"/>
        <w:ind w:firstLine="720"/>
        <w:rPr>
          <w:rFonts w:ascii="Times New Roman" w:hAnsi="Times New Roman" w:cs="Times New Roman"/>
          <w:sz w:val="24"/>
          <w:szCs w:val="24"/>
        </w:rPr>
      </w:pPr>
    </w:p>
    <w:p w:rsidR="00D54951" w:rsidRDefault="00D54951" w:rsidP="00D54951">
      <w:pPr>
        <w:rPr>
          <w:rFonts w:ascii="Times New Roman" w:hAnsi="Times New Roman" w:cs="Times New Roman"/>
          <w:sz w:val="24"/>
          <w:szCs w:val="24"/>
        </w:rPr>
      </w:pPr>
    </w:p>
    <w:p w:rsidR="00D54951" w:rsidRDefault="00D54951" w:rsidP="00D54951">
      <w:pPr>
        <w:rPr>
          <w:rFonts w:ascii="Times New Roman" w:hAnsi="Times New Roman" w:cs="Times New Roman"/>
          <w:sz w:val="24"/>
          <w:szCs w:val="24"/>
        </w:rPr>
      </w:pPr>
    </w:p>
    <w:p w:rsidR="00D54951" w:rsidRDefault="00D54951" w:rsidP="00D54951">
      <w:pPr>
        <w:rPr>
          <w:rFonts w:ascii="Times New Roman" w:hAnsi="Times New Roman" w:cs="Times New Roman"/>
          <w:sz w:val="24"/>
          <w:szCs w:val="24"/>
        </w:rPr>
      </w:pPr>
    </w:p>
    <w:p w:rsidR="00D54951" w:rsidRDefault="00D54951" w:rsidP="00D54951">
      <w:pPr>
        <w:rPr>
          <w:rFonts w:ascii="Times New Roman" w:hAnsi="Times New Roman" w:cs="Times New Roman"/>
          <w:sz w:val="24"/>
          <w:szCs w:val="24"/>
        </w:rPr>
      </w:pPr>
    </w:p>
    <w:p w:rsidR="00D54951" w:rsidRDefault="00D54951" w:rsidP="00D54951">
      <w:pPr>
        <w:rPr>
          <w:rFonts w:ascii="Times New Roman" w:hAnsi="Times New Roman" w:cs="Times New Roman"/>
          <w:sz w:val="24"/>
          <w:szCs w:val="24"/>
        </w:rPr>
      </w:pPr>
    </w:p>
    <w:p w:rsidR="00D54951" w:rsidRDefault="00D54951" w:rsidP="00D54951">
      <w:pPr>
        <w:rPr>
          <w:rFonts w:ascii="Times New Roman" w:hAnsi="Times New Roman" w:cs="Times New Roman"/>
          <w:sz w:val="24"/>
          <w:szCs w:val="24"/>
        </w:rPr>
      </w:pPr>
    </w:p>
    <w:p w:rsidR="00D54951" w:rsidRDefault="00D54951" w:rsidP="00D54951">
      <w:pPr>
        <w:rPr>
          <w:rFonts w:ascii="Times New Roman" w:hAnsi="Times New Roman" w:cs="Times New Roman"/>
          <w:sz w:val="24"/>
          <w:szCs w:val="24"/>
        </w:rPr>
      </w:pPr>
    </w:p>
    <w:p w:rsidR="00D54951" w:rsidRDefault="00D54951" w:rsidP="00D54951">
      <w:pPr>
        <w:rPr>
          <w:rFonts w:ascii="Times New Roman" w:hAnsi="Times New Roman" w:cs="Times New Roman"/>
          <w:sz w:val="24"/>
          <w:szCs w:val="24"/>
        </w:rPr>
      </w:pPr>
    </w:p>
    <w:p w:rsidR="00D54951" w:rsidRDefault="00D54951" w:rsidP="00D54951">
      <w:pPr>
        <w:rPr>
          <w:rFonts w:ascii="Times New Roman" w:hAnsi="Times New Roman" w:cs="Times New Roman"/>
          <w:sz w:val="24"/>
          <w:szCs w:val="24"/>
        </w:rPr>
      </w:pPr>
    </w:p>
    <w:p w:rsidR="00D54951" w:rsidRDefault="00D54951" w:rsidP="00D54951">
      <w:pPr>
        <w:rPr>
          <w:rFonts w:ascii="Times New Roman" w:hAnsi="Times New Roman" w:cs="Times New Roman"/>
          <w:sz w:val="24"/>
          <w:szCs w:val="24"/>
        </w:rPr>
      </w:pPr>
    </w:p>
    <w:p w:rsidR="00E86285" w:rsidRDefault="00D54951">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7" w:rightFromText="187" w:vertAnchor="page" w:horzAnchor="page" w:tblpX="1943" w:tblpY="2743"/>
        <w:tblW w:w="7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2232"/>
        <w:gridCol w:w="2538"/>
      </w:tblGrid>
      <w:tr w:rsidR="00E86285" w:rsidRPr="001F0A60" w:rsidTr="00BE6DA9">
        <w:trPr>
          <w:trHeight w:val="251"/>
        </w:trPr>
        <w:tc>
          <w:tcPr>
            <w:tcW w:w="7758" w:type="dxa"/>
            <w:gridSpan w:val="3"/>
            <w:tcBorders>
              <w:left w:val="nil"/>
              <w:bottom w:val="single" w:sz="4" w:space="0" w:color="auto"/>
              <w:right w:val="nil"/>
            </w:tcBorders>
            <w:shd w:val="clear" w:color="auto" w:fill="auto"/>
            <w:hideMark/>
          </w:tcPr>
          <w:p w:rsidR="00E86285" w:rsidRPr="004C4997" w:rsidRDefault="00E86285" w:rsidP="00E86285">
            <w:pPr>
              <w:rPr>
                <w:rFonts w:ascii="Arial" w:hAnsi="Arial" w:cs="Arial"/>
                <w:sz w:val="20"/>
                <w:szCs w:val="20"/>
              </w:rPr>
            </w:pPr>
            <w:r>
              <w:rPr>
                <w:rFonts w:ascii="Arial" w:hAnsi="Arial" w:cs="Arial"/>
                <w:b/>
                <w:sz w:val="24"/>
                <w:szCs w:val="20"/>
              </w:rPr>
              <w:lastRenderedPageBreak/>
              <w:t>Table S4</w:t>
            </w:r>
            <w:r w:rsidRPr="004C4997">
              <w:rPr>
                <w:rFonts w:ascii="Arial" w:hAnsi="Arial" w:cs="Arial"/>
                <w:b/>
                <w:sz w:val="24"/>
                <w:szCs w:val="20"/>
              </w:rPr>
              <w:t>:</w:t>
            </w:r>
            <w:r w:rsidRPr="004C4997">
              <w:rPr>
                <w:rFonts w:ascii="Arial" w:hAnsi="Arial" w:cs="Arial"/>
                <w:sz w:val="24"/>
                <w:szCs w:val="20"/>
              </w:rPr>
              <w:t xml:space="preserve"> Parameter estimates from single-factor IRT models for delinquency (top) and SUDs (bottom) combining all years of data. N=210,599</w:t>
            </w:r>
          </w:p>
        </w:tc>
      </w:tr>
      <w:tr w:rsidR="00E86285" w:rsidRPr="001F0A60" w:rsidTr="00BE6DA9">
        <w:trPr>
          <w:trHeight w:val="763"/>
        </w:trPr>
        <w:tc>
          <w:tcPr>
            <w:tcW w:w="2988" w:type="dxa"/>
            <w:tcBorders>
              <w:top w:val="single" w:sz="4" w:space="0" w:color="auto"/>
              <w:left w:val="nil"/>
              <w:bottom w:val="single" w:sz="4" w:space="0" w:color="auto"/>
              <w:right w:val="nil"/>
            </w:tcBorders>
            <w:vAlign w:val="center"/>
            <w:hideMark/>
          </w:tcPr>
          <w:p w:rsidR="00E86285" w:rsidRPr="004C4997" w:rsidRDefault="00E86285" w:rsidP="00BE6DA9">
            <w:pPr>
              <w:rPr>
                <w:rFonts w:ascii="Arial" w:hAnsi="Arial" w:cs="Arial"/>
                <w:b/>
                <w:sz w:val="20"/>
                <w:szCs w:val="20"/>
              </w:rPr>
            </w:pPr>
          </w:p>
        </w:tc>
        <w:tc>
          <w:tcPr>
            <w:tcW w:w="2232" w:type="dxa"/>
            <w:tcBorders>
              <w:top w:val="single" w:sz="4" w:space="0" w:color="auto"/>
              <w:left w:val="nil"/>
              <w:bottom w:val="single" w:sz="4" w:space="0" w:color="auto"/>
              <w:right w:val="nil"/>
            </w:tcBorders>
            <w:vAlign w:val="center"/>
          </w:tcPr>
          <w:p w:rsidR="00E86285" w:rsidRPr="004C4997" w:rsidRDefault="00E86285" w:rsidP="00BE6DA9">
            <w:pPr>
              <w:jc w:val="center"/>
              <w:rPr>
                <w:rFonts w:ascii="Arial" w:hAnsi="Arial" w:cs="Arial"/>
                <w:b/>
                <w:sz w:val="20"/>
                <w:szCs w:val="20"/>
              </w:rPr>
            </w:pPr>
            <w:r w:rsidRPr="004C4997">
              <w:rPr>
                <w:rFonts w:ascii="Arial" w:hAnsi="Arial" w:cs="Arial"/>
                <w:b/>
                <w:sz w:val="20"/>
                <w:szCs w:val="20"/>
              </w:rPr>
              <w:t>Item Discrim. Coeff</w:t>
            </w:r>
            <w:r>
              <w:rPr>
                <w:rFonts w:ascii="Arial" w:hAnsi="Arial" w:cs="Arial"/>
                <w:b/>
                <w:sz w:val="20"/>
                <w:szCs w:val="20"/>
              </w:rPr>
              <w:t xml:space="preserve">. </w:t>
            </w:r>
            <w:r w:rsidRPr="004C4997">
              <w:rPr>
                <w:rFonts w:ascii="Arial" w:hAnsi="Arial" w:cs="Arial"/>
                <w:b/>
                <w:sz w:val="20"/>
                <w:szCs w:val="20"/>
              </w:rPr>
              <w:t>(S.E.)</w:t>
            </w:r>
          </w:p>
        </w:tc>
        <w:tc>
          <w:tcPr>
            <w:tcW w:w="2538" w:type="dxa"/>
            <w:tcBorders>
              <w:top w:val="single" w:sz="4" w:space="0" w:color="auto"/>
              <w:left w:val="nil"/>
              <w:bottom w:val="single" w:sz="4" w:space="0" w:color="auto"/>
              <w:right w:val="nil"/>
            </w:tcBorders>
            <w:vAlign w:val="center"/>
          </w:tcPr>
          <w:p w:rsidR="00E86285" w:rsidRPr="004C4997" w:rsidRDefault="00E86285" w:rsidP="00BE6DA9">
            <w:pPr>
              <w:jc w:val="center"/>
              <w:rPr>
                <w:rFonts w:ascii="Arial" w:hAnsi="Arial" w:cs="Arial"/>
                <w:b/>
                <w:sz w:val="20"/>
                <w:szCs w:val="20"/>
              </w:rPr>
            </w:pPr>
            <w:r w:rsidRPr="004C4997">
              <w:rPr>
                <w:rFonts w:ascii="Arial" w:hAnsi="Arial" w:cs="Arial"/>
                <w:b/>
                <w:sz w:val="20"/>
                <w:szCs w:val="20"/>
              </w:rPr>
              <w:t>Difficulty</w:t>
            </w:r>
          </w:p>
        </w:tc>
      </w:tr>
      <w:tr w:rsidR="0054492F" w:rsidRPr="001F0A60" w:rsidTr="003B71EB">
        <w:trPr>
          <w:trHeight w:val="251"/>
        </w:trPr>
        <w:tc>
          <w:tcPr>
            <w:tcW w:w="2988" w:type="dxa"/>
            <w:tcBorders>
              <w:top w:val="single" w:sz="4" w:space="0" w:color="auto"/>
              <w:left w:val="nil"/>
              <w:bottom w:val="nil"/>
              <w:right w:val="nil"/>
            </w:tcBorders>
            <w:vAlign w:val="center"/>
            <w:hideMark/>
          </w:tcPr>
          <w:p w:rsidR="0054492F" w:rsidRPr="004C4997" w:rsidRDefault="0054492F" w:rsidP="00BE6DA9">
            <w:pPr>
              <w:spacing w:before="100" w:after="100"/>
              <w:rPr>
                <w:rFonts w:ascii="Arial" w:hAnsi="Arial" w:cs="Arial"/>
                <w:sz w:val="20"/>
                <w:szCs w:val="20"/>
              </w:rPr>
            </w:pPr>
            <w:r w:rsidRPr="004C4997">
              <w:rPr>
                <w:rFonts w:ascii="Arial" w:hAnsi="Arial" w:cs="Arial"/>
                <w:sz w:val="20"/>
                <w:szCs w:val="20"/>
              </w:rPr>
              <w:t>Serious Fight</w:t>
            </w:r>
          </w:p>
        </w:tc>
        <w:tc>
          <w:tcPr>
            <w:tcW w:w="2232" w:type="dxa"/>
            <w:tcBorders>
              <w:top w:val="single" w:sz="4" w:space="0" w:color="auto"/>
              <w:left w:val="nil"/>
              <w:bottom w:val="nil"/>
              <w:right w:val="nil"/>
            </w:tcBorders>
            <w:vAlign w:val="bottom"/>
          </w:tcPr>
          <w:p w:rsidR="0054492F" w:rsidRDefault="0054492F" w:rsidP="0054492F">
            <w:pPr>
              <w:ind w:right="432"/>
              <w:jc w:val="right"/>
              <w:rPr>
                <w:rFonts w:ascii="Calibri" w:hAnsi="Calibri"/>
                <w:color w:val="000000"/>
              </w:rPr>
            </w:pPr>
            <w:r>
              <w:rPr>
                <w:rFonts w:ascii="Calibri" w:hAnsi="Calibri"/>
                <w:color w:val="000000"/>
              </w:rPr>
              <w:t>1.51  (0.02)</w:t>
            </w:r>
          </w:p>
        </w:tc>
        <w:tc>
          <w:tcPr>
            <w:tcW w:w="2538" w:type="dxa"/>
            <w:tcBorders>
              <w:top w:val="single" w:sz="4" w:space="0" w:color="auto"/>
              <w:left w:val="nil"/>
              <w:right w:val="nil"/>
            </w:tcBorders>
            <w:vAlign w:val="bottom"/>
          </w:tcPr>
          <w:p w:rsidR="0054492F" w:rsidRDefault="0054492F" w:rsidP="0054492F">
            <w:pPr>
              <w:ind w:right="432"/>
              <w:jc w:val="right"/>
              <w:rPr>
                <w:rFonts w:ascii="Calibri" w:hAnsi="Calibri"/>
                <w:color w:val="000000"/>
              </w:rPr>
            </w:pPr>
            <w:r>
              <w:rPr>
                <w:rFonts w:ascii="Calibri" w:hAnsi="Calibri"/>
                <w:color w:val="000000"/>
              </w:rPr>
              <w:t>1.06  (0.02)</w:t>
            </w:r>
          </w:p>
        </w:tc>
      </w:tr>
      <w:tr w:rsidR="0054492F" w:rsidRPr="001F0A60" w:rsidTr="003B71EB">
        <w:trPr>
          <w:trHeight w:val="251"/>
        </w:trPr>
        <w:tc>
          <w:tcPr>
            <w:tcW w:w="2988" w:type="dxa"/>
            <w:vAlign w:val="center"/>
            <w:hideMark/>
          </w:tcPr>
          <w:p w:rsidR="0054492F" w:rsidRPr="004C4997" w:rsidRDefault="0054492F" w:rsidP="00BE6DA9">
            <w:pPr>
              <w:spacing w:before="100" w:after="100"/>
              <w:rPr>
                <w:rFonts w:ascii="Arial" w:hAnsi="Arial" w:cs="Arial"/>
                <w:sz w:val="20"/>
                <w:szCs w:val="20"/>
              </w:rPr>
            </w:pPr>
            <w:r w:rsidRPr="004C4997">
              <w:rPr>
                <w:rFonts w:ascii="Arial" w:hAnsi="Arial" w:cs="Arial"/>
                <w:sz w:val="20"/>
                <w:szCs w:val="20"/>
              </w:rPr>
              <w:t>Group Fight</w:t>
            </w:r>
          </w:p>
        </w:tc>
        <w:tc>
          <w:tcPr>
            <w:tcW w:w="2232" w:type="dxa"/>
            <w:vAlign w:val="bottom"/>
          </w:tcPr>
          <w:p w:rsidR="0054492F" w:rsidRDefault="0054492F" w:rsidP="0054492F">
            <w:pPr>
              <w:ind w:right="432"/>
              <w:jc w:val="right"/>
              <w:rPr>
                <w:rFonts w:ascii="Calibri" w:hAnsi="Calibri"/>
                <w:color w:val="000000"/>
              </w:rPr>
            </w:pPr>
            <w:r>
              <w:rPr>
                <w:rFonts w:ascii="Calibri" w:hAnsi="Calibri"/>
                <w:color w:val="000000"/>
              </w:rPr>
              <w:t>1.68  (0.02)</w:t>
            </w:r>
          </w:p>
        </w:tc>
        <w:tc>
          <w:tcPr>
            <w:tcW w:w="2538" w:type="dxa"/>
            <w:vAlign w:val="bottom"/>
          </w:tcPr>
          <w:p w:rsidR="0054492F" w:rsidRDefault="0054492F" w:rsidP="0054492F">
            <w:pPr>
              <w:ind w:right="432"/>
              <w:jc w:val="right"/>
              <w:rPr>
                <w:rFonts w:ascii="Calibri" w:hAnsi="Calibri"/>
                <w:color w:val="000000"/>
              </w:rPr>
            </w:pPr>
            <w:r>
              <w:rPr>
                <w:rFonts w:ascii="Calibri" w:hAnsi="Calibri"/>
                <w:color w:val="000000"/>
              </w:rPr>
              <w:t>1.37  (0.02)</w:t>
            </w:r>
          </w:p>
        </w:tc>
      </w:tr>
      <w:tr w:rsidR="0054492F" w:rsidRPr="001F0A60" w:rsidTr="003B71EB">
        <w:trPr>
          <w:trHeight w:val="251"/>
        </w:trPr>
        <w:tc>
          <w:tcPr>
            <w:tcW w:w="2988" w:type="dxa"/>
            <w:vAlign w:val="center"/>
          </w:tcPr>
          <w:p w:rsidR="0054492F" w:rsidRPr="004C4997" w:rsidRDefault="0054492F" w:rsidP="00BE6DA9">
            <w:pPr>
              <w:spacing w:before="100" w:after="100"/>
              <w:rPr>
                <w:rFonts w:ascii="Arial" w:hAnsi="Arial" w:cs="Arial"/>
                <w:sz w:val="20"/>
                <w:szCs w:val="20"/>
              </w:rPr>
            </w:pPr>
            <w:r w:rsidRPr="004C4997">
              <w:rPr>
                <w:rFonts w:ascii="Arial" w:hAnsi="Arial" w:cs="Arial"/>
                <w:sz w:val="20"/>
                <w:szCs w:val="20"/>
              </w:rPr>
              <w:t>Attack to Injure</w:t>
            </w:r>
          </w:p>
        </w:tc>
        <w:tc>
          <w:tcPr>
            <w:tcW w:w="2232" w:type="dxa"/>
            <w:vAlign w:val="bottom"/>
          </w:tcPr>
          <w:p w:rsidR="0054492F" w:rsidRDefault="0054492F" w:rsidP="0054492F">
            <w:pPr>
              <w:ind w:right="432"/>
              <w:jc w:val="right"/>
              <w:rPr>
                <w:rFonts w:ascii="Calibri" w:hAnsi="Calibri"/>
                <w:color w:val="000000"/>
              </w:rPr>
            </w:pPr>
            <w:r>
              <w:rPr>
                <w:rFonts w:ascii="Calibri" w:hAnsi="Calibri"/>
                <w:color w:val="000000"/>
              </w:rPr>
              <w:t>1.89  (0.03)</w:t>
            </w:r>
          </w:p>
        </w:tc>
        <w:tc>
          <w:tcPr>
            <w:tcW w:w="2538" w:type="dxa"/>
            <w:vAlign w:val="bottom"/>
          </w:tcPr>
          <w:p w:rsidR="0054492F" w:rsidRDefault="0054492F" w:rsidP="0054492F">
            <w:pPr>
              <w:ind w:right="432"/>
              <w:jc w:val="right"/>
              <w:rPr>
                <w:rFonts w:ascii="Calibri" w:hAnsi="Calibri"/>
                <w:color w:val="000000"/>
              </w:rPr>
            </w:pPr>
            <w:r>
              <w:rPr>
                <w:rFonts w:ascii="Calibri" w:hAnsi="Calibri"/>
                <w:color w:val="000000"/>
              </w:rPr>
              <w:t>2.79  (0.03)</w:t>
            </w:r>
          </w:p>
        </w:tc>
      </w:tr>
      <w:tr w:rsidR="0054492F" w:rsidRPr="001F0A60" w:rsidTr="003B71EB">
        <w:trPr>
          <w:trHeight w:val="251"/>
        </w:trPr>
        <w:tc>
          <w:tcPr>
            <w:tcW w:w="2988" w:type="dxa"/>
            <w:vAlign w:val="center"/>
          </w:tcPr>
          <w:p w:rsidR="0054492F" w:rsidRPr="004C4997" w:rsidRDefault="0054492F" w:rsidP="00BE6DA9">
            <w:pPr>
              <w:spacing w:before="100" w:after="100"/>
              <w:rPr>
                <w:rFonts w:ascii="Arial" w:hAnsi="Arial" w:cs="Arial"/>
                <w:sz w:val="20"/>
                <w:szCs w:val="20"/>
              </w:rPr>
            </w:pPr>
            <w:r w:rsidRPr="004C4997">
              <w:rPr>
                <w:rFonts w:ascii="Arial" w:hAnsi="Arial" w:cs="Arial"/>
                <w:sz w:val="20"/>
                <w:szCs w:val="20"/>
              </w:rPr>
              <w:t>Stealing Item &gt;$50</w:t>
            </w:r>
          </w:p>
        </w:tc>
        <w:tc>
          <w:tcPr>
            <w:tcW w:w="2232" w:type="dxa"/>
            <w:vAlign w:val="bottom"/>
          </w:tcPr>
          <w:p w:rsidR="0054492F" w:rsidRDefault="0054492F" w:rsidP="0054492F">
            <w:pPr>
              <w:ind w:right="432"/>
              <w:jc w:val="right"/>
              <w:rPr>
                <w:rFonts w:ascii="Calibri" w:hAnsi="Calibri"/>
                <w:color w:val="000000"/>
              </w:rPr>
            </w:pPr>
            <w:r>
              <w:rPr>
                <w:rFonts w:ascii="Calibri" w:hAnsi="Calibri"/>
                <w:color w:val="000000"/>
              </w:rPr>
              <w:t>2.06  (0.03)</w:t>
            </w:r>
          </w:p>
        </w:tc>
        <w:tc>
          <w:tcPr>
            <w:tcW w:w="2538" w:type="dxa"/>
            <w:vAlign w:val="bottom"/>
          </w:tcPr>
          <w:p w:rsidR="0054492F" w:rsidRDefault="0054492F" w:rsidP="0054492F">
            <w:pPr>
              <w:ind w:right="432"/>
              <w:jc w:val="right"/>
              <w:rPr>
                <w:rFonts w:ascii="Calibri" w:hAnsi="Calibri"/>
                <w:color w:val="000000"/>
              </w:rPr>
            </w:pPr>
            <w:r>
              <w:rPr>
                <w:rFonts w:ascii="Calibri" w:hAnsi="Calibri"/>
                <w:color w:val="000000"/>
              </w:rPr>
              <w:t>2.01  (0.02)</w:t>
            </w:r>
          </w:p>
        </w:tc>
      </w:tr>
      <w:tr w:rsidR="0054492F" w:rsidRPr="001F0A60" w:rsidTr="003B71EB">
        <w:trPr>
          <w:trHeight w:val="251"/>
        </w:trPr>
        <w:tc>
          <w:tcPr>
            <w:tcW w:w="2988" w:type="dxa"/>
            <w:vAlign w:val="center"/>
          </w:tcPr>
          <w:p w:rsidR="0054492F" w:rsidRPr="004C4997" w:rsidRDefault="0054492F" w:rsidP="00BE6DA9">
            <w:pPr>
              <w:spacing w:before="100" w:after="100"/>
              <w:rPr>
                <w:rFonts w:ascii="Arial" w:hAnsi="Arial" w:cs="Arial"/>
                <w:sz w:val="20"/>
                <w:szCs w:val="20"/>
              </w:rPr>
            </w:pPr>
            <w:r w:rsidRPr="004C4997">
              <w:rPr>
                <w:rFonts w:ascii="Arial" w:hAnsi="Arial" w:cs="Arial"/>
                <w:sz w:val="20"/>
                <w:szCs w:val="20"/>
              </w:rPr>
              <w:t>Selling Drugs</w:t>
            </w:r>
          </w:p>
        </w:tc>
        <w:tc>
          <w:tcPr>
            <w:tcW w:w="2232" w:type="dxa"/>
            <w:vAlign w:val="bottom"/>
          </w:tcPr>
          <w:p w:rsidR="0054492F" w:rsidRDefault="0054492F" w:rsidP="0054492F">
            <w:pPr>
              <w:ind w:right="432"/>
              <w:jc w:val="right"/>
              <w:rPr>
                <w:rFonts w:ascii="Calibri" w:hAnsi="Calibri"/>
                <w:color w:val="000000"/>
              </w:rPr>
            </w:pPr>
            <w:r>
              <w:rPr>
                <w:rFonts w:ascii="Calibri" w:hAnsi="Calibri"/>
                <w:color w:val="000000"/>
              </w:rPr>
              <w:t>3.02  (0.05)</w:t>
            </w:r>
          </w:p>
        </w:tc>
        <w:tc>
          <w:tcPr>
            <w:tcW w:w="2538" w:type="dxa"/>
            <w:vAlign w:val="bottom"/>
          </w:tcPr>
          <w:p w:rsidR="0054492F" w:rsidRDefault="0054492F" w:rsidP="0054492F">
            <w:pPr>
              <w:ind w:right="432"/>
              <w:jc w:val="right"/>
              <w:rPr>
                <w:rFonts w:ascii="Calibri" w:hAnsi="Calibri"/>
                <w:color w:val="000000"/>
              </w:rPr>
            </w:pPr>
            <w:r>
              <w:rPr>
                <w:rFonts w:ascii="Calibri" w:hAnsi="Calibri"/>
                <w:color w:val="000000"/>
              </w:rPr>
              <w:t>2.15  (0.02)</w:t>
            </w:r>
          </w:p>
        </w:tc>
      </w:tr>
      <w:tr w:rsidR="0054492F" w:rsidRPr="001F0A60" w:rsidTr="003B71EB">
        <w:trPr>
          <w:trHeight w:val="251"/>
        </w:trPr>
        <w:tc>
          <w:tcPr>
            <w:tcW w:w="2988" w:type="dxa"/>
            <w:vAlign w:val="center"/>
          </w:tcPr>
          <w:p w:rsidR="0054492F" w:rsidRPr="004C4997" w:rsidRDefault="0054492F" w:rsidP="00BE6DA9">
            <w:pPr>
              <w:spacing w:before="100" w:after="100"/>
              <w:rPr>
                <w:rFonts w:ascii="Arial" w:hAnsi="Arial" w:cs="Arial"/>
                <w:sz w:val="20"/>
                <w:szCs w:val="20"/>
              </w:rPr>
            </w:pPr>
            <w:r w:rsidRPr="004C4997">
              <w:rPr>
                <w:rFonts w:ascii="Arial" w:hAnsi="Arial" w:cs="Arial"/>
                <w:sz w:val="20"/>
                <w:szCs w:val="20"/>
              </w:rPr>
              <w:t>Hand Gun Carrying</w:t>
            </w:r>
          </w:p>
        </w:tc>
        <w:tc>
          <w:tcPr>
            <w:tcW w:w="2232" w:type="dxa"/>
            <w:vAlign w:val="bottom"/>
          </w:tcPr>
          <w:p w:rsidR="0054492F" w:rsidRDefault="0054492F" w:rsidP="0054492F">
            <w:pPr>
              <w:ind w:right="432"/>
              <w:jc w:val="right"/>
              <w:rPr>
                <w:rFonts w:ascii="Calibri" w:hAnsi="Calibri"/>
                <w:color w:val="000000"/>
              </w:rPr>
            </w:pPr>
            <w:r>
              <w:rPr>
                <w:rFonts w:ascii="Calibri" w:hAnsi="Calibri"/>
                <w:color w:val="000000"/>
              </w:rPr>
              <w:t>1.43  (0.02)</w:t>
            </w:r>
          </w:p>
        </w:tc>
        <w:tc>
          <w:tcPr>
            <w:tcW w:w="2538" w:type="dxa"/>
            <w:vAlign w:val="bottom"/>
          </w:tcPr>
          <w:p w:rsidR="0054492F" w:rsidRDefault="0054492F" w:rsidP="0054492F">
            <w:pPr>
              <w:ind w:right="432"/>
              <w:jc w:val="right"/>
              <w:rPr>
                <w:rFonts w:ascii="Calibri" w:hAnsi="Calibri"/>
                <w:color w:val="000000"/>
              </w:rPr>
            </w:pPr>
            <w:r>
              <w:rPr>
                <w:rFonts w:ascii="Calibri" w:hAnsi="Calibri"/>
                <w:color w:val="000000"/>
              </w:rPr>
              <w:t>1.87  (0.02)</w:t>
            </w:r>
          </w:p>
        </w:tc>
      </w:tr>
      <w:tr w:rsidR="0054492F" w:rsidRPr="001F0A60" w:rsidTr="003B71EB">
        <w:trPr>
          <w:trHeight w:val="251"/>
        </w:trPr>
        <w:tc>
          <w:tcPr>
            <w:tcW w:w="2988" w:type="dxa"/>
            <w:vAlign w:val="center"/>
          </w:tcPr>
          <w:p w:rsidR="0054492F" w:rsidRPr="004C4997" w:rsidRDefault="0054492F" w:rsidP="00BE6DA9">
            <w:pPr>
              <w:spacing w:before="100" w:after="100"/>
              <w:rPr>
                <w:rFonts w:ascii="Arial" w:hAnsi="Arial" w:cs="Arial"/>
                <w:sz w:val="20"/>
                <w:szCs w:val="20"/>
              </w:rPr>
            </w:pPr>
            <w:r w:rsidRPr="004C4997">
              <w:rPr>
                <w:rFonts w:ascii="Arial" w:hAnsi="Arial" w:cs="Arial"/>
                <w:sz w:val="20"/>
                <w:szCs w:val="20"/>
              </w:rPr>
              <w:t xml:space="preserve">Alcohol </w:t>
            </w:r>
          </w:p>
        </w:tc>
        <w:tc>
          <w:tcPr>
            <w:tcW w:w="2232" w:type="dxa"/>
            <w:vAlign w:val="bottom"/>
          </w:tcPr>
          <w:p w:rsidR="0054492F" w:rsidRDefault="0054492F" w:rsidP="0054492F">
            <w:pPr>
              <w:ind w:right="432"/>
              <w:jc w:val="right"/>
              <w:rPr>
                <w:rFonts w:ascii="Calibri" w:hAnsi="Calibri"/>
                <w:color w:val="000000"/>
              </w:rPr>
            </w:pPr>
            <w:r>
              <w:rPr>
                <w:rFonts w:ascii="Calibri" w:hAnsi="Calibri"/>
                <w:color w:val="000000"/>
              </w:rPr>
              <w:t>1.86  (0.03)</w:t>
            </w:r>
          </w:p>
        </w:tc>
        <w:tc>
          <w:tcPr>
            <w:tcW w:w="2538" w:type="dxa"/>
            <w:vAlign w:val="bottom"/>
          </w:tcPr>
          <w:p w:rsidR="0054492F" w:rsidRDefault="0054492F" w:rsidP="0054492F">
            <w:pPr>
              <w:ind w:right="432"/>
              <w:jc w:val="right"/>
              <w:rPr>
                <w:rFonts w:ascii="Calibri" w:hAnsi="Calibri"/>
                <w:color w:val="000000"/>
              </w:rPr>
            </w:pPr>
            <w:r>
              <w:rPr>
                <w:rFonts w:ascii="Calibri" w:hAnsi="Calibri"/>
                <w:color w:val="000000"/>
              </w:rPr>
              <w:t>2.59  (0.03)</w:t>
            </w:r>
          </w:p>
        </w:tc>
      </w:tr>
      <w:tr w:rsidR="0054492F" w:rsidRPr="001F0A60" w:rsidTr="003B71EB">
        <w:trPr>
          <w:trHeight w:val="251"/>
        </w:trPr>
        <w:tc>
          <w:tcPr>
            <w:tcW w:w="2988" w:type="dxa"/>
            <w:vAlign w:val="center"/>
          </w:tcPr>
          <w:p w:rsidR="0054492F" w:rsidRPr="004C4997" w:rsidRDefault="0054492F" w:rsidP="00BE6DA9">
            <w:pPr>
              <w:spacing w:before="100" w:after="100"/>
              <w:rPr>
                <w:rFonts w:ascii="Arial" w:hAnsi="Arial" w:cs="Arial"/>
                <w:sz w:val="20"/>
                <w:szCs w:val="20"/>
              </w:rPr>
            </w:pPr>
            <w:r w:rsidRPr="004C4997">
              <w:rPr>
                <w:rFonts w:ascii="Arial" w:hAnsi="Arial" w:cs="Arial"/>
                <w:sz w:val="20"/>
                <w:szCs w:val="20"/>
              </w:rPr>
              <w:t>Nicotine</w:t>
            </w:r>
          </w:p>
        </w:tc>
        <w:tc>
          <w:tcPr>
            <w:tcW w:w="2232" w:type="dxa"/>
            <w:vAlign w:val="bottom"/>
          </w:tcPr>
          <w:p w:rsidR="0054492F" w:rsidRDefault="0054492F" w:rsidP="0054492F">
            <w:pPr>
              <w:ind w:right="432"/>
              <w:jc w:val="right"/>
              <w:rPr>
                <w:rFonts w:ascii="Calibri" w:hAnsi="Calibri"/>
                <w:color w:val="000000"/>
              </w:rPr>
            </w:pPr>
            <w:r>
              <w:rPr>
                <w:rFonts w:ascii="Calibri" w:hAnsi="Calibri"/>
                <w:color w:val="000000"/>
              </w:rPr>
              <w:t>1.66  (0.03)</w:t>
            </w:r>
          </w:p>
        </w:tc>
        <w:tc>
          <w:tcPr>
            <w:tcW w:w="2538" w:type="dxa"/>
            <w:vAlign w:val="bottom"/>
          </w:tcPr>
          <w:p w:rsidR="0054492F" w:rsidRDefault="0054492F" w:rsidP="0054492F">
            <w:pPr>
              <w:ind w:right="432"/>
              <w:jc w:val="right"/>
              <w:rPr>
                <w:rFonts w:ascii="Calibri" w:hAnsi="Calibri"/>
                <w:color w:val="000000"/>
              </w:rPr>
            </w:pPr>
            <w:r>
              <w:rPr>
                <w:rFonts w:ascii="Calibri" w:hAnsi="Calibri"/>
                <w:color w:val="000000"/>
              </w:rPr>
              <w:t>2.18  (0.03)</w:t>
            </w:r>
          </w:p>
        </w:tc>
      </w:tr>
      <w:tr w:rsidR="0054492F" w:rsidRPr="001F0A60" w:rsidTr="003B71EB">
        <w:trPr>
          <w:trHeight w:val="251"/>
        </w:trPr>
        <w:tc>
          <w:tcPr>
            <w:tcW w:w="2988" w:type="dxa"/>
            <w:vAlign w:val="center"/>
          </w:tcPr>
          <w:p w:rsidR="0054492F" w:rsidRPr="004C4997" w:rsidRDefault="0054492F" w:rsidP="00BE6DA9">
            <w:pPr>
              <w:spacing w:before="100" w:after="100"/>
              <w:rPr>
                <w:rFonts w:ascii="Arial" w:hAnsi="Arial" w:cs="Arial"/>
                <w:sz w:val="20"/>
                <w:szCs w:val="20"/>
              </w:rPr>
            </w:pPr>
            <w:r w:rsidRPr="004C4997">
              <w:rPr>
                <w:rFonts w:ascii="Arial" w:hAnsi="Arial" w:cs="Arial"/>
                <w:sz w:val="20"/>
                <w:szCs w:val="20"/>
              </w:rPr>
              <w:t>Marijuana</w:t>
            </w:r>
          </w:p>
        </w:tc>
        <w:tc>
          <w:tcPr>
            <w:tcW w:w="2232" w:type="dxa"/>
            <w:vAlign w:val="bottom"/>
          </w:tcPr>
          <w:p w:rsidR="0054492F" w:rsidRDefault="0054492F" w:rsidP="0054492F">
            <w:pPr>
              <w:ind w:right="432"/>
              <w:jc w:val="right"/>
              <w:rPr>
                <w:rFonts w:ascii="Calibri" w:hAnsi="Calibri"/>
                <w:color w:val="000000"/>
              </w:rPr>
            </w:pPr>
            <w:r>
              <w:rPr>
                <w:rFonts w:ascii="Calibri" w:hAnsi="Calibri"/>
                <w:color w:val="000000"/>
              </w:rPr>
              <w:t>2.33  (0.04)</w:t>
            </w:r>
          </w:p>
        </w:tc>
        <w:tc>
          <w:tcPr>
            <w:tcW w:w="2538" w:type="dxa"/>
            <w:vAlign w:val="bottom"/>
          </w:tcPr>
          <w:p w:rsidR="0054492F" w:rsidRDefault="0054492F" w:rsidP="0054492F">
            <w:pPr>
              <w:ind w:right="432"/>
              <w:jc w:val="right"/>
              <w:rPr>
                <w:rFonts w:ascii="Calibri" w:hAnsi="Calibri"/>
                <w:color w:val="000000"/>
              </w:rPr>
            </w:pPr>
            <w:r>
              <w:rPr>
                <w:rFonts w:ascii="Calibri" w:hAnsi="Calibri"/>
                <w:color w:val="000000"/>
              </w:rPr>
              <w:t>2.15  (0.02)</w:t>
            </w:r>
          </w:p>
        </w:tc>
      </w:tr>
      <w:tr w:rsidR="0054492F" w:rsidRPr="001F0A60" w:rsidTr="003B71EB">
        <w:trPr>
          <w:trHeight w:val="251"/>
        </w:trPr>
        <w:tc>
          <w:tcPr>
            <w:tcW w:w="2988" w:type="dxa"/>
            <w:vAlign w:val="center"/>
          </w:tcPr>
          <w:p w:rsidR="0054492F" w:rsidRPr="004C4997" w:rsidRDefault="0054492F" w:rsidP="00BE6DA9">
            <w:pPr>
              <w:spacing w:before="100" w:after="100"/>
              <w:rPr>
                <w:rFonts w:ascii="Arial" w:hAnsi="Arial" w:cs="Arial"/>
                <w:sz w:val="20"/>
                <w:szCs w:val="20"/>
              </w:rPr>
            </w:pPr>
            <w:r w:rsidRPr="004C4997">
              <w:rPr>
                <w:rFonts w:ascii="Arial" w:hAnsi="Arial" w:cs="Arial"/>
                <w:sz w:val="20"/>
                <w:szCs w:val="20"/>
              </w:rPr>
              <w:t>Analgesics</w:t>
            </w:r>
          </w:p>
        </w:tc>
        <w:tc>
          <w:tcPr>
            <w:tcW w:w="2232" w:type="dxa"/>
            <w:vAlign w:val="bottom"/>
          </w:tcPr>
          <w:p w:rsidR="0054492F" w:rsidRDefault="0054492F" w:rsidP="0054492F">
            <w:pPr>
              <w:ind w:right="432"/>
              <w:jc w:val="right"/>
              <w:rPr>
                <w:rFonts w:ascii="Calibri" w:hAnsi="Calibri"/>
                <w:color w:val="000000"/>
              </w:rPr>
            </w:pPr>
            <w:r>
              <w:rPr>
                <w:rFonts w:ascii="Calibri" w:hAnsi="Calibri"/>
                <w:color w:val="000000"/>
              </w:rPr>
              <w:t>2.16  (0.06)</w:t>
            </w:r>
          </w:p>
        </w:tc>
        <w:tc>
          <w:tcPr>
            <w:tcW w:w="2538" w:type="dxa"/>
            <w:vAlign w:val="bottom"/>
          </w:tcPr>
          <w:p w:rsidR="0054492F" w:rsidRDefault="0054492F" w:rsidP="0054492F">
            <w:pPr>
              <w:ind w:right="432"/>
              <w:jc w:val="right"/>
              <w:rPr>
                <w:rFonts w:ascii="Calibri" w:hAnsi="Calibri"/>
                <w:color w:val="000000"/>
              </w:rPr>
            </w:pPr>
            <w:r>
              <w:rPr>
                <w:rFonts w:ascii="Calibri" w:hAnsi="Calibri"/>
                <w:color w:val="000000"/>
              </w:rPr>
              <w:t>2.96  (0.05)</w:t>
            </w:r>
          </w:p>
        </w:tc>
      </w:tr>
      <w:tr w:rsidR="0054492F" w:rsidRPr="001F0A60" w:rsidTr="003B71EB">
        <w:trPr>
          <w:trHeight w:val="251"/>
        </w:trPr>
        <w:tc>
          <w:tcPr>
            <w:tcW w:w="2988" w:type="dxa"/>
            <w:vAlign w:val="center"/>
          </w:tcPr>
          <w:p w:rsidR="0054492F" w:rsidRPr="004C4997" w:rsidRDefault="0054492F" w:rsidP="00BE6DA9">
            <w:pPr>
              <w:spacing w:before="100" w:after="100"/>
              <w:rPr>
                <w:rFonts w:ascii="Arial" w:hAnsi="Arial" w:cs="Arial"/>
                <w:sz w:val="20"/>
                <w:szCs w:val="20"/>
              </w:rPr>
            </w:pPr>
            <w:r w:rsidRPr="004C4997">
              <w:rPr>
                <w:rFonts w:ascii="Arial" w:hAnsi="Arial" w:cs="Arial"/>
                <w:sz w:val="20"/>
                <w:szCs w:val="20"/>
              </w:rPr>
              <w:t>Other Non-Prescription Drugs</w:t>
            </w:r>
          </w:p>
        </w:tc>
        <w:tc>
          <w:tcPr>
            <w:tcW w:w="2232" w:type="dxa"/>
            <w:vAlign w:val="bottom"/>
          </w:tcPr>
          <w:p w:rsidR="0054492F" w:rsidRDefault="0054492F" w:rsidP="0054492F">
            <w:pPr>
              <w:ind w:right="432"/>
              <w:jc w:val="right"/>
              <w:rPr>
                <w:rFonts w:ascii="Calibri" w:hAnsi="Calibri"/>
                <w:color w:val="000000"/>
              </w:rPr>
            </w:pPr>
            <w:r>
              <w:rPr>
                <w:rFonts w:ascii="Calibri" w:hAnsi="Calibri"/>
                <w:color w:val="000000"/>
              </w:rPr>
              <w:t>2.50  (0.07)</w:t>
            </w:r>
          </w:p>
        </w:tc>
        <w:tc>
          <w:tcPr>
            <w:tcW w:w="2538" w:type="dxa"/>
            <w:vAlign w:val="bottom"/>
          </w:tcPr>
          <w:p w:rsidR="0054492F" w:rsidRDefault="0054492F" w:rsidP="0054492F">
            <w:pPr>
              <w:ind w:right="432"/>
              <w:jc w:val="right"/>
              <w:rPr>
                <w:rFonts w:ascii="Calibri" w:hAnsi="Calibri"/>
                <w:color w:val="000000"/>
              </w:rPr>
            </w:pPr>
            <w:r>
              <w:rPr>
                <w:rFonts w:ascii="Calibri" w:hAnsi="Calibri"/>
                <w:color w:val="000000"/>
              </w:rPr>
              <w:t>3.06  (0.05)</w:t>
            </w:r>
          </w:p>
        </w:tc>
      </w:tr>
      <w:tr w:rsidR="0054492F" w:rsidRPr="001F0A60" w:rsidTr="003B71EB">
        <w:trPr>
          <w:trHeight w:val="251"/>
        </w:trPr>
        <w:tc>
          <w:tcPr>
            <w:tcW w:w="2988" w:type="dxa"/>
            <w:tcBorders>
              <w:bottom w:val="single" w:sz="4" w:space="0" w:color="auto"/>
            </w:tcBorders>
            <w:vAlign w:val="center"/>
          </w:tcPr>
          <w:p w:rsidR="0054492F" w:rsidRPr="004C4997" w:rsidRDefault="0054492F" w:rsidP="00BE6DA9">
            <w:pPr>
              <w:spacing w:before="100" w:after="100"/>
              <w:rPr>
                <w:rFonts w:ascii="Arial" w:hAnsi="Arial" w:cs="Arial"/>
                <w:sz w:val="20"/>
                <w:szCs w:val="20"/>
              </w:rPr>
            </w:pPr>
            <w:r w:rsidRPr="004C4997">
              <w:rPr>
                <w:rFonts w:ascii="Arial" w:hAnsi="Arial" w:cs="Arial"/>
                <w:sz w:val="20"/>
                <w:szCs w:val="20"/>
              </w:rPr>
              <w:t>Other Prescription Drugs</w:t>
            </w:r>
          </w:p>
        </w:tc>
        <w:tc>
          <w:tcPr>
            <w:tcW w:w="2232" w:type="dxa"/>
            <w:tcBorders>
              <w:bottom w:val="single" w:sz="4" w:space="0" w:color="auto"/>
            </w:tcBorders>
            <w:vAlign w:val="bottom"/>
          </w:tcPr>
          <w:p w:rsidR="0054492F" w:rsidRDefault="0054492F" w:rsidP="0054492F">
            <w:pPr>
              <w:ind w:right="432"/>
              <w:jc w:val="right"/>
              <w:rPr>
                <w:rFonts w:ascii="Calibri" w:hAnsi="Calibri"/>
                <w:color w:val="000000"/>
              </w:rPr>
            </w:pPr>
            <w:r>
              <w:rPr>
                <w:rFonts w:ascii="Calibri" w:hAnsi="Calibri"/>
                <w:color w:val="000000"/>
              </w:rPr>
              <w:t>2.54  (0.07)</w:t>
            </w:r>
          </w:p>
        </w:tc>
        <w:tc>
          <w:tcPr>
            <w:tcW w:w="2538" w:type="dxa"/>
            <w:tcBorders>
              <w:bottom w:val="single" w:sz="4" w:space="0" w:color="auto"/>
            </w:tcBorders>
            <w:vAlign w:val="bottom"/>
          </w:tcPr>
          <w:p w:rsidR="0054492F" w:rsidRDefault="0054492F" w:rsidP="0054492F">
            <w:pPr>
              <w:ind w:right="432"/>
              <w:jc w:val="right"/>
              <w:rPr>
                <w:rFonts w:ascii="Calibri" w:hAnsi="Calibri"/>
                <w:color w:val="000000"/>
              </w:rPr>
            </w:pPr>
            <w:r>
              <w:rPr>
                <w:rFonts w:ascii="Calibri" w:hAnsi="Calibri"/>
                <w:color w:val="000000"/>
              </w:rPr>
              <w:t>2.78  (0.04)</w:t>
            </w:r>
          </w:p>
        </w:tc>
      </w:tr>
    </w:tbl>
    <w:p w:rsidR="00D54951" w:rsidRDefault="00D54951" w:rsidP="00D54951">
      <w:pPr>
        <w:rPr>
          <w:rFonts w:ascii="Times New Roman" w:hAnsi="Times New Roman" w:cs="Times New Roman"/>
          <w:sz w:val="24"/>
          <w:szCs w:val="24"/>
        </w:rPr>
      </w:pPr>
    </w:p>
    <w:p w:rsidR="00D54951" w:rsidRDefault="00D54951" w:rsidP="00D54951">
      <w:pPr>
        <w:rPr>
          <w:rFonts w:ascii="Times New Roman" w:hAnsi="Times New Roman" w:cs="Times New Roman"/>
          <w:sz w:val="24"/>
          <w:szCs w:val="24"/>
        </w:rPr>
      </w:pPr>
    </w:p>
    <w:p w:rsidR="00D54951" w:rsidRDefault="00D54951" w:rsidP="00D54951">
      <w:pPr>
        <w:rPr>
          <w:rFonts w:ascii="Times New Roman" w:hAnsi="Times New Roman" w:cs="Times New Roman"/>
          <w:sz w:val="24"/>
          <w:szCs w:val="24"/>
        </w:rPr>
      </w:pPr>
    </w:p>
    <w:p w:rsidR="00D54951" w:rsidRPr="00457E59" w:rsidRDefault="00D54951" w:rsidP="00D54951">
      <w:pPr>
        <w:spacing w:after="120" w:line="240" w:lineRule="auto"/>
        <w:rPr>
          <w:rStyle w:val="apple-converted-space"/>
          <w:rFonts w:ascii="Times New Roman" w:hAnsi="Times New Roman" w:cs="Times New Roman"/>
          <w:color w:val="000000"/>
          <w:sz w:val="20"/>
          <w:szCs w:val="20"/>
          <w:shd w:val="clear" w:color="auto" w:fill="FFFFFF"/>
        </w:rPr>
      </w:pPr>
      <w:r>
        <w:rPr>
          <w:rFonts w:ascii="Times New Roman" w:hAnsi="Times New Roman" w:cs="Times New Roman"/>
          <w:sz w:val="24"/>
          <w:szCs w:val="24"/>
        </w:rPr>
        <w:br w:type="page"/>
      </w:r>
    </w:p>
    <w:p w:rsidR="00D54951" w:rsidRDefault="00D54951" w:rsidP="00D54951">
      <w:pPr>
        <w:rPr>
          <w:rFonts w:ascii="Times New Roman" w:hAnsi="Times New Roman" w:cs="Times New Roman"/>
          <w:sz w:val="24"/>
          <w:szCs w:val="24"/>
        </w:rPr>
      </w:pPr>
    </w:p>
    <w:p w:rsidR="00D54951" w:rsidRDefault="00D54951" w:rsidP="00D54951">
      <w:pPr>
        <w:jc w:val="center"/>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0661E5D2" wp14:editId="74BA66E1">
                <wp:simplePos x="0" y="0"/>
                <wp:positionH relativeFrom="column">
                  <wp:posOffset>460048</wp:posOffset>
                </wp:positionH>
                <wp:positionV relativeFrom="paragraph">
                  <wp:posOffset>4392053</wp:posOffset>
                </wp:positionV>
                <wp:extent cx="488054" cy="319759"/>
                <wp:effectExtent l="0" t="0" r="7620" b="4445"/>
                <wp:wrapNone/>
                <wp:docPr id="5" name="Text Box 5"/>
                <wp:cNvGraphicFramePr/>
                <a:graphic xmlns:a="http://schemas.openxmlformats.org/drawingml/2006/main">
                  <a:graphicData uri="http://schemas.microsoft.com/office/word/2010/wordprocessingShape">
                    <wps:wsp>
                      <wps:cNvSpPr txBox="1"/>
                      <wps:spPr>
                        <a:xfrm>
                          <a:off x="0" y="0"/>
                          <a:ext cx="488054" cy="3197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070C" w:rsidRDefault="00FA070C" w:rsidP="00D54951">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2pt;margin-top:345.85pt;width:38.45pt;height:2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" fillcolor="white [3201]" stroked="f" strokeweight=".5pt">
                <v:textbox>
                  <w:txbxContent>
                    <w:p w:rsidR="00FA070C" w:rsidRDefault="00FA070C" w:rsidP="00D54951">
                      <w:r>
                        <w:t>C</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E09AB6B" wp14:editId="4401EE14">
                <wp:simplePos x="0" y="0"/>
                <wp:positionH relativeFrom="column">
                  <wp:posOffset>544511</wp:posOffset>
                </wp:positionH>
                <wp:positionV relativeFrom="paragraph">
                  <wp:posOffset>2125883</wp:posOffset>
                </wp:positionV>
                <wp:extent cx="488054" cy="319759"/>
                <wp:effectExtent l="0" t="0" r="7620" b="4445"/>
                <wp:wrapNone/>
                <wp:docPr id="2" name="Text Box 2"/>
                <wp:cNvGraphicFramePr/>
                <a:graphic xmlns:a="http://schemas.openxmlformats.org/drawingml/2006/main">
                  <a:graphicData uri="http://schemas.microsoft.com/office/word/2010/wordprocessingShape">
                    <wps:wsp>
                      <wps:cNvSpPr txBox="1"/>
                      <wps:spPr>
                        <a:xfrm>
                          <a:off x="0" y="0"/>
                          <a:ext cx="488054" cy="3197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070C" w:rsidRDefault="00FA070C" w:rsidP="00D54951">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42.85pt;margin-top:167.4pt;width:38.45pt;height:2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" fillcolor="white [3201]" stroked="f" strokeweight=".5pt">
                <v:textbox>
                  <w:txbxContent>
                    <w:p w:rsidR="00FA070C" w:rsidRDefault="00FA070C" w:rsidP="00D54951">
                      <w:r>
                        <w:t>B</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91756AD" wp14:editId="2F64E36B">
                <wp:simplePos x="0" y="0"/>
                <wp:positionH relativeFrom="column">
                  <wp:posOffset>684343</wp:posOffset>
                </wp:positionH>
                <wp:positionV relativeFrom="paragraph">
                  <wp:posOffset>156611</wp:posOffset>
                </wp:positionV>
                <wp:extent cx="488054" cy="319759"/>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488054" cy="3197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070C" w:rsidRDefault="00FA070C" w:rsidP="00D54951">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left:0;text-align:left;margin-left:53.9pt;margin-top:12.35pt;width:38.45pt;height:2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" fillcolor="white [3201]" stroked="f" strokeweight=".5pt">
                <v:textbox>
                  <w:txbxContent>
                    <w:p w:rsidR="00FA070C" w:rsidRDefault="00FA070C" w:rsidP="00D54951">
                      <w:r>
                        <w:t>A</w:t>
                      </w:r>
                    </w:p>
                  </w:txbxContent>
                </v:textbox>
              </v:shape>
            </w:pict>
          </mc:Fallback>
        </mc:AlternateContent>
      </w:r>
      <w:r w:rsidRPr="00742C61">
        <w:rPr>
          <w:noProof/>
        </w:rPr>
        <w:drawing>
          <wp:inline distT="0" distB="0" distL="0" distR="0" wp14:anchorId="4C755F08" wp14:editId="4DCB839B">
            <wp:extent cx="4879340" cy="69875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9340" cy="6987540"/>
                    </a:xfrm>
                    <a:prstGeom prst="rect">
                      <a:avLst/>
                    </a:prstGeom>
                    <a:noFill/>
                    <a:ln>
                      <a:noFill/>
                    </a:ln>
                  </pic:spPr>
                </pic:pic>
              </a:graphicData>
            </a:graphic>
          </wp:inline>
        </w:drawing>
      </w:r>
    </w:p>
    <w:p w:rsidR="00D54951" w:rsidRDefault="00661573" w:rsidP="00D54951">
      <w:pPr>
        <w:rPr>
          <w:rFonts w:cs="Arial"/>
          <w:sz w:val="20"/>
          <w:szCs w:val="20"/>
        </w:rPr>
      </w:pPr>
      <w:r>
        <w:rPr>
          <w:rFonts w:cs="Arial"/>
          <w:sz w:val="20"/>
          <w:szCs w:val="20"/>
        </w:rPr>
        <w:t>Figure S1</w:t>
      </w:r>
      <w:r w:rsidR="00D54951" w:rsidRPr="005D461C">
        <w:rPr>
          <w:rFonts w:cs="Arial"/>
          <w:sz w:val="20"/>
          <w:szCs w:val="20"/>
        </w:rPr>
        <w:t>:  Structural models describing three possible factor structures for delinquent behaviors and substance use disorders</w:t>
      </w:r>
      <w:r w:rsidR="00D54951">
        <w:rPr>
          <w:rFonts w:cs="Arial"/>
          <w:sz w:val="20"/>
          <w:szCs w:val="20"/>
        </w:rPr>
        <w:t xml:space="preserve"> (SUD)</w:t>
      </w:r>
      <w:r w:rsidR="00D54951" w:rsidRPr="005D461C">
        <w:rPr>
          <w:rFonts w:cs="Arial"/>
          <w:sz w:val="20"/>
          <w:szCs w:val="20"/>
        </w:rPr>
        <w:t xml:space="preserve">. Model A represents a single Externalizing factor. Model B represents hierarchical structure, in which a single factor influences two sub-factors DQ and SUD. Model C is </w:t>
      </w:r>
      <w:r w:rsidR="00FA070C">
        <w:rPr>
          <w:rFonts w:cs="Arial"/>
          <w:sz w:val="20"/>
          <w:szCs w:val="20"/>
        </w:rPr>
        <w:t>illustrated</w:t>
      </w:r>
      <w:r w:rsidR="00D54951" w:rsidRPr="005D461C">
        <w:rPr>
          <w:rFonts w:cs="Arial"/>
          <w:sz w:val="20"/>
          <w:szCs w:val="20"/>
        </w:rPr>
        <w:t xml:space="preserve"> as an alternative specification of the hierarchical model</w:t>
      </w:r>
      <w:r w:rsidR="00FA070C">
        <w:rPr>
          <w:rFonts w:cs="Arial"/>
          <w:sz w:val="20"/>
          <w:szCs w:val="20"/>
        </w:rPr>
        <w:t xml:space="preserve"> and was used for quality-of-fit comparison with Model A</w:t>
      </w:r>
      <w:r w:rsidR="00D54951" w:rsidRPr="005D461C">
        <w:rPr>
          <w:rFonts w:cs="Arial"/>
          <w:sz w:val="20"/>
          <w:szCs w:val="20"/>
        </w:rPr>
        <w:t xml:space="preserve">. </w:t>
      </w:r>
    </w:p>
    <w:p w:rsidR="00D54951" w:rsidRDefault="00D54951" w:rsidP="00D54951">
      <w:pPr>
        <w:rPr>
          <w:rFonts w:cs="Arial"/>
          <w:sz w:val="20"/>
          <w:szCs w:val="20"/>
        </w:rPr>
      </w:pPr>
    </w:p>
    <w:p w:rsidR="00D54951" w:rsidRDefault="0072265D" w:rsidP="00D54951">
      <w:pPr>
        <w:rPr>
          <w:rFonts w:cs="Arial"/>
          <w:sz w:val="20"/>
          <w:szCs w:val="20"/>
        </w:rPr>
      </w:pPr>
      <w:r>
        <w:rPr>
          <w:noProof/>
        </w:rPr>
        <w:drawing>
          <wp:inline distT="0" distB="0" distL="0" distR="0" wp14:anchorId="0A961B3D" wp14:editId="765E31AB">
            <wp:extent cx="5943600" cy="431419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4951" w:rsidRDefault="00D54951" w:rsidP="00D54951">
      <w:pPr>
        <w:rPr>
          <w:rFonts w:cs="Arial"/>
          <w:sz w:val="20"/>
          <w:szCs w:val="20"/>
        </w:rPr>
      </w:pPr>
    </w:p>
    <w:p w:rsidR="00D54951" w:rsidRPr="005D461C" w:rsidRDefault="00661573" w:rsidP="00D54951">
      <w:pPr>
        <w:rPr>
          <w:rFonts w:cs="Arial"/>
          <w:sz w:val="20"/>
          <w:szCs w:val="20"/>
        </w:rPr>
      </w:pPr>
      <w:r>
        <w:rPr>
          <w:rFonts w:cs="Arial"/>
          <w:sz w:val="20"/>
          <w:szCs w:val="20"/>
        </w:rPr>
        <w:t>Figure S2</w:t>
      </w:r>
      <w:r w:rsidR="00D54951" w:rsidRPr="005D461C">
        <w:rPr>
          <w:rFonts w:cs="Arial"/>
          <w:sz w:val="20"/>
          <w:szCs w:val="20"/>
        </w:rPr>
        <w:t xml:space="preserve">:  </w:t>
      </w:r>
      <w:r w:rsidR="00D54951">
        <w:rPr>
          <w:rFonts w:cs="Arial"/>
          <w:sz w:val="20"/>
          <w:szCs w:val="20"/>
        </w:rPr>
        <w:t>Est</w:t>
      </w:r>
      <w:r w:rsidR="0072265D">
        <w:rPr>
          <w:rFonts w:cs="Arial"/>
          <w:sz w:val="20"/>
          <w:szCs w:val="20"/>
        </w:rPr>
        <w:t xml:space="preserve">imated factor means for the DQ, SUD and EXT factors, </w:t>
      </w:r>
      <w:r w:rsidR="00D54951">
        <w:rPr>
          <w:rFonts w:cs="Arial"/>
          <w:sz w:val="20"/>
          <w:szCs w:val="20"/>
        </w:rPr>
        <w:t xml:space="preserve">by year, 2003-2014. Error bars represent 95% confidence intervals. </w:t>
      </w:r>
    </w:p>
    <w:p w:rsidR="00352257" w:rsidRDefault="00352257">
      <w:pPr>
        <w:rPr>
          <w:rFonts w:cs="Arial"/>
          <w:sz w:val="20"/>
          <w:szCs w:val="20"/>
        </w:rPr>
      </w:pPr>
      <w:r>
        <w:rPr>
          <w:rFonts w:cs="Arial"/>
          <w:sz w:val="20"/>
          <w:szCs w:val="20"/>
        </w:rPr>
        <w:br w:type="page"/>
      </w:r>
    </w:p>
    <w:p w:rsidR="00D54951" w:rsidRPr="005D461C" w:rsidRDefault="00352257" w:rsidP="00D54951">
      <w:pPr>
        <w:rPr>
          <w:rFonts w:cs="Arial"/>
          <w:sz w:val="20"/>
          <w:szCs w:val="20"/>
        </w:rPr>
      </w:pPr>
      <w:r>
        <w:rPr>
          <w:noProof/>
        </w:rPr>
        <w:lastRenderedPageBreak/>
        <w:drawing>
          <wp:inline distT="0" distB="0" distL="0" distR="0" wp14:anchorId="427BF5FC" wp14:editId="2898A8E1">
            <wp:extent cx="4883908" cy="5801184"/>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54951" w:rsidRPr="00352257" w:rsidRDefault="00661573" w:rsidP="00D54951">
      <w:pPr>
        <w:rPr>
          <w:rFonts w:cs="Times New Roman"/>
          <w:sz w:val="20"/>
          <w:szCs w:val="20"/>
        </w:rPr>
      </w:pPr>
      <w:r>
        <w:rPr>
          <w:rFonts w:cs="Times New Roman"/>
          <w:b/>
          <w:sz w:val="20"/>
          <w:szCs w:val="20"/>
        </w:rPr>
        <w:t>Figure S3</w:t>
      </w:r>
      <w:r w:rsidR="00352257" w:rsidRPr="00352257">
        <w:rPr>
          <w:rFonts w:cs="Times New Roman"/>
          <w:b/>
          <w:sz w:val="20"/>
          <w:szCs w:val="20"/>
        </w:rPr>
        <w:t>.</w:t>
      </w:r>
      <w:r w:rsidR="00352257" w:rsidRPr="00352257">
        <w:rPr>
          <w:rFonts w:cs="Times New Roman"/>
          <w:sz w:val="20"/>
          <w:szCs w:val="20"/>
        </w:rPr>
        <w:t xml:space="preserve"> Prevalence of handgun carrying with one or more other delinquent behaviors (open symbols) and prevalence of handgun carrying without other delinquent behaviors (filled symbols) among 12-17 year olds, 2003-2014.</w:t>
      </w:r>
    </w:p>
    <w:p w:rsidR="00D54951" w:rsidRPr="00011721" w:rsidRDefault="00D54951" w:rsidP="00D54951">
      <w:pPr>
        <w:spacing w:after="0" w:line="480" w:lineRule="auto"/>
        <w:ind w:firstLine="720"/>
        <w:rPr>
          <w:rFonts w:ascii="Times New Roman" w:hAnsi="Times New Roman" w:cs="Times New Roman"/>
          <w:sz w:val="24"/>
          <w:szCs w:val="24"/>
        </w:rPr>
      </w:pPr>
    </w:p>
    <w:p w:rsidR="00392B0D" w:rsidRDefault="00392B0D"/>
    <w:sectPr w:rsidR="00392B0D" w:rsidSect="003522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4D1" w:rsidRDefault="00B044D1" w:rsidP="004E1356">
      <w:pPr>
        <w:spacing w:after="0" w:line="240" w:lineRule="auto"/>
      </w:pPr>
      <w:r>
        <w:separator/>
      </w:r>
    </w:p>
  </w:endnote>
  <w:endnote w:type="continuationSeparator" w:id="0">
    <w:p w:rsidR="00B044D1" w:rsidRDefault="00B044D1" w:rsidP="004E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4D1" w:rsidRDefault="00B044D1" w:rsidP="004E1356">
      <w:pPr>
        <w:spacing w:after="0" w:line="240" w:lineRule="auto"/>
      </w:pPr>
      <w:r>
        <w:separator/>
      </w:r>
    </w:p>
  </w:footnote>
  <w:footnote w:type="continuationSeparator" w:id="0">
    <w:p w:rsidR="00B044D1" w:rsidRDefault="00B044D1" w:rsidP="004E1356">
      <w:pPr>
        <w:spacing w:after="0" w:line="240" w:lineRule="auto"/>
      </w:pPr>
      <w:r>
        <w:continuationSeparator/>
      </w:r>
    </w:p>
  </w:footnote>
  <w:footnote w:id="1">
    <w:p w:rsidR="00FA070C" w:rsidRDefault="00FA070C">
      <w:pPr>
        <w:pStyle w:val="FootnoteText"/>
      </w:pPr>
      <w:r>
        <w:rPr>
          <w:rStyle w:val="FootnoteReference"/>
        </w:rPr>
        <w:footnoteRef/>
      </w:r>
      <w:r>
        <w:t xml:space="preserve"> </w:t>
      </w:r>
      <w:r w:rsidRPr="004E1356">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{"citationID":"1h122tfg92","properties":{"formattedCitation":"{\\rtf Ronald K Hambleton and Hariharan Swaminathan, {\\i{}Item Response Theory: Principles and Applications}, vol. 7 (Springer Science &amp; Business Media, 1985).}","plainCitation":"Ronald K Hambleton and Hariharan Swaminathan, Item Response Theory: Principles and Applications, vol. 7 (Springer Science &amp; Business Media, 1985)."},"citationItems":[{"id":1570,"uris":["http://zotero.org/users/1014095/items/3FMAKEE6"],"uri":["http://zotero.org/users/1014095/items/3FMAKEE6"],"itemData":{"id":1570,"type":"book","title":"Item response theory: Principles and applications","publisher":"Springer Science &amp; Business Media","volume":"7","ISBN":"0-89838-065-0","author":[{"family":"Hambleton","given":"Ronald K"},{"family":"Swaminathan","given":"Hariharan"}],"issued":{"date-parts":[["1985"]]}}}],"schema":"https://github.com/citation-style-language/schema/raw/master/csl-citation.json"} </w:instrText>
      </w:r>
      <w:r w:rsidRPr="004E1356">
        <w:rPr>
          <w:rFonts w:ascii="Times New Roman" w:hAnsi="Times New Roman" w:cs="Times New Roman"/>
          <w:color w:val="000000" w:themeColor="text1"/>
        </w:rPr>
        <w:fldChar w:fldCharType="separate"/>
      </w:r>
      <w:r w:rsidRPr="004E1356">
        <w:rPr>
          <w:rFonts w:ascii="Times New Roman" w:hAnsi="Times New Roman" w:cs="Times New Roman"/>
          <w:szCs w:val="24"/>
        </w:rPr>
        <w:t xml:space="preserve">Ronald K Hambleton and Hariharan Swaminathan, </w:t>
      </w:r>
      <w:r w:rsidRPr="004E1356">
        <w:rPr>
          <w:rFonts w:ascii="Times New Roman" w:hAnsi="Times New Roman" w:cs="Times New Roman"/>
          <w:i/>
          <w:iCs/>
          <w:szCs w:val="24"/>
        </w:rPr>
        <w:t>Item Response Theory: Principles and Applications</w:t>
      </w:r>
      <w:r w:rsidRPr="004E1356">
        <w:rPr>
          <w:rFonts w:ascii="Times New Roman" w:hAnsi="Times New Roman" w:cs="Times New Roman"/>
          <w:szCs w:val="24"/>
        </w:rPr>
        <w:t>, vol. 7 (Springer Science &amp; Business Media, 1985).</w:t>
      </w:r>
      <w:r w:rsidRPr="004E1356">
        <w:rPr>
          <w:rFonts w:ascii="Times New Roman" w:hAnsi="Times New Roman" w:cs="Times New Roman"/>
          <w:color w:val="000000" w:themeColor="text1"/>
        </w:rP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51"/>
    <w:rsid w:val="00077DB9"/>
    <w:rsid w:val="00091489"/>
    <w:rsid w:val="000C5368"/>
    <w:rsid w:val="001A28D9"/>
    <w:rsid w:val="001B4A31"/>
    <w:rsid w:val="001C3724"/>
    <w:rsid w:val="001D7B4F"/>
    <w:rsid w:val="00250C4F"/>
    <w:rsid w:val="00254DB6"/>
    <w:rsid w:val="00267E86"/>
    <w:rsid w:val="002D34AF"/>
    <w:rsid w:val="00315E4D"/>
    <w:rsid w:val="00345851"/>
    <w:rsid w:val="00352257"/>
    <w:rsid w:val="00392B0D"/>
    <w:rsid w:val="00472F5D"/>
    <w:rsid w:val="004A7ED6"/>
    <w:rsid w:val="004E1356"/>
    <w:rsid w:val="004E39D3"/>
    <w:rsid w:val="0054492F"/>
    <w:rsid w:val="00594A8D"/>
    <w:rsid w:val="005F7A84"/>
    <w:rsid w:val="00654E8D"/>
    <w:rsid w:val="00661573"/>
    <w:rsid w:val="00694A7B"/>
    <w:rsid w:val="006B7C19"/>
    <w:rsid w:val="006E0CCB"/>
    <w:rsid w:val="0072265D"/>
    <w:rsid w:val="0074708A"/>
    <w:rsid w:val="00753E03"/>
    <w:rsid w:val="007679AC"/>
    <w:rsid w:val="007E6E09"/>
    <w:rsid w:val="00880291"/>
    <w:rsid w:val="008D27B3"/>
    <w:rsid w:val="008E2DEA"/>
    <w:rsid w:val="009B5476"/>
    <w:rsid w:val="00A57928"/>
    <w:rsid w:val="00AA18DF"/>
    <w:rsid w:val="00AE01DA"/>
    <w:rsid w:val="00B044D1"/>
    <w:rsid w:val="00B05638"/>
    <w:rsid w:val="00B4125A"/>
    <w:rsid w:val="00C523F5"/>
    <w:rsid w:val="00C5252F"/>
    <w:rsid w:val="00D40965"/>
    <w:rsid w:val="00D43DB2"/>
    <w:rsid w:val="00D54951"/>
    <w:rsid w:val="00D73432"/>
    <w:rsid w:val="00DF3F9D"/>
    <w:rsid w:val="00E26D6B"/>
    <w:rsid w:val="00E86285"/>
    <w:rsid w:val="00EE2FCE"/>
    <w:rsid w:val="00EE4959"/>
    <w:rsid w:val="00F86707"/>
    <w:rsid w:val="00F96C89"/>
    <w:rsid w:val="00FA070C"/>
    <w:rsid w:val="00FB1669"/>
    <w:rsid w:val="00FB52FA"/>
    <w:rsid w:val="00FC13BA"/>
    <w:rsid w:val="00FE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4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54951"/>
  </w:style>
  <w:style w:type="paragraph" w:styleId="BalloonText">
    <w:name w:val="Balloon Text"/>
    <w:basedOn w:val="Normal"/>
    <w:link w:val="BalloonTextChar"/>
    <w:uiPriority w:val="99"/>
    <w:semiHidden/>
    <w:unhideWhenUsed/>
    <w:rsid w:val="00D54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951"/>
    <w:rPr>
      <w:rFonts w:ascii="Tahoma" w:hAnsi="Tahoma" w:cs="Tahoma"/>
      <w:sz w:val="16"/>
      <w:szCs w:val="16"/>
    </w:rPr>
  </w:style>
  <w:style w:type="paragraph" w:styleId="FootnoteText">
    <w:name w:val="footnote text"/>
    <w:basedOn w:val="Normal"/>
    <w:link w:val="FootnoteTextChar"/>
    <w:uiPriority w:val="99"/>
    <w:semiHidden/>
    <w:unhideWhenUsed/>
    <w:rsid w:val="004E13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356"/>
    <w:rPr>
      <w:sz w:val="20"/>
      <w:szCs w:val="20"/>
    </w:rPr>
  </w:style>
  <w:style w:type="character" w:styleId="FootnoteReference">
    <w:name w:val="footnote reference"/>
    <w:basedOn w:val="DefaultParagraphFont"/>
    <w:uiPriority w:val="99"/>
    <w:semiHidden/>
    <w:unhideWhenUsed/>
    <w:rsid w:val="004E13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4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54951"/>
  </w:style>
  <w:style w:type="paragraph" w:styleId="BalloonText">
    <w:name w:val="Balloon Text"/>
    <w:basedOn w:val="Normal"/>
    <w:link w:val="BalloonTextChar"/>
    <w:uiPriority w:val="99"/>
    <w:semiHidden/>
    <w:unhideWhenUsed/>
    <w:rsid w:val="00D54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951"/>
    <w:rPr>
      <w:rFonts w:ascii="Tahoma" w:hAnsi="Tahoma" w:cs="Tahoma"/>
      <w:sz w:val="16"/>
      <w:szCs w:val="16"/>
    </w:rPr>
  </w:style>
  <w:style w:type="paragraph" w:styleId="FootnoteText">
    <w:name w:val="footnote text"/>
    <w:basedOn w:val="Normal"/>
    <w:link w:val="FootnoteTextChar"/>
    <w:uiPriority w:val="99"/>
    <w:semiHidden/>
    <w:unhideWhenUsed/>
    <w:rsid w:val="004E13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356"/>
    <w:rPr>
      <w:sz w:val="20"/>
      <w:szCs w:val="20"/>
    </w:rPr>
  </w:style>
  <w:style w:type="character" w:styleId="FootnoteReference">
    <w:name w:val="footnote reference"/>
    <w:basedOn w:val="DefaultParagraphFont"/>
    <w:uiPriority w:val="99"/>
    <w:semiHidden/>
    <w:unhideWhenUsed/>
    <w:rsid w:val="004E13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rick\Dropbox\Behavioral%20Trends\combo\figures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ruczar\Dropbox\Behavioral%20Trends\Demo_manuscript\suppfigure3wor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717466464010299"/>
          <c:y val="4.9457684456109652E-2"/>
          <c:w val="0.70260241525169631"/>
          <c:h val="0.75364600382225566"/>
        </c:manualLayout>
      </c:layout>
      <c:scatterChart>
        <c:scatterStyle val="lineMarker"/>
        <c:varyColors val="0"/>
        <c:ser>
          <c:idx val="2"/>
          <c:order val="0"/>
          <c:tx>
            <c:v>DQ</c:v>
          </c:tx>
          <c:spPr>
            <a:ln w="28575">
              <a:noFill/>
            </a:ln>
          </c:spPr>
          <c:marker>
            <c:symbol val="square"/>
            <c:size val="7"/>
            <c:spPr>
              <a:noFill/>
              <a:ln>
                <a:solidFill>
                  <a:schemeClr val="tx1"/>
                </a:solidFill>
              </a:ln>
            </c:spPr>
          </c:marker>
          <c:trendline>
            <c:spPr>
              <a:ln>
                <a:prstDash val="dash"/>
              </a:ln>
            </c:spPr>
            <c:trendlineType val="linear"/>
            <c:dispRSqr val="0"/>
            <c:dispEq val="0"/>
          </c:trendline>
          <c:errBars>
            <c:errDir val="y"/>
            <c:errBarType val="both"/>
            <c:errValType val="cust"/>
            <c:noEndCap val="0"/>
            <c:plus>
              <c:numRef>
                <c:f>dq!$H$5:$H$16</c:f>
                <c:numCache>
                  <c:formatCode>General</c:formatCode>
                  <c:ptCount val="12"/>
                  <c:pt idx="1">
                    <c:v>4.1160000000000002E-2</c:v>
                  </c:pt>
                  <c:pt idx="2">
                    <c:v>4.1160000000000002E-2</c:v>
                  </c:pt>
                  <c:pt idx="3">
                    <c:v>4.1160000000000002E-2</c:v>
                  </c:pt>
                  <c:pt idx="4">
                    <c:v>4.3119999999999999E-2</c:v>
                  </c:pt>
                  <c:pt idx="5">
                    <c:v>4.5079999999999995E-2</c:v>
                  </c:pt>
                  <c:pt idx="6">
                    <c:v>4.3119999999999999E-2</c:v>
                  </c:pt>
                  <c:pt idx="7">
                    <c:v>4.5079999999999995E-2</c:v>
                  </c:pt>
                  <c:pt idx="8">
                    <c:v>4.3119999999999999E-2</c:v>
                  </c:pt>
                  <c:pt idx="9">
                    <c:v>4.3119999999999999E-2</c:v>
                  </c:pt>
                  <c:pt idx="10">
                    <c:v>4.1160000000000002E-2</c:v>
                  </c:pt>
                  <c:pt idx="11">
                    <c:v>4.5079999999999995E-2</c:v>
                  </c:pt>
                </c:numCache>
              </c:numRef>
            </c:plus>
            <c:minus>
              <c:numRef>
                <c:f>dq!$H$5:$H$16</c:f>
                <c:numCache>
                  <c:formatCode>General</c:formatCode>
                  <c:ptCount val="12"/>
                  <c:pt idx="1">
                    <c:v>4.1160000000000002E-2</c:v>
                  </c:pt>
                  <c:pt idx="2">
                    <c:v>4.1160000000000002E-2</c:v>
                  </c:pt>
                  <c:pt idx="3">
                    <c:v>4.1160000000000002E-2</c:v>
                  </c:pt>
                  <c:pt idx="4">
                    <c:v>4.3119999999999999E-2</c:v>
                  </c:pt>
                  <c:pt idx="5">
                    <c:v>4.5079999999999995E-2</c:v>
                  </c:pt>
                  <c:pt idx="6">
                    <c:v>4.3119999999999999E-2</c:v>
                  </c:pt>
                  <c:pt idx="7">
                    <c:v>4.5079999999999995E-2</c:v>
                  </c:pt>
                  <c:pt idx="8">
                    <c:v>4.3119999999999999E-2</c:v>
                  </c:pt>
                  <c:pt idx="9">
                    <c:v>4.3119999999999999E-2</c:v>
                  </c:pt>
                  <c:pt idx="10">
                    <c:v>4.1160000000000002E-2</c:v>
                  </c:pt>
                  <c:pt idx="11">
                    <c:v>4.5079999999999995E-2</c:v>
                  </c:pt>
                </c:numCache>
              </c:numRef>
            </c:minus>
          </c:errBars>
          <c:xVal>
            <c:numRef>
              <c:f>dq!$A$5:$A$16</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xVal>
          <c:yVal>
            <c:numRef>
              <c:f>dq!$G$5:$G$16</c:f>
              <c:numCache>
                <c:formatCode>General</c:formatCode>
                <c:ptCount val="12"/>
                <c:pt idx="0">
                  <c:v>0</c:v>
                </c:pt>
                <c:pt idx="1">
                  <c:v>-5.099999999999999E-2</c:v>
                </c:pt>
                <c:pt idx="2">
                  <c:v>-5.8999999999999997E-2</c:v>
                </c:pt>
                <c:pt idx="3">
                  <c:v>-6.2E-2</c:v>
                </c:pt>
                <c:pt idx="4">
                  <c:v>-0.10199999999999998</c:v>
                </c:pt>
                <c:pt idx="5">
                  <c:v>-0.13099999999999998</c:v>
                </c:pt>
                <c:pt idx="6">
                  <c:v>-0.13999999999999999</c:v>
                </c:pt>
                <c:pt idx="7">
                  <c:v>-0.187</c:v>
                </c:pt>
                <c:pt idx="8">
                  <c:v>-0.246</c:v>
                </c:pt>
                <c:pt idx="9">
                  <c:v>-0.28199999999999997</c:v>
                </c:pt>
                <c:pt idx="10">
                  <c:v>-0.32100000000000001</c:v>
                </c:pt>
                <c:pt idx="11">
                  <c:v>-0.35899999999999999</c:v>
                </c:pt>
              </c:numCache>
            </c:numRef>
          </c:yVal>
          <c:smooth val="0"/>
        </c:ser>
        <c:ser>
          <c:idx val="0"/>
          <c:order val="1"/>
          <c:tx>
            <c:v>SUD</c:v>
          </c:tx>
          <c:spPr>
            <a:ln w="28575">
              <a:noFill/>
            </a:ln>
          </c:spPr>
          <c:marker>
            <c:symbol val="triangle"/>
            <c:size val="7"/>
            <c:spPr>
              <a:noFill/>
              <a:ln>
                <a:solidFill>
                  <a:schemeClr val="tx1"/>
                </a:solidFill>
              </a:ln>
            </c:spPr>
          </c:marker>
          <c:trendline>
            <c:trendlineType val="linear"/>
            <c:dispRSqr val="0"/>
            <c:dispEq val="0"/>
          </c:trendline>
          <c:errBars>
            <c:errDir val="y"/>
            <c:errBarType val="both"/>
            <c:errValType val="cust"/>
            <c:noEndCap val="0"/>
            <c:plus>
              <c:numRef>
                <c:f>dq!$H$5:$H$16</c:f>
                <c:numCache>
                  <c:formatCode>General</c:formatCode>
                  <c:ptCount val="12"/>
                  <c:pt idx="1">
                    <c:v>4.1160000000000002E-2</c:v>
                  </c:pt>
                  <c:pt idx="2">
                    <c:v>4.1160000000000002E-2</c:v>
                  </c:pt>
                  <c:pt idx="3">
                    <c:v>4.1160000000000002E-2</c:v>
                  </c:pt>
                  <c:pt idx="4">
                    <c:v>4.3119999999999999E-2</c:v>
                  </c:pt>
                  <c:pt idx="5">
                    <c:v>4.5079999999999995E-2</c:v>
                  </c:pt>
                  <c:pt idx="6">
                    <c:v>4.3119999999999999E-2</c:v>
                  </c:pt>
                  <c:pt idx="7">
                    <c:v>4.5079999999999995E-2</c:v>
                  </c:pt>
                  <c:pt idx="8">
                    <c:v>4.3119999999999999E-2</c:v>
                  </c:pt>
                  <c:pt idx="9">
                    <c:v>4.3119999999999999E-2</c:v>
                  </c:pt>
                  <c:pt idx="10">
                    <c:v>4.1160000000000002E-2</c:v>
                  </c:pt>
                  <c:pt idx="11">
                    <c:v>4.5079999999999995E-2</c:v>
                  </c:pt>
                </c:numCache>
              </c:numRef>
            </c:plus>
            <c:minus>
              <c:numRef>
                <c:f>dq!$H$5:$H$16</c:f>
                <c:numCache>
                  <c:formatCode>General</c:formatCode>
                  <c:ptCount val="12"/>
                  <c:pt idx="1">
                    <c:v>4.1160000000000002E-2</c:v>
                  </c:pt>
                  <c:pt idx="2">
                    <c:v>4.1160000000000002E-2</c:v>
                  </c:pt>
                  <c:pt idx="3">
                    <c:v>4.1160000000000002E-2</c:v>
                  </c:pt>
                  <c:pt idx="4">
                    <c:v>4.3119999999999999E-2</c:v>
                  </c:pt>
                  <c:pt idx="5">
                    <c:v>4.5079999999999995E-2</c:v>
                  </c:pt>
                  <c:pt idx="6">
                    <c:v>4.3119999999999999E-2</c:v>
                  </c:pt>
                  <c:pt idx="7">
                    <c:v>4.5079999999999995E-2</c:v>
                  </c:pt>
                  <c:pt idx="8">
                    <c:v>4.3119999999999999E-2</c:v>
                  </c:pt>
                  <c:pt idx="9">
                    <c:v>4.3119999999999999E-2</c:v>
                  </c:pt>
                  <c:pt idx="10">
                    <c:v>4.1160000000000002E-2</c:v>
                  </c:pt>
                  <c:pt idx="11">
                    <c:v>4.5079999999999995E-2</c:v>
                  </c:pt>
                </c:numCache>
              </c:numRef>
            </c:minus>
          </c:errBars>
          <c:xVal>
            <c:numRef>
              <c:f>dq!$B$5:$B$16</c:f>
              <c:numCache>
                <c:formatCode>General</c:formatCode>
                <c:ptCount val="12"/>
                <c:pt idx="0">
                  <c:v>2003.1</c:v>
                </c:pt>
                <c:pt idx="1">
                  <c:v>2004.1</c:v>
                </c:pt>
                <c:pt idx="2">
                  <c:v>2005.1</c:v>
                </c:pt>
                <c:pt idx="3">
                  <c:v>2006.1</c:v>
                </c:pt>
                <c:pt idx="4">
                  <c:v>2007.1</c:v>
                </c:pt>
                <c:pt idx="5">
                  <c:v>2008.1</c:v>
                </c:pt>
                <c:pt idx="6">
                  <c:v>2009.1</c:v>
                </c:pt>
                <c:pt idx="7">
                  <c:v>2010.1</c:v>
                </c:pt>
                <c:pt idx="8">
                  <c:v>2011.1</c:v>
                </c:pt>
                <c:pt idx="9">
                  <c:v>2012.1</c:v>
                </c:pt>
                <c:pt idx="10">
                  <c:v>2013.1</c:v>
                </c:pt>
                <c:pt idx="11">
                  <c:v>2014.1</c:v>
                </c:pt>
              </c:numCache>
            </c:numRef>
          </c:xVal>
          <c:yVal>
            <c:numRef>
              <c:f>dq!$K$5:$K$16</c:f>
              <c:numCache>
                <c:formatCode>General</c:formatCode>
                <c:ptCount val="12"/>
                <c:pt idx="0">
                  <c:v>0</c:v>
                </c:pt>
                <c:pt idx="1">
                  <c:v>-7.0000000000000062E-3</c:v>
                </c:pt>
                <c:pt idx="2">
                  <c:v>-7.6000000000000012E-2</c:v>
                </c:pt>
                <c:pt idx="3">
                  <c:v>-7.9000000000000015E-2</c:v>
                </c:pt>
                <c:pt idx="4">
                  <c:v>-0.10699999999999998</c:v>
                </c:pt>
                <c:pt idx="5">
                  <c:v>-0.128</c:v>
                </c:pt>
                <c:pt idx="6">
                  <c:v>-0.17300000000000001</c:v>
                </c:pt>
                <c:pt idx="7">
                  <c:v>-0.17</c:v>
                </c:pt>
                <c:pt idx="8">
                  <c:v>-0.19600000000000001</c:v>
                </c:pt>
                <c:pt idx="9">
                  <c:v>-0.29000000000000004</c:v>
                </c:pt>
                <c:pt idx="10">
                  <c:v>-0.40500000000000003</c:v>
                </c:pt>
                <c:pt idx="11">
                  <c:v>-0.38300000000000001</c:v>
                </c:pt>
              </c:numCache>
            </c:numRef>
          </c:yVal>
          <c:smooth val="0"/>
        </c:ser>
        <c:ser>
          <c:idx val="1"/>
          <c:order val="2"/>
          <c:tx>
            <c:v>EXT</c:v>
          </c:tx>
          <c:spPr>
            <a:ln w="28575">
              <a:noFill/>
            </a:ln>
          </c:spPr>
          <c:marker>
            <c:symbol val="circle"/>
            <c:size val="7"/>
            <c:spPr>
              <a:solidFill>
                <a:schemeClr val="tx1"/>
              </a:solidFill>
              <a:ln>
                <a:solidFill>
                  <a:schemeClr val="tx1"/>
                </a:solidFill>
              </a:ln>
            </c:spPr>
          </c:marker>
          <c:trendline>
            <c:spPr>
              <a:ln>
                <a:prstDash val="lgDash"/>
              </a:ln>
            </c:spPr>
            <c:trendlineType val="linear"/>
            <c:dispRSqr val="0"/>
            <c:dispEq val="0"/>
          </c:trendline>
          <c:errBars>
            <c:errDir val="y"/>
            <c:errBarType val="both"/>
            <c:errValType val="cust"/>
            <c:noEndCap val="0"/>
            <c:plus>
              <c:numRef>
                <c:f>dq!$P$5:$P$16</c:f>
                <c:numCache>
                  <c:formatCode>General</c:formatCode>
                  <c:ptCount val="12"/>
                  <c:pt idx="0">
                    <c:v>0</c:v>
                  </c:pt>
                  <c:pt idx="1">
                    <c:v>4.5079999999999995E-2</c:v>
                  </c:pt>
                  <c:pt idx="2">
                    <c:v>4.1160000000000002E-2</c:v>
                  </c:pt>
                  <c:pt idx="3">
                    <c:v>4.3119999999999999E-2</c:v>
                  </c:pt>
                  <c:pt idx="4">
                    <c:v>4.5079999999999995E-2</c:v>
                  </c:pt>
                  <c:pt idx="5">
                    <c:v>4.9000000000000002E-2</c:v>
                  </c:pt>
                  <c:pt idx="6">
                    <c:v>4.5079999999999995E-2</c:v>
                  </c:pt>
                  <c:pt idx="7">
                    <c:v>4.5079999999999995E-2</c:v>
                  </c:pt>
                  <c:pt idx="8">
                    <c:v>4.7039999999999998E-2</c:v>
                  </c:pt>
                  <c:pt idx="9">
                    <c:v>4.5079999999999995E-2</c:v>
                  </c:pt>
                  <c:pt idx="10">
                    <c:v>4.1160000000000002E-2</c:v>
                  </c:pt>
                  <c:pt idx="11">
                    <c:v>4.7039999999999998E-2</c:v>
                  </c:pt>
                </c:numCache>
              </c:numRef>
            </c:plus>
            <c:minus>
              <c:numRef>
                <c:f>dq!$P$5:$P$16</c:f>
                <c:numCache>
                  <c:formatCode>General</c:formatCode>
                  <c:ptCount val="12"/>
                  <c:pt idx="0">
                    <c:v>0</c:v>
                  </c:pt>
                  <c:pt idx="1">
                    <c:v>4.5079999999999995E-2</c:v>
                  </c:pt>
                  <c:pt idx="2">
                    <c:v>4.1160000000000002E-2</c:v>
                  </c:pt>
                  <c:pt idx="3">
                    <c:v>4.3119999999999999E-2</c:v>
                  </c:pt>
                  <c:pt idx="4">
                    <c:v>4.5079999999999995E-2</c:v>
                  </c:pt>
                  <c:pt idx="5">
                    <c:v>4.9000000000000002E-2</c:v>
                  </c:pt>
                  <c:pt idx="6">
                    <c:v>4.5079999999999995E-2</c:v>
                  </c:pt>
                  <c:pt idx="7">
                    <c:v>4.5079999999999995E-2</c:v>
                  </c:pt>
                  <c:pt idx="8">
                    <c:v>4.7039999999999998E-2</c:v>
                  </c:pt>
                  <c:pt idx="9">
                    <c:v>4.5079999999999995E-2</c:v>
                  </c:pt>
                  <c:pt idx="10">
                    <c:v>4.1160000000000002E-2</c:v>
                  </c:pt>
                  <c:pt idx="11">
                    <c:v>4.7039999999999998E-2</c:v>
                  </c:pt>
                </c:numCache>
              </c:numRef>
            </c:minus>
          </c:errBars>
          <c:xVal>
            <c:numRef>
              <c:f>dq!$C$5:$C$16</c:f>
              <c:numCache>
                <c:formatCode>General</c:formatCode>
                <c:ptCount val="12"/>
                <c:pt idx="0">
                  <c:v>2003.2</c:v>
                </c:pt>
                <c:pt idx="1">
                  <c:v>2004.2</c:v>
                </c:pt>
                <c:pt idx="2">
                  <c:v>2005.2</c:v>
                </c:pt>
                <c:pt idx="3">
                  <c:v>2006.2</c:v>
                </c:pt>
                <c:pt idx="4">
                  <c:v>2007.2</c:v>
                </c:pt>
                <c:pt idx="5">
                  <c:v>2008.2</c:v>
                </c:pt>
                <c:pt idx="6">
                  <c:v>2009.2</c:v>
                </c:pt>
                <c:pt idx="7">
                  <c:v>2010.2</c:v>
                </c:pt>
                <c:pt idx="8">
                  <c:v>2011.2</c:v>
                </c:pt>
                <c:pt idx="9">
                  <c:v>2012.2</c:v>
                </c:pt>
                <c:pt idx="10">
                  <c:v>2013.2</c:v>
                </c:pt>
                <c:pt idx="11">
                  <c:v>2014.2</c:v>
                </c:pt>
              </c:numCache>
            </c:numRef>
          </c:xVal>
          <c:yVal>
            <c:numRef>
              <c:f>dq!$O$5:$O$16</c:f>
              <c:numCache>
                <c:formatCode>General</c:formatCode>
                <c:ptCount val="12"/>
                <c:pt idx="0">
                  <c:v>0</c:v>
                </c:pt>
                <c:pt idx="1">
                  <c:v>-4.2000000000000037E-2</c:v>
                </c:pt>
                <c:pt idx="2">
                  <c:v>-6.9000000000000006E-2</c:v>
                </c:pt>
                <c:pt idx="3">
                  <c:v>-7.3000000000000009E-2</c:v>
                </c:pt>
                <c:pt idx="4">
                  <c:v>-0.11299999999999999</c:v>
                </c:pt>
                <c:pt idx="5">
                  <c:v>-0.14000000000000001</c:v>
                </c:pt>
                <c:pt idx="6">
                  <c:v>-0.159</c:v>
                </c:pt>
                <c:pt idx="7">
                  <c:v>-0.19500000000000001</c:v>
                </c:pt>
                <c:pt idx="8">
                  <c:v>-0.251</c:v>
                </c:pt>
                <c:pt idx="9">
                  <c:v>-0.30399999999999999</c:v>
                </c:pt>
                <c:pt idx="10">
                  <c:v>-0.36199999999999999</c:v>
                </c:pt>
                <c:pt idx="11">
                  <c:v>-0.38900000000000001</c:v>
                </c:pt>
              </c:numCache>
            </c:numRef>
          </c:yVal>
          <c:smooth val="0"/>
        </c:ser>
        <c:dLbls>
          <c:showLegendKey val="0"/>
          <c:showVal val="0"/>
          <c:showCatName val="0"/>
          <c:showSerName val="0"/>
          <c:showPercent val="0"/>
          <c:showBubbleSize val="0"/>
        </c:dLbls>
        <c:axId val="272360576"/>
        <c:axId val="272362112"/>
      </c:scatterChart>
      <c:valAx>
        <c:axId val="272360576"/>
        <c:scaling>
          <c:orientation val="minMax"/>
          <c:max val="2015"/>
          <c:min val="2002"/>
        </c:scaling>
        <c:delete val="0"/>
        <c:axPos val="b"/>
        <c:numFmt formatCode="General" sourceLinked="1"/>
        <c:majorTickMark val="out"/>
        <c:minorTickMark val="in"/>
        <c:tickLblPos val="nextTo"/>
        <c:txPr>
          <a:bodyPr/>
          <a:lstStyle/>
          <a:p>
            <a:pPr>
              <a:defRPr sz="1200"/>
            </a:pPr>
            <a:endParaRPr lang="en-US"/>
          </a:p>
        </c:txPr>
        <c:crossAx val="272362112"/>
        <c:crossesAt val="-0.5"/>
        <c:crossBetween val="midCat"/>
        <c:minorUnit val="1"/>
      </c:valAx>
      <c:valAx>
        <c:axId val="272362112"/>
        <c:scaling>
          <c:orientation val="minMax"/>
          <c:max val="0.1"/>
          <c:min val="-0.5"/>
        </c:scaling>
        <c:delete val="0"/>
        <c:axPos val="l"/>
        <c:title>
          <c:tx>
            <c:rich>
              <a:bodyPr rot="-5400000" vert="horz"/>
              <a:lstStyle/>
              <a:p>
                <a:pPr>
                  <a:defRPr sz="1600"/>
                </a:pPr>
                <a:r>
                  <a:rPr lang="en-US" sz="1600"/>
                  <a:t>Mean (Z-Score)</a:t>
                </a:r>
              </a:p>
            </c:rich>
          </c:tx>
          <c:layout>
            <c:manualLayout>
              <c:xMode val="edge"/>
              <c:yMode val="edge"/>
              <c:x val="1.9914891871178283E-2"/>
              <c:y val="0.2945266666512138"/>
            </c:manualLayout>
          </c:layout>
          <c:overlay val="0"/>
        </c:title>
        <c:numFmt formatCode="0.00" sourceLinked="0"/>
        <c:majorTickMark val="out"/>
        <c:minorTickMark val="in"/>
        <c:tickLblPos val="nextTo"/>
        <c:txPr>
          <a:bodyPr/>
          <a:lstStyle/>
          <a:p>
            <a:pPr>
              <a:defRPr sz="1200"/>
            </a:pPr>
            <a:endParaRPr lang="en-US"/>
          </a:p>
        </c:txPr>
        <c:crossAx val="272360576"/>
        <c:crosses val="autoZero"/>
        <c:crossBetween val="midCat"/>
        <c:majorUnit val="0.1"/>
        <c:minorUnit val="1.0000000000000002E-2"/>
      </c:valAx>
    </c:plotArea>
    <c:legend>
      <c:legendPos val="t"/>
      <c:legendEntry>
        <c:idx val="3"/>
        <c:delete val="1"/>
      </c:legendEntry>
      <c:legendEntry>
        <c:idx val="4"/>
        <c:delete val="1"/>
      </c:legendEntry>
      <c:legendEntry>
        <c:idx val="5"/>
        <c:delete val="1"/>
      </c:legendEntry>
      <c:layout>
        <c:manualLayout>
          <c:xMode val="edge"/>
          <c:yMode val="edge"/>
          <c:x val="0.75168447199811805"/>
          <c:y val="0.11323743430376287"/>
          <c:w val="8.3140173163767525E-2"/>
          <c:h val="0.13333921183580866"/>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417258335491839"/>
          <c:y val="4.9457702507264022E-2"/>
          <c:w val="0.73793802340053949"/>
          <c:h val="0.83211464618040931"/>
        </c:manualLayout>
      </c:layout>
      <c:scatterChart>
        <c:scatterStyle val="lineMarker"/>
        <c:varyColors val="0"/>
        <c:ser>
          <c:idx val="7"/>
          <c:order val="0"/>
          <c:spPr>
            <a:ln w="28575">
              <a:noFill/>
            </a:ln>
          </c:spPr>
          <c:marker>
            <c:symbol val="circle"/>
            <c:size val="7"/>
            <c:spPr>
              <a:solidFill>
                <a:schemeClr val="tx1"/>
              </a:solidFill>
              <a:ln>
                <a:solidFill>
                  <a:schemeClr val="tx1"/>
                </a:solidFill>
              </a:ln>
            </c:spPr>
          </c:marker>
          <c:errBars>
            <c:errDir val="y"/>
            <c:errBarType val="both"/>
            <c:errValType val="cust"/>
            <c:noEndCap val="0"/>
            <c:plus>
              <c:numRef>
                <c:f>Sheet1!$D$43:$D$54</c:f>
                <c:numCache>
                  <c:formatCode>General</c:formatCode>
                  <c:ptCount val="12"/>
                  <c:pt idx="0">
                    <c:v>0.18326000000000001</c:v>
                  </c:pt>
                  <c:pt idx="1">
                    <c:v>0.14013999999999999</c:v>
                  </c:pt>
                  <c:pt idx="2">
                    <c:v>0.166992</c:v>
                  </c:pt>
                  <c:pt idx="3">
                    <c:v>0.16895199999999999</c:v>
                  </c:pt>
                  <c:pt idx="4">
                    <c:v>0.188944</c:v>
                  </c:pt>
                  <c:pt idx="5">
                    <c:v>0.144452</c:v>
                  </c:pt>
                  <c:pt idx="6">
                    <c:v>0.20246800000000001</c:v>
                  </c:pt>
                  <c:pt idx="7">
                    <c:v>0.15797600000000001</c:v>
                  </c:pt>
                  <c:pt idx="8">
                    <c:v>0.21207200000000001</c:v>
                  </c:pt>
                  <c:pt idx="9">
                    <c:v>0.30634800000000001</c:v>
                  </c:pt>
                  <c:pt idx="10">
                    <c:v>0.25969999999999999</c:v>
                  </c:pt>
                  <c:pt idx="11">
                    <c:v>0.31967599999999996</c:v>
                  </c:pt>
                </c:numCache>
              </c:numRef>
            </c:plus>
            <c:minus>
              <c:numRef>
                <c:f>Sheet1!$D$43:$D$54</c:f>
                <c:numCache>
                  <c:formatCode>General</c:formatCode>
                  <c:ptCount val="12"/>
                  <c:pt idx="0">
                    <c:v>0.18326000000000001</c:v>
                  </c:pt>
                  <c:pt idx="1">
                    <c:v>0.14013999999999999</c:v>
                  </c:pt>
                  <c:pt idx="2">
                    <c:v>0.166992</c:v>
                  </c:pt>
                  <c:pt idx="3">
                    <c:v>0.16895199999999999</c:v>
                  </c:pt>
                  <c:pt idx="4">
                    <c:v>0.188944</c:v>
                  </c:pt>
                  <c:pt idx="5">
                    <c:v>0.144452</c:v>
                  </c:pt>
                  <c:pt idx="6">
                    <c:v>0.20246800000000001</c:v>
                  </c:pt>
                  <c:pt idx="7">
                    <c:v>0.15797600000000001</c:v>
                  </c:pt>
                  <c:pt idx="8">
                    <c:v>0.21207200000000001</c:v>
                  </c:pt>
                  <c:pt idx="9">
                    <c:v>0.30634800000000001</c:v>
                  </c:pt>
                  <c:pt idx="10">
                    <c:v>0.25969999999999999</c:v>
                  </c:pt>
                  <c:pt idx="11">
                    <c:v>0.31967599999999996</c:v>
                  </c:pt>
                </c:numCache>
              </c:numRef>
            </c:minus>
          </c:errBars>
          <c:xVal>
            <c:numRef>
              <c:f>Sheet1!$A$43:$A$54</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xVal>
          <c:yVal>
            <c:numRef>
              <c:f>Sheet1!$B$43:$B$54</c:f>
              <c:numCache>
                <c:formatCode>General</c:formatCode>
                <c:ptCount val="12"/>
                <c:pt idx="0">
                  <c:v>0.89749999999999996</c:v>
                </c:pt>
                <c:pt idx="1">
                  <c:v>0.72609999999999997</c:v>
                </c:pt>
                <c:pt idx="2">
                  <c:v>0.82410000000000005</c:v>
                </c:pt>
                <c:pt idx="3">
                  <c:v>0.97060000000000002</c:v>
                </c:pt>
                <c:pt idx="4">
                  <c:v>0.94379999999999997</c:v>
                </c:pt>
                <c:pt idx="5">
                  <c:v>0.92869999999999997</c:v>
                </c:pt>
                <c:pt idx="6">
                  <c:v>1.0395000000000001</c:v>
                </c:pt>
                <c:pt idx="7">
                  <c:v>0.99990000000000001</c:v>
                </c:pt>
                <c:pt idx="8">
                  <c:v>1.3549</c:v>
                </c:pt>
                <c:pt idx="9">
                  <c:v>1.4000999999999999</c:v>
                </c:pt>
                <c:pt idx="10">
                  <c:v>1.6853</c:v>
                </c:pt>
                <c:pt idx="11">
                  <c:v>1.9320999999999999</c:v>
                </c:pt>
              </c:numCache>
            </c:numRef>
          </c:yVal>
          <c:smooth val="0"/>
        </c:ser>
        <c:ser>
          <c:idx val="0"/>
          <c:order val="1"/>
          <c:spPr>
            <a:ln w="28575">
              <a:noFill/>
            </a:ln>
          </c:spPr>
          <c:marker>
            <c:symbol val="circle"/>
            <c:size val="7"/>
            <c:spPr>
              <a:noFill/>
              <a:ln>
                <a:solidFill>
                  <a:schemeClr val="tx1"/>
                </a:solidFill>
              </a:ln>
            </c:spPr>
          </c:marker>
          <c:errBars>
            <c:errDir val="y"/>
            <c:errBarType val="both"/>
            <c:errValType val="cust"/>
            <c:noEndCap val="0"/>
            <c:plus>
              <c:numRef>
                <c:f>Sheet1!$D$60:$D$71</c:f>
                <c:numCache>
                  <c:formatCode>General</c:formatCode>
                  <c:ptCount val="12"/>
                  <c:pt idx="0">
                    <c:v>0.242256</c:v>
                  </c:pt>
                  <c:pt idx="1">
                    <c:v>0.31085599999999997</c:v>
                  </c:pt>
                  <c:pt idx="2">
                    <c:v>0.26244399999999996</c:v>
                  </c:pt>
                  <c:pt idx="3">
                    <c:v>0.25695599999999996</c:v>
                  </c:pt>
                  <c:pt idx="4">
                    <c:v>0.30771999999999999</c:v>
                  </c:pt>
                  <c:pt idx="5">
                    <c:v>0.26558000000000004</c:v>
                  </c:pt>
                  <c:pt idx="6">
                    <c:v>0.25421199999999999</c:v>
                  </c:pt>
                  <c:pt idx="7">
                    <c:v>0.28949199999999997</c:v>
                  </c:pt>
                  <c:pt idx="8">
                    <c:v>0.33163199999999998</c:v>
                  </c:pt>
                  <c:pt idx="9">
                    <c:v>0.25969999999999999</c:v>
                  </c:pt>
                  <c:pt idx="10">
                    <c:v>0.24793999999999999</c:v>
                  </c:pt>
                  <c:pt idx="11">
                    <c:v>0.20952399999999999</c:v>
                  </c:pt>
                </c:numCache>
              </c:numRef>
            </c:plus>
            <c:minus>
              <c:numRef>
                <c:f>Sheet1!$D$60:$D$71</c:f>
                <c:numCache>
                  <c:formatCode>General</c:formatCode>
                  <c:ptCount val="12"/>
                  <c:pt idx="0">
                    <c:v>0.242256</c:v>
                  </c:pt>
                  <c:pt idx="1">
                    <c:v>0.31085599999999997</c:v>
                  </c:pt>
                  <c:pt idx="2">
                    <c:v>0.26244399999999996</c:v>
                  </c:pt>
                  <c:pt idx="3">
                    <c:v>0.25695599999999996</c:v>
                  </c:pt>
                  <c:pt idx="4">
                    <c:v>0.30771999999999999</c:v>
                  </c:pt>
                  <c:pt idx="5">
                    <c:v>0.26558000000000004</c:v>
                  </c:pt>
                  <c:pt idx="6">
                    <c:v>0.25421199999999999</c:v>
                  </c:pt>
                  <c:pt idx="7">
                    <c:v>0.28949199999999997</c:v>
                  </c:pt>
                  <c:pt idx="8">
                    <c:v>0.33163199999999998</c:v>
                  </c:pt>
                  <c:pt idx="9">
                    <c:v>0.25969999999999999</c:v>
                  </c:pt>
                  <c:pt idx="10">
                    <c:v>0.24793999999999999</c:v>
                  </c:pt>
                  <c:pt idx="11">
                    <c:v>0.20952399999999999</c:v>
                  </c:pt>
                </c:numCache>
              </c:numRef>
            </c:minus>
          </c:errBars>
          <c:xVal>
            <c:numRef>
              <c:f>Sheet1!$A$60:$A$71</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xVal>
          <c:yVal>
            <c:numRef>
              <c:f>Sheet1!$B$60:$B$71</c:f>
              <c:numCache>
                <c:formatCode>General</c:formatCode>
                <c:ptCount val="12"/>
                <c:pt idx="0">
                  <c:v>2.8058000000000001</c:v>
                </c:pt>
                <c:pt idx="1">
                  <c:v>2.6273</c:v>
                </c:pt>
                <c:pt idx="2">
                  <c:v>2.343</c:v>
                </c:pt>
                <c:pt idx="3">
                  <c:v>2.2641</c:v>
                </c:pt>
                <c:pt idx="4">
                  <c:v>2.4897</c:v>
                </c:pt>
                <c:pt idx="5">
                  <c:v>2.1943000000000001</c:v>
                </c:pt>
                <c:pt idx="6">
                  <c:v>2.1381999999999999</c:v>
                </c:pt>
                <c:pt idx="7">
                  <c:v>2.1444999999999999</c:v>
                </c:pt>
                <c:pt idx="8">
                  <c:v>2.1821000000000002</c:v>
                </c:pt>
                <c:pt idx="9">
                  <c:v>2.0575999999999999</c:v>
                </c:pt>
                <c:pt idx="10">
                  <c:v>1.8146</c:v>
                </c:pt>
                <c:pt idx="11">
                  <c:v>1.6751</c:v>
                </c:pt>
              </c:numCache>
            </c:numRef>
          </c:yVal>
          <c:smooth val="0"/>
        </c:ser>
        <c:dLbls>
          <c:showLegendKey val="0"/>
          <c:showVal val="0"/>
          <c:showCatName val="0"/>
          <c:showSerName val="0"/>
          <c:showPercent val="0"/>
          <c:showBubbleSize val="0"/>
        </c:dLbls>
        <c:axId val="236234240"/>
        <c:axId val="236235776"/>
      </c:scatterChart>
      <c:valAx>
        <c:axId val="236234240"/>
        <c:scaling>
          <c:orientation val="minMax"/>
        </c:scaling>
        <c:delete val="0"/>
        <c:axPos val="b"/>
        <c:numFmt formatCode="General" sourceLinked="1"/>
        <c:majorTickMark val="out"/>
        <c:minorTickMark val="in"/>
        <c:tickLblPos val="nextTo"/>
        <c:txPr>
          <a:bodyPr/>
          <a:lstStyle/>
          <a:p>
            <a:pPr>
              <a:defRPr sz="1600"/>
            </a:pPr>
            <a:endParaRPr lang="en-US"/>
          </a:p>
        </c:txPr>
        <c:crossAx val="236235776"/>
        <c:crosses val="autoZero"/>
        <c:crossBetween val="midCat"/>
        <c:minorUnit val="1"/>
      </c:valAx>
      <c:valAx>
        <c:axId val="236235776"/>
        <c:scaling>
          <c:orientation val="minMax"/>
          <c:max val="4"/>
          <c:min val="0"/>
        </c:scaling>
        <c:delete val="0"/>
        <c:axPos val="l"/>
        <c:title>
          <c:tx>
            <c:rich>
              <a:bodyPr rot="-5400000" vert="horz"/>
              <a:lstStyle/>
              <a:p>
                <a:pPr>
                  <a:defRPr sz="1800"/>
                </a:pPr>
                <a:r>
                  <a:rPr lang="en-US" sz="1800"/>
                  <a:t>Prevalence (%)</a:t>
                </a:r>
              </a:p>
            </c:rich>
          </c:tx>
          <c:layout>
            <c:manualLayout>
              <c:xMode val="edge"/>
              <c:yMode val="edge"/>
              <c:x val="2.9234507589601999E-2"/>
              <c:y val="0.347135401178301"/>
            </c:manualLayout>
          </c:layout>
          <c:overlay val="0"/>
        </c:title>
        <c:numFmt formatCode="General" sourceLinked="1"/>
        <c:majorTickMark val="out"/>
        <c:minorTickMark val="in"/>
        <c:tickLblPos val="nextTo"/>
        <c:txPr>
          <a:bodyPr/>
          <a:lstStyle/>
          <a:p>
            <a:pPr>
              <a:defRPr sz="1600"/>
            </a:pPr>
            <a:endParaRPr lang="en-US"/>
          </a:p>
        </c:txPr>
        <c:crossAx val="236234240"/>
        <c:crosses val="autoZero"/>
        <c:crossBetween val="midCat"/>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Grucza, Richard</dc:creator>
  <cp:lastModifiedBy>Rick</cp:lastModifiedBy>
  <cp:revision>3</cp:revision>
  <cp:lastPrinted>2017-09-05T21:01:00Z</cp:lastPrinted>
  <dcterms:created xsi:type="dcterms:W3CDTF">2017-09-11T22:45:00Z</dcterms:created>
  <dcterms:modified xsi:type="dcterms:W3CDTF">2017-09-11T22:54:00Z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id="gGSKRxN9"/&gt;&lt;style id="http://www.zotero.org/styles/chicago-fullnote-bibliography" locale="en-US" hasBibliography="1" bibliographyStyleHasBeenSet="0"/&gt;&lt;prefs&gt;&lt;pref name="fieldType" value="Field</vt:lpwstr>
  </property>
  <property fmtid="{D5CDD505-2E9C-101B-9397-08002B2CF9AE}" pid="3" name="ZOTERO_PREF_2">
    <vt:lpwstr>"/&gt;&lt;pref name="storeReferences" value="true"/&gt;&lt;pref name="automaticJournalAbbreviations" value="true"/&gt;&lt;pref name="noteType" value="1"/&gt;&lt;/prefs&gt;&lt;/data&gt;</vt:lpwstr>
  </property>
</Properties>
</file>