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C" w:rsidRPr="007214F4" w:rsidRDefault="004012BC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Supplementary </w:t>
      </w:r>
      <w:r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Figure 1. Age effects on </w:t>
      </w:r>
      <w:r w:rsidR="00D241FD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MATRICS Consensus Cognitive Battery </w:t>
      </w:r>
      <w:r w:rsidR="00D241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41FD" w:rsidRPr="007214F4">
        <w:rPr>
          <w:rFonts w:ascii="Times New Roman" w:hAnsi="Times New Roman" w:cs="Times New Roman"/>
          <w:sz w:val="24"/>
          <w:szCs w:val="24"/>
          <w:lang w:val="en-US"/>
        </w:rPr>
        <w:t>MCCB</w:t>
      </w:r>
      <w:r w:rsidR="00D241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41FD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T-scores in the </w:t>
      </w:r>
      <w:r w:rsidR="009D4084">
        <w:rPr>
          <w:rFonts w:ascii="Times New Roman" w:hAnsi="Times New Roman" w:cs="Times New Roman"/>
          <w:sz w:val="24"/>
          <w:szCs w:val="24"/>
          <w:lang w:val="en-US"/>
        </w:rPr>
        <w:t xml:space="preserve">Italian </w:t>
      </w:r>
      <w:r w:rsidRPr="007214F4">
        <w:rPr>
          <w:rFonts w:ascii="Times New Roman" w:hAnsi="Times New Roman" w:cs="Times New Roman"/>
          <w:sz w:val="24"/>
          <w:szCs w:val="24"/>
          <w:lang w:val="en-US"/>
        </w:rPr>
        <w:t>standardization sample</w:t>
      </w:r>
      <w:r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</w:t>
      </w:r>
    </w:p>
    <w:p w:rsidR="004012BC" w:rsidRDefault="00072FB6">
      <w:pPr>
        <w:rPr>
          <w:noProof/>
          <w:lang w:val="en-US" w:eastAsia="it-IT"/>
        </w:rPr>
      </w:pPr>
      <w:r>
        <w:rPr>
          <w:noProof/>
          <w:lang w:eastAsia="it-IT"/>
        </w:rPr>
        <w:pict>
          <v:group id="Gruppo 15" o:spid="_x0000_s1026" style="position:absolute;margin-left:44.3pt;margin-top:33.35pt;width:408.9pt;height:64.5pt;z-index:251758592" coordsize="51932,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qZRgUAAGdFAAAOAAAAZHJzL2Uyb0RvYy54bWzsXNtu4zYQfS/QfyD03ljUnUacRZptggLB&#10;btDsYp8ZmbKFSqJK0bHTr++QkujUibaQCyxsgS+2xJvIIc+c4Qylyw+7skDPTDQ5rxYOvnAdxKqU&#10;L/NqtXC+frn9JXFQI2m1pAWv2MJ5YY3z4ernny639Zx5fM2LJRMIGqma+bZeOGsp6/ls1qRrVtLm&#10;gtesgsyMi5JKuBWr2VLQLbReFjPPdaPZlotlLXjKmgZSP7aZzpVuP8tYKj9nWcMkKhYO9E3qX6F/&#10;n9Tv7OqSzleC1us87bpBj+hFSfMKHmqa+kglRRuRv2mqzFPBG57Ji5SXM55lecr0GGA02D0YzZ3g&#10;m1qPZTXfrmojJhDtgZyObjb99PwgUL6EuQsdVNES5uhObOqaI0gA6Wzr1RwK3Yn6sX4QXcKqvVMD&#10;3mWiVP8wFLTTcn0xcmU7iVJIDDHxYbIclEJegolHvFbw6Rpm5021dP3b9yvO+sfOVO9MZ7Y1rKFm&#10;L6bm/4npcU1rpqXfKAl0YgqMmG5ow4qComWOJGskR5Cl5aOLK2khufuVw/hxn95A4qDQvNgjUSuX&#10;XnCYJNjr5ObjwPf0E8zw6bwWjbxjvETqYuEIWO96GdLn+0ZCZ6BoX0Q9t+K3eVFAOp0XFdounMgP&#10;XV3B5ECNolIFmEZP14wSbdt5fSVfCtY28gfLYPXoiVcJGrfsphDomQLiaJqySurh63ahtCqVQSfG&#10;VOzK73s1pnI7jv7JvJKmcplXXOjRH3R7+Wff5awtD4J8NW51KXdPu26yn/jyBeZa8Fa5NHV6m8Ns&#10;3NNGPlAB2gQmEDSk/Aw/WcFB6ry7ctCai7/fS1flYfVCroO2oJ0WTvPXhgrmoOL3CtY1wUGg1Jm+&#10;CcJYLRLxOufpdU61KW84TAcGXVyn+lKVl0V/mQlefgNFeq2eClm0SuHZC0f2lzey1ZmgiFN2fa0L&#10;gQKrqbyvHutUNa1mR621L7tvVNTdgpSwkj/xHkl0frAu27KqZsWvN5JnuV60SsCtVDvBA6qVJvoR&#10;8I56LfgW3hqcqhegDcbAG4DruyB7UH5B7CZBYkH+jnY4UZC33NgrcIv1KWE9HsZ63M/4SKxHXhwT&#10;aFcZOkmMNY8Al3b2jOVzbZKcMtS1ZbonIEvr06B12Ia2m5u3tK7p+Ahaj0M38sBcULTuR7Fnaf09&#10;o/+Use73St7S+oRoPQRTewDrkHXcDh17Hg7iQIM9SjyfqHYsrx9s8E8Z60E/8xbrU8K6N4x1Y8mN&#10;NOGxH8YkhIYtsSsv/JA375TBbhyxFuxTArs/DHZjyo0Fe+IliQpNANgjHLQxD0vsZ0TsxitrsT4l&#10;rIOtPWTEG1NuLNYJIX7nnAuSILDRtnfDdKdM7MYta8E+JbAPx9RDY8qNBLsH+I5jsBiUFR/HkV45&#10;ltjPiNiNX9ZifUpYHw6wh8aUG4v1kJCEgIvf7tjPdceuHao27Dax0zThcIQdso5zxfuu55GYtGB3&#10;SaB3/pbYz4jYsT52a8E+NbAPx9hDY8uNZHYfhyQAu0AzuwK7Rfu5BdnbM1AW7VNDOzDwkIPOGHMj&#10;0R54IYbzcxrt3asZ9uTcv47Qn7JvDpuAq92wT2jDHkFwbADokHWcDR/4iUt8eyT+P16YOWm0m4ir&#10;RfuE0D7M6keTehImkds64u0rbud4mgabgKuF+oSgDm6YIWLfe2jGWvCEhG7SHqcJXYiw27Db2e3X&#10;TcTVon1KaB8+PIeNKTcS7X4U+P1JWT/CUWRfXz87tJuYq0X7j0G7/mYFfM1DvwnZfXlEfS7k9b1+&#10;7X3/fZSrfwAAAP//AwBQSwMEFAAGAAgAAAAhALAPP6HgAAAACQEAAA8AAABkcnMvZG93bnJldi54&#10;bWxMj0FLw0AQhe+C/2EZwZvdRG2axmxKKeqpFGwF8TbNTpPQ7G7IbpP03zue9Di8j/e+yVeTacVA&#10;vW+cVRDPIhBkS6cbWyn4PLw9pCB8QKuxdZYUXMnDqri9yTHTbrQfNOxDJbjE+gwV1CF0mZS+rMmg&#10;n7mOLGcn1xsMfPaV1D2OXG5a+RhFiTTYWF6osaNNTeV5fzEK3kcc10/x67A9nzbX78N897WNSan7&#10;u2n9AiLQFP5g+NVndSjY6eguVnvRKkjThEkFSbIAwfkySp5BHBlczhcgi1z+/6D4AQAA//8DAFBL&#10;AQItABQABgAIAAAAIQC2gziS/gAAAOEBAAATAAAAAAAAAAAAAAAAAAAAAABbQ29udGVudF9UeXBl&#10;c10ueG1sUEsBAi0AFAAGAAgAAAAhADj9If/WAAAAlAEAAAsAAAAAAAAAAAAAAAAALwEAAF9yZWxz&#10;Ly5yZWxzUEsBAi0AFAAGAAgAAAAhADdfGplGBQAAZ0UAAA4AAAAAAAAAAAAAAAAALgIAAGRycy9l&#10;Mm9Eb2MueG1sUEsBAi0AFAAGAAgAAAAhALAPP6HgAAAACQEAAA8AAAAAAAAAAAAAAAAAoAcAAGRy&#10;cy9kb3ducmV2LnhtbFBLBQYAAAAABAAEAPMAAACt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5" o:spid="_x0000_s1027" type="#_x0000_t202" style="position:absolute;top:272;width:1981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46" o:spid="_x0000_s1028" type="#_x0000_t202" style="position:absolute;left:1433;top:4708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47" o:spid="_x0000_s1029" type="#_x0000_t202" style="position:absolute;left:6277;top:887;width:198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48" o:spid="_x0000_s1030" type="#_x0000_t202" style="position:absolute;left:7506;top:4367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51" o:spid="_x0000_s1031" type="#_x0000_t202" style="position:absolute;left:12214;top:682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52" o:spid="_x0000_s1032" type="#_x0000_t202" style="position:absolute;left:13579;top:4367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53" o:spid="_x0000_s1033" type="#_x0000_t202" style="position:absolute;left:18288;top:614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54" o:spid="_x0000_s1034" type="#_x0000_t202" style="position:absolute;left:19993;top:4844;width:1982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55" o:spid="_x0000_s1035" type="#_x0000_t202" style="position:absolute;left:24497;top:477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56" o:spid="_x0000_s1036" type="#_x0000_t202" style="position:absolute;left:25998;top:4367;width:198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57" o:spid="_x0000_s1037" type="#_x0000_t202" style="position:absolute;left:30229;top:409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58" o:spid="_x0000_s1038" type="#_x0000_t202" style="position:absolute;left:31594;top:4094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59" o:spid="_x0000_s1039" type="#_x0000_t202" style="position:absolute;left:42512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60" o:spid="_x0000_s1040" type="#_x0000_t202" style="position:absolute;left:43809;top:4708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<v:textbox>
                <w:txbxContent>
                  <w:p w:rsidR="00024447" w:rsidRPr="00072FB6" w:rsidRDefault="00024447" w:rsidP="000244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9" o:spid="_x0000_s1041" type="#_x0000_t202" style="position:absolute;left:48586;top:272;width:1981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313ACD" w:rsidRPr="00072FB6" w:rsidRDefault="00313ACD" w:rsidP="00313AC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Casella di testo 10" o:spid="_x0000_s1042" type="#_x0000_t202" style="position:absolute;left:49950;top:5049;width:198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>
                <w:txbxContent>
                  <w:p w:rsidR="00313ACD" w:rsidRPr="00072FB6" w:rsidRDefault="00313ACD" w:rsidP="00313AC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Casella di testo 13" o:spid="_x0000_s1043" type="#_x0000_t202" style="position:absolute;left:36439;top:3616;width:198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313ACD" w:rsidRPr="00072FB6" w:rsidRDefault="001552FC" w:rsidP="00313AC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2FB6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</v:group>
        </w:pict>
      </w:r>
      <w:r w:rsidR="00313ACD" w:rsidRPr="00313ACD">
        <w:rPr>
          <w:noProof/>
          <w:lang w:val="en-US" w:eastAsia="it-IT"/>
        </w:rPr>
        <w:t xml:space="preserve"> </w:t>
      </w:r>
      <w:r w:rsidR="00313ACD">
        <w:rPr>
          <w:noProof/>
          <w:lang w:eastAsia="it-IT"/>
        </w:rPr>
        <w:drawing>
          <wp:inline distT="0" distB="0" distL="0" distR="0">
            <wp:extent cx="6120130" cy="3055769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024447" w:rsidRPr="007214F4" w:rsidRDefault="00313ACD" w:rsidP="0057255E">
      <w:pPr>
        <w:ind w:right="991"/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P</w:t>
      </w:r>
      <w:r w:rsidR="00024447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airwise group comparisons</w:t>
      </w:r>
      <w:r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:</w:t>
      </w:r>
      <w:r w:rsidR="00024447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a=significant better than the other two age groups; b=significant better than the oldest age group.</w:t>
      </w:r>
    </w:p>
    <w:p w:rsidR="004012BC" w:rsidRPr="007214F4" w:rsidRDefault="004012BC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br w:type="page"/>
      </w:r>
    </w:p>
    <w:p w:rsidR="004012BC" w:rsidRPr="007214F4" w:rsidRDefault="004012BC" w:rsidP="004012BC">
      <w:pPr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lastRenderedPageBreak/>
        <w:t xml:space="preserve">Supplementary </w:t>
      </w:r>
      <w:r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Figure 2. Education effects on </w:t>
      </w:r>
      <w:r w:rsidR="00D241FD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MATRICS Consensus Cognitive Battery </w:t>
      </w:r>
      <w:r w:rsidR="00D241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41FD" w:rsidRPr="007214F4">
        <w:rPr>
          <w:rFonts w:ascii="Times New Roman" w:hAnsi="Times New Roman" w:cs="Times New Roman"/>
          <w:sz w:val="24"/>
          <w:szCs w:val="24"/>
          <w:lang w:val="en-US"/>
        </w:rPr>
        <w:t>MCCB</w:t>
      </w:r>
      <w:r w:rsidR="00D241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41FD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 T-scores in the standardization sample</w:t>
      </w:r>
      <w:r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</w:t>
      </w:r>
    </w:p>
    <w:p w:rsidR="009D4084" w:rsidRDefault="00520C75" w:rsidP="0057255E">
      <w:pPr>
        <w:ind w:right="424"/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>
        <w:rPr>
          <w:noProof/>
          <w:lang w:eastAsia="it-IT"/>
        </w:rPr>
        <w:drawing>
          <wp:inline distT="0" distB="0" distL="0" distR="0">
            <wp:extent cx="6121021" cy="3227695"/>
            <wp:effectExtent l="0" t="0" r="0" b="0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574F" w:rsidRPr="007214F4" w:rsidRDefault="006731C3" w:rsidP="0057255E">
      <w:pPr>
        <w:ind w:right="424"/>
        <w:rPr>
          <w:rFonts w:ascii="Times New Roman" w:hAnsi="Times New Roman" w:cs="Times New Roman"/>
          <w:noProof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P</w:t>
      </w:r>
      <w:r w:rsidR="0030574F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airwise group comparisons are significant at 0.05, except for </w:t>
      </w:r>
      <w:r w:rsidR="002108AD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Verbal and </w:t>
      </w:r>
      <w:r w:rsidR="0030574F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Visual Learning</w:t>
      </w:r>
      <w:r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and Social cognition</w:t>
      </w:r>
      <w:r w:rsidR="0030574F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,</w:t>
      </w:r>
      <w:r w:rsidR="002108AD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</w:t>
      </w:r>
      <w:r w:rsidR="00DE6829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f</w:t>
      </w:r>
      <w:r w:rsidR="0030574F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or which only the group &lt;High school differed f</w:t>
      </w:r>
      <w:r w:rsidR="00DE6829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rom the other two groups. </w:t>
      </w:r>
      <w:r w:rsidR="0030574F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</w:t>
      </w:r>
      <w:r w:rsidR="00DE6829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a=significant worse than the other two </w:t>
      </w:r>
      <w:r w:rsidR="00024447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education </w:t>
      </w:r>
      <w:r w:rsidR="00DE6829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>groups; b=significant worse than the highest education group.</w:t>
      </w:r>
    </w:p>
    <w:p w:rsidR="004012BC" w:rsidRDefault="004012BC">
      <w:pPr>
        <w:rPr>
          <w:noProof/>
          <w:lang w:val="en-US" w:eastAsia="it-IT"/>
        </w:rPr>
      </w:pPr>
    </w:p>
    <w:p w:rsidR="004012BC" w:rsidRDefault="004012BC">
      <w:pPr>
        <w:rPr>
          <w:noProof/>
          <w:lang w:val="en-US" w:eastAsia="it-IT"/>
        </w:rPr>
      </w:pPr>
    </w:p>
    <w:p w:rsidR="004012BC" w:rsidRDefault="004012BC">
      <w:pPr>
        <w:rPr>
          <w:noProof/>
          <w:lang w:val="en-US" w:eastAsia="it-IT"/>
        </w:rPr>
      </w:pPr>
      <w:r>
        <w:rPr>
          <w:noProof/>
          <w:lang w:val="en-US" w:eastAsia="it-IT"/>
        </w:rPr>
        <w:br w:type="page"/>
      </w:r>
    </w:p>
    <w:p w:rsidR="00C2428E" w:rsidRDefault="00520C75" w:rsidP="00C242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57567" behindDoc="1" locked="0" layoutInCell="1" allowOverlap="1" wp14:anchorId="5065FF62" wp14:editId="74032E9C">
            <wp:simplePos x="0" y="0"/>
            <wp:positionH relativeFrom="column">
              <wp:posOffset>3810</wp:posOffset>
            </wp:positionH>
            <wp:positionV relativeFrom="paragraph">
              <wp:posOffset>509905</wp:posOffset>
            </wp:positionV>
            <wp:extent cx="6120765" cy="3848100"/>
            <wp:effectExtent l="0" t="0" r="0" b="0"/>
            <wp:wrapTight wrapText="bothSides">
              <wp:wrapPolygon edited="0">
                <wp:start x="0" y="0"/>
                <wp:lineTo x="0" y="21600"/>
                <wp:lineTo x="21580" y="21600"/>
                <wp:lineTo x="21580" y="0"/>
                <wp:lineTo x="0" y="0"/>
              </wp:wrapPolygon>
            </wp:wrapTight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2428E" w:rsidRPr="007214F4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Supplementary </w:t>
      </w:r>
      <w:r w:rsidR="00C2428E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4012BC" w:rsidRPr="007214F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2428E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. Gender effects on </w:t>
      </w:r>
      <w:r w:rsidR="00D241FD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MATRICS Consensus Cognitive Battery </w:t>
      </w:r>
      <w:r w:rsidR="00D241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28E" w:rsidRPr="007214F4">
        <w:rPr>
          <w:rFonts w:ascii="Times New Roman" w:hAnsi="Times New Roman" w:cs="Times New Roman"/>
          <w:sz w:val="24"/>
          <w:szCs w:val="24"/>
          <w:lang w:val="en-US"/>
        </w:rPr>
        <w:t>MCCB</w:t>
      </w:r>
      <w:r w:rsidR="00D241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428E" w:rsidRPr="007214F4">
        <w:rPr>
          <w:rFonts w:ascii="Times New Roman" w:hAnsi="Times New Roman" w:cs="Times New Roman"/>
          <w:sz w:val="24"/>
          <w:szCs w:val="24"/>
          <w:lang w:val="en-US"/>
        </w:rPr>
        <w:t xml:space="preserve"> T-scores in </w:t>
      </w:r>
      <w:r w:rsidR="004012BC" w:rsidRPr="007214F4">
        <w:rPr>
          <w:rFonts w:ascii="Times New Roman" w:hAnsi="Times New Roman" w:cs="Times New Roman"/>
          <w:sz w:val="24"/>
          <w:szCs w:val="24"/>
          <w:lang w:val="en-US"/>
        </w:rPr>
        <w:t>the standardization sample</w:t>
      </w:r>
    </w:p>
    <w:p w:rsidR="00C2428E" w:rsidRPr="00072FB6" w:rsidRDefault="00C2428E" w:rsidP="00D241FD">
      <w:pPr>
        <w:spacing w:before="3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2FB6">
        <w:rPr>
          <w:rFonts w:ascii="Times New Roman" w:hAnsi="Times New Roman" w:cs="Times New Roman"/>
          <w:sz w:val="24"/>
          <w:szCs w:val="24"/>
          <w:lang w:val="en-US"/>
        </w:rPr>
        <w:t>*Significant group effect: *p&lt;0.02; **p&lt;0.003.</w:t>
      </w:r>
    </w:p>
    <w:p w:rsidR="00C2428E" w:rsidRPr="00CD21B0" w:rsidRDefault="00C2428E" w:rsidP="00C2428E">
      <w:pPr>
        <w:rPr>
          <w:rFonts w:cs="Times New Roman"/>
          <w:b/>
          <w:sz w:val="28"/>
          <w:szCs w:val="28"/>
          <w:lang w:val="en-US"/>
        </w:rPr>
      </w:pPr>
    </w:p>
    <w:p w:rsidR="00C2428E" w:rsidRDefault="00C2428E">
      <w:pPr>
        <w:rPr>
          <w:noProof/>
          <w:lang w:val="en-US" w:eastAsia="it-IT"/>
        </w:rPr>
      </w:pPr>
    </w:p>
    <w:p w:rsidR="00C2428E" w:rsidRDefault="00C2428E">
      <w:pPr>
        <w:rPr>
          <w:noProof/>
          <w:lang w:val="en-US" w:eastAsia="it-IT"/>
        </w:rPr>
      </w:pPr>
    </w:p>
    <w:sectPr w:rsidR="00C2428E" w:rsidSect="00B2597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B0DDA" w15:done="0"/>
  <w15:commentEx w15:paraId="533F0A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F. Green">
    <w15:presenceInfo w15:providerId="None" w15:userId="Michael F. Gr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4BCC"/>
    <w:rsid w:val="00024447"/>
    <w:rsid w:val="00025A13"/>
    <w:rsid w:val="00072FB6"/>
    <w:rsid w:val="00083119"/>
    <w:rsid w:val="00126CBB"/>
    <w:rsid w:val="001552FC"/>
    <w:rsid w:val="001814C5"/>
    <w:rsid w:val="00192393"/>
    <w:rsid w:val="001A041B"/>
    <w:rsid w:val="00206896"/>
    <w:rsid w:val="002108AD"/>
    <w:rsid w:val="00233EF2"/>
    <w:rsid w:val="0030574F"/>
    <w:rsid w:val="00313ACD"/>
    <w:rsid w:val="004012BC"/>
    <w:rsid w:val="004246D3"/>
    <w:rsid w:val="004A334A"/>
    <w:rsid w:val="00520C75"/>
    <w:rsid w:val="0057255E"/>
    <w:rsid w:val="00582012"/>
    <w:rsid w:val="00582CA4"/>
    <w:rsid w:val="005A178D"/>
    <w:rsid w:val="00641DA7"/>
    <w:rsid w:val="00662C1C"/>
    <w:rsid w:val="006731C3"/>
    <w:rsid w:val="006B0ABC"/>
    <w:rsid w:val="007214F4"/>
    <w:rsid w:val="00783F5D"/>
    <w:rsid w:val="008070A3"/>
    <w:rsid w:val="008214EE"/>
    <w:rsid w:val="0088135B"/>
    <w:rsid w:val="008B54AD"/>
    <w:rsid w:val="009521C9"/>
    <w:rsid w:val="00984B08"/>
    <w:rsid w:val="009D4084"/>
    <w:rsid w:val="00A22308"/>
    <w:rsid w:val="00A34A97"/>
    <w:rsid w:val="00A6440A"/>
    <w:rsid w:val="00A97CC2"/>
    <w:rsid w:val="00B040B1"/>
    <w:rsid w:val="00B2597E"/>
    <w:rsid w:val="00B843C6"/>
    <w:rsid w:val="00B94A62"/>
    <w:rsid w:val="00BC19E0"/>
    <w:rsid w:val="00BC2C85"/>
    <w:rsid w:val="00C047C1"/>
    <w:rsid w:val="00C2428E"/>
    <w:rsid w:val="00CB5A31"/>
    <w:rsid w:val="00CD21B0"/>
    <w:rsid w:val="00CD3015"/>
    <w:rsid w:val="00CD59D7"/>
    <w:rsid w:val="00D241FD"/>
    <w:rsid w:val="00D97628"/>
    <w:rsid w:val="00DA4BCC"/>
    <w:rsid w:val="00DE6829"/>
    <w:rsid w:val="00F4527B"/>
    <w:rsid w:val="00F72163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BC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73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3F5D"/>
    <w:pPr>
      <w:spacing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3F5D"/>
    <w:rPr>
      <w:rFonts w:eastAsiaTheme="minorEastAsia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83F5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BC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73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3F5D"/>
    <w:pPr>
      <w:spacing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3F5D"/>
    <w:rPr>
      <w:rFonts w:eastAsiaTheme="minorEastAsia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83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microsoft.com/office/2011/relationships/commentsExtended" Target="commentsExtended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9_Work_in_Progress\NIRP_2011\Progetto_metodologia\MCCB%20paper\T-score%20analyses\tab_age_graph_dec_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09_Work_in_Progress\NIRP_2011\Progetto_metodologia\MCCB%20paper\T-score%20analyses\tab_edu_graph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09_Work_in_Progress\NIRP_2011\Progetto_metodologia\MCCB%20paper\T-score%20analyses\tab_gender_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RPS!$B$11</c:f>
              <c:strCache>
                <c:ptCount val="1"/>
                <c:pt idx="0">
                  <c:v>20-39 years old</c:v>
                </c:pt>
              </c:strCache>
            </c:strRef>
          </c:tx>
          <c:invertIfNegative val="0"/>
          <c:cat>
            <c:strRef>
              <c:f>RPS!$A$12:$A$20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RPS!$B$12:$B$20</c:f>
              <c:numCache>
                <c:formatCode>###0.000</c:formatCode>
                <c:ptCount val="9"/>
                <c:pt idx="0">
                  <c:v>54.725239616613422</c:v>
                </c:pt>
                <c:pt idx="1">
                  <c:v>53.265175718849932</c:v>
                </c:pt>
                <c:pt idx="2">
                  <c:v>54.003194888178975</c:v>
                </c:pt>
                <c:pt idx="3">
                  <c:v>53.891373801916927</c:v>
                </c:pt>
                <c:pt idx="4">
                  <c:v>54.444089456868937</c:v>
                </c:pt>
                <c:pt idx="5">
                  <c:v>54.086261980830621</c:v>
                </c:pt>
                <c:pt idx="6">
                  <c:v>51.03</c:v>
                </c:pt>
                <c:pt idx="7" formatCode="0.000">
                  <c:v>55.153354632587863</c:v>
                </c:pt>
                <c:pt idx="8">
                  <c:v>54.725239616613422</c:v>
                </c:pt>
              </c:numCache>
            </c:numRef>
          </c:val>
        </c:ser>
        <c:ser>
          <c:idx val="1"/>
          <c:order val="1"/>
          <c:tx>
            <c:strRef>
              <c:f>RPS!$C$11</c:f>
              <c:strCache>
                <c:ptCount val="1"/>
                <c:pt idx="0">
                  <c:v>40-49  years old</c:v>
                </c:pt>
              </c:strCache>
            </c:strRef>
          </c:tx>
          <c:invertIfNegative val="0"/>
          <c:cat>
            <c:strRef>
              <c:f>RPS!$A$12:$A$20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RPS!$C$12:$C$20</c:f>
              <c:numCache>
                <c:formatCode>###0.000</c:formatCode>
                <c:ptCount val="9"/>
                <c:pt idx="0">
                  <c:v>49.323076923076933</c:v>
                </c:pt>
                <c:pt idx="1">
                  <c:v>50.133333333333333</c:v>
                </c:pt>
                <c:pt idx="2">
                  <c:v>49.820512820512889</c:v>
                </c:pt>
                <c:pt idx="3">
                  <c:v>48.620512820512907</c:v>
                </c:pt>
                <c:pt idx="4">
                  <c:v>49.907216494845315</c:v>
                </c:pt>
                <c:pt idx="5">
                  <c:v>50.348717948717962</c:v>
                </c:pt>
                <c:pt idx="6">
                  <c:v>49.5</c:v>
                </c:pt>
                <c:pt idx="7" formatCode="0.000">
                  <c:v>49.266666666666588</c:v>
                </c:pt>
                <c:pt idx="8">
                  <c:v>49.323076923076933</c:v>
                </c:pt>
              </c:numCache>
            </c:numRef>
          </c:val>
        </c:ser>
        <c:ser>
          <c:idx val="2"/>
          <c:order val="2"/>
          <c:tx>
            <c:strRef>
              <c:f>RPS!$D$11</c:f>
              <c:strCache>
                <c:ptCount val="1"/>
                <c:pt idx="0">
                  <c:v>50-59  years old</c:v>
                </c:pt>
              </c:strCache>
            </c:strRef>
          </c:tx>
          <c:invertIfNegative val="0"/>
          <c:cat>
            <c:strRef>
              <c:f>RPS!$A$12:$A$20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RPS!$D$12:$D$20</c:f>
              <c:numCache>
                <c:formatCode>###0.000</c:formatCode>
                <c:ptCount val="9"/>
                <c:pt idx="0">
                  <c:v>45.514893617021258</c:v>
                </c:pt>
                <c:pt idx="1">
                  <c:v>46.327586206896498</c:v>
                </c:pt>
                <c:pt idx="2">
                  <c:v>46.046808510638257</c:v>
                </c:pt>
                <c:pt idx="3">
                  <c:v>46.51063829787234</c:v>
                </c:pt>
                <c:pt idx="4">
                  <c:v>45.046808510638265</c:v>
                </c:pt>
                <c:pt idx="5">
                  <c:v>45.400000000000006</c:v>
                </c:pt>
                <c:pt idx="6">
                  <c:v>49.5</c:v>
                </c:pt>
                <c:pt idx="7" formatCode="0.000">
                  <c:v>44.272340425531965</c:v>
                </c:pt>
                <c:pt idx="8">
                  <c:v>45.514893617021244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141952"/>
        <c:axId val="188031552"/>
      </c:barChart>
      <c:catAx>
        <c:axId val="16614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it-IT"/>
          </a:p>
        </c:txPr>
        <c:crossAx val="188031552"/>
        <c:crosses val="autoZero"/>
        <c:auto val="1"/>
        <c:lblAlgn val="ctr"/>
        <c:lblOffset val="100"/>
        <c:noMultiLvlLbl val="0"/>
      </c:catAx>
      <c:valAx>
        <c:axId val="188031552"/>
        <c:scaling>
          <c:orientation val="minMax"/>
          <c:max val="55"/>
          <c:min val="4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166141952"/>
        <c:crosses val="autoZero"/>
        <c:crossBetween val="between"/>
        <c:majorUnit val="5"/>
      </c:valAx>
    </c:plotArea>
    <c:legend>
      <c:legendPos val="t"/>
      <c:overlay val="0"/>
      <c:txPr>
        <a:bodyPr/>
        <a:lstStyle/>
        <a:p>
          <a:pPr>
            <a:defRPr sz="800" b="1">
              <a:latin typeface="Arial" panose="020B0604020202020204" pitchFamily="34" charset="0"/>
              <a:cs typeface="Arial" panose="020B0604020202020204" pitchFamily="34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&lt;High School</c:v>
                </c:pt>
              </c:strCache>
            </c:strRef>
          </c:tx>
          <c:invertIfNegative val="0"/>
          <c:cat>
            <c:strRef>
              <c:f>Sheet1!$A$11:$A$19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Sheet1!$B$11:$B$19</c:f>
              <c:numCache>
                <c:formatCode>###0.000</c:formatCode>
                <c:ptCount val="9"/>
                <c:pt idx="0">
                  <c:v>47.415478615071279</c:v>
                </c:pt>
                <c:pt idx="1">
                  <c:v>48.308793456032724</c:v>
                </c:pt>
                <c:pt idx="2">
                  <c:v>47.617107942973533</c:v>
                </c:pt>
                <c:pt idx="3">
                  <c:v>47.413441955193392</c:v>
                </c:pt>
                <c:pt idx="4">
                  <c:v>48.151020408163212</c:v>
                </c:pt>
                <c:pt idx="5">
                  <c:v>48.293279022403262</c:v>
                </c:pt>
                <c:pt idx="6" formatCode="0.000">
                  <c:v>48.70204081632653</c:v>
                </c:pt>
                <c:pt idx="7" formatCode="###0.00">
                  <c:v>46.790224032586558</c:v>
                </c:pt>
                <c:pt idx="8">
                  <c:v>47.233606557377044</c:v>
                </c:pt>
              </c:numCache>
            </c:numRef>
          </c:val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High School but less than Bachelor's</c:v>
                </c:pt>
              </c:strCache>
            </c:strRef>
          </c:tx>
          <c:invertIfNegative val="0"/>
          <c:cat>
            <c:strRef>
              <c:f>Sheet1!$A$11:$A$19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Sheet1!$C$11:$C$19</c:f>
              <c:numCache>
                <c:formatCode>###0.000</c:formatCode>
                <c:ptCount val="9"/>
                <c:pt idx="0">
                  <c:v>53.602803738317753</c:v>
                </c:pt>
                <c:pt idx="1">
                  <c:v>52.201877934272296</c:v>
                </c:pt>
                <c:pt idx="2">
                  <c:v>53.112149532710276</c:v>
                </c:pt>
                <c:pt idx="3">
                  <c:v>53.584112149532743</c:v>
                </c:pt>
                <c:pt idx="4">
                  <c:v>53.238317757009362</c:v>
                </c:pt>
                <c:pt idx="5">
                  <c:v>52.200934579439242</c:v>
                </c:pt>
                <c:pt idx="6" formatCode="0.000">
                  <c:v>52.079439252336407</c:v>
                </c:pt>
                <c:pt idx="7" formatCode="###0.00">
                  <c:v>53.81775700934574</c:v>
                </c:pt>
                <c:pt idx="8">
                  <c:v>53.892018779342727</c:v>
                </c:pt>
              </c:numCache>
            </c:numRef>
          </c:val>
        </c:ser>
        <c:ser>
          <c:idx val="2"/>
          <c:order val="2"/>
          <c:tx>
            <c:strRef>
              <c:f>Sheet1!$D$10</c:f>
              <c:strCache>
                <c:ptCount val="1"/>
                <c:pt idx="0">
                  <c:v>Bachelor's or more</c:v>
                </c:pt>
              </c:strCache>
            </c:strRef>
          </c:tx>
          <c:invertIfNegative val="0"/>
          <c:cat>
            <c:strRef>
              <c:f>Sheet1!$A$11:$A$19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Sheet1!$D$11:$D$19</c:f>
              <c:numCache>
                <c:formatCode>###0.000</c:formatCode>
                <c:ptCount val="9"/>
                <c:pt idx="0">
                  <c:v>56.466666666666562</c:v>
                </c:pt>
                <c:pt idx="1">
                  <c:v>54.800000000000004</c:v>
                </c:pt>
                <c:pt idx="2">
                  <c:v>56.520000000000017</c:v>
                </c:pt>
                <c:pt idx="3">
                  <c:v>55.973333333333329</c:v>
                </c:pt>
                <c:pt idx="4">
                  <c:v>52.866666666666482</c:v>
                </c:pt>
                <c:pt idx="5">
                  <c:v>54.933333333333316</c:v>
                </c:pt>
                <c:pt idx="6" formatCode="0.000">
                  <c:v>51.986666666666537</c:v>
                </c:pt>
                <c:pt idx="7" formatCode="###0.00">
                  <c:v>56.786666666666562</c:v>
                </c:pt>
                <c:pt idx="8">
                  <c:v>56.906666666666531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142976"/>
        <c:axId val="188033856"/>
      </c:barChart>
      <c:catAx>
        <c:axId val="16614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it-IT"/>
          </a:p>
        </c:txPr>
        <c:crossAx val="188033856"/>
        <c:crosses val="autoZero"/>
        <c:auto val="1"/>
        <c:lblAlgn val="ctr"/>
        <c:lblOffset val="100"/>
        <c:noMultiLvlLbl val="0"/>
      </c:catAx>
      <c:valAx>
        <c:axId val="188033856"/>
        <c:scaling>
          <c:orientation val="minMax"/>
          <c:max val="55"/>
          <c:min val="4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crossAx val="166142976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800" b="1">
              <a:latin typeface="Arial" panose="020B0604020202020204" pitchFamily="34" charset="0"/>
              <a:cs typeface="Arial" panose="020B0604020202020204" pitchFamily="34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9364049456466E-2"/>
          <c:y val="0.14208409422637641"/>
          <c:w val="0.88755516631182652"/>
          <c:h val="0.439829887224197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Foglio1!$A$2:$A$10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Foglio1!$B$2:$B$10</c:f>
              <c:numCache>
                <c:formatCode>0.00</c:formatCode>
                <c:ptCount val="9"/>
                <c:pt idx="0">
                  <c:v>49.534825870646713</c:v>
                </c:pt>
                <c:pt idx="1">
                  <c:v>48.977556109725676</c:v>
                </c:pt>
                <c:pt idx="2">
                  <c:v>48.721393034825965</c:v>
                </c:pt>
                <c:pt idx="3">
                  <c:v>50.256218905472636</c:v>
                </c:pt>
                <c:pt idx="4">
                  <c:v>50.16209476309222</c:v>
                </c:pt>
                <c:pt idx="5">
                  <c:v>48.524875621890544</c:v>
                </c:pt>
                <c:pt idx="6">
                  <c:v>50.706467661691441</c:v>
                </c:pt>
                <c:pt idx="7">
                  <c:v>49.146766169154226</c:v>
                </c:pt>
                <c:pt idx="8">
                  <c:v>49.165000000000013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Males</c:v>
                </c:pt>
              </c:strCache>
            </c:strRef>
          </c:tx>
          <c:invertIfNegative val="0"/>
          <c:cat>
            <c:strRef>
              <c:f>Foglio1!$A$2:$A$10</c:f>
              <c:strCache>
                <c:ptCount val="9"/>
                <c:pt idx="0">
                  <c:v>Speed of Processing</c:v>
                </c:pt>
                <c:pt idx="1">
                  <c:v>Attention Vigilance</c:v>
                </c:pt>
                <c:pt idx="2">
                  <c:v>Working Memory</c:v>
                </c:pt>
                <c:pt idx="3">
                  <c:v>Verbal Learning</c:v>
                </c:pt>
                <c:pt idx="4">
                  <c:v>Visual Learning</c:v>
                </c:pt>
                <c:pt idx="5">
                  <c:v>Reasoning and Problem Solving</c:v>
                </c:pt>
                <c:pt idx="6">
                  <c:v>Social Cognition</c:v>
                </c:pt>
                <c:pt idx="7">
                  <c:v>Overall Composite</c:v>
                </c:pt>
                <c:pt idx="8">
                  <c:v>Neurocognitive Composite</c:v>
                </c:pt>
              </c:strCache>
            </c:strRef>
          </c:cat>
          <c:val>
            <c:numRef>
              <c:f>Foglio1!$C$2:$C$10</c:f>
              <c:numCache>
                <c:formatCode>0.00</c:formatCode>
                <c:ptCount val="9"/>
                <c:pt idx="0">
                  <c:v>50.460317460317412</c:v>
                </c:pt>
                <c:pt idx="1">
                  <c:v>51.095744680851062</c:v>
                </c:pt>
                <c:pt idx="2">
                  <c:v>51.320105820105915</c:v>
                </c:pt>
                <c:pt idx="3">
                  <c:v>49.582010582010575</c:v>
                </c:pt>
                <c:pt idx="4">
                  <c:v>49.833333333333336</c:v>
                </c:pt>
                <c:pt idx="5">
                  <c:v>51.576719576719576</c:v>
                </c:pt>
                <c:pt idx="6">
                  <c:v>49.135278514588926</c:v>
                </c:pt>
                <c:pt idx="7">
                  <c:v>50.246031746031818</c:v>
                </c:pt>
                <c:pt idx="8">
                  <c:v>50.880319148936181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143488"/>
        <c:axId val="188785216"/>
      </c:barChart>
      <c:catAx>
        <c:axId val="16614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it-IT"/>
          </a:p>
        </c:txPr>
        <c:crossAx val="188785216"/>
        <c:crosses val="autoZero"/>
        <c:auto val="1"/>
        <c:lblAlgn val="ctr"/>
        <c:lblOffset val="100"/>
        <c:noMultiLvlLbl val="0"/>
      </c:catAx>
      <c:valAx>
        <c:axId val="188785216"/>
        <c:scaling>
          <c:orientation val="minMax"/>
          <c:max val="55"/>
          <c:min val="4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166143488"/>
        <c:crosses val="autoZero"/>
        <c:crossBetween val="between"/>
        <c:majorUnit val="5"/>
        <c:minorUnit val="5"/>
      </c:valAx>
    </c:plotArea>
    <c:legend>
      <c:legendPos val="t"/>
      <c:overlay val="0"/>
      <c:txPr>
        <a:bodyPr/>
        <a:lstStyle/>
        <a:p>
          <a:pPr>
            <a:defRPr sz="800" b="1">
              <a:latin typeface="Arial" panose="020B0604020202020204" pitchFamily="34" charset="0"/>
              <a:cs typeface="Arial" panose="020B0604020202020204" pitchFamily="34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0.09699</cdr:x>
      <cdr:y>0.29604</cdr:y>
    </cdr:from>
    <cdr:to>
      <cdr:x>0.13601</cdr:x>
      <cdr:y>0.36371</cdr:y>
    </cdr:to>
    <cdr:sp macro="" textlink="">
      <cdr:nvSpPr>
        <cdr:cNvPr id="2" name="Casella di testo 1"/>
        <cdr:cNvSpPr txBox="1"/>
      </cdr:nvSpPr>
      <cdr:spPr>
        <a:xfrm xmlns:a="http://schemas.openxmlformats.org/drawingml/2006/main">
          <a:off x="593676" y="955343"/>
          <a:ext cx="238837" cy="218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 anchorCtr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0.11818</cdr:x>
      <cdr:y>0.11207</cdr:y>
    </cdr:from>
    <cdr:to>
      <cdr:x>0.165</cdr:x>
      <cdr:y>0.17974</cdr:y>
    </cdr:to>
    <cdr:sp macro="" textlink="">
      <cdr:nvSpPr>
        <cdr:cNvPr id="3" name="Casella di testo 2"/>
        <cdr:cNvSpPr txBox="1"/>
      </cdr:nvSpPr>
      <cdr:spPr>
        <a:xfrm xmlns:a="http://schemas.openxmlformats.org/drawingml/2006/main">
          <a:off x="723331" y="361666"/>
          <a:ext cx="286603" cy="218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0.19176</cdr:x>
      <cdr:y>0.26009</cdr:y>
    </cdr:from>
    <cdr:to>
      <cdr:x>0.22855</cdr:x>
      <cdr:y>0.3341</cdr:y>
    </cdr:to>
    <cdr:sp macro="" textlink="">
      <cdr:nvSpPr>
        <cdr:cNvPr id="4" name="Casella di testo 3"/>
        <cdr:cNvSpPr txBox="1"/>
      </cdr:nvSpPr>
      <cdr:spPr>
        <a:xfrm xmlns:a="http://schemas.openxmlformats.org/drawingml/2006/main">
          <a:off x="1173707" y="839337"/>
          <a:ext cx="225188" cy="238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0.2921</cdr:x>
      <cdr:y>0.27912</cdr:y>
    </cdr:from>
    <cdr:to>
      <cdr:x>0.32777</cdr:x>
      <cdr:y>0.3489</cdr:y>
    </cdr:to>
    <cdr:sp macro="" textlink="">
      <cdr:nvSpPr>
        <cdr:cNvPr id="5" name="Casella di testo 4"/>
        <cdr:cNvSpPr txBox="1"/>
      </cdr:nvSpPr>
      <cdr:spPr>
        <a:xfrm xmlns:a="http://schemas.openxmlformats.org/drawingml/2006/main">
          <a:off x="1787857" y="900751"/>
          <a:ext cx="218365" cy="2251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0.39355</cdr:x>
      <cdr:y>0.28006</cdr:y>
    </cdr:from>
    <cdr:to>
      <cdr:x>0.4294</cdr:x>
      <cdr:y>0.3509</cdr:y>
    </cdr:to>
    <cdr:sp macro="" textlink="">
      <cdr:nvSpPr>
        <cdr:cNvPr id="6" name="Casella di testo 1"/>
        <cdr:cNvSpPr txBox="1"/>
      </cdr:nvSpPr>
      <cdr:spPr>
        <a:xfrm xmlns:a="http://schemas.openxmlformats.org/drawingml/2006/main">
          <a:off x="2408829" y="903784"/>
          <a:ext cx="219456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0.49327</cdr:x>
      <cdr:y>0.25986</cdr:y>
    </cdr:from>
    <cdr:to>
      <cdr:x>0.52912</cdr:x>
      <cdr:y>0.3307</cdr:y>
    </cdr:to>
    <cdr:sp macro="" textlink="">
      <cdr:nvSpPr>
        <cdr:cNvPr id="7" name="Casella di testo 1"/>
        <cdr:cNvSpPr txBox="1"/>
      </cdr:nvSpPr>
      <cdr:spPr>
        <a:xfrm xmlns:a="http://schemas.openxmlformats.org/drawingml/2006/main">
          <a:off x="3019187" y="838578"/>
          <a:ext cx="219456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0.58977</cdr:x>
      <cdr:y>0.26009</cdr:y>
    </cdr:from>
    <cdr:to>
      <cdr:x>0.63325</cdr:x>
      <cdr:y>0.3341</cdr:y>
    </cdr:to>
    <cdr:sp macro="" textlink="">
      <cdr:nvSpPr>
        <cdr:cNvPr id="8" name="Casella di testo 7"/>
        <cdr:cNvSpPr txBox="1"/>
      </cdr:nvSpPr>
      <cdr:spPr>
        <a:xfrm xmlns:a="http://schemas.openxmlformats.org/drawingml/2006/main">
          <a:off x="3609833" y="839338"/>
          <a:ext cx="266131" cy="238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0.21443</cdr:x>
      <cdr:y>0.14873</cdr:y>
    </cdr:from>
    <cdr:to>
      <cdr:x>0.26125</cdr:x>
      <cdr:y>0.21639</cdr:y>
    </cdr:to>
    <cdr:sp macro="" textlink="">
      <cdr:nvSpPr>
        <cdr:cNvPr id="9" name="Casella di testo 8"/>
        <cdr:cNvSpPr txBox="1"/>
      </cdr:nvSpPr>
      <cdr:spPr>
        <a:xfrm xmlns:a="http://schemas.openxmlformats.org/drawingml/2006/main">
          <a:off x="1312460" y="479946"/>
          <a:ext cx="286603" cy="218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0.31155</cdr:x>
      <cdr:y>0.12053</cdr:y>
    </cdr:from>
    <cdr:to>
      <cdr:x>0.35837</cdr:x>
      <cdr:y>0.19243</cdr:y>
    </cdr:to>
    <cdr:sp macro="" textlink="">
      <cdr:nvSpPr>
        <cdr:cNvPr id="10" name="Casella di testo 1"/>
        <cdr:cNvSpPr txBox="1"/>
      </cdr:nvSpPr>
      <cdr:spPr>
        <a:xfrm xmlns:a="http://schemas.openxmlformats.org/drawingml/2006/main">
          <a:off x="1906895" y="388962"/>
          <a:ext cx="286603" cy="2320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0.60971</cdr:x>
      <cdr:y>0.14896</cdr:y>
    </cdr:from>
    <cdr:to>
      <cdr:x>0.65654</cdr:x>
      <cdr:y>0.22086</cdr:y>
    </cdr:to>
    <cdr:sp macro="" textlink="">
      <cdr:nvSpPr>
        <cdr:cNvPr id="11" name="Casella di testo 1"/>
        <cdr:cNvSpPr txBox="1"/>
      </cdr:nvSpPr>
      <cdr:spPr>
        <a:xfrm xmlns:a="http://schemas.openxmlformats.org/drawingml/2006/main">
          <a:off x="3731904" y="480705"/>
          <a:ext cx="286603" cy="2320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0.80977</cdr:x>
      <cdr:y>0.11207</cdr:y>
    </cdr:from>
    <cdr:to>
      <cdr:x>0.85659</cdr:x>
      <cdr:y>0.19431</cdr:y>
    </cdr:to>
    <cdr:sp macro="" textlink="">
      <cdr:nvSpPr>
        <cdr:cNvPr id="12" name="Casella di testo 1"/>
        <cdr:cNvSpPr txBox="1"/>
      </cdr:nvSpPr>
      <cdr:spPr>
        <a:xfrm xmlns:a="http://schemas.openxmlformats.org/drawingml/2006/main">
          <a:off x="4956412" y="361665"/>
          <a:ext cx="286603" cy="265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0.90391</cdr:x>
      <cdr:y>0.10244</cdr:y>
    </cdr:from>
    <cdr:to>
      <cdr:x>0.95074</cdr:x>
      <cdr:y>0.18467</cdr:y>
    </cdr:to>
    <cdr:sp macro="" textlink="">
      <cdr:nvSpPr>
        <cdr:cNvPr id="13" name="Casella di testo 1"/>
        <cdr:cNvSpPr txBox="1"/>
      </cdr:nvSpPr>
      <cdr:spPr>
        <a:xfrm xmlns:a="http://schemas.openxmlformats.org/drawingml/2006/main">
          <a:off x="5532651" y="330579"/>
          <a:ext cx="286603" cy="265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0.68503</cdr:x>
      <cdr:y>0.25046</cdr:y>
    </cdr:from>
    <cdr:to>
      <cdr:x>0.72851</cdr:x>
      <cdr:y>0.32447</cdr:y>
    </cdr:to>
    <cdr:sp macro="" textlink="">
      <cdr:nvSpPr>
        <cdr:cNvPr id="14" name="Casella di testo 1"/>
        <cdr:cNvSpPr txBox="1"/>
      </cdr:nvSpPr>
      <cdr:spPr>
        <a:xfrm xmlns:a="http://schemas.openxmlformats.org/drawingml/2006/main">
          <a:off x="4192896" y="808251"/>
          <a:ext cx="266131" cy="238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0.78698</cdr:x>
      <cdr:y>0.30003</cdr:y>
    </cdr:from>
    <cdr:to>
      <cdr:x>0.83046</cdr:x>
      <cdr:y>0.37404</cdr:y>
    </cdr:to>
    <cdr:sp macro="" textlink="">
      <cdr:nvSpPr>
        <cdr:cNvPr id="15" name="Casella di testo 1"/>
        <cdr:cNvSpPr txBox="1"/>
      </cdr:nvSpPr>
      <cdr:spPr>
        <a:xfrm xmlns:a="http://schemas.openxmlformats.org/drawingml/2006/main">
          <a:off x="4816902" y="968233"/>
          <a:ext cx="266131" cy="238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0.88447</cdr:x>
      <cdr:y>0.28617</cdr:y>
    </cdr:from>
    <cdr:to>
      <cdr:x>0.92795</cdr:x>
      <cdr:y>0.36018</cdr:y>
    </cdr:to>
    <cdr:sp macro="" textlink="">
      <cdr:nvSpPr>
        <cdr:cNvPr id="16" name="Casella di testo 1"/>
        <cdr:cNvSpPr txBox="1"/>
      </cdr:nvSpPr>
      <cdr:spPr>
        <a:xfrm xmlns:a="http://schemas.openxmlformats.org/drawingml/2006/main">
          <a:off x="5413612" y="923498"/>
          <a:ext cx="266131" cy="238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8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0.29547</cdr:x>
      <cdr:y>0.26923</cdr:y>
    </cdr:from>
    <cdr:to>
      <cdr:x>0.35122</cdr:x>
      <cdr:y>0.34739</cdr:y>
    </cdr:to>
    <cdr:sp macro="" textlink="">
      <cdr:nvSpPr>
        <cdr:cNvPr id="3" name="Casella di testo 2"/>
        <cdr:cNvSpPr txBox="1"/>
      </cdr:nvSpPr>
      <cdr:spPr>
        <a:xfrm xmlns:a="http://schemas.openxmlformats.org/drawingml/2006/main">
          <a:off x="1808530" y="1036036"/>
          <a:ext cx="341232" cy="300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**</a:t>
          </a:r>
        </a:p>
      </cdr:txBody>
    </cdr:sp>
  </cdr:relSizeAnchor>
  <cdr:relSizeAnchor xmlns:cdr="http://schemas.openxmlformats.org/drawingml/2006/chartDrawing">
    <cdr:from>
      <cdr:x>0.19624</cdr:x>
      <cdr:y>0.26792</cdr:y>
    </cdr:from>
    <cdr:to>
      <cdr:x>0.25199</cdr:x>
      <cdr:y>0.33939</cdr:y>
    </cdr:to>
    <cdr:sp macro="" textlink="">
      <cdr:nvSpPr>
        <cdr:cNvPr id="4" name="Casella di testo 3"/>
        <cdr:cNvSpPr txBox="1"/>
      </cdr:nvSpPr>
      <cdr:spPr>
        <a:xfrm xmlns:a="http://schemas.openxmlformats.org/drawingml/2006/main">
          <a:off x="1201139" y="1030969"/>
          <a:ext cx="341233" cy="275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**</a:t>
          </a:r>
        </a:p>
      </cdr:txBody>
    </cdr:sp>
  </cdr:relSizeAnchor>
  <cdr:relSizeAnchor xmlns:cdr="http://schemas.openxmlformats.org/drawingml/2006/chartDrawing">
    <cdr:from>
      <cdr:x>0.59429</cdr:x>
      <cdr:y>0.28362</cdr:y>
    </cdr:from>
    <cdr:to>
      <cdr:x>0.65227</cdr:x>
      <cdr:y>0.35508</cdr:y>
    </cdr:to>
    <cdr:sp macro="" textlink="">
      <cdr:nvSpPr>
        <cdr:cNvPr id="5" name="Casella di testo 4"/>
        <cdr:cNvSpPr txBox="1"/>
      </cdr:nvSpPr>
      <cdr:spPr>
        <a:xfrm xmlns:a="http://schemas.openxmlformats.org/drawingml/2006/main">
          <a:off x="3637129" y="866633"/>
          <a:ext cx="354841" cy="218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**</a:t>
          </a:r>
        </a:p>
      </cdr:txBody>
    </cdr:sp>
  </cdr:relSizeAnchor>
  <cdr:relSizeAnchor xmlns:cdr="http://schemas.openxmlformats.org/drawingml/2006/chartDrawing">
    <cdr:from>
      <cdr:x>0.72697</cdr:x>
      <cdr:y>0.26523</cdr:y>
    </cdr:from>
    <cdr:to>
      <cdr:x>0.76377</cdr:x>
      <cdr:y>0.33222</cdr:y>
    </cdr:to>
    <cdr:sp macro="" textlink="">
      <cdr:nvSpPr>
        <cdr:cNvPr id="6" name="Casella di testo 5"/>
        <cdr:cNvSpPr txBox="1"/>
      </cdr:nvSpPr>
      <cdr:spPr>
        <a:xfrm xmlns:a="http://schemas.openxmlformats.org/drawingml/2006/main">
          <a:off x="4449613" y="1020631"/>
          <a:ext cx="225244" cy="2577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*</a:t>
          </a:r>
        </a:p>
      </cdr:txBody>
    </cdr:sp>
  </cdr:relSizeAnchor>
  <cdr:relSizeAnchor xmlns:cdr="http://schemas.openxmlformats.org/drawingml/2006/chartDrawing">
    <cdr:from>
      <cdr:x>0.89309</cdr:x>
      <cdr:y>0.27061</cdr:y>
    </cdr:from>
    <cdr:to>
      <cdr:x>0.92654</cdr:x>
      <cdr:y>0.33761</cdr:y>
    </cdr:to>
    <cdr:sp macro="" textlink="">
      <cdr:nvSpPr>
        <cdr:cNvPr id="7" name="Casella di testo 6"/>
        <cdr:cNvSpPr txBox="1"/>
      </cdr:nvSpPr>
      <cdr:spPr>
        <a:xfrm xmlns:a="http://schemas.openxmlformats.org/drawingml/2006/main">
          <a:off x="5466423" y="1041346"/>
          <a:ext cx="204740" cy="257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dcterms:created xsi:type="dcterms:W3CDTF">2017-07-02T18:39:00Z</dcterms:created>
  <dcterms:modified xsi:type="dcterms:W3CDTF">2017-07-27T18:02:00Z</dcterms:modified>
</cp:coreProperties>
</file>