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397E" w14:textId="77777777" w:rsidR="0034176D" w:rsidRPr="005B0B7D" w:rsidRDefault="0034176D" w:rsidP="0046020A">
      <w:pPr>
        <w:pStyle w:val="Title"/>
      </w:pPr>
      <w:r w:rsidRPr="005B0B7D">
        <w:t xml:space="preserve">Supplementary </w:t>
      </w:r>
      <w:r w:rsidR="0094635F" w:rsidRPr="005B0B7D">
        <w:t>Text</w:t>
      </w:r>
    </w:p>
    <w:p w14:paraId="4FF47615" w14:textId="6B3A9DCD" w:rsidR="001046CE" w:rsidRPr="005B0B7D" w:rsidRDefault="001046CE" w:rsidP="0046020A">
      <w:pPr>
        <w:pStyle w:val="Title2"/>
      </w:pPr>
      <w:r w:rsidRPr="005B0B7D">
        <w:t>A Longitudinal Mediation Analysis of the Effect of Negative-Self Schema</w:t>
      </w:r>
      <w:r w:rsidR="00731507" w:rsidRPr="005B0B7D">
        <w:t>s</w:t>
      </w:r>
      <w:r w:rsidRPr="005B0B7D">
        <w:t xml:space="preserve"> on Positive Symptoms via Negative Affect</w:t>
      </w:r>
    </w:p>
    <w:p w14:paraId="7062DF43" w14:textId="77777777" w:rsidR="0034176D" w:rsidRPr="005B0B7D" w:rsidRDefault="0034176D" w:rsidP="0046020A">
      <w:pPr>
        <w:pStyle w:val="Title2"/>
      </w:pPr>
      <w:r w:rsidRPr="005B0B7D">
        <w:t xml:space="preserve">Edo S. Jaya, </w:t>
      </w:r>
      <w:r w:rsidR="0094635F" w:rsidRPr="005B0B7D">
        <w:t xml:space="preserve">Leonie </w:t>
      </w:r>
      <w:proofErr w:type="spellStart"/>
      <w:r w:rsidR="0094635F" w:rsidRPr="005B0B7D">
        <w:t>Ascone</w:t>
      </w:r>
      <w:proofErr w:type="spellEnd"/>
      <w:r w:rsidR="0094635F" w:rsidRPr="005B0B7D">
        <w:t xml:space="preserve">, </w:t>
      </w:r>
      <w:r w:rsidR="001046CE" w:rsidRPr="005B0B7D">
        <w:t xml:space="preserve">and </w:t>
      </w:r>
      <w:r w:rsidRPr="005B0B7D">
        <w:t>Tania M. Lincoln</w:t>
      </w:r>
    </w:p>
    <w:p w14:paraId="1C1C132A" w14:textId="77777777" w:rsidR="0034176D" w:rsidRPr="005B0B7D" w:rsidRDefault="0034176D" w:rsidP="003F1E33"/>
    <w:p w14:paraId="7C17F59D" w14:textId="77777777" w:rsidR="0034176D" w:rsidRPr="005B0B7D" w:rsidRDefault="0094635F" w:rsidP="0046020A">
      <w:pPr>
        <w:pStyle w:val="Title2"/>
      </w:pPr>
      <w:r w:rsidRPr="005B0B7D">
        <w:t>Content</w:t>
      </w:r>
      <w:r w:rsidR="0034176D" w:rsidRPr="005B0B7D">
        <w:t>:</w:t>
      </w:r>
    </w:p>
    <w:p w14:paraId="3E36938D" w14:textId="0735DCC5" w:rsidR="00D33495" w:rsidRPr="005B0B7D" w:rsidRDefault="00973F1E" w:rsidP="0046020A">
      <w:pPr>
        <w:pStyle w:val="Title2"/>
      </w:pPr>
      <w:r w:rsidRPr="005B0B7D">
        <w:t xml:space="preserve">S. Text 1. </w:t>
      </w:r>
      <w:r w:rsidR="00D33495" w:rsidRPr="005B0B7D">
        <w:t xml:space="preserve">Socio-economic </w:t>
      </w:r>
      <w:r w:rsidR="00FC6B77" w:rsidRPr="005B0B7D">
        <w:t xml:space="preserve">Status </w:t>
      </w:r>
      <w:r w:rsidR="00C43C35" w:rsidRPr="005B0B7D">
        <w:t>across</w:t>
      </w:r>
      <w:r w:rsidR="00D33495" w:rsidRPr="005B0B7D">
        <w:t xml:space="preserve"> </w:t>
      </w:r>
      <w:r w:rsidR="00FC6B77" w:rsidRPr="005B0B7D">
        <w:t>C</w:t>
      </w:r>
      <w:r w:rsidR="00D33495" w:rsidRPr="005B0B7D">
        <w:t>ountries</w:t>
      </w:r>
    </w:p>
    <w:p w14:paraId="4EC76A74" w14:textId="38632185" w:rsidR="005B4602" w:rsidRPr="005B0B7D" w:rsidRDefault="00973F1E" w:rsidP="0046020A">
      <w:pPr>
        <w:pStyle w:val="Title2"/>
      </w:pPr>
      <w:r w:rsidRPr="005B0B7D">
        <w:t xml:space="preserve">S. Text 2. </w:t>
      </w:r>
      <w:r w:rsidR="005B4602" w:rsidRPr="005B0B7D">
        <w:t>Comparison of Participants who Completed One Follow-Up Assessments or More with Participants who did not Completed any Follow-Up Assessments</w:t>
      </w:r>
    </w:p>
    <w:p w14:paraId="3D069FA8" w14:textId="40726B0E" w:rsidR="00051B73" w:rsidRPr="005B0B7D" w:rsidRDefault="00051B73" w:rsidP="0046020A">
      <w:pPr>
        <w:pStyle w:val="Title2"/>
      </w:pPr>
      <w:r w:rsidRPr="005B0B7D">
        <w:t xml:space="preserve">S. Text 3. </w:t>
      </w:r>
      <w:r w:rsidR="00C32F06" w:rsidRPr="005B0B7D">
        <w:t xml:space="preserve">Discussion of the Longitudinal Mediation Analysis of the </w:t>
      </w:r>
      <w:r w:rsidR="00DB5912" w:rsidRPr="005B0B7D">
        <w:t xml:space="preserve">Effect of </w:t>
      </w:r>
      <w:r w:rsidR="00C32F06" w:rsidRPr="005B0B7D">
        <w:t>Negative-Other Schema</w:t>
      </w:r>
      <w:r w:rsidR="009B5990" w:rsidRPr="005B0B7D">
        <w:t>s</w:t>
      </w:r>
      <w:r w:rsidR="00C32F06" w:rsidRPr="005B0B7D">
        <w:t xml:space="preserve"> </w:t>
      </w:r>
      <w:r w:rsidR="00DB5912" w:rsidRPr="005B0B7D">
        <w:t>on Positive Symptoms via Negative Affect</w:t>
      </w:r>
    </w:p>
    <w:p w14:paraId="534BC300" w14:textId="77777777" w:rsidR="0034176D" w:rsidRPr="005B0B7D" w:rsidRDefault="0034176D" w:rsidP="003F1E33"/>
    <w:p w14:paraId="1C84AF31" w14:textId="77777777" w:rsidR="0034176D" w:rsidRPr="005B0B7D" w:rsidRDefault="0034176D" w:rsidP="003F1E33">
      <w:r w:rsidRPr="005B0B7D">
        <w:br w:type="page"/>
      </w:r>
    </w:p>
    <w:p w14:paraId="2941BCA0" w14:textId="25824F10" w:rsidR="00D33495" w:rsidRPr="005B0B7D" w:rsidRDefault="00850E0C" w:rsidP="0046020A">
      <w:pPr>
        <w:pStyle w:val="Heading1"/>
      </w:pPr>
      <w:r w:rsidRPr="005B0B7D">
        <w:lastRenderedPageBreak/>
        <w:t xml:space="preserve">S. Text. 1 </w:t>
      </w:r>
      <w:r w:rsidR="00D33495" w:rsidRPr="005B0B7D">
        <w:t xml:space="preserve">Socio-economic </w:t>
      </w:r>
      <w:r w:rsidR="007B4309" w:rsidRPr="005B0B7D">
        <w:t>Status across C</w:t>
      </w:r>
      <w:r w:rsidR="00D33495" w:rsidRPr="005B0B7D">
        <w:t>ountries</w:t>
      </w:r>
    </w:p>
    <w:p w14:paraId="59EE0716" w14:textId="5C818DAD" w:rsidR="00333493" w:rsidRPr="005B0B7D" w:rsidRDefault="00C83CE2" w:rsidP="003F1E33">
      <w:r w:rsidRPr="005B0B7D">
        <w:t>The participants´ socio-economic status was assessed with a multidimensional question develo</w:t>
      </w:r>
      <w:r w:rsidR="00383651" w:rsidRPr="005B0B7D">
        <w:t xml:space="preserve">ped by </w:t>
      </w:r>
      <w:proofErr w:type="spellStart"/>
      <w:r w:rsidR="00383651" w:rsidRPr="005B0B7D">
        <w:t>Lampert</w:t>
      </w:r>
      <w:proofErr w:type="spellEnd"/>
      <w:r w:rsidR="00383651" w:rsidRPr="005B0B7D">
        <w:t xml:space="preserve"> and Kroll </w:t>
      </w:r>
      <w:r w:rsidR="00383651" w:rsidRPr="005B0B7D">
        <w:fldChar w:fldCharType="begin"/>
      </w:r>
      <w:r w:rsidR="00FD2F0E" w:rsidRPr="005B0B7D">
        <w:instrText xml:space="preserve"> ADDIN ZOTERO_ITEM CSL_CITATION {"citationID":"29ikdc1f66","properties":{"formattedCitation":"(2009)","plainCitation":"(2009)"},"citationItems":[{"id":1445,"uris":["http://zotero.org/users/1509854/items/F9ESE6HW"],"uri":["http://zotero.org/users/1509854/items/F9ESE6HW"],"itemData":{"id":1445,"type":"chapter","title":"Die Messung des sozioökonomischen Status in sozialepidemiologischen Studien","container-title":"Gesundheitliche Ungleichheit","publisher":"VS Verlag für Sozialwissenschaften","publisher-place":"Wiesbaden, Germany","page":"309-334","edition":"1","source":"link.springer.com","event-place":"Wiesbaden, Germany","abstract":"Seit etwa 20 Jahren lässt sich ein ständig wachsendes Interesse der epidemiologischen Forschung und der Gesundheitsberichterstattung am Einfluss des sozioökonomischen Status auf die Gesundheit und Lebenserwartung feststellen. Mit der Sozialepidemiologie hat sich inzwischen eine eigene Fachrichtung etabliert, die sich schwerpunktmäßig mit der sozial ungleichen Verteilung von Gesundheitschancen und Krankheitsrisiken, die auch auf den Begriff der „gesundheitlichen Ungleichheit“ gebracht wird, befasst (Mielck &amp; Bloomfield 2001). Die vorliegenden Studien zeigen in großer Überstimmung, dass Menschen mit niedrigem sozioökonomischen Status häufiger von Krankheiten, Beschwerden, Behinderungen und Unfallverletzungen betroffen sind, die eigene Gesundheit und gesundheitsbezogene Lebensqualität schlechter einschätzen und zu einem größeren Anteil vorzeitig sterben. Auch in Risiko- und Belastungsexpositionen, gesundheitsrelevanten Einstellungen und Verhaltensweisen sowie in der Bewältigung von Gesundheitsproblemen treten deutliche sozioökonomische Unterschiede hervor (Übersichten zum Forschungsstand z.B. bei Mielck 2000, 2005, Helmert 2003, Lampert et al. 2005).","URL":"http://link.springer.com/chapter/10.1007/978-3-531-91643-9_18","ISBN":"978-3-531-16084-9","language":"de","author":[{"family":"Lampert","given":"Thomas"},{"family":"Kroll","given":"Lars E."}],"editor":[{"family":"Richter","given":"Matthias"},{"family":"Hurrelmann","given":"Klaus"}],"issued":{"date-parts":[["2009",1,1]]},"accessed":{"date-parts":[["2014",2,5]]}},"suppress-author":true}],"schema":"https://github.com/citation-style-language/schema/raw/master/csl-citation.json"} </w:instrText>
      </w:r>
      <w:r w:rsidR="00383651" w:rsidRPr="005B0B7D">
        <w:fldChar w:fldCharType="separate"/>
      </w:r>
      <w:r w:rsidR="00B012F6" w:rsidRPr="005B0B7D">
        <w:t>(</w:t>
      </w:r>
      <w:r w:rsidR="00383651" w:rsidRPr="005B0B7D">
        <w:t>2009)</w:t>
      </w:r>
      <w:r w:rsidR="00383651" w:rsidRPr="005B0B7D">
        <w:fldChar w:fldCharType="end"/>
      </w:r>
      <w:r w:rsidRPr="005B0B7D">
        <w:t xml:space="preserve"> consisting of education, household income and job position. </w:t>
      </w:r>
      <w:r w:rsidR="007B4309" w:rsidRPr="005B0B7D">
        <w:t>Socio-economic</w:t>
      </w:r>
      <w:r w:rsidR="00022E9A" w:rsidRPr="005B0B7D">
        <w:t xml:space="preserve"> status</w:t>
      </w:r>
      <w:r w:rsidR="00FA43EB" w:rsidRPr="005B0B7D">
        <w:t xml:space="preserve"> data of the participants from Germany, Indonesia, and the United States</w:t>
      </w:r>
      <w:r w:rsidR="001529CB" w:rsidRPr="005B0B7D">
        <w:t xml:space="preserve"> </w:t>
      </w:r>
      <w:r w:rsidR="00B012F6" w:rsidRPr="005B0B7D">
        <w:t>(</w:t>
      </w:r>
      <w:r w:rsidR="001529CB" w:rsidRPr="005B0B7D">
        <w:t>U.S.)</w:t>
      </w:r>
      <w:r w:rsidR="00FA43EB" w:rsidRPr="005B0B7D">
        <w:t xml:space="preserve"> </w:t>
      </w:r>
      <w:r w:rsidR="00F97A69" w:rsidRPr="005B0B7D">
        <w:t>is</w:t>
      </w:r>
      <w:r w:rsidR="00FA43EB" w:rsidRPr="005B0B7D">
        <w:t xml:space="preserve"> </w:t>
      </w:r>
      <w:r w:rsidR="00054B9C" w:rsidRPr="005B0B7D">
        <w:t>described here</w:t>
      </w:r>
      <w:r w:rsidR="002F3878" w:rsidRPr="005B0B7D">
        <w:t xml:space="preserve"> in greater detail. </w:t>
      </w:r>
      <w:r w:rsidR="009C14B9" w:rsidRPr="005B0B7D">
        <w:t>A s</w:t>
      </w:r>
      <w:r w:rsidR="002F3878" w:rsidRPr="005B0B7D">
        <w:t xml:space="preserve">imilar description of the baseline sample </w:t>
      </w:r>
      <w:r w:rsidR="00B012F6" w:rsidRPr="005B0B7D">
        <w:rPr>
          <w:i/>
        </w:rPr>
        <w:t>(n</w:t>
      </w:r>
      <w:r w:rsidR="002F3878" w:rsidRPr="005B0B7D">
        <w:t xml:space="preserve">= 2350) has been published elsewhere </w:t>
      </w:r>
      <w:r w:rsidR="002F3878" w:rsidRPr="005B0B7D">
        <w:fldChar w:fldCharType="begin"/>
      </w:r>
      <w:r w:rsidR="00FD2F0E" w:rsidRPr="005B0B7D">
        <w:instrText xml:space="preserve"> ADDIN ZOTERO_ITEM CSL_CITATION {"citationID":"eao9lt3f3","properties":{"formattedCitation":"(Jaya &amp; Lincoln, 2016)","plainCitation":"(Jaya &amp; Lincoln, 2016)"},"citationItems":[{"id":3566,"uris":["http://zotero.org/users/1509854/items/UR3SCECF"],"uri":["http://zotero.org/users/1509854/items/UR3SCECF"],"itemData":{"id":3566,"type":"article-journal","title":"Social adversities and psychotic symptoms: A test of predictions derived from the social defeat hypothesis","container-title":"Psychiatry Research","page":"466-472","volume":"245","source":"ScienceDirect","abstract":"Based on the social defeat (SD) hypothesis, this study examines the postulate that various social adversities converge into one common factor, and whether this factor has an effect on psychotic symptoms while controlling for its effect on depression and anxiety. Competing hypotheses arguing for the reverse effect were also tested. The study was a cross-sectional survey in a community sample (N =2350) from Germany (n=786), Indonesia (n=844), and the United States (n=720). Confirmatory factor analysis (CFA) and path analysis with structural equation modeling were used to test the hypotheses. In the CFA two factors reflecting current and past experiences of SD could be identified with acceptable fit. Path analysis indicated acceptable fit for both SD and reverse models, and both the path from current SD to psychotic symptoms and the reverse one were significant, although the former was stronger than the latter. Interestingly, the current but not the past SD factor was significantly associated with psychotic symptoms. Overall, the results indicate that postulates derived from the SD hypothesis fit the data. However, longitudinal research is needed to further confirm the postulated directionality of the associations.","DOI":"10.1016/j.psychres.2016.09.002","ISSN":"0165-1781","shortTitle":"Social adversities and psychotic symptoms","journalAbbreviation":"Psychiatry Research","author":[{"family":"Jaya","given":"Edo S."},{"family":"Lincoln","given":"Tania M."}],"issued":{"date-parts":[["2016",11,30]]}}}],"schema":"https://github.com/citation-style-language/schema/raw/master/csl-citation.json"} </w:instrText>
      </w:r>
      <w:r w:rsidR="002F3878" w:rsidRPr="005B0B7D">
        <w:fldChar w:fldCharType="separate"/>
      </w:r>
      <w:r w:rsidR="00B012F6" w:rsidRPr="005B0B7D">
        <w:t>(</w:t>
      </w:r>
      <w:r w:rsidR="00601FAB" w:rsidRPr="005B0B7D">
        <w:t>Jaya &amp; Lincoln, 2016)</w:t>
      </w:r>
      <w:r w:rsidR="002F3878" w:rsidRPr="005B0B7D">
        <w:fldChar w:fldCharType="end"/>
      </w:r>
      <w:r w:rsidR="002F3878" w:rsidRPr="005B0B7D">
        <w:t xml:space="preserve">, </w:t>
      </w:r>
      <w:r w:rsidR="009C14B9" w:rsidRPr="005B0B7D">
        <w:t xml:space="preserve">in which </w:t>
      </w:r>
      <w:r w:rsidR="002F3878" w:rsidRPr="005B0B7D">
        <w:t xml:space="preserve">we describe the socio-economic status of the participants in the longitudinal data </w:t>
      </w:r>
      <w:r w:rsidR="00B012F6" w:rsidRPr="005B0B7D">
        <w:rPr>
          <w:i/>
        </w:rPr>
        <w:t>(n =</w:t>
      </w:r>
      <w:r w:rsidR="002F3878" w:rsidRPr="005B0B7D">
        <w:t xml:space="preserve"> 962).</w:t>
      </w:r>
      <w:r w:rsidR="002C6B47" w:rsidRPr="005B0B7D">
        <w:t xml:space="preserve"> </w:t>
      </w:r>
      <w:r w:rsidR="009C14B9" w:rsidRPr="005B0B7D">
        <w:t>O</w:t>
      </w:r>
      <w:r w:rsidR="0039059B" w:rsidRPr="005B0B7D">
        <w:t>bjective socio-economic indicator</w:t>
      </w:r>
      <w:r w:rsidR="00206616" w:rsidRPr="005B0B7D">
        <w:t xml:space="preserve"> data</w:t>
      </w:r>
      <w:r w:rsidR="00CD2876" w:rsidRPr="005B0B7D">
        <w:t xml:space="preserve"> was not</w:t>
      </w:r>
      <w:r w:rsidR="00206616" w:rsidRPr="005B0B7D">
        <w:t xml:space="preserve"> collected</w:t>
      </w:r>
      <w:r w:rsidR="0039059B" w:rsidRPr="005B0B7D">
        <w:t xml:space="preserve"> because </w:t>
      </w:r>
      <w:r w:rsidR="0054076E" w:rsidRPr="005B0B7D">
        <w:t xml:space="preserve">objective indicators are difficult to </w:t>
      </w:r>
      <w:r w:rsidR="00206616" w:rsidRPr="005B0B7D">
        <w:t xml:space="preserve">compare or </w:t>
      </w:r>
      <w:r w:rsidR="009C14B9" w:rsidRPr="005B0B7D">
        <w:t xml:space="preserve">be </w:t>
      </w:r>
      <w:r w:rsidR="00206616" w:rsidRPr="005B0B7D">
        <w:t>combined between countries</w:t>
      </w:r>
      <w:r w:rsidR="0039059B" w:rsidRPr="005B0B7D">
        <w:t xml:space="preserve">, </w:t>
      </w:r>
      <w:r w:rsidR="00206616" w:rsidRPr="005B0B7D">
        <w:t>particularly</w:t>
      </w:r>
      <w:r w:rsidR="0039059B" w:rsidRPr="005B0B7D">
        <w:t xml:space="preserve"> due to currency exchange rates. For example, </w:t>
      </w:r>
      <w:r w:rsidR="00ED422C" w:rsidRPr="005B0B7D">
        <w:t xml:space="preserve">the lowest income category in Germany </w:t>
      </w:r>
      <w:r w:rsidR="00B012F6" w:rsidRPr="005B0B7D">
        <w:t>(</w:t>
      </w:r>
      <w:r w:rsidR="00ED422C" w:rsidRPr="005B0B7D">
        <w:t xml:space="preserve">Under 1,250€) would roughly equal to Indonesian Rupiah 18,650,921 based on the exchange rate in December 2015, which then translates into the highest income category in Indonesia </w:t>
      </w:r>
      <w:r w:rsidR="00B012F6" w:rsidRPr="005B0B7D">
        <w:t>(</w:t>
      </w:r>
      <w:r w:rsidR="00ED422C" w:rsidRPr="005B0B7D">
        <w:t>Over</w:t>
      </w:r>
      <w:r w:rsidR="00B33DB1" w:rsidRPr="005B0B7D">
        <w:t xml:space="preserve"> </w:t>
      </w:r>
      <w:r w:rsidR="00ED422C" w:rsidRPr="005B0B7D">
        <w:t xml:space="preserve">Rp11.000.000). </w:t>
      </w:r>
      <w:r w:rsidR="009031A7" w:rsidRPr="005B0B7D">
        <w:t>Such o</w:t>
      </w:r>
      <w:r w:rsidR="00206616" w:rsidRPr="005B0B7D">
        <w:t>bjective socio-econom</w:t>
      </w:r>
      <w:r w:rsidR="00333493" w:rsidRPr="005B0B7D">
        <w:t>ic indicator</w:t>
      </w:r>
      <w:r w:rsidR="00221603" w:rsidRPr="005B0B7D">
        <w:t>s</w:t>
      </w:r>
      <w:r w:rsidR="00333493" w:rsidRPr="005B0B7D">
        <w:t xml:space="preserve"> would </w:t>
      </w:r>
      <w:r w:rsidR="00221603" w:rsidRPr="005B0B7D">
        <w:t xml:space="preserve">render </w:t>
      </w:r>
      <w:r w:rsidR="00333493" w:rsidRPr="005B0B7D">
        <w:t>German participants</w:t>
      </w:r>
      <w:r w:rsidR="00206616" w:rsidRPr="005B0B7D">
        <w:t xml:space="preserve"> with the lowest income </w:t>
      </w:r>
      <w:r w:rsidR="00221603" w:rsidRPr="005B0B7D">
        <w:t>category</w:t>
      </w:r>
      <w:r w:rsidR="00206616" w:rsidRPr="005B0B7D">
        <w:t xml:space="preserve"> </w:t>
      </w:r>
      <w:r w:rsidR="00333493" w:rsidRPr="005B0B7D">
        <w:t>equal to</w:t>
      </w:r>
      <w:r w:rsidR="00206616" w:rsidRPr="005B0B7D">
        <w:t xml:space="preserve"> </w:t>
      </w:r>
      <w:r w:rsidR="00333493" w:rsidRPr="005B0B7D">
        <w:t>Indonesian participants</w:t>
      </w:r>
      <w:r w:rsidR="00206616" w:rsidRPr="005B0B7D">
        <w:t xml:space="preserve"> with the highest income </w:t>
      </w:r>
      <w:r w:rsidR="00221603" w:rsidRPr="005B0B7D">
        <w:t>category</w:t>
      </w:r>
      <w:r w:rsidR="00143B70" w:rsidRPr="005B0B7D">
        <w:t xml:space="preserve">. </w:t>
      </w:r>
    </w:p>
    <w:p w14:paraId="1B92C357" w14:textId="7779890B" w:rsidR="00022E9A" w:rsidRPr="005B0B7D" w:rsidRDefault="00333493" w:rsidP="003F1E33">
      <w:r w:rsidRPr="005B0B7D">
        <w:t xml:space="preserve"> </w:t>
      </w:r>
      <w:r w:rsidR="00654CF4" w:rsidRPr="005B0B7D">
        <w:t xml:space="preserve">Additionally, we presented census data from each respective </w:t>
      </w:r>
      <w:r w:rsidRPr="005B0B7D">
        <w:t>country</w:t>
      </w:r>
      <w:r w:rsidR="00654CF4" w:rsidRPr="005B0B7D">
        <w:t xml:space="preserve"> to </w:t>
      </w:r>
      <w:r w:rsidR="00221603" w:rsidRPr="005B0B7D">
        <w:t xml:space="preserve">indicate </w:t>
      </w:r>
      <w:r w:rsidR="00654CF4" w:rsidRPr="005B0B7D">
        <w:t xml:space="preserve">the representativeness of the sample. However, </w:t>
      </w:r>
      <w:r w:rsidR="00553DA8" w:rsidRPr="005B0B7D">
        <w:t xml:space="preserve">we would like to emphasize that </w:t>
      </w:r>
      <w:r w:rsidR="00654CF4" w:rsidRPr="005B0B7D">
        <w:t xml:space="preserve">the census data presented </w:t>
      </w:r>
      <w:r w:rsidR="0056364A" w:rsidRPr="005B0B7D">
        <w:t xml:space="preserve">can </w:t>
      </w:r>
      <w:r w:rsidR="00654CF4" w:rsidRPr="005B0B7D">
        <w:t xml:space="preserve">only serve as a </w:t>
      </w:r>
      <w:r w:rsidR="003B2773" w:rsidRPr="005B0B7D">
        <w:t xml:space="preserve">rough </w:t>
      </w:r>
      <w:r w:rsidR="00654CF4" w:rsidRPr="005B0B7D">
        <w:t xml:space="preserve">guide because the census categories are not </w:t>
      </w:r>
      <w:r w:rsidR="00553DA8" w:rsidRPr="005B0B7D">
        <w:t xml:space="preserve">always </w:t>
      </w:r>
      <w:r w:rsidR="00466092" w:rsidRPr="005B0B7D">
        <w:t>exactly the same</w:t>
      </w:r>
      <w:r w:rsidR="00654CF4" w:rsidRPr="005B0B7D">
        <w:t xml:space="preserve"> as </w:t>
      </w:r>
      <w:r w:rsidR="00000EB0" w:rsidRPr="005B0B7D">
        <w:t>our survey’s socio-economic status categories.</w:t>
      </w:r>
      <w:r w:rsidR="003B2773" w:rsidRPr="005B0B7D">
        <w:t xml:space="preserve"> More details regarding the census data used</w:t>
      </w:r>
      <w:r w:rsidR="0056364A" w:rsidRPr="005B0B7D">
        <w:t xml:space="preserve">, the </w:t>
      </w:r>
      <w:r w:rsidR="003B2773" w:rsidRPr="005B0B7D">
        <w:t xml:space="preserve">differences regarding status categories </w:t>
      </w:r>
      <w:r w:rsidR="0056364A" w:rsidRPr="005B0B7D">
        <w:t xml:space="preserve">and </w:t>
      </w:r>
      <w:r w:rsidR="00AA0D79" w:rsidRPr="005B0B7D">
        <w:t xml:space="preserve">the general trend of the sample being </w:t>
      </w:r>
      <w:r w:rsidR="0056364A" w:rsidRPr="005B0B7D">
        <w:t xml:space="preserve">more </w:t>
      </w:r>
      <w:r w:rsidR="00AA0D79" w:rsidRPr="005B0B7D">
        <w:t>educated and h</w:t>
      </w:r>
      <w:r w:rsidR="0056364A" w:rsidRPr="005B0B7D">
        <w:t>aving</w:t>
      </w:r>
      <w:r w:rsidR="00AA0D79" w:rsidRPr="005B0B7D">
        <w:t xml:space="preserve"> lower income </w:t>
      </w:r>
      <w:r w:rsidR="0056364A" w:rsidRPr="005B0B7D">
        <w:t>are</w:t>
      </w:r>
      <w:r w:rsidR="00AA0D79" w:rsidRPr="005B0B7D">
        <w:t xml:space="preserve"> discussed </w:t>
      </w:r>
      <w:r w:rsidR="0056364A" w:rsidRPr="005B0B7D">
        <w:t>in the following respective sections.</w:t>
      </w:r>
    </w:p>
    <w:p w14:paraId="685CAD1B" w14:textId="77777777" w:rsidR="00FC6B43" w:rsidRPr="005B0B7D" w:rsidRDefault="00FC6B43" w:rsidP="003F1E33"/>
    <w:p w14:paraId="4669D01B" w14:textId="77777777" w:rsidR="00FC6B43" w:rsidRPr="005B0B7D" w:rsidRDefault="00FC6B43" w:rsidP="0046020A">
      <w:pPr>
        <w:pStyle w:val="Heading2"/>
      </w:pPr>
      <w:r w:rsidRPr="005B0B7D">
        <w:lastRenderedPageBreak/>
        <w:t>Germany</w:t>
      </w:r>
    </w:p>
    <w:p w14:paraId="646179D7" w14:textId="04E702EF" w:rsidR="00FC6B43" w:rsidRPr="005B0B7D" w:rsidRDefault="00FC6B43" w:rsidP="0046020A">
      <w:pPr>
        <w:pStyle w:val="Heading3"/>
        <w:rPr>
          <w:b w:val="0"/>
        </w:rPr>
      </w:pPr>
      <w:r w:rsidRPr="005B0B7D">
        <w:t xml:space="preserve">Education. </w:t>
      </w:r>
      <w:r w:rsidRPr="005B0B7D">
        <w:rPr>
          <w:b w:val="0"/>
        </w:rPr>
        <w:t xml:space="preserve">The educational attainment of the participants are compared with the Germany 2013 census data from the German Federal Statistic office </w:t>
      </w:r>
      <w:r w:rsidR="00C92DB8" w:rsidRPr="005B0B7D">
        <w:rPr>
          <w:b w:val="0"/>
        </w:rPr>
        <w:fldChar w:fldCharType="begin"/>
      </w:r>
      <w:r w:rsidR="00601FAB" w:rsidRPr="005B0B7D">
        <w:rPr>
          <w:b w:val="0"/>
        </w:rPr>
        <w:instrText xml:space="preserve"> ADDIN ZOTERO_ITEM CSL_CITATION {"citationID":"ZdnUBg3b","properties":{"formattedCitation":"(Statistisches Bundesamt, 2015)","plainCitation":"(Statistisches Bundesamt, 2015)"},"citationItems":[{"id":2950,"uris":["http://zotero.org/users/1509854/items/RIZDZBP7"],"uri":["http://zotero.org/users/1509854/items/RIZDZBP7"],"itemData":{"id":2950,"type":"report","title":"Educational attainment of the population in Germany","publisher":"Statistisches Bundesamt","URL":"https://www.destatis.de/EN/FactsFigures/SocietyState/EducationResearchCulture/EducationalLevel/Tables/EducationalAttainmentPopulationGermany.html","author":[{"literal":"Statistisches Bundesamt"}],"issued":{"date-parts":[["2015"]]},"accessed":{"date-parts":[["2015",12,23]]}}}],"schema":"https://github.com/citation-style-language/schema/raw/master/csl-citation.json"} </w:instrText>
      </w:r>
      <w:r w:rsidR="00C92DB8" w:rsidRPr="005B0B7D">
        <w:rPr>
          <w:b w:val="0"/>
        </w:rPr>
        <w:fldChar w:fldCharType="separate"/>
      </w:r>
      <w:r w:rsidR="00B012F6" w:rsidRPr="005B0B7D">
        <w:t>(</w:t>
      </w:r>
      <w:r w:rsidR="00601FAB" w:rsidRPr="005B0B7D">
        <w:t>Statistisches Bundesamt, 2015)</w:t>
      </w:r>
      <w:r w:rsidR="00C92DB8" w:rsidRPr="005B0B7D">
        <w:rPr>
          <w:b w:val="0"/>
        </w:rPr>
        <w:fldChar w:fldCharType="end"/>
      </w:r>
      <w:r w:rsidRPr="005B0B7D">
        <w:rPr>
          <w:b w:val="0"/>
        </w:rPr>
        <w:t>. However, several education categories cannot be matched perfectly with the categories used by the census data. For example, the survey’s lowest education cat</w:t>
      </w:r>
      <w:r w:rsidR="00B72FB1" w:rsidRPr="005B0B7D">
        <w:rPr>
          <w:b w:val="0"/>
        </w:rPr>
        <w:t>e</w:t>
      </w:r>
      <w:r w:rsidRPr="005B0B7D">
        <w:rPr>
          <w:b w:val="0"/>
        </w:rPr>
        <w:t xml:space="preserve">gory </w:t>
      </w:r>
      <w:r w:rsidR="00B012F6" w:rsidRPr="005B0B7D">
        <w:rPr>
          <w:b w:val="0"/>
        </w:rPr>
        <w:t>(</w:t>
      </w:r>
      <w:r w:rsidRPr="005B0B7D">
        <w:rPr>
          <w:b w:val="0"/>
        </w:rPr>
        <w:t xml:space="preserve">“No school diploma, no vocational training certificate </w:t>
      </w:r>
      <w:r w:rsidR="00B012F6" w:rsidRPr="005B0B7D">
        <w:rPr>
          <w:b w:val="0"/>
        </w:rPr>
        <w:t>(</w:t>
      </w:r>
      <w:proofErr w:type="spellStart"/>
      <w:r w:rsidRPr="005B0B7D">
        <w:rPr>
          <w:b w:val="0"/>
        </w:rPr>
        <w:t>Berufsabschluss</w:t>
      </w:r>
      <w:proofErr w:type="spellEnd"/>
      <w:r w:rsidRPr="005B0B7D">
        <w:rPr>
          <w:b w:val="0"/>
        </w:rPr>
        <w:t xml:space="preserve">), or currently in vocational training </w:t>
      </w:r>
      <w:r w:rsidR="00B012F6" w:rsidRPr="005B0B7D">
        <w:rPr>
          <w:b w:val="0"/>
        </w:rPr>
        <w:t>(</w:t>
      </w:r>
      <w:r w:rsidRPr="005B0B7D">
        <w:rPr>
          <w:b w:val="0"/>
        </w:rPr>
        <w:t xml:space="preserve">in </w:t>
      </w:r>
      <w:proofErr w:type="spellStart"/>
      <w:r w:rsidRPr="005B0B7D">
        <w:rPr>
          <w:b w:val="0"/>
        </w:rPr>
        <w:t>Lehre</w:t>
      </w:r>
      <w:proofErr w:type="spellEnd"/>
      <w:r w:rsidRPr="005B0B7D">
        <w:rPr>
          <w:b w:val="0"/>
        </w:rPr>
        <w:t xml:space="preserve"> or in </w:t>
      </w:r>
      <w:proofErr w:type="spellStart"/>
      <w:r w:rsidRPr="005B0B7D">
        <w:rPr>
          <w:b w:val="0"/>
        </w:rPr>
        <w:t>Berufsausbildung</w:t>
      </w:r>
      <w:proofErr w:type="spellEnd"/>
      <w:r w:rsidRPr="005B0B7D">
        <w:rPr>
          <w:b w:val="0"/>
        </w:rPr>
        <w:t>)”) is regarded as equal to the German census’s education category of “no vocational qualification attained”.</w:t>
      </w:r>
      <w:r w:rsidR="009409AF" w:rsidRPr="005B0B7D">
        <w:rPr>
          <w:b w:val="0"/>
        </w:rPr>
        <w:t xml:space="preserve"> Here</w:t>
      </w:r>
      <w:r w:rsidR="0056364A" w:rsidRPr="005B0B7D">
        <w:rPr>
          <w:b w:val="0"/>
        </w:rPr>
        <w:t>,</w:t>
      </w:r>
      <w:r w:rsidR="009409AF" w:rsidRPr="005B0B7D">
        <w:rPr>
          <w:b w:val="0"/>
        </w:rPr>
        <w:t xml:space="preserve"> the trend</w:t>
      </w:r>
      <w:r w:rsidR="004166BC" w:rsidRPr="005B0B7D">
        <w:rPr>
          <w:b w:val="0"/>
        </w:rPr>
        <w:t xml:space="preserve"> is</w:t>
      </w:r>
      <w:r w:rsidR="009409AF" w:rsidRPr="005B0B7D">
        <w:rPr>
          <w:b w:val="0"/>
        </w:rPr>
        <w:t xml:space="preserve"> that the participants from our sample </w:t>
      </w:r>
      <w:r w:rsidR="0056364A" w:rsidRPr="005B0B7D">
        <w:rPr>
          <w:b w:val="0"/>
        </w:rPr>
        <w:t xml:space="preserve">are </w:t>
      </w:r>
      <w:r w:rsidR="009409AF" w:rsidRPr="005B0B7D">
        <w:rPr>
          <w:b w:val="0"/>
        </w:rPr>
        <w:t xml:space="preserve">more highly educated than </w:t>
      </w:r>
      <w:r w:rsidR="0056364A" w:rsidRPr="005B0B7D">
        <w:rPr>
          <w:b w:val="0"/>
        </w:rPr>
        <w:t>Germany’s</w:t>
      </w:r>
      <w:r w:rsidR="009409AF" w:rsidRPr="005B0B7D">
        <w:rPr>
          <w:b w:val="0"/>
        </w:rPr>
        <w:t xml:space="preserve"> general population can be seen b</w:t>
      </w:r>
      <w:r w:rsidR="00484F54" w:rsidRPr="005B0B7D">
        <w:rPr>
          <w:b w:val="0"/>
        </w:rPr>
        <w:t xml:space="preserve">y the underrepresentation of the lowest educational attainment category </w:t>
      </w:r>
      <w:r w:rsidR="00B012F6" w:rsidRPr="005B0B7D">
        <w:rPr>
          <w:b w:val="0"/>
        </w:rPr>
        <w:t>(</w:t>
      </w:r>
      <w:r w:rsidR="00484F54" w:rsidRPr="005B0B7D">
        <w:rPr>
          <w:b w:val="0"/>
        </w:rPr>
        <w:t xml:space="preserve">10.3% in our sample </w:t>
      </w:r>
      <w:proofErr w:type="spellStart"/>
      <w:r w:rsidR="00484F54" w:rsidRPr="005B0B7D">
        <w:rPr>
          <w:b w:val="0"/>
        </w:rPr>
        <w:t>vs</w:t>
      </w:r>
      <w:proofErr w:type="spellEnd"/>
      <w:r w:rsidR="00484F54" w:rsidRPr="005B0B7D">
        <w:rPr>
          <w:b w:val="0"/>
        </w:rPr>
        <w:t xml:space="preserve"> 26.4% in Germany) and the overrepresentation of the highest educational attainment category </w:t>
      </w:r>
      <w:r w:rsidR="00B012F6" w:rsidRPr="005B0B7D">
        <w:rPr>
          <w:b w:val="0"/>
        </w:rPr>
        <w:t>(</w:t>
      </w:r>
      <w:r w:rsidR="00484F54" w:rsidRPr="005B0B7D">
        <w:rPr>
          <w:b w:val="0"/>
        </w:rPr>
        <w:t xml:space="preserve">16.7% in our sample </w:t>
      </w:r>
      <w:proofErr w:type="spellStart"/>
      <w:r w:rsidR="00484F54" w:rsidRPr="005B0B7D">
        <w:rPr>
          <w:b w:val="0"/>
        </w:rPr>
        <w:t>vs</w:t>
      </w:r>
      <w:proofErr w:type="spellEnd"/>
      <w:r w:rsidR="00484F54" w:rsidRPr="005B0B7D">
        <w:rPr>
          <w:b w:val="0"/>
        </w:rPr>
        <w:t xml:space="preserve"> 8.3% in Germany).</w:t>
      </w:r>
    </w:p>
    <w:p w14:paraId="0A8C2BBD" w14:textId="77777777" w:rsidR="00FC6B43" w:rsidRPr="005B0B7D" w:rsidRDefault="00FC6B43" w:rsidP="003F1E33"/>
    <w:p w14:paraId="3E76A416" w14:textId="77777777" w:rsidR="00FC6B43" w:rsidRPr="005B0B7D" w:rsidRDefault="00FC6B43" w:rsidP="0046020A">
      <w:pPr>
        <w:ind w:firstLine="0"/>
      </w:pPr>
      <w:r w:rsidRPr="005B0B7D">
        <w:t>Table 1. Educational attainment of participants from Germany</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1701"/>
        <w:gridCol w:w="2977"/>
      </w:tblGrid>
      <w:tr w:rsidR="000D44EF" w:rsidRPr="005B0B7D" w14:paraId="7CB66E1A" w14:textId="77777777" w:rsidTr="00CC381A">
        <w:tc>
          <w:tcPr>
            <w:tcW w:w="3936" w:type="dxa"/>
            <w:tcBorders>
              <w:top w:val="single" w:sz="4" w:space="0" w:color="auto"/>
            </w:tcBorders>
          </w:tcPr>
          <w:p w14:paraId="6881C332" w14:textId="77777777" w:rsidR="000D44EF" w:rsidRPr="005B0B7D" w:rsidRDefault="00944343" w:rsidP="004E62BE">
            <w:pPr>
              <w:pStyle w:val="TableFigure"/>
              <w:spacing w:before="0"/>
            </w:pPr>
            <w:r w:rsidRPr="005B0B7D">
              <w:t>Education</w:t>
            </w:r>
          </w:p>
        </w:tc>
        <w:tc>
          <w:tcPr>
            <w:tcW w:w="3118" w:type="dxa"/>
            <w:gridSpan w:val="2"/>
            <w:tcBorders>
              <w:top w:val="single" w:sz="4" w:space="0" w:color="auto"/>
            </w:tcBorders>
            <w:vAlign w:val="center"/>
          </w:tcPr>
          <w:p w14:paraId="552A41E2" w14:textId="34BF459C" w:rsidR="000D44EF" w:rsidRPr="005B0B7D" w:rsidRDefault="000D44EF" w:rsidP="00980FBC">
            <w:pPr>
              <w:pStyle w:val="TableFigure"/>
              <w:spacing w:before="0"/>
              <w:jc w:val="center"/>
            </w:pPr>
            <w:r w:rsidRPr="005B0B7D">
              <w:t xml:space="preserve">Participants </w:t>
            </w:r>
            <w:r w:rsidR="00B012F6" w:rsidRPr="005B0B7D">
              <w:rPr>
                <w:i/>
              </w:rPr>
              <w:t>(n =</w:t>
            </w:r>
            <w:r w:rsidR="004D781F" w:rsidRPr="005B0B7D">
              <w:t xml:space="preserve"> </w:t>
            </w:r>
            <w:r w:rsidR="00980FBC" w:rsidRPr="005B0B7D">
              <w:t>312</w:t>
            </w:r>
            <w:r w:rsidRPr="005B0B7D">
              <w:t>)</w:t>
            </w:r>
          </w:p>
        </w:tc>
        <w:tc>
          <w:tcPr>
            <w:tcW w:w="2977" w:type="dxa"/>
            <w:tcBorders>
              <w:top w:val="single" w:sz="4" w:space="0" w:color="auto"/>
            </w:tcBorders>
            <w:vAlign w:val="center"/>
          </w:tcPr>
          <w:p w14:paraId="512E6A72" w14:textId="796CCB0B" w:rsidR="000D44EF" w:rsidRPr="005B0B7D" w:rsidRDefault="000D44EF" w:rsidP="00BC3154">
            <w:pPr>
              <w:pStyle w:val="TableFigure"/>
              <w:spacing w:before="0"/>
              <w:jc w:val="center"/>
            </w:pPr>
            <w:r w:rsidRPr="005B0B7D">
              <w:t>German</w:t>
            </w:r>
            <w:r w:rsidR="00BC3154" w:rsidRPr="005B0B7D">
              <w:t>y</w:t>
            </w:r>
            <w:r w:rsidRPr="005B0B7D">
              <w:t xml:space="preserve"> 2013 </w:t>
            </w:r>
            <w:r w:rsidR="00B012F6" w:rsidRPr="005B0B7D">
              <w:t>(</w:t>
            </w:r>
            <w:r w:rsidRPr="005B0B7D">
              <w:t>%)</w:t>
            </w:r>
          </w:p>
        </w:tc>
      </w:tr>
      <w:tr w:rsidR="00FC6B43" w:rsidRPr="005B0B7D" w14:paraId="561BFA00" w14:textId="77777777" w:rsidTr="00CC381A">
        <w:tc>
          <w:tcPr>
            <w:tcW w:w="3936" w:type="dxa"/>
            <w:tcBorders>
              <w:bottom w:val="single" w:sz="4" w:space="0" w:color="auto"/>
            </w:tcBorders>
          </w:tcPr>
          <w:p w14:paraId="7DAAE1B7" w14:textId="77777777" w:rsidR="00FC6B43" w:rsidRPr="005B0B7D" w:rsidRDefault="00FC6B43" w:rsidP="004E62BE">
            <w:pPr>
              <w:pStyle w:val="TableFigure"/>
              <w:spacing w:before="0"/>
            </w:pPr>
          </w:p>
        </w:tc>
        <w:tc>
          <w:tcPr>
            <w:tcW w:w="1417" w:type="dxa"/>
            <w:tcBorders>
              <w:bottom w:val="single" w:sz="4" w:space="0" w:color="auto"/>
            </w:tcBorders>
            <w:vAlign w:val="center"/>
          </w:tcPr>
          <w:p w14:paraId="1FA21681" w14:textId="77777777" w:rsidR="00FC6B43" w:rsidRPr="005B0B7D" w:rsidRDefault="00FC6B43" w:rsidP="00CC381A">
            <w:pPr>
              <w:pStyle w:val="TableFigure"/>
              <w:spacing w:before="0"/>
              <w:jc w:val="center"/>
            </w:pPr>
            <w:r w:rsidRPr="005B0B7D">
              <w:t>Frequency</w:t>
            </w:r>
          </w:p>
        </w:tc>
        <w:tc>
          <w:tcPr>
            <w:tcW w:w="1701" w:type="dxa"/>
            <w:tcBorders>
              <w:bottom w:val="single" w:sz="4" w:space="0" w:color="auto"/>
            </w:tcBorders>
            <w:vAlign w:val="center"/>
          </w:tcPr>
          <w:p w14:paraId="2846116E" w14:textId="36B4858A" w:rsidR="00FC6B43" w:rsidRPr="005B0B7D" w:rsidRDefault="00FC6B43" w:rsidP="00CC381A">
            <w:pPr>
              <w:pStyle w:val="TableFigure"/>
              <w:spacing w:before="0"/>
              <w:jc w:val="center"/>
            </w:pPr>
            <w:r w:rsidRPr="005B0B7D">
              <w:t>Percentage</w:t>
            </w:r>
            <w:r w:rsidR="0093494E" w:rsidRPr="005B0B7D">
              <w:t xml:space="preserve"> </w:t>
            </w:r>
            <w:r w:rsidR="00B012F6" w:rsidRPr="005B0B7D">
              <w:t>(</w:t>
            </w:r>
            <w:r w:rsidR="0093494E" w:rsidRPr="005B0B7D">
              <w:t>%)</w:t>
            </w:r>
          </w:p>
        </w:tc>
        <w:tc>
          <w:tcPr>
            <w:tcW w:w="2977" w:type="dxa"/>
            <w:tcBorders>
              <w:bottom w:val="single" w:sz="4" w:space="0" w:color="auto"/>
            </w:tcBorders>
            <w:vAlign w:val="center"/>
          </w:tcPr>
          <w:p w14:paraId="23177624" w14:textId="77777777" w:rsidR="00FC6B43" w:rsidRPr="005B0B7D" w:rsidRDefault="00FC6B43" w:rsidP="00CC381A">
            <w:pPr>
              <w:pStyle w:val="TableFigure"/>
              <w:spacing w:before="0"/>
              <w:jc w:val="center"/>
            </w:pPr>
          </w:p>
        </w:tc>
      </w:tr>
      <w:tr w:rsidR="008F77B1" w:rsidRPr="005B0B7D" w14:paraId="43338429" w14:textId="77777777" w:rsidTr="00931CEA">
        <w:tc>
          <w:tcPr>
            <w:tcW w:w="3936" w:type="dxa"/>
            <w:tcBorders>
              <w:top w:val="single" w:sz="4" w:space="0" w:color="auto"/>
            </w:tcBorders>
          </w:tcPr>
          <w:p w14:paraId="0A52B150" w14:textId="7492B828" w:rsidR="008F77B1" w:rsidRPr="005B0B7D" w:rsidRDefault="008F77B1" w:rsidP="00B17797">
            <w:pPr>
              <w:pStyle w:val="TableFigure"/>
              <w:spacing w:before="0"/>
            </w:pPr>
            <w:r w:rsidRPr="005B0B7D">
              <w:t xml:space="preserve">No school diploma, no vocational training certificate </w:t>
            </w:r>
            <w:r w:rsidR="0082446B" w:rsidRPr="005B0B7D">
              <w:t>[</w:t>
            </w:r>
            <w:proofErr w:type="spellStart"/>
            <w:r w:rsidRPr="005B0B7D">
              <w:t>Berufsabschluss</w:t>
            </w:r>
            <w:proofErr w:type="spellEnd"/>
            <w:r w:rsidR="00B17797" w:rsidRPr="005B0B7D">
              <w:t>]</w:t>
            </w:r>
            <w:r w:rsidRPr="005B0B7D">
              <w:t xml:space="preserve">, or currently in vocational training </w:t>
            </w:r>
            <w:r w:rsidR="0082446B" w:rsidRPr="005B0B7D">
              <w:t>[</w:t>
            </w:r>
            <w:proofErr w:type="spellStart"/>
            <w:r w:rsidRPr="005B0B7D">
              <w:t>Lehre</w:t>
            </w:r>
            <w:proofErr w:type="spellEnd"/>
            <w:r w:rsidR="00B17797" w:rsidRPr="005B0B7D">
              <w:t>,</w:t>
            </w:r>
            <w:r w:rsidRPr="005B0B7D">
              <w:t xml:space="preserve"> </w:t>
            </w:r>
            <w:proofErr w:type="spellStart"/>
            <w:r w:rsidRPr="005B0B7D">
              <w:t>Berufsausbildung</w:t>
            </w:r>
            <w:proofErr w:type="spellEnd"/>
            <w:r w:rsidR="0082446B" w:rsidRPr="005B0B7D">
              <w:t>]</w:t>
            </w:r>
          </w:p>
        </w:tc>
        <w:tc>
          <w:tcPr>
            <w:tcW w:w="1417" w:type="dxa"/>
            <w:tcBorders>
              <w:top w:val="single" w:sz="4" w:space="0" w:color="auto"/>
            </w:tcBorders>
            <w:vAlign w:val="center"/>
          </w:tcPr>
          <w:p w14:paraId="2168FF57" w14:textId="77777777" w:rsidR="008F77B1" w:rsidRPr="005B0B7D" w:rsidRDefault="008F77B1" w:rsidP="00931CEA">
            <w:pPr>
              <w:ind w:firstLine="0"/>
              <w:jc w:val="center"/>
            </w:pPr>
            <w:r w:rsidRPr="005B0B7D">
              <w:t>32</w:t>
            </w:r>
          </w:p>
        </w:tc>
        <w:tc>
          <w:tcPr>
            <w:tcW w:w="1701" w:type="dxa"/>
            <w:tcBorders>
              <w:top w:val="single" w:sz="4" w:space="0" w:color="auto"/>
            </w:tcBorders>
            <w:vAlign w:val="center"/>
          </w:tcPr>
          <w:p w14:paraId="541865B3" w14:textId="77777777" w:rsidR="008F77B1" w:rsidRPr="005B0B7D" w:rsidRDefault="008F77B1" w:rsidP="00931CEA">
            <w:pPr>
              <w:ind w:firstLine="0"/>
              <w:jc w:val="center"/>
            </w:pPr>
            <w:r w:rsidRPr="005B0B7D">
              <w:t>10.3%</w:t>
            </w:r>
          </w:p>
        </w:tc>
        <w:tc>
          <w:tcPr>
            <w:tcW w:w="2977" w:type="dxa"/>
            <w:tcBorders>
              <w:top w:val="single" w:sz="4" w:space="0" w:color="auto"/>
            </w:tcBorders>
            <w:vAlign w:val="center"/>
          </w:tcPr>
          <w:p w14:paraId="47026D9A" w14:textId="77777777" w:rsidR="008F77B1" w:rsidRPr="005B0B7D" w:rsidRDefault="008F77B1" w:rsidP="00CC381A">
            <w:pPr>
              <w:pStyle w:val="TableFigure"/>
              <w:spacing w:before="0"/>
              <w:jc w:val="center"/>
            </w:pPr>
            <w:r w:rsidRPr="005B0B7D">
              <w:t>26.4%</w:t>
            </w:r>
          </w:p>
        </w:tc>
      </w:tr>
      <w:tr w:rsidR="008F77B1" w:rsidRPr="005B0B7D" w14:paraId="2AAE335D" w14:textId="77777777" w:rsidTr="00931CEA">
        <w:tc>
          <w:tcPr>
            <w:tcW w:w="3936" w:type="dxa"/>
          </w:tcPr>
          <w:p w14:paraId="2A620338" w14:textId="7C11F9F9" w:rsidR="008F77B1" w:rsidRPr="005B0B7D" w:rsidRDefault="008F77B1" w:rsidP="00B17797">
            <w:pPr>
              <w:pStyle w:val="TableFigure"/>
              <w:spacing w:before="0"/>
            </w:pPr>
            <w:r w:rsidRPr="005B0B7D">
              <w:t xml:space="preserve">No school diploma and teacher </w:t>
            </w:r>
            <w:r w:rsidR="0082446B" w:rsidRPr="005B0B7D">
              <w:t>[</w:t>
            </w:r>
            <w:proofErr w:type="spellStart"/>
            <w:r w:rsidRPr="005B0B7D">
              <w:t>Lehre</w:t>
            </w:r>
            <w:proofErr w:type="spellEnd"/>
            <w:r w:rsidR="0082446B" w:rsidRPr="005B0B7D">
              <w:t>]</w:t>
            </w:r>
            <w:r w:rsidRPr="005B0B7D">
              <w:t xml:space="preserve"> or completed vocational training </w:t>
            </w:r>
            <w:r w:rsidR="0082446B" w:rsidRPr="005B0B7D">
              <w:t>[</w:t>
            </w:r>
            <w:proofErr w:type="spellStart"/>
            <w:r w:rsidRPr="005B0B7D">
              <w:t>Abgeschlossene</w:t>
            </w:r>
            <w:proofErr w:type="spellEnd"/>
            <w:r w:rsidRPr="005B0B7D">
              <w:t xml:space="preserve"> </w:t>
            </w:r>
            <w:proofErr w:type="spellStart"/>
            <w:r w:rsidRPr="005B0B7D">
              <w:t>Berufsfachschule</w:t>
            </w:r>
            <w:proofErr w:type="spellEnd"/>
            <w:r w:rsidRPr="005B0B7D">
              <w:t xml:space="preserve">, </w:t>
            </w:r>
            <w:proofErr w:type="spellStart"/>
            <w:r w:rsidRPr="005B0B7D">
              <w:t>Handelsschule</w:t>
            </w:r>
            <w:proofErr w:type="spellEnd"/>
            <w:r w:rsidR="00B17797" w:rsidRPr="005B0B7D">
              <w:t>,</w:t>
            </w:r>
            <w:r w:rsidRPr="005B0B7D">
              <w:t xml:space="preserve"> </w:t>
            </w:r>
            <w:proofErr w:type="spellStart"/>
            <w:r w:rsidRPr="005B0B7D">
              <w:t>Fachschule</w:t>
            </w:r>
            <w:proofErr w:type="spellEnd"/>
            <w:r w:rsidR="0082446B" w:rsidRPr="005B0B7D">
              <w:t>]</w:t>
            </w:r>
          </w:p>
        </w:tc>
        <w:tc>
          <w:tcPr>
            <w:tcW w:w="1417" w:type="dxa"/>
            <w:vAlign w:val="center"/>
          </w:tcPr>
          <w:p w14:paraId="0D224B85" w14:textId="77777777" w:rsidR="008F77B1" w:rsidRPr="005B0B7D" w:rsidRDefault="008F77B1" w:rsidP="00931CEA">
            <w:pPr>
              <w:ind w:firstLine="0"/>
              <w:jc w:val="center"/>
            </w:pPr>
            <w:r w:rsidRPr="005B0B7D">
              <w:t>30</w:t>
            </w:r>
          </w:p>
        </w:tc>
        <w:tc>
          <w:tcPr>
            <w:tcW w:w="1701" w:type="dxa"/>
            <w:vAlign w:val="center"/>
          </w:tcPr>
          <w:p w14:paraId="77B7EE6D" w14:textId="77777777" w:rsidR="008F77B1" w:rsidRPr="005B0B7D" w:rsidRDefault="008F77B1" w:rsidP="00931CEA">
            <w:pPr>
              <w:ind w:firstLine="0"/>
              <w:jc w:val="center"/>
            </w:pPr>
            <w:r w:rsidRPr="005B0B7D">
              <w:t>9.6%</w:t>
            </w:r>
          </w:p>
        </w:tc>
        <w:tc>
          <w:tcPr>
            <w:tcW w:w="2977" w:type="dxa"/>
            <w:vAlign w:val="center"/>
          </w:tcPr>
          <w:p w14:paraId="6642C5E1" w14:textId="77777777" w:rsidR="008F77B1" w:rsidRPr="005B0B7D" w:rsidRDefault="008F77B1" w:rsidP="00CC381A">
            <w:pPr>
              <w:pStyle w:val="TableFigure"/>
              <w:spacing w:before="0"/>
              <w:jc w:val="center"/>
            </w:pPr>
            <w:r w:rsidRPr="005B0B7D">
              <w:t>18.4%</w:t>
            </w:r>
          </w:p>
        </w:tc>
      </w:tr>
      <w:tr w:rsidR="008F77B1" w:rsidRPr="005B0B7D" w14:paraId="1E4F9CF5" w14:textId="77777777" w:rsidTr="00931CEA">
        <w:tc>
          <w:tcPr>
            <w:tcW w:w="3936" w:type="dxa"/>
          </w:tcPr>
          <w:p w14:paraId="77F53C77" w14:textId="25B59680" w:rsidR="008F77B1" w:rsidRPr="005B0B7D" w:rsidRDefault="008F77B1" w:rsidP="00B17797">
            <w:pPr>
              <w:pStyle w:val="TableFigure"/>
              <w:spacing w:before="0"/>
            </w:pPr>
            <w:r w:rsidRPr="005B0B7D">
              <w:t xml:space="preserve">Completed high school </w:t>
            </w:r>
            <w:r w:rsidR="0082446B" w:rsidRPr="005B0B7D">
              <w:t>[</w:t>
            </w:r>
            <w:proofErr w:type="spellStart"/>
            <w:r w:rsidRPr="005B0B7D">
              <w:t>Realschule</w:t>
            </w:r>
            <w:proofErr w:type="spellEnd"/>
            <w:r w:rsidR="0082446B" w:rsidRPr="005B0B7D">
              <w:t>]</w:t>
            </w:r>
            <w:r w:rsidRPr="005B0B7D">
              <w:t xml:space="preserve"> and teacher </w:t>
            </w:r>
            <w:r w:rsidR="0082446B" w:rsidRPr="005B0B7D">
              <w:t>[</w:t>
            </w:r>
            <w:proofErr w:type="spellStart"/>
            <w:r w:rsidRPr="005B0B7D">
              <w:t>Lehre</w:t>
            </w:r>
            <w:proofErr w:type="spellEnd"/>
            <w:r w:rsidR="0082446B" w:rsidRPr="005B0B7D">
              <w:t>]</w:t>
            </w:r>
            <w:r w:rsidRPr="005B0B7D">
              <w:t xml:space="preserve"> or completed vocational training </w:t>
            </w:r>
            <w:r w:rsidR="0082446B" w:rsidRPr="005B0B7D">
              <w:t>[</w:t>
            </w:r>
            <w:proofErr w:type="spellStart"/>
            <w:r w:rsidRPr="005B0B7D">
              <w:t>Abgeschlossene</w:t>
            </w:r>
            <w:proofErr w:type="spellEnd"/>
            <w:r w:rsidRPr="005B0B7D">
              <w:t xml:space="preserve"> </w:t>
            </w:r>
            <w:proofErr w:type="spellStart"/>
            <w:r w:rsidRPr="005B0B7D">
              <w:t>Berufsfachschule</w:t>
            </w:r>
            <w:proofErr w:type="spellEnd"/>
            <w:r w:rsidRPr="005B0B7D">
              <w:t xml:space="preserve">, </w:t>
            </w:r>
            <w:proofErr w:type="spellStart"/>
            <w:r w:rsidRPr="005B0B7D">
              <w:t>Handelsschule</w:t>
            </w:r>
            <w:proofErr w:type="spellEnd"/>
            <w:r w:rsidR="00B17797" w:rsidRPr="005B0B7D">
              <w:t>,</w:t>
            </w:r>
            <w:r w:rsidRPr="005B0B7D">
              <w:t xml:space="preserve"> </w:t>
            </w:r>
            <w:proofErr w:type="spellStart"/>
            <w:r w:rsidRPr="005B0B7D">
              <w:t>Fachschule</w:t>
            </w:r>
            <w:proofErr w:type="spellEnd"/>
            <w:r w:rsidR="0082446B" w:rsidRPr="005B0B7D">
              <w:t>]</w:t>
            </w:r>
            <w:r w:rsidRPr="005B0B7D">
              <w:t xml:space="preserve"> or university/college studen</w:t>
            </w:r>
            <w:r w:rsidR="00B012F6" w:rsidRPr="005B0B7D">
              <w:t>t</w:t>
            </w:r>
            <w:r w:rsidR="001B6C31" w:rsidRPr="005B0B7D">
              <w:t xml:space="preserve"> </w:t>
            </w:r>
            <w:r w:rsidR="0082446B" w:rsidRPr="005B0B7D">
              <w:t>[</w:t>
            </w:r>
            <w:proofErr w:type="spellStart"/>
            <w:r w:rsidRPr="005B0B7D">
              <w:t>Studenten</w:t>
            </w:r>
            <w:proofErr w:type="spellEnd"/>
            <w:r w:rsidR="0082446B" w:rsidRPr="005B0B7D">
              <w:t>]</w:t>
            </w:r>
          </w:p>
        </w:tc>
        <w:tc>
          <w:tcPr>
            <w:tcW w:w="1417" w:type="dxa"/>
            <w:vAlign w:val="center"/>
          </w:tcPr>
          <w:p w14:paraId="161D9E97" w14:textId="77777777" w:rsidR="008F77B1" w:rsidRPr="005B0B7D" w:rsidRDefault="008F77B1" w:rsidP="00931CEA">
            <w:pPr>
              <w:ind w:firstLine="0"/>
              <w:jc w:val="center"/>
            </w:pPr>
            <w:r w:rsidRPr="005B0B7D">
              <w:t>58</w:t>
            </w:r>
          </w:p>
        </w:tc>
        <w:tc>
          <w:tcPr>
            <w:tcW w:w="1701" w:type="dxa"/>
            <w:vAlign w:val="center"/>
          </w:tcPr>
          <w:p w14:paraId="0959B5FD" w14:textId="77777777" w:rsidR="008F77B1" w:rsidRPr="005B0B7D" w:rsidRDefault="008F77B1" w:rsidP="00931CEA">
            <w:pPr>
              <w:ind w:firstLine="0"/>
              <w:jc w:val="center"/>
            </w:pPr>
            <w:r w:rsidRPr="005B0B7D">
              <w:t>18.6%</w:t>
            </w:r>
          </w:p>
        </w:tc>
        <w:tc>
          <w:tcPr>
            <w:tcW w:w="2977" w:type="dxa"/>
            <w:vAlign w:val="center"/>
          </w:tcPr>
          <w:p w14:paraId="51A7680D" w14:textId="77777777" w:rsidR="008F77B1" w:rsidRPr="005B0B7D" w:rsidRDefault="008F77B1" w:rsidP="00CC381A">
            <w:pPr>
              <w:pStyle w:val="TableFigure"/>
              <w:spacing w:before="0"/>
              <w:jc w:val="center"/>
            </w:pPr>
            <w:r w:rsidRPr="005B0B7D">
              <w:t>31.6%</w:t>
            </w:r>
          </w:p>
        </w:tc>
      </w:tr>
      <w:tr w:rsidR="008F77B1" w:rsidRPr="005B0B7D" w14:paraId="157DEBD0" w14:textId="77777777" w:rsidTr="00931CEA">
        <w:tc>
          <w:tcPr>
            <w:tcW w:w="3936" w:type="dxa"/>
          </w:tcPr>
          <w:p w14:paraId="6F451B7F" w14:textId="485DD5E5" w:rsidR="008F77B1" w:rsidRPr="005B0B7D" w:rsidRDefault="008F77B1" w:rsidP="004E62BE">
            <w:pPr>
              <w:pStyle w:val="TableFigure"/>
              <w:spacing w:before="0"/>
            </w:pPr>
            <w:r w:rsidRPr="005B0B7D">
              <w:t xml:space="preserve">Completed high school </w:t>
            </w:r>
            <w:r w:rsidR="0082446B" w:rsidRPr="005B0B7D">
              <w:t>[</w:t>
            </w:r>
            <w:proofErr w:type="spellStart"/>
            <w:r w:rsidRPr="005B0B7D">
              <w:t>Polytechnische</w:t>
            </w:r>
            <w:proofErr w:type="spellEnd"/>
            <w:r w:rsidRPr="005B0B7D">
              <w:t xml:space="preserve"> </w:t>
            </w:r>
            <w:proofErr w:type="spellStart"/>
            <w:r w:rsidRPr="005B0B7D">
              <w:t>Oberschule</w:t>
            </w:r>
            <w:proofErr w:type="spellEnd"/>
            <w:r w:rsidRPr="005B0B7D">
              <w:t xml:space="preserve"> </w:t>
            </w:r>
            <w:r w:rsidR="0082446B" w:rsidRPr="005B0B7D">
              <w:t>[</w:t>
            </w:r>
            <w:r w:rsidRPr="005B0B7D">
              <w:t>POS</w:t>
            </w:r>
            <w:r w:rsidR="0082446B" w:rsidRPr="005B0B7D">
              <w:t>]</w:t>
            </w:r>
            <w:r w:rsidRPr="005B0B7D">
              <w:t xml:space="preserve"> 10. </w:t>
            </w:r>
            <w:proofErr w:type="spellStart"/>
            <w:r w:rsidRPr="005B0B7D">
              <w:t>Klasse</w:t>
            </w:r>
            <w:proofErr w:type="spellEnd"/>
            <w:r w:rsidRPr="005B0B7D">
              <w:t>,</w:t>
            </w:r>
          </w:p>
          <w:p w14:paraId="493CD5B1" w14:textId="0C9AB3E2" w:rsidR="008F77B1" w:rsidRPr="005B0B7D" w:rsidRDefault="008F77B1" w:rsidP="004E62BE">
            <w:pPr>
              <w:pStyle w:val="TableFigure"/>
              <w:spacing w:before="0"/>
            </w:pPr>
            <w:proofErr w:type="spellStart"/>
            <w:r w:rsidRPr="005B0B7D">
              <w:t>Fachhochschulreife</w:t>
            </w:r>
            <w:proofErr w:type="spellEnd"/>
            <w:r w:rsidRPr="005B0B7D">
              <w:t xml:space="preserve">, </w:t>
            </w:r>
            <w:proofErr w:type="spellStart"/>
            <w:r w:rsidRPr="005B0B7D">
              <w:t>Abschluss</w:t>
            </w:r>
            <w:proofErr w:type="spellEnd"/>
            <w:r w:rsidRPr="005B0B7D">
              <w:t xml:space="preserve"> </w:t>
            </w:r>
            <w:proofErr w:type="spellStart"/>
            <w:r w:rsidRPr="005B0B7D">
              <w:t>Fachoberschule</w:t>
            </w:r>
            <w:proofErr w:type="spellEnd"/>
            <w:r w:rsidR="0082446B" w:rsidRPr="005B0B7D">
              <w:t>]</w:t>
            </w:r>
            <w:r w:rsidRPr="005B0B7D">
              <w:t xml:space="preserve"> and teacher </w:t>
            </w:r>
            <w:r w:rsidR="0082446B" w:rsidRPr="005B0B7D">
              <w:t>[</w:t>
            </w:r>
            <w:proofErr w:type="spellStart"/>
            <w:r w:rsidRPr="005B0B7D">
              <w:t>Lehre</w:t>
            </w:r>
            <w:proofErr w:type="spellEnd"/>
            <w:r w:rsidR="0082446B" w:rsidRPr="005B0B7D">
              <w:t>]</w:t>
            </w:r>
            <w:r w:rsidRPr="005B0B7D">
              <w:t xml:space="preserve"> or completed vocational training </w:t>
            </w:r>
            <w:r w:rsidR="0082446B" w:rsidRPr="005B0B7D">
              <w:lastRenderedPageBreak/>
              <w:t>[</w:t>
            </w:r>
            <w:proofErr w:type="spellStart"/>
            <w:r w:rsidRPr="005B0B7D">
              <w:t>Abgeschlossene</w:t>
            </w:r>
            <w:proofErr w:type="spellEnd"/>
            <w:r w:rsidRPr="005B0B7D">
              <w:t xml:space="preserve"> </w:t>
            </w:r>
            <w:proofErr w:type="spellStart"/>
            <w:r w:rsidRPr="005B0B7D">
              <w:t>Berufsfachschule</w:t>
            </w:r>
            <w:proofErr w:type="spellEnd"/>
            <w:r w:rsidRPr="005B0B7D">
              <w:t xml:space="preserve">, </w:t>
            </w:r>
            <w:proofErr w:type="spellStart"/>
            <w:r w:rsidRPr="005B0B7D">
              <w:t>Handelsschule</w:t>
            </w:r>
            <w:proofErr w:type="spellEnd"/>
            <w:r w:rsidRPr="005B0B7D">
              <w:t xml:space="preserve"> or </w:t>
            </w:r>
            <w:proofErr w:type="spellStart"/>
            <w:r w:rsidRPr="005B0B7D">
              <w:t>Fachschule</w:t>
            </w:r>
            <w:proofErr w:type="spellEnd"/>
            <w:r w:rsidR="0082446B" w:rsidRPr="005B0B7D">
              <w:t>]</w:t>
            </w:r>
            <w:r w:rsidRPr="005B0B7D">
              <w:t xml:space="preserve"> or university/college studen</w:t>
            </w:r>
            <w:r w:rsidR="00B012F6" w:rsidRPr="005B0B7D">
              <w:t>t</w:t>
            </w:r>
            <w:r w:rsidR="001B6C31" w:rsidRPr="005B0B7D">
              <w:t xml:space="preserve"> </w:t>
            </w:r>
            <w:r w:rsidR="0082446B" w:rsidRPr="005B0B7D">
              <w:t>[</w:t>
            </w:r>
            <w:proofErr w:type="spellStart"/>
            <w:r w:rsidRPr="005B0B7D">
              <w:t>Studenten</w:t>
            </w:r>
            <w:proofErr w:type="spellEnd"/>
            <w:r w:rsidR="0082446B" w:rsidRPr="005B0B7D">
              <w:t>]</w:t>
            </w:r>
          </w:p>
        </w:tc>
        <w:tc>
          <w:tcPr>
            <w:tcW w:w="1417" w:type="dxa"/>
            <w:vAlign w:val="center"/>
          </w:tcPr>
          <w:p w14:paraId="3DDEB933" w14:textId="77777777" w:rsidR="008F77B1" w:rsidRPr="005B0B7D" w:rsidRDefault="008F77B1" w:rsidP="00931CEA">
            <w:pPr>
              <w:ind w:firstLine="0"/>
              <w:jc w:val="center"/>
            </w:pPr>
            <w:r w:rsidRPr="005B0B7D">
              <w:lastRenderedPageBreak/>
              <w:t>38</w:t>
            </w:r>
          </w:p>
        </w:tc>
        <w:tc>
          <w:tcPr>
            <w:tcW w:w="1701" w:type="dxa"/>
            <w:vAlign w:val="center"/>
          </w:tcPr>
          <w:p w14:paraId="2473A176" w14:textId="77777777" w:rsidR="008F77B1" w:rsidRPr="005B0B7D" w:rsidRDefault="008F77B1" w:rsidP="00931CEA">
            <w:pPr>
              <w:ind w:firstLine="0"/>
              <w:jc w:val="center"/>
            </w:pPr>
            <w:r w:rsidRPr="005B0B7D">
              <w:t>12.2%</w:t>
            </w:r>
          </w:p>
        </w:tc>
        <w:tc>
          <w:tcPr>
            <w:tcW w:w="2977" w:type="dxa"/>
            <w:vAlign w:val="center"/>
          </w:tcPr>
          <w:p w14:paraId="0305EDBC" w14:textId="77777777" w:rsidR="008F77B1" w:rsidRPr="005B0B7D" w:rsidRDefault="008F77B1" w:rsidP="00CC381A">
            <w:pPr>
              <w:pStyle w:val="TableFigure"/>
              <w:spacing w:before="0"/>
              <w:jc w:val="center"/>
            </w:pPr>
            <w:r w:rsidRPr="005B0B7D">
              <w:t>2.3%</w:t>
            </w:r>
          </w:p>
        </w:tc>
      </w:tr>
      <w:tr w:rsidR="008F77B1" w:rsidRPr="005B0B7D" w14:paraId="29A9A3BF" w14:textId="77777777" w:rsidTr="00931CEA">
        <w:tc>
          <w:tcPr>
            <w:tcW w:w="3936" w:type="dxa"/>
          </w:tcPr>
          <w:p w14:paraId="1ACC4BFB" w14:textId="1C73BD05" w:rsidR="008F77B1" w:rsidRPr="005B0B7D" w:rsidRDefault="008F77B1" w:rsidP="00B17797">
            <w:pPr>
              <w:pStyle w:val="TableFigure"/>
              <w:spacing w:before="0"/>
            </w:pPr>
            <w:r w:rsidRPr="005B0B7D">
              <w:lastRenderedPageBreak/>
              <w:t xml:space="preserve">Completed high school </w:t>
            </w:r>
            <w:r w:rsidR="0082446B" w:rsidRPr="005B0B7D">
              <w:t>[</w:t>
            </w:r>
            <w:proofErr w:type="spellStart"/>
            <w:r w:rsidRPr="005B0B7D">
              <w:t>Abitur</w:t>
            </w:r>
            <w:proofErr w:type="spellEnd"/>
            <w:r w:rsidR="0082446B" w:rsidRPr="005B0B7D">
              <w:t>]</w:t>
            </w:r>
            <w:r w:rsidRPr="005B0B7D">
              <w:t xml:space="preserve"> and no vocational training certificate </w:t>
            </w:r>
            <w:r w:rsidR="0082446B" w:rsidRPr="005B0B7D">
              <w:t>[</w:t>
            </w:r>
            <w:proofErr w:type="spellStart"/>
            <w:r w:rsidRPr="005B0B7D">
              <w:t>Berufsabschluss</w:t>
            </w:r>
            <w:proofErr w:type="spellEnd"/>
            <w:r w:rsidR="0082446B" w:rsidRPr="005B0B7D">
              <w:t>]</w:t>
            </w:r>
            <w:r w:rsidRPr="005B0B7D">
              <w:t xml:space="preserve">, or currently in vocational training </w:t>
            </w:r>
            <w:r w:rsidR="0082446B" w:rsidRPr="005B0B7D">
              <w:t>[</w:t>
            </w:r>
            <w:proofErr w:type="spellStart"/>
            <w:r w:rsidRPr="005B0B7D">
              <w:t>Lehre</w:t>
            </w:r>
            <w:proofErr w:type="spellEnd"/>
            <w:r w:rsidR="00B17797" w:rsidRPr="005B0B7D">
              <w:t>,</w:t>
            </w:r>
            <w:r w:rsidRPr="005B0B7D">
              <w:t xml:space="preserve"> </w:t>
            </w:r>
            <w:proofErr w:type="spellStart"/>
            <w:r w:rsidRPr="005B0B7D">
              <w:t>Berufsausbildung</w:t>
            </w:r>
            <w:proofErr w:type="spellEnd"/>
            <w:r w:rsidR="0082446B" w:rsidRPr="005B0B7D">
              <w:t>]</w:t>
            </w:r>
            <w:r w:rsidRPr="005B0B7D">
              <w:t>, or university/college studen</w:t>
            </w:r>
            <w:r w:rsidR="00B012F6" w:rsidRPr="005B0B7D">
              <w:t>t</w:t>
            </w:r>
            <w:r w:rsidR="001B6C31" w:rsidRPr="005B0B7D">
              <w:t xml:space="preserve"> </w:t>
            </w:r>
            <w:r w:rsidR="0082446B" w:rsidRPr="005B0B7D">
              <w:t>[</w:t>
            </w:r>
            <w:proofErr w:type="spellStart"/>
            <w:r w:rsidRPr="005B0B7D">
              <w:t>Studenten</w:t>
            </w:r>
            <w:proofErr w:type="spellEnd"/>
            <w:r w:rsidR="0082446B" w:rsidRPr="005B0B7D">
              <w:t>]</w:t>
            </w:r>
          </w:p>
        </w:tc>
        <w:tc>
          <w:tcPr>
            <w:tcW w:w="1417" w:type="dxa"/>
            <w:vAlign w:val="center"/>
          </w:tcPr>
          <w:p w14:paraId="2A8B9641" w14:textId="77777777" w:rsidR="008F77B1" w:rsidRPr="005B0B7D" w:rsidRDefault="008F77B1" w:rsidP="00931CEA">
            <w:pPr>
              <w:ind w:firstLine="0"/>
              <w:jc w:val="center"/>
            </w:pPr>
            <w:r w:rsidRPr="005B0B7D">
              <w:t>76</w:t>
            </w:r>
          </w:p>
        </w:tc>
        <w:tc>
          <w:tcPr>
            <w:tcW w:w="1701" w:type="dxa"/>
            <w:vAlign w:val="center"/>
          </w:tcPr>
          <w:p w14:paraId="48100CAF" w14:textId="77777777" w:rsidR="008F77B1" w:rsidRPr="005B0B7D" w:rsidRDefault="008F77B1" w:rsidP="00931CEA">
            <w:pPr>
              <w:ind w:firstLine="0"/>
              <w:jc w:val="center"/>
            </w:pPr>
            <w:r w:rsidRPr="005B0B7D">
              <w:t>24.4%</w:t>
            </w:r>
          </w:p>
        </w:tc>
        <w:tc>
          <w:tcPr>
            <w:tcW w:w="2977" w:type="dxa"/>
            <w:vAlign w:val="center"/>
          </w:tcPr>
          <w:p w14:paraId="2AC383F2" w14:textId="77777777" w:rsidR="008F77B1" w:rsidRPr="005B0B7D" w:rsidRDefault="008F77B1" w:rsidP="00CC381A">
            <w:pPr>
              <w:pStyle w:val="TableFigure"/>
              <w:spacing w:before="0"/>
              <w:jc w:val="center"/>
            </w:pPr>
            <w:r w:rsidRPr="005B0B7D">
              <w:t>5.9%</w:t>
            </w:r>
          </w:p>
        </w:tc>
      </w:tr>
      <w:tr w:rsidR="008F77B1" w:rsidRPr="005B0B7D" w14:paraId="164387B4" w14:textId="77777777" w:rsidTr="00931CEA">
        <w:tc>
          <w:tcPr>
            <w:tcW w:w="3936" w:type="dxa"/>
          </w:tcPr>
          <w:p w14:paraId="6BFB9F24" w14:textId="7540A1F3" w:rsidR="008F77B1" w:rsidRPr="005B0B7D" w:rsidRDefault="008F77B1" w:rsidP="00B17797">
            <w:pPr>
              <w:pStyle w:val="TableFigure"/>
              <w:spacing w:before="0"/>
            </w:pPr>
            <w:r w:rsidRPr="005B0B7D">
              <w:t xml:space="preserve">Completed high school </w:t>
            </w:r>
            <w:r w:rsidR="0082446B" w:rsidRPr="005B0B7D">
              <w:t>[</w:t>
            </w:r>
            <w:proofErr w:type="spellStart"/>
            <w:r w:rsidRPr="005B0B7D">
              <w:t>Abitur</w:t>
            </w:r>
            <w:proofErr w:type="spellEnd"/>
            <w:r w:rsidR="0082446B" w:rsidRPr="005B0B7D">
              <w:t>]</w:t>
            </w:r>
            <w:r w:rsidRPr="005B0B7D">
              <w:t xml:space="preserve"> and applied university degree </w:t>
            </w:r>
            <w:r w:rsidR="0082446B" w:rsidRPr="005B0B7D">
              <w:t>[</w:t>
            </w:r>
            <w:proofErr w:type="spellStart"/>
            <w:r w:rsidRPr="005B0B7D">
              <w:t>Abgeschlossenes</w:t>
            </w:r>
            <w:proofErr w:type="spellEnd"/>
            <w:r w:rsidRPr="005B0B7D">
              <w:t xml:space="preserve"> </w:t>
            </w:r>
            <w:proofErr w:type="spellStart"/>
            <w:r w:rsidRPr="005B0B7D">
              <w:t>Studium</w:t>
            </w:r>
            <w:proofErr w:type="spellEnd"/>
            <w:r w:rsidRPr="005B0B7D">
              <w:t xml:space="preserve"> </w:t>
            </w:r>
            <w:proofErr w:type="spellStart"/>
            <w:r w:rsidRPr="005B0B7D">
              <w:t>Fachhochschule</w:t>
            </w:r>
            <w:proofErr w:type="spellEnd"/>
            <w:r w:rsidR="00B17797" w:rsidRPr="005B0B7D">
              <w:t>,</w:t>
            </w:r>
            <w:r w:rsidRPr="005B0B7D">
              <w:t xml:space="preserve"> </w:t>
            </w:r>
            <w:proofErr w:type="spellStart"/>
            <w:r w:rsidRPr="005B0B7D">
              <w:t>Ingenieurschule</w:t>
            </w:r>
            <w:proofErr w:type="spellEnd"/>
            <w:r w:rsidR="0082446B" w:rsidRPr="005B0B7D">
              <w:t>]</w:t>
            </w:r>
          </w:p>
        </w:tc>
        <w:tc>
          <w:tcPr>
            <w:tcW w:w="1417" w:type="dxa"/>
            <w:vAlign w:val="center"/>
          </w:tcPr>
          <w:p w14:paraId="2F15103B" w14:textId="77777777" w:rsidR="008F77B1" w:rsidRPr="005B0B7D" w:rsidRDefault="008F77B1" w:rsidP="00931CEA">
            <w:pPr>
              <w:ind w:firstLine="0"/>
              <w:jc w:val="center"/>
            </w:pPr>
            <w:r w:rsidRPr="005B0B7D">
              <w:t>26</w:t>
            </w:r>
          </w:p>
        </w:tc>
        <w:tc>
          <w:tcPr>
            <w:tcW w:w="1701" w:type="dxa"/>
            <w:vAlign w:val="center"/>
          </w:tcPr>
          <w:p w14:paraId="561C6D7E" w14:textId="77777777" w:rsidR="008F77B1" w:rsidRPr="005B0B7D" w:rsidRDefault="008F77B1" w:rsidP="00931CEA">
            <w:pPr>
              <w:ind w:firstLine="0"/>
              <w:jc w:val="center"/>
            </w:pPr>
            <w:r w:rsidRPr="005B0B7D">
              <w:t>8.3%</w:t>
            </w:r>
          </w:p>
        </w:tc>
        <w:tc>
          <w:tcPr>
            <w:tcW w:w="2977" w:type="dxa"/>
            <w:vAlign w:val="center"/>
          </w:tcPr>
          <w:p w14:paraId="1BA14E3F" w14:textId="77777777" w:rsidR="008F77B1" w:rsidRPr="005B0B7D" w:rsidRDefault="008F77B1" w:rsidP="00CC381A">
            <w:pPr>
              <w:pStyle w:val="TableFigure"/>
              <w:spacing w:before="0"/>
              <w:jc w:val="center"/>
            </w:pPr>
            <w:r w:rsidRPr="005B0B7D">
              <w:t>5.3%</w:t>
            </w:r>
          </w:p>
        </w:tc>
      </w:tr>
      <w:tr w:rsidR="008F77B1" w:rsidRPr="005B0B7D" w14:paraId="2706CE44" w14:textId="77777777" w:rsidTr="00931CEA">
        <w:tc>
          <w:tcPr>
            <w:tcW w:w="3936" w:type="dxa"/>
            <w:tcBorders>
              <w:bottom w:val="single" w:sz="4" w:space="0" w:color="auto"/>
            </w:tcBorders>
          </w:tcPr>
          <w:p w14:paraId="37B9BC70" w14:textId="643F35D7" w:rsidR="008F77B1" w:rsidRPr="005B0B7D" w:rsidRDefault="008F77B1" w:rsidP="004E62BE">
            <w:pPr>
              <w:pStyle w:val="TableFigure"/>
              <w:spacing w:before="0"/>
            </w:pPr>
            <w:r w:rsidRPr="005B0B7D">
              <w:t xml:space="preserve">Completed high school </w:t>
            </w:r>
            <w:r w:rsidR="0082446B" w:rsidRPr="005B0B7D">
              <w:t>[</w:t>
            </w:r>
            <w:proofErr w:type="spellStart"/>
            <w:r w:rsidRPr="005B0B7D">
              <w:t>Abitur</w:t>
            </w:r>
            <w:proofErr w:type="spellEnd"/>
            <w:r w:rsidR="0082446B" w:rsidRPr="005B0B7D">
              <w:t>]</w:t>
            </w:r>
            <w:r w:rsidRPr="005B0B7D">
              <w:t xml:space="preserve"> and university degree </w:t>
            </w:r>
            <w:r w:rsidR="0082446B" w:rsidRPr="005B0B7D">
              <w:t>[</w:t>
            </w:r>
            <w:proofErr w:type="spellStart"/>
            <w:r w:rsidRPr="005B0B7D">
              <w:t>Abgeschlossenes</w:t>
            </w:r>
            <w:proofErr w:type="spellEnd"/>
            <w:r w:rsidRPr="005B0B7D">
              <w:t xml:space="preserve"> </w:t>
            </w:r>
            <w:proofErr w:type="spellStart"/>
            <w:r w:rsidRPr="005B0B7D">
              <w:t>Studium</w:t>
            </w:r>
            <w:proofErr w:type="spellEnd"/>
            <w:r w:rsidRPr="005B0B7D">
              <w:t xml:space="preserve"> </w:t>
            </w:r>
            <w:proofErr w:type="spellStart"/>
            <w:r w:rsidRPr="005B0B7D">
              <w:t>Universität</w:t>
            </w:r>
            <w:proofErr w:type="spellEnd"/>
            <w:r w:rsidRPr="005B0B7D">
              <w:t>/</w:t>
            </w:r>
            <w:proofErr w:type="spellStart"/>
            <w:r w:rsidRPr="005B0B7D">
              <w:t>Hochschule</w:t>
            </w:r>
            <w:proofErr w:type="spellEnd"/>
            <w:r w:rsidR="0082446B" w:rsidRPr="005B0B7D">
              <w:t>]</w:t>
            </w:r>
          </w:p>
        </w:tc>
        <w:tc>
          <w:tcPr>
            <w:tcW w:w="1417" w:type="dxa"/>
            <w:tcBorders>
              <w:bottom w:val="single" w:sz="4" w:space="0" w:color="auto"/>
            </w:tcBorders>
            <w:vAlign w:val="center"/>
          </w:tcPr>
          <w:p w14:paraId="6B7EE96E" w14:textId="77777777" w:rsidR="008F77B1" w:rsidRPr="005B0B7D" w:rsidRDefault="008F77B1" w:rsidP="00931CEA">
            <w:pPr>
              <w:ind w:firstLine="0"/>
              <w:jc w:val="center"/>
            </w:pPr>
            <w:r w:rsidRPr="005B0B7D">
              <w:t>52</w:t>
            </w:r>
          </w:p>
        </w:tc>
        <w:tc>
          <w:tcPr>
            <w:tcW w:w="1701" w:type="dxa"/>
            <w:tcBorders>
              <w:bottom w:val="single" w:sz="4" w:space="0" w:color="auto"/>
            </w:tcBorders>
            <w:vAlign w:val="center"/>
          </w:tcPr>
          <w:p w14:paraId="7ECE0B81" w14:textId="77777777" w:rsidR="008F77B1" w:rsidRPr="005B0B7D" w:rsidRDefault="008F77B1" w:rsidP="00931CEA">
            <w:pPr>
              <w:ind w:firstLine="0"/>
              <w:jc w:val="center"/>
            </w:pPr>
            <w:r w:rsidRPr="005B0B7D">
              <w:t>16.7%</w:t>
            </w:r>
          </w:p>
        </w:tc>
        <w:tc>
          <w:tcPr>
            <w:tcW w:w="2977" w:type="dxa"/>
            <w:tcBorders>
              <w:bottom w:val="single" w:sz="4" w:space="0" w:color="auto"/>
            </w:tcBorders>
            <w:vAlign w:val="center"/>
          </w:tcPr>
          <w:p w14:paraId="419C5F74" w14:textId="77777777" w:rsidR="008F77B1" w:rsidRPr="005B0B7D" w:rsidRDefault="008F77B1" w:rsidP="00CC381A">
            <w:pPr>
              <w:pStyle w:val="TableFigure"/>
              <w:spacing w:before="0"/>
              <w:jc w:val="center"/>
            </w:pPr>
            <w:r w:rsidRPr="005B0B7D">
              <w:t>8.3%</w:t>
            </w:r>
          </w:p>
        </w:tc>
      </w:tr>
    </w:tbl>
    <w:p w14:paraId="4B23DA79" w14:textId="77777777" w:rsidR="00FC6B43" w:rsidRPr="005B0B7D" w:rsidRDefault="00FC6B43" w:rsidP="003F1E33"/>
    <w:p w14:paraId="398130A5" w14:textId="386B0173" w:rsidR="00FC6B43" w:rsidRPr="005B0B7D" w:rsidRDefault="00FC6B43" w:rsidP="0046020A">
      <w:pPr>
        <w:pStyle w:val="Heading3"/>
        <w:rPr>
          <w:b w:val="0"/>
        </w:rPr>
      </w:pPr>
      <w:r w:rsidRPr="005B0B7D">
        <w:t xml:space="preserve">Income. </w:t>
      </w:r>
      <w:r w:rsidRPr="005B0B7D">
        <w:rPr>
          <w:b w:val="0"/>
        </w:rPr>
        <w:t xml:space="preserve">The average monthly income of the participants is compared with the average monthly income of German population 2008 from the German Federal Statistic office </w:t>
      </w:r>
      <w:r w:rsidR="00C92DB8" w:rsidRPr="005B0B7D">
        <w:rPr>
          <w:b w:val="0"/>
        </w:rPr>
        <w:fldChar w:fldCharType="begin"/>
      </w:r>
      <w:r w:rsidR="00DE5D0F" w:rsidRPr="005B0B7D">
        <w:rPr>
          <w:b w:val="0"/>
        </w:rPr>
        <w:instrText xml:space="preserve"> ADDIN ZOTERO_ITEM CSL_CITATION {"citationID":"XhO3OXt6","properties":{"formattedCitation":"(Statistisches Bundesamt, 2012)","plainCitation":"(Statistisches Bundesamt, 2012)"},"citationItems":[{"id":2949,"uris":["http://zotero.org/users/1509854/items/BM7NUGMK"],"uri":["http://zotero.org/users/1509854/items/BM7NUGMK"],"itemData":{"id":2949,"type":"report","title":"Einkommensverteilung, Einkommensarmut und Einkommensreichtum in Deutschland 2008","collection-title":"Fachserie 15 Heft 6 – 2008","publisher":"Statistisches Bundesamt","publisher-place":"Wiesbaden","event-place":"Wiesbaden","URL":"https://www.destatis.de/DE/Publikationen/Thematisch/EinkommenKonsumLebensbedingungen/EinkommenVerbrauch/Einkommensverteilung2152606089004.pdf?__blob=publicationFile","number":"2152606089004","author":[{"literal":"Statistisches Bundesamt"}],"issued":{"date-parts":[["2012",3,8]]}}}],"schema":"https://github.com/citation-style-language/schema/raw/master/csl-citation.json"} </w:instrText>
      </w:r>
      <w:r w:rsidR="00C92DB8" w:rsidRPr="005B0B7D">
        <w:rPr>
          <w:b w:val="0"/>
        </w:rPr>
        <w:fldChar w:fldCharType="separate"/>
      </w:r>
      <w:r w:rsidR="00B012F6" w:rsidRPr="005B0B7D">
        <w:t>(</w:t>
      </w:r>
      <w:r w:rsidR="00601FAB" w:rsidRPr="005B0B7D">
        <w:t>Statistisches Bundesamt, 2012)</w:t>
      </w:r>
      <w:r w:rsidR="00C92DB8" w:rsidRPr="005B0B7D">
        <w:rPr>
          <w:b w:val="0"/>
        </w:rPr>
        <w:fldChar w:fldCharType="end"/>
      </w:r>
      <w:r w:rsidRPr="005B0B7D">
        <w:rPr>
          <w:b w:val="0"/>
        </w:rPr>
        <w:t xml:space="preserve">. </w:t>
      </w:r>
      <w:r w:rsidR="00B17797" w:rsidRPr="005B0B7D">
        <w:rPr>
          <w:b w:val="0"/>
        </w:rPr>
        <w:t>Note, h</w:t>
      </w:r>
      <w:r w:rsidRPr="005B0B7D">
        <w:rPr>
          <w:b w:val="0"/>
        </w:rPr>
        <w:t xml:space="preserve">owever, </w:t>
      </w:r>
      <w:r w:rsidR="00B17797" w:rsidRPr="005B0B7D">
        <w:rPr>
          <w:b w:val="0"/>
        </w:rPr>
        <w:t xml:space="preserve">that </w:t>
      </w:r>
      <w:r w:rsidRPr="005B0B7D">
        <w:rPr>
          <w:b w:val="0"/>
        </w:rPr>
        <w:t>the percentages are only a</w:t>
      </w:r>
      <w:r w:rsidR="0093494E" w:rsidRPr="005B0B7D">
        <w:rPr>
          <w:b w:val="0"/>
        </w:rPr>
        <w:t>n a</w:t>
      </w:r>
      <w:r w:rsidRPr="005B0B7D">
        <w:rPr>
          <w:b w:val="0"/>
        </w:rPr>
        <w:t xml:space="preserve">pproximation. For example, the survey’s answer categories of 3,000-3,999€ and 4,000-4,999€ are regarded as equivalent to the category of 3,600 – 5,000€ in the German census data. </w:t>
      </w:r>
      <w:r w:rsidR="00AA0D79" w:rsidRPr="005B0B7D">
        <w:rPr>
          <w:b w:val="0"/>
        </w:rPr>
        <w:t>Here</w:t>
      </w:r>
      <w:r w:rsidR="00B17797" w:rsidRPr="005B0B7D">
        <w:rPr>
          <w:b w:val="0"/>
        </w:rPr>
        <w:t>,</w:t>
      </w:r>
      <w:r w:rsidR="00AA0D79" w:rsidRPr="005B0B7D">
        <w:rPr>
          <w:b w:val="0"/>
        </w:rPr>
        <w:t xml:space="preserve"> the trend that the participants from our sample </w:t>
      </w:r>
      <w:r w:rsidR="00B17797" w:rsidRPr="005B0B7D">
        <w:rPr>
          <w:b w:val="0"/>
        </w:rPr>
        <w:t>have a</w:t>
      </w:r>
      <w:r w:rsidR="00AA0D79" w:rsidRPr="005B0B7D">
        <w:rPr>
          <w:b w:val="0"/>
        </w:rPr>
        <w:t xml:space="preserve"> lower income than </w:t>
      </w:r>
      <w:r w:rsidR="00B17797" w:rsidRPr="005B0B7D">
        <w:rPr>
          <w:b w:val="0"/>
        </w:rPr>
        <w:t>Germany’s</w:t>
      </w:r>
      <w:r w:rsidR="00AA0D79" w:rsidRPr="005B0B7D">
        <w:rPr>
          <w:b w:val="0"/>
        </w:rPr>
        <w:t xml:space="preserve"> general population </w:t>
      </w:r>
      <w:r w:rsidR="00B17797" w:rsidRPr="005B0B7D">
        <w:rPr>
          <w:b w:val="0"/>
        </w:rPr>
        <w:t xml:space="preserve">becomes clear </w:t>
      </w:r>
      <w:r w:rsidR="00AA0D79" w:rsidRPr="005B0B7D">
        <w:rPr>
          <w:b w:val="0"/>
        </w:rPr>
        <w:t xml:space="preserve">by the underrepresentation of the highest income category </w:t>
      </w:r>
      <w:r w:rsidR="00B012F6" w:rsidRPr="005B0B7D">
        <w:rPr>
          <w:b w:val="0"/>
        </w:rPr>
        <w:t>(</w:t>
      </w:r>
      <w:r w:rsidR="00AA0D79" w:rsidRPr="005B0B7D">
        <w:rPr>
          <w:b w:val="0"/>
        </w:rPr>
        <w:t xml:space="preserve">3.2% in our sample </w:t>
      </w:r>
      <w:proofErr w:type="spellStart"/>
      <w:r w:rsidR="00AA0D79" w:rsidRPr="005B0B7D">
        <w:rPr>
          <w:b w:val="0"/>
        </w:rPr>
        <w:t>vs</w:t>
      </w:r>
      <w:proofErr w:type="spellEnd"/>
      <w:r w:rsidR="00AA0D79" w:rsidRPr="005B0B7D">
        <w:rPr>
          <w:b w:val="0"/>
        </w:rPr>
        <w:t xml:space="preserve"> 13% in Germany) and the overrepresentation of the lowest income category </w:t>
      </w:r>
      <w:r w:rsidR="00B012F6" w:rsidRPr="005B0B7D">
        <w:rPr>
          <w:b w:val="0"/>
        </w:rPr>
        <w:t>(</w:t>
      </w:r>
      <w:r w:rsidR="00AA0D79" w:rsidRPr="005B0B7D">
        <w:rPr>
          <w:b w:val="0"/>
        </w:rPr>
        <w:t xml:space="preserve">31.1% in our sample </w:t>
      </w:r>
      <w:proofErr w:type="spellStart"/>
      <w:r w:rsidR="00AA0D79" w:rsidRPr="005B0B7D">
        <w:rPr>
          <w:b w:val="0"/>
        </w:rPr>
        <w:t>vs</w:t>
      </w:r>
      <w:proofErr w:type="spellEnd"/>
      <w:r w:rsidR="00AA0D79" w:rsidRPr="005B0B7D">
        <w:rPr>
          <w:b w:val="0"/>
        </w:rPr>
        <w:t xml:space="preserve"> 20% in Germany).</w:t>
      </w:r>
    </w:p>
    <w:p w14:paraId="2C33F7DE" w14:textId="77777777" w:rsidR="00FC6B43" w:rsidRPr="005B0B7D" w:rsidRDefault="00FC6B43" w:rsidP="003F1E33"/>
    <w:p w14:paraId="60B8D5E4" w14:textId="77777777" w:rsidR="00FC6B43" w:rsidRPr="005B0B7D" w:rsidRDefault="00FC6B43" w:rsidP="004E62BE">
      <w:pPr>
        <w:ind w:firstLine="0"/>
      </w:pPr>
      <w:r w:rsidRPr="005B0B7D">
        <w:t>Table 2. Average income of participants from Germany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1325"/>
        <w:gridCol w:w="1843"/>
        <w:gridCol w:w="2693"/>
      </w:tblGrid>
      <w:tr w:rsidR="000D44EF" w:rsidRPr="005B0B7D" w14:paraId="5EB6C709" w14:textId="77777777" w:rsidTr="00CC381A">
        <w:tc>
          <w:tcPr>
            <w:tcW w:w="2327" w:type="dxa"/>
            <w:tcBorders>
              <w:top w:val="single" w:sz="4" w:space="0" w:color="auto"/>
            </w:tcBorders>
          </w:tcPr>
          <w:p w14:paraId="2DF2684B" w14:textId="77777777" w:rsidR="000D44EF" w:rsidRPr="005B0B7D" w:rsidRDefault="00944343" w:rsidP="004E62BE">
            <w:pPr>
              <w:pStyle w:val="TableFigure"/>
              <w:spacing w:before="0"/>
            </w:pPr>
            <w:r w:rsidRPr="005B0B7D">
              <w:t>Income</w:t>
            </w:r>
          </w:p>
        </w:tc>
        <w:tc>
          <w:tcPr>
            <w:tcW w:w="3168" w:type="dxa"/>
            <w:gridSpan w:val="2"/>
            <w:tcBorders>
              <w:top w:val="single" w:sz="4" w:space="0" w:color="auto"/>
            </w:tcBorders>
            <w:vAlign w:val="center"/>
          </w:tcPr>
          <w:p w14:paraId="4797BE44" w14:textId="7051D14C" w:rsidR="000D44EF" w:rsidRPr="005B0B7D" w:rsidRDefault="000D44EF" w:rsidP="008F77B1">
            <w:pPr>
              <w:pStyle w:val="TableFigure"/>
              <w:spacing w:before="0"/>
              <w:jc w:val="center"/>
            </w:pPr>
            <w:r w:rsidRPr="005B0B7D">
              <w:t xml:space="preserve">Participants </w:t>
            </w:r>
            <w:r w:rsidR="00B012F6" w:rsidRPr="005B0B7D">
              <w:rPr>
                <w:i/>
              </w:rPr>
              <w:t>(n =</w:t>
            </w:r>
            <w:r w:rsidR="004D781F" w:rsidRPr="005B0B7D">
              <w:t xml:space="preserve"> </w:t>
            </w:r>
            <w:r w:rsidR="008F77B1" w:rsidRPr="005B0B7D">
              <w:t>312</w:t>
            </w:r>
            <w:r w:rsidRPr="005B0B7D">
              <w:t>)</w:t>
            </w:r>
          </w:p>
        </w:tc>
        <w:tc>
          <w:tcPr>
            <w:tcW w:w="2693" w:type="dxa"/>
            <w:tcBorders>
              <w:top w:val="single" w:sz="4" w:space="0" w:color="auto"/>
            </w:tcBorders>
            <w:vAlign w:val="center"/>
          </w:tcPr>
          <w:p w14:paraId="236B1950" w14:textId="3A47AFF2" w:rsidR="000D44EF" w:rsidRPr="005B0B7D" w:rsidRDefault="000D44EF" w:rsidP="00BC3154">
            <w:pPr>
              <w:pStyle w:val="TableFigure"/>
              <w:spacing w:before="0"/>
              <w:jc w:val="center"/>
            </w:pPr>
            <w:r w:rsidRPr="005B0B7D">
              <w:t>German</w:t>
            </w:r>
            <w:r w:rsidR="00BC3154" w:rsidRPr="005B0B7D">
              <w:t>y</w:t>
            </w:r>
            <w:r w:rsidRPr="005B0B7D">
              <w:t xml:space="preserve"> 2008 </w:t>
            </w:r>
            <w:r w:rsidR="00B012F6" w:rsidRPr="005B0B7D">
              <w:t>(</w:t>
            </w:r>
            <w:r w:rsidRPr="005B0B7D">
              <w:t>%)</w:t>
            </w:r>
          </w:p>
        </w:tc>
      </w:tr>
      <w:tr w:rsidR="0093494E" w:rsidRPr="005B0B7D" w14:paraId="3B6B67E4" w14:textId="77777777" w:rsidTr="00CC381A">
        <w:tc>
          <w:tcPr>
            <w:tcW w:w="2327" w:type="dxa"/>
            <w:tcBorders>
              <w:bottom w:val="single" w:sz="4" w:space="0" w:color="auto"/>
            </w:tcBorders>
          </w:tcPr>
          <w:p w14:paraId="24FE8E38" w14:textId="77777777" w:rsidR="0093494E" w:rsidRPr="005B0B7D" w:rsidRDefault="0093494E" w:rsidP="004E62BE">
            <w:pPr>
              <w:pStyle w:val="TableFigure"/>
              <w:spacing w:before="0"/>
            </w:pPr>
          </w:p>
        </w:tc>
        <w:tc>
          <w:tcPr>
            <w:tcW w:w="1325" w:type="dxa"/>
            <w:tcBorders>
              <w:bottom w:val="single" w:sz="4" w:space="0" w:color="auto"/>
            </w:tcBorders>
            <w:vAlign w:val="center"/>
          </w:tcPr>
          <w:p w14:paraId="54A2CE0A" w14:textId="77777777" w:rsidR="0093494E" w:rsidRPr="005B0B7D" w:rsidRDefault="0093494E" w:rsidP="00CC381A">
            <w:pPr>
              <w:pStyle w:val="TableFigure"/>
              <w:spacing w:before="0"/>
              <w:jc w:val="center"/>
            </w:pPr>
            <w:r w:rsidRPr="005B0B7D">
              <w:t>Frequency</w:t>
            </w:r>
          </w:p>
        </w:tc>
        <w:tc>
          <w:tcPr>
            <w:tcW w:w="1843" w:type="dxa"/>
            <w:tcBorders>
              <w:bottom w:val="single" w:sz="4" w:space="0" w:color="auto"/>
            </w:tcBorders>
            <w:vAlign w:val="center"/>
          </w:tcPr>
          <w:p w14:paraId="04C72B5B" w14:textId="04D658C8" w:rsidR="0093494E" w:rsidRPr="005B0B7D" w:rsidRDefault="0093494E" w:rsidP="00CC381A">
            <w:pPr>
              <w:pStyle w:val="TableFigure"/>
              <w:spacing w:before="0"/>
              <w:jc w:val="center"/>
            </w:pPr>
            <w:r w:rsidRPr="005B0B7D">
              <w:t xml:space="preserve">Percentage </w:t>
            </w:r>
            <w:r w:rsidR="00B012F6" w:rsidRPr="005B0B7D">
              <w:t>(</w:t>
            </w:r>
            <w:r w:rsidRPr="005B0B7D">
              <w:t>%)</w:t>
            </w:r>
          </w:p>
        </w:tc>
        <w:tc>
          <w:tcPr>
            <w:tcW w:w="2693" w:type="dxa"/>
            <w:tcBorders>
              <w:bottom w:val="single" w:sz="4" w:space="0" w:color="auto"/>
            </w:tcBorders>
            <w:vAlign w:val="center"/>
          </w:tcPr>
          <w:p w14:paraId="67D6EDBD" w14:textId="77777777" w:rsidR="0093494E" w:rsidRPr="005B0B7D" w:rsidRDefault="0093494E" w:rsidP="00CC381A">
            <w:pPr>
              <w:pStyle w:val="TableFigure"/>
              <w:spacing w:before="0"/>
              <w:jc w:val="center"/>
            </w:pPr>
          </w:p>
        </w:tc>
      </w:tr>
      <w:tr w:rsidR="008F77B1" w:rsidRPr="005B0B7D" w14:paraId="330F42B6" w14:textId="77777777" w:rsidTr="0064083B">
        <w:tc>
          <w:tcPr>
            <w:tcW w:w="2327" w:type="dxa"/>
            <w:tcBorders>
              <w:top w:val="single" w:sz="4" w:space="0" w:color="auto"/>
            </w:tcBorders>
          </w:tcPr>
          <w:p w14:paraId="227D75D0" w14:textId="77777777" w:rsidR="008F77B1" w:rsidRPr="005B0B7D" w:rsidRDefault="008F77B1" w:rsidP="004E62BE">
            <w:pPr>
              <w:pStyle w:val="TableFigure"/>
              <w:spacing w:before="0"/>
            </w:pPr>
            <w:r w:rsidRPr="005B0B7D">
              <w:t>Under 1,250€</w:t>
            </w:r>
          </w:p>
        </w:tc>
        <w:tc>
          <w:tcPr>
            <w:tcW w:w="1325" w:type="dxa"/>
            <w:tcBorders>
              <w:top w:val="single" w:sz="4" w:space="0" w:color="auto"/>
            </w:tcBorders>
          </w:tcPr>
          <w:p w14:paraId="421D7A30" w14:textId="77777777" w:rsidR="008F77B1" w:rsidRPr="005B0B7D" w:rsidRDefault="008F77B1" w:rsidP="0064083B">
            <w:r w:rsidRPr="005B0B7D">
              <w:t>97</w:t>
            </w:r>
          </w:p>
        </w:tc>
        <w:tc>
          <w:tcPr>
            <w:tcW w:w="1843" w:type="dxa"/>
            <w:tcBorders>
              <w:top w:val="single" w:sz="4" w:space="0" w:color="auto"/>
            </w:tcBorders>
          </w:tcPr>
          <w:p w14:paraId="7FE5642B" w14:textId="77777777" w:rsidR="008F77B1" w:rsidRPr="005B0B7D" w:rsidRDefault="008F77B1" w:rsidP="0064083B">
            <w:r w:rsidRPr="005B0B7D">
              <w:t>31.1%</w:t>
            </w:r>
          </w:p>
        </w:tc>
        <w:tc>
          <w:tcPr>
            <w:tcW w:w="2693" w:type="dxa"/>
            <w:tcBorders>
              <w:top w:val="single" w:sz="4" w:space="0" w:color="auto"/>
            </w:tcBorders>
            <w:vAlign w:val="center"/>
          </w:tcPr>
          <w:p w14:paraId="1E40B292" w14:textId="77777777" w:rsidR="008F77B1" w:rsidRPr="005B0B7D" w:rsidRDefault="008F77B1" w:rsidP="00CC381A">
            <w:pPr>
              <w:pStyle w:val="TableFigure"/>
              <w:spacing w:before="0"/>
              <w:jc w:val="center"/>
            </w:pPr>
            <w:r w:rsidRPr="005B0B7D">
              <w:t>20%</w:t>
            </w:r>
          </w:p>
        </w:tc>
      </w:tr>
      <w:tr w:rsidR="008F77B1" w:rsidRPr="005B0B7D" w14:paraId="1ABED1DD" w14:textId="77777777" w:rsidTr="0064083B">
        <w:tc>
          <w:tcPr>
            <w:tcW w:w="2327" w:type="dxa"/>
          </w:tcPr>
          <w:p w14:paraId="6B7F1861" w14:textId="77777777" w:rsidR="008F77B1" w:rsidRPr="005B0B7D" w:rsidRDefault="008F77B1" w:rsidP="004E62BE">
            <w:pPr>
              <w:pStyle w:val="TableFigure"/>
              <w:spacing w:before="0"/>
            </w:pPr>
            <w:r w:rsidRPr="005B0B7D">
              <w:t>1,250-1,749€</w:t>
            </w:r>
          </w:p>
        </w:tc>
        <w:tc>
          <w:tcPr>
            <w:tcW w:w="1325" w:type="dxa"/>
          </w:tcPr>
          <w:p w14:paraId="05D74065" w14:textId="77777777" w:rsidR="008F77B1" w:rsidRPr="005B0B7D" w:rsidRDefault="008F77B1" w:rsidP="0064083B">
            <w:r w:rsidRPr="005B0B7D">
              <w:t>55</w:t>
            </w:r>
          </w:p>
        </w:tc>
        <w:tc>
          <w:tcPr>
            <w:tcW w:w="1843" w:type="dxa"/>
          </w:tcPr>
          <w:p w14:paraId="2DCE1F9C" w14:textId="77777777" w:rsidR="008F77B1" w:rsidRPr="005B0B7D" w:rsidRDefault="008F77B1" w:rsidP="0064083B">
            <w:r w:rsidRPr="005B0B7D">
              <w:t>17.6%</w:t>
            </w:r>
          </w:p>
        </w:tc>
        <w:tc>
          <w:tcPr>
            <w:tcW w:w="2693" w:type="dxa"/>
            <w:vAlign w:val="center"/>
          </w:tcPr>
          <w:p w14:paraId="579F70FF" w14:textId="77777777" w:rsidR="008F77B1" w:rsidRPr="005B0B7D" w:rsidRDefault="008F77B1" w:rsidP="00CC381A">
            <w:pPr>
              <w:pStyle w:val="TableFigure"/>
              <w:spacing w:before="0"/>
              <w:jc w:val="center"/>
            </w:pPr>
            <w:r w:rsidRPr="005B0B7D">
              <w:t>12%</w:t>
            </w:r>
          </w:p>
        </w:tc>
      </w:tr>
      <w:tr w:rsidR="008F77B1" w:rsidRPr="005B0B7D" w14:paraId="1EE6603F" w14:textId="77777777" w:rsidTr="0064083B">
        <w:tc>
          <w:tcPr>
            <w:tcW w:w="2327" w:type="dxa"/>
          </w:tcPr>
          <w:p w14:paraId="2585BBFE" w14:textId="77777777" w:rsidR="008F77B1" w:rsidRPr="005B0B7D" w:rsidRDefault="008F77B1" w:rsidP="004E62BE">
            <w:pPr>
              <w:pStyle w:val="TableFigure"/>
              <w:spacing w:before="0"/>
            </w:pPr>
            <w:r w:rsidRPr="005B0B7D">
              <w:t>1,750-2,249€</w:t>
            </w:r>
          </w:p>
        </w:tc>
        <w:tc>
          <w:tcPr>
            <w:tcW w:w="1325" w:type="dxa"/>
          </w:tcPr>
          <w:p w14:paraId="1689B54D" w14:textId="77777777" w:rsidR="008F77B1" w:rsidRPr="005B0B7D" w:rsidRDefault="008F77B1" w:rsidP="0064083B">
            <w:r w:rsidRPr="005B0B7D">
              <w:t>48</w:t>
            </w:r>
          </w:p>
        </w:tc>
        <w:tc>
          <w:tcPr>
            <w:tcW w:w="1843" w:type="dxa"/>
          </w:tcPr>
          <w:p w14:paraId="3BFCFD06" w14:textId="77777777" w:rsidR="008F77B1" w:rsidRPr="005B0B7D" w:rsidRDefault="008F77B1" w:rsidP="0064083B">
            <w:r w:rsidRPr="005B0B7D">
              <w:t>15.4%</w:t>
            </w:r>
          </w:p>
        </w:tc>
        <w:tc>
          <w:tcPr>
            <w:tcW w:w="2693" w:type="dxa"/>
            <w:vAlign w:val="center"/>
          </w:tcPr>
          <w:p w14:paraId="7383B5E7" w14:textId="77777777" w:rsidR="008F77B1" w:rsidRPr="005B0B7D" w:rsidRDefault="008F77B1" w:rsidP="00CC381A">
            <w:pPr>
              <w:pStyle w:val="TableFigure"/>
              <w:spacing w:before="0"/>
              <w:jc w:val="center"/>
            </w:pPr>
            <w:r w:rsidRPr="005B0B7D">
              <w:t>9%</w:t>
            </w:r>
          </w:p>
        </w:tc>
      </w:tr>
      <w:tr w:rsidR="008F77B1" w:rsidRPr="005B0B7D" w14:paraId="77CE6309" w14:textId="77777777" w:rsidTr="0064083B">
        <w:tc>
          <w:tcPr>
            <w:tcW w:w="2327" w:type="dxa"/>
          </w:tcPr>
          <w:p w14:paraId="07071826" w14:textId="77777777" w:rsidR="008F77B1" w:rsidRPr="005B0B7D" w:rsidRDefault="008F77B1" w:rsidP="004E62BE">
            <w:pPr>
              <w:pStyle w:val="TableFigure"/>
              <w:spacing w:before="0"/>
            </w:pPr>
            <w:r w:rsidRPr="005B0B7D">
              <w:t>2,250-2,999€</w:t>
            </w:r>
          </w:p>
        </w:tc>
        <w:tc>
          <w:tcPr>
            <w:tcW w:w="1325" w:type="dxa"/>
          </w:tcPr>
          <w:p w14:paraId="36361351" w14:textId="77777777" w:rsidR="008F77B1" w:rsidRPr="005B0B7D" w:rsidRDefault="008F77B1" w:rsidP="0064083B">
            <w:r w:rsidRPr="005B0B7D">
              <w:t>56</w:t>
            </w:r>
          </w:p>
        </w:tc>
        <w:tc>
          <w:tcPr>
            <w:tcW w:w="1843" w:type="dxa"/>
          </w:tcPr>
          <w:p w14:paraId="538FD607" w14:textId="77777777" w:rsidR="008F77B1" w:rsidRPr="005B0B7D" w:rsidRDefault="008F77B1" w:rsidP="0064083B">
            <w:r w:rsidRPr="005B0B7D">
              <w:t>17.9%</w:t>
            </w:r>
          </w:p>
        </w:tc>
        <w:tc>
          <w:tcPr>
            <w:tcW w:w="2693" w:type="dxa"/>
            <w:vAlign w:val="center"/>
          </w:tcPr>
          <w:p w14:paraId="5012AEF2" w14:textId="77777777" w:rsidR="008F77B1" w:rsidRPr="005B0B7D" w:rsidRDefault="008F77B1" w:rsidP="00CC381A">
            <w:pPr>
              <w:pStyle w:val="TableFigure"/>
              <w:spacing w:before="0"/>
              <w:jc w:val="center"/>
            </w:pPr>
            <w:r w:rsidRPr="005B0B7D">
              <w:t>32%</w:t>
            </w:r>
          </w:p>
        </w:tc>
      </w:tr>
      <w:tr w:rsidR="008F77B1" w:rsidRPr="005B0B7D" w14:paraId="73252BFF" w14:textId="77777777" w:rsidTr="0064083B">
        <w:tc>
          <w:tcPr>
            <w:tcW w:w="2327" w:type="dxa"/>
          </w:tcPr>
          <w:p w14:paraId="43BA4A67" w14:textId="77777777" w:rsidR="008F77B1" w:rsidRPr="005B0B7D" w:rsidRDefault="008F77B1" w:rsidP="004E62BE">
            <w:pPr>
              <w:pStyle w:val="TableFigure"/>
              <w:spacing w:before="0"/>
            </w:pPr>
            <w:r w:rsidRPr="005B0B7D">
              <w:t>3,000-3,999€</w:t>
            </w:r>
          </w:p>
        </w:tc>
        <w:tc>
          <w:tcPr>
            <w:tcW w:w="1325" w:type="dxa"/>
          </w:tcPr>
          <w:p w14:paraId="5CC52E41" w14:textId="77777777" w:rsidR="008F77B1" w:rsidRPr="005B0B7D" w:rsidRDefault="008F77B1" w:rsidP="0064083B">
            <w:r w:rsidRPr="005B0B7D">
              <w:t>37</w:t>
            </w:r>
          </w:p>
        </w:tc>
        <w:tc>
          <w:tcPr>
            <w:tcW w:w="1843" w:type="dxa"/>
          </w:tcPr>
          <w:p w14:paraId="138C4F7A" w14:textId="77777777" w:rsidR="008F77B1" w:rsidRPr="005B0B7D" w:rsidRDefault="008F77B1" w:rsidP="0064083B">
            <w:r w:rsidRPr="005B0B7D">
              <w:t>11.9%</w:t>
            </w:r>
          </w:p>
        </w:tc>
        <w:tc>
          <w:tcPr>
            <w:tcW w:w="2693" w:type="dxa"/>
            <w:vMerge w:val="restart"/>
            <w:vAlign w:val="center"/>
          </w:tcPr>
          <w:p w14:paraId="08D1C953" w14:textId="77777777" w:rsidR="008F77B1" w:rsidRPr="005B0B7D" w:rsidRDefault="008F77B1" w:rsidP="00CC381A">
            <w:pPr>
              <w:pStyle w:val="TableFigure"/>
              <w:spacing w:before="0"/>
              <w:jc w:val="center"/>
            </w:pPr>
            <w:r w:rsidRPr="005B0B7D">
              <w:t>15%</w:t>
            </w:r>
          </w:p>
        </w:tc>
      </w:tr>
      <w:tr w:rsidR="008F77B1" w:rsidRPr="005B0B7D" w14:paraId="6A934AF0" w14:textId="77777777" w:rsidTr="0064083B">
        <w:tc>
          <w:tcPr>
            <w:tcW w:w="2327" w:type="dxa"/>
          </w:tcPr>
          <w:p w14:paraId="7415D456" w14:textId="77777777" w:rsidR="008F77B1" w:rsidRPr="005B0B7D" w:rsidRDefault="008F77B1" w:rsidP="004E62BE">
            <w:pPr>
              <w:pStyle w:val="TableFigure"/>
              <w:spacing w:before="0"/>
            </w:pPr>
            <w:r w:rsidRPr="005B0B7D">
              <w:t>4,000-4,999€</w:t>
            </w:r>
          </w:p>
        </w:tc>
        <w:tc>
          <w:tcPr>
            <w:tcW w:w="1325" w:type="dxa"/>
          </w:tcPr>
          <w:p w14:paraId="047FED71" w14:textId="77777777" w:rsidR="008F77B1" w:rsidRPr="005B0B7D" w:rsidRDefault="008F77B1" w:rsidP="0064083B">
            <w:r w:rsidRPr="005B0B7D">
              <w:t>9</w:t>
            </w:r>
          </w:p>
        </w:tc>
        <w:tc>
          <w:tcPr>
            <w:tcW w:w="1843" w:type="dxa"/>
          </w:tcPr>
          <w:p w14:paraId="3AC4C7D1" w14:textId="77777777" w:rsidR="008F77B1" w:rsidRPr="005B0B7D" w:rsidRDefault="008F77B1" w:rsidP="0064083B">
            <w:r w:rsidRPr="005B0B7D">
              <w:t>2.9%</w:t>
            </w:r>
          </w:p>
        </w:tc>
        <w:tc>
          <w:tcPr>
            <w:tcW w:w="2693" w:type="dxa"/>
            <w:vMerge/>
            <w:vAlign w:val="center"/>
          </w:tcPr>
          <w:p w14:paraId="2A326682" w14:textId="77777777" w:rsidR="008F77B1" w:rsidRPr="005B0B7D" w:rsidRDefault="008F77B1" w:rsidP="00CC381A">
            <w:pPr>
              <w:pStyle w:val="TableFigure"/>
              <w:spacing w:before="0"/>
              <w:jc w:val="center"/>
            </w:pPr>
          </w:p>
        </w:tc>
      </w:tr>
      <w:tr w:rsidR="008F77B1" w:rsidRPr="005B0B7D" w14:paraId="5A7CFFDE" w14:textId="77777777" w:rsidTr="0064083B">
        <w:tc>
          <w:tcPr>
            <w:tcW w:w="2327" w:type="dxa"/>
            <w:tcBorders>
              <w:bottom w:val="single" w:sz="4" w:space="0" w:color="auto"/>
            </w:tcBorders>
          </w:tcPr>
          <w:p w14:paraId="2FAEBE7E" w14:textId="77777777" w:rsidR="008F77B1" w:rsidRPr="005B0B7D" w:rsidRDefault="008F77B1" w:rsidP="004E62BE">
            <w:pPr>
              <w:pStyle w:val="TableFigure"/>
              <w:spacing w:before="0"/>
            </w:pPr>
            <w:r w:rsidRPr="005B0B7D">
              <w:t>Over 5,000€</w:t>
            </w:r>
          </w:p>
        </w:tc>
        <w:tc>
          <w:tcPr>
            <w:tcW w:w="1325" w:type="dxa"/>
            <w:tcBorders>
              <w:bottom w:val="single" w:sz="4" w:space="0" w:color="auto"/>
            </w:tcBorders>
          </w:tcPr>
          <w:p w14:paraId="5DCEB16D" w14:textId="77777777" w:rsidR="008F77B1" w:rsidRPr="005B0B7D" w:rsidRDefault="008F77B1" w:rsidP="0064083B">
            <w:r w:rsidRPr="005B0B7D">
              <w:t>10</w:t>
            </w:r>
          </w:p>
        </w:tc>
        <w:tc>
          <w:tcPr>
            <w:tcW w:w="1843" w:type="dxa"/>
            <w:tcBorders>
              <w:bottom w:val="single" w:sz="4" w:space="0" w:color="auto"/>
            </w:tcBorders>
          </w:tcPr>
          <w:p w14:paraId="5D7991A4" w14:textId="77777777" w:rsidR="008F77B1" w:rsidRPr="005B0B7D" w:rsidRDefault="008F77B1" w:rsidP="0064083B">
            <w:r w:rsidRPr="005B0B7D">
              <w:t>3.2%</w:t>
            </w:r>
          </w:p>
        </w:tc>
        <w:tc>
          <w:tcPr>
            <w:tcW w:w="2693" w:type="dxa"/>
            <w:tcBorders>
              <w:bottom w:val="single" w:sz="4" w:space="0" w:color="auto"/>
            </w:tcBorders>
            <w:vAlign w:val="center"/>
          </w:tcPr>
          <w:p w14:paraId="1BD521C3" w14:textId="77777777" w:rsidR="008F77B1" w:rsidRPr="005B0B7D" w:rsidRDefault="008F77B1" w:rsidP="00CC381A">
            <w:pPr>
              <w:pStyle w:val="TableFigure"/>
              <w:spacing w:before="0"/>
              <w:jc w:val="center"/>
            </w:pPr>
            <w:r w:rsidRPr="005B0B7D">
              <w:t>13%</w:t>
            </w:r>
          </w:p>
        </w:tc>
      </w:tr>
    </w:tbl>
    <w:p w14:paraId="0870D32D" w14:textId="77777777" w:rsidR="00FC6B43" w:rsidRPr="005B0B7D" w:rsidRDefault="00FC6B43" w:rsidP="003F1E33"/>
    <w:p w14:paraId="6B620B8F" w14:textId="77777777" w:rsidR="00FC6B43" w:rsidRPr="005B0B7D" w:rsidRDefault="00FC6B43" w:rsidP="0046020A">
      <w:pPr>
        <w:pStyle w:val="Heading2"/>
      </w:pPr>
      <w:r w:rsidRPr="005B0B7D">
        <w:lastRenderedPageBreak/>
        <w:t>Indonesia</w:t>
      </w:r>
    </w:p>
    <w:p w14:paraId="2B625F37" w14:textId="60073100" w:rsidR="0093494E" w:rsidRPr="005B0B7D" w:rsidRDefault="0093494E" w:rsidP="0046020A">
      <w:pPr>
        <w:pStyle w:val="Heading3"/>
        <w:rPr>
          <w:b w:val="0"/>
        </w:rPr>
      </w:pPr>
      <w:r w:rsidRPr="005B0B7D">
        <w:t xml:space="preserve">Education. </w:t>
      </w:r>
      <w:r w:rsidRPr="005B0B7D">
        <w:rPr>
          <w:b w:val="0"/>
        </w:rPr>
        <w:t xml:space="preserve">The educational attainment of the participants are compared with the Indonesian 2010 census data from the Indonesian Statistic office </w:t>
      </w:r>
      <w:r w:rsidR="00C92DB8" w:rsidRPr="005B0B7D">
        <w:rPr>
          <w:b w:val="0"/>
        </w:rPr>
        <w:fldChar w:fldCharType="begin"/>
      </w:r>
      <w:r w:rsidR="00DE5D0F" w:rsidRPr="005B0B7D">
        <w:rPr>
          <w:b w:val="0"/>
        </w:rPr>
        <w:instrText xml:space="preserve"> ADDIN ZOTERO_ITEM CSL_CITATION {"citationID":"lRkcDdw3","properties":{"formattedCitation":"(Badan Pusat Statistik, 2010)","plainCitation":"(Badan Pusat Statistik, 2010)"},"citationItems":[{"id":2948,"uris":["http://zotero.org/users/1509854/items/FXNFUFG4"],"uri":["http://zotero.org/users/1509854/items/FXNFUFG4"],"itemData":{"id":2948,"type":"report","title":"Penduduk Berumur 15 Tahun Keatas Menurut Kelompok Umur dan Pendidikan Tertinggi yang Ditamatkan","collection-title":"Sensus Penduduk 2010","publisher":"Badan Pusat Statistik","publisher-place":"Jakarta","event-place":"Jakarta","URL":"http://sp2010.bps.go.id/index.php/site/tabel?tid=327&amp;wid=0","author":[{"literal":"Badan Pusat Statistik"}],"issued":{"date-parts":[["2010"]]}}}],"schema":"https://github.com/citation-style-language/schema/raw/master/csl-citation.json"} </w:instrText>
      </w:r>
      <w:r w:rsidR="00C92DB8" w:rsidRPr="005B0B7D">
        <w:rPr>
          <w:b w:val="0"/>
        </w:rPr>
        <w:fldChar w:fldCharType="separate"/>
      </w:r>
      <w:r w:rsidR="00B012F6" w:rsidRPr="005B0B7D">
        <w:rPr>
          <w:b w:val="0"/>
        </w:rPr>
        <w:t>(</w:t>
      </w:r>
      <w:r w:rsidR="00601FAB" w:rsidRPr="005B0B7D">
        <w:rPr>
          <w:b w:val="0"/>
        </w:rPr>
        <w:t>Badan Pusat Statistik, 2010)</w:t>
      </w:r>
      <w:r w:rsidR="00C92DB8" w:rsidRPr="005B0B7D">
        <w:rPr>
          <w:b w:val="0"/>
        </w:rPr>
        <w:fldChar w:fldCharType="end"/>
      </w:r>
      <w:r w:rsidRPr="005B0B7D">
        <w:rPr>
          <w:b w:val="0"/>
        </w:rPr>
        <w:t xml:space="preserve">. </w:t>
      </w:r>
      <w:r w:rsidR="00B52220" w:rsidRPr="005B0B7D">
        <w:rPr>
          <w:b w:val="0"/>
        </w:rPr>
        <w:t>Here</w:t>
      </w:r>
      <w:r w:rsidR="00B17797" w:rsidRPr="005B0B7D">
        <w:rPr>
          <w:b w:val="0"/>
        </w:rPr>
        <w:t>,</w:t>
      </w:r>
      <w:r w:rsidR="00B52220" w:rsidRPr="005B0B7D">
        <w:rPr>
          <w:b w:val="0"/>
        </w:rPr>
        <w:t xml:space="preserve"> the trend that the participants from our sample </w:t>
      </w:r>
      <w:r w:rsidR="00B17797" w:rsidRPr="005B0B7D">
        <w:rPr>
          <w:b w:val="0"/>
        </w:rPr>
        <w:t xml:space="preserve">are </w:t>
      </w:r>
      <w:r w:rsidR="00B52220" w:rsidRPr="005B0B7D">
        <w:rPr>
          <w:b w:val="0"/>
        </w:rPr>
        <w:t xml:space="preserve">more highly educated than the general population of Indonesia </w:t>
      </w:r>
      <w:r w:rsidR="00B17797" w:rsidRPr="005B0B7D">
        <w:rPr>
          <w:b w:val="0"/>
        </w:rPr>
        <w:t xml:space="preserve">becomes evident </w:t>
      </w:r>
      <w:r w:rsidR="00B52220" w:rsidRPr="005B0B7D">
        <w:rPr>
          <w:b w:val="0"/>
        </w:rPr>
        <w:t xml:space="preserve">by the underrepresentation of the lowest educational attainment category </w:t>
      </w:r>
      <w:r w:rsidR="00B012F6" w:rsidRPr="005B0B7D">
        <w:rPr>
          <w:b w:val="0"/>
        </w:rPr>
        <w:t>(</w:t>
      </w:r>
      <w:r w:rsidR="00B52220" w:rsidRPr="005B0B7D">
        <w:rPr>
          <w:b w:val="0"/>
        </w:rPr>
        <w:t xml:space="preserve">3.2% in our sample </w:t>
      </w:r>
      <w:proofErr w:type="spellStart"/>
      <w:r w:rsidR="00B52220" w:rsidRPr="005B0B7D">
        <w:rPr>
          <w:b w:val="0"/>
        </w:rPr>
        <w:t>vs</w:t>
      </w:r>
      <w:proofErr w:type="spellEnd"/>
      <w:r w:rsidR="00B52220" w:rsidRPr="005B0B7D">
        <w:rPr>
          <w:b w:val="0"/>
        </w:rPr>
        <w:t xml:space="preserve"> 7.9% in Indonesia) and a major overrepresentation of the highest educational attainment category </w:t>
      </w:r>
      <w:r w:rsidR="00B012F6" w:rsidRPr="005B0B7D">
        <w:rPr>
          <w:b w:val="0"/>
        </w:rPr>
        <w:t>(</w:t>
      </w:r>
      <w:r w:rsidR="00B52220" w:rsidRPr="005B0B7D">
        <w:rPr>
          <w:b w:val="0"/>
        </w:rPr>
        <w:t xml:space="preserve">49.1% in our sample </w:t>
      </w:r>
      <w:proofErr w:type="spellStart"/>
      <w:r w:rsidR="00B52220" w:rsidRPr="005B0B7D">
        <w:rPr>
          <w:b w:val="0"/>
        </w:rPr>
        <w:t>vs</w:t>
      </w:r>
      <w:proofErr w:type="spellEnd"/>
      <w:r w:rsidR="00B52220" w:rsidRPr="005B0B7D">
        <w:rPr>
          <w:b w:val="0"/>
        </w:rPr>
        <w:t xml:space="preserve"> 5.6% in Indonesia).</w:t>
      </w:r>
    </w:p>
    <w:p w14:paraId="77EB9AF7" w14:textId="77777777" w:rsidR="004E62BE" w:rsidRPr="005B0B7D" w:rsidRDefault="004E62BE" w:rsidP="004E62BE">
      <w:pPr>
        <w:ind w:firstLine="0"/>
      </w:pPr>
    </w:p>
    <w:p w14:paraId="24A4FBB4" w14:textId="77777777" w:rsidR="00FC6B43" w:rsidRPr="005B0B7D" w:rsidRDefault="00FC6B43" w:rsidP="004E62BE">
      <w:pPr>
        <w:ind w:firstLine="0"/>
      </w:pPr>
      <w:r w:rsidRPr="005B0B7D">
        <w:t xml:space="preserve">Table </w:t>
      </w:r>
      <w:r w:rsidR="00162E20" w:rsidRPr="005B0B7D">
        <w:t>3</w:t>
      </w:r>
      <w:r w:rsidRPr="005B0B7D">
        <w:t xml:space="preserve">. Educational attainment of participants from </w:t>
      </w:r>
      <w:r w:rsidR="00162E20" w:rsidRPr="005B0B7D">
        <w:t>Indonesia</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333"/>
        <w:gridCol w:w="1701"/>
        <w:gridCol w:w="3061"/>
      </w:tblGrid>
      <w:tr w:rsidR="000D44EF" w:rsidRPr="005B0B7D" w14:paraId="05B5073C" w14:textId="77777777" w:rsidTr="00CC381A">
        <w:tc>
          <w:tcPr>
            <w:tcW w:w="3936" w:type="dxa"/>
            <w:tcBorders>
              <w:top w:val="single" w:sz="4" w:space="0" w:color="auto"/>
            </w:tcBorders>
          </w:tcPr>
          <w:p w14:paraId="6858F989" w14:textId="77777777" w:rsidR="000D44EF" w:rsidRPr="005B0B7D" w:rsidRDefault="00944343" w:rsidP="004E62BE">
            <w:pPr>
              <w:pStyle w:val="TableFigure"/>
              <w:spacing w:before="0"/>
            </w:pPr>
            <w:r w:rsidRPr="005B0B7D">
              <w:t>Education</w:t>
            </w:r>
          </w:p>
        </w:tc>
        <w:tc>
          <w:tcPr>
            <w:tcW w:w="3034" w:type="dxa"/>
            <w:gridSpan w:val="2"/>
            <w:tcBorders>
              <w:top w:val="single" w:sz="4" w:space="0" w:color="auto"/>
            </w:tcBorders>
            <w:vAlign w:val="center"/>
          </w:tcPr>
          <w:p w14:paraId="3869F21C" w14:textId="16F0DC93" w:rsidR="000D44EF" w:rsidRPr="005B0B7D" w:rsidRDefault="000D44EF" w:rsidP="00B72FB1">
            <w:pPr>
              <w:pStyle w:val="TableFigure"/>
              <w:spacing w:before="0"/>
              <w:jc w:val="center"/>
            </w:pPr>
            <w:r w:rsidRPr="005B0B7D">
              <w:t xml:space="preserve">Participants </w:t>
            </w:r>
            <w:r w:rsidR="00B012F6" w:rsidRPr="005B0B7D">
              <w:rPr>
                <w:i/>
              </w:rPr>
              <w:t>(n =</w:t>
            </w:r>
            <w:r w:rsidR="004D781F" w:rsidRPr="005B0B7D">
              <w:t xml:space="preserve"> </w:t>
            </w:r>
            <w:r w:rsidR="00B72FB1" w:rsidRPr="005B0B7D">
              <w:t>348</w:t>
            </w:r>
            <w:r w:rsidRPr="005B0B7D">
              <w:t>)</w:t>
            </w:r>
          </w:p>
        </w:tc>
        <w:tc>
          <w:tcPr>
            <w:tcW w:w="3061" w:type="dxa"/>
            <w:tcBorders>
              <w:top w:val="single" w:sz="4" w:space="0" w:color="auto"/>
            </w:tcBorders>
            <w:vAlign w:val="center"/>
          </w:tcPr>
          <w:p w14:paraId="5379E0E1" w14:textId="7B58F288" w:rsidR="000D44EF" w:rsidRPr="005B0B7D" w:rsidRDefault="00BC3154" w:rsidP="00BC3154">
            <w:pPr>
              <w:pStyle w:val="TableFigure"/>
              <w:spacing w:before="0"/>
              <w:jc w:val="center"/>
            </w:pPr>
            <w:r w:rsidRPr="005B0B7D">
              <w:t xml:space="preserve">Indonesia </w:t>
            </w:r>
            <w:r w:rsidR="000D44EF" w:rsidRPr="005B0B7D">
              <w:t xml:space="preserve">2010 </w:t>
            </w:r>
            <w:r w:rsidR="00B012F6" w:rsidRPr="005B0B7D">
              <w:t>(</w:t>
            </w:r>
            <w:r w:rsidR="000D44EF" w:rsidRPr="005B0B7D">
              <w:t>%)</w:t>
            </w:r>
          </w:p>
        </w:tc>
      </w:tr>
      <w:tr w:rsidR="00162E20" w:rsidRPr="005B0B7D" w14:paraId="0951D2FC" w14:textId="77777777" w:rsidTr="00CC381A">
        <w:tc>
          <w:tcPr>
            <w:tcW w:w="3936" w:type="dxa"/>
            <w:tcBorders>
              <w:bottom w:val="single" w:sz="4" w:space="0" w:color="auto"/>
            </w:tcBorders>
          </w:tcPr>
          <w:p w14:paraId="0CE34711" w14:textId="77777777" w:rsidR="00162E20" w:rsidRPr="005B0B7D" w:rsidRDefault="00162E20" w:rsidP="004E62BE">
            <w:pPr>
              <w:pStyle w:val="TableFigure"/>
              <w:spacing w:before="0"/>
            </w:pPr>
          </w:p>
        </w:tc>
        <w:tc>
          <w:tcPr>
            <w:tcW w:w="1333" w:type="dxa"/>
            <w:tcBorders>
              <w:bottom w:val="single" w:sz="4" w:space="0" w:color="auto"/>
            </w:tcBorders>
            <w:vAlign w:val="center"/>
          </w:tcPr>
          <w:p w14:paraId="062A087C" w14:textId="77777777" w:rsidR="00162E20" w:rsidRPr="005B0B7D" w:rsidRDefault="00162E20" w:rsidP="00CC381A">
            <w:pPr>
              <w:pStyle w:val="TableFigure"/>
              <w:spacing w:before="0"/>
              <w:jc w:val="center"/>
            </w:pPr>
            <w:r w:rsidRPr="005B0B7D">
              <w:t>Frequency</w:t>
            </w:r>
          </w:p>
        </w:tc>
        <w:tc>
          <w:tcPr>
            <w:tcW w:w="1701" w:type="dxa"/>
            <w:tcBorders>
              <w:bottom w:val="single" w:sz="4" w:space="0" w:color="auto"/>
            </w:tcBorders>
            <w:vAlign w:val="center"/>
          </w:tcPr>
          <w:p w14:paraId="15941E18" w14:textId="7961917D" w:rsidR="00162E20" w:rsidRPr="005B0B7D" w:rsidRDefault="00162E20" w:rsidP="00CC381A">
            <w:pPr>
              <w:pStyle w:val="TableFigure"/>
              <w:spacing w:before="0"/>
              <w:jc w:val="center"/>
            </w:pPr>
            <w:r w:rsidRPr="005B0B7D">
              <w:t xml:space="preserve">Percentage </w:t>
            </w:r>
            <w:r w:rsidR="00B012F6" w:rsidRPr="005B0B7D">
              <w:t>(</w:t>
            </w:r>
            <w:r w:rsidRPr="005B0B7D">
              <w:t>%)</w:t>
            </w:r>
          </w:p>
        </w:tc>
        <w:tc>
          <w:tcPr>
            <w:tcW w:w="3061" w:type="dxa"/>
            <w:tcBorders>
              <w:bottom w:val="single" w:sz="4" w:space="0" w:color="auto"/>
            </w:tcBorders>
            <w:vAlign w:val="center"/>
          </w:tcPr>
          <w:p w14:paraId="6E53362A" w14:textId="77777777" w:rsidR="00162E20" w:rsidRPr="005B0B7D" w:rsidRDefault="00162E20" w:rsidP="00CC381A">
            <w:pPr>
              <w:pStyle w:val="TableFigure"/>
              <w:spacing w:before="0"/>
              <w:jc w:val="center"/>
            </w:pPr>
          </w:p>
        </w:tc>
      </w:tr>
      <w:tr w:rsidR="008F77B1" w:rsidRPr="005B0B7D" w14:paraId="78A22EAE" w14:textId="77777777" w:rsidTr="00931CEA">
        <w:tc>
          <w:tcPr>
            <w:tcW w:w="3936" w:type="dxa"/>
            <w:tcBorders>
              <w:top w:val="single" w:sz="4" w:space="0" w:color="auto"/>
            </w:tcBorders>
          </w:tcPr>
          <w:p w14:paraId="2317CC6A" w14:textId="13A730E0" w:rsidR="008F77B1" w:rsidRPr="005B0B7D" w:rsidRDefault="008F77B1" w:rsidP="004E62BE">
            <w:pPr>
              <w:pStyle w:val="TableFigure"/>
              <w:spacing w:before="0"/>
            </w:pPr>
            <w:r w:rsidRPr="005B0B7D">
              <w:t xml:space="preserve">No school diploma, no vocational training certificate </w:t>
            </w:r>
            <w:r w:rsidR="0082446B" w:rsidRPr="005B0B7D">
              <w:t>[</w:t>
            </w:r>
            <w:r w:rsidRPr="005B0B7D">
              <w:t xml:space="preserve">SM </w:t>
            </w:r>
            <w:proofErr w:type="spellStart"/>
            <w:r w:rsidRPr="005B0B7D">
              <w:t>Kejuruan</w:t>
            </w:r>
            <w:proofErr w:type="spellEnd"/>
            <w:r w:rsidR="0082446B" w:rsidRPr="005B0B7D">
              <w:t>]</w:t>
            </w:r>
            <w:r w:rsidRPr="005B0B7D">
              <w:t xml:space="preserve">, or currently in vocational training </w:t>
            </w:r>
            <w:r w:rsidR="0082446B" w:rsidRPr="005B0B7D">
              <w:t>[</w:t>
            </w:r>
            <w:proofErr w:type="spellStart"/>
            <w:r w:rsidRPr="005B0B7D">
              <w:t>Pendidikan</w:t>
            </w:r>
            <w:proofErr w:type="spellEnd"/>
            <w:r w:rsidRPr="005B0B7D">
              <w:t xml:space="preserve"> non-formal </w:t>
            </w:r>
            <w:proofErr w:type="spellStart"/>
            <w:r w:rsidRPr="005B0B7D">
              <w:t>setara</w:t>
            </w:r>
            <w:proofErr w:type="spellEnd"/>
            <w:r w:rsidRPr="005B0B7D">
              <w:t xml:space="preserve"> </w:t>
            </w:r>
            <w:proofErr w:type="spellStart"/>
            <w:r w:rsidRPr="005B0B7D">
              <w:t>paket</w:t>
            </w:r>
            <w:proofErr w:type="spellEnd"/>
            <w:r w:rsidRPr="005B0B7D">
              <w:t xml:space="preserve"> A, B, C</w:t>
            </w:r>
            <w:r w:rsidR="0082446B" w:rsidRPr="005B0B7D">
              <w:t>]</w:t>
            </w:r>
          </w:p>
        </w:tc>
        <w:tc>
          <w:tcPr>
            <w:tcW w:w="1333" w:type="dxa"/>
            <w:tcBorders>
              <w:top w:val="single" w:sz="4" w:space="0" w:color="auto"/>
            </w:tcBorders>
            <w:vAlign w:val="center"/>
          </w:tcPr>
          <w:p w14:paraId="6309C131" w14:textId="77777777" w:rsidR="008F77B1" w:rsidRPr="005B0B7D" w:rsidRDefault="008F77B1" w:rsidP="00931CEA">
            <w:pPr>
              <w:ind w:firstLine="33"/>
              <w:jc w:val="center"/>
            </w:pPr>
            <w:r w:rsidRPr="005B0B7D">
              <w:t>11</w:t>
            </w:r>
          </w:p>
        </w:tc>
        <w:tc>
          <w:tcPr>
            <w:tcW w:w="1701" w:type="dxa"/>
            <w:tcBorders>
              <w:top w:val="single" w:sz="4" w:space="0" w:color="auto"/>
            </w:tcBorders>
            <w:vAlign w:val="center"/>
          </w:tcPr>
          <w:p w14:paraId="084567F8" w14:textId="77777777" w:rsidR="008F77B1" w:rsidRPr="005B0B7D" w:rsidRDefault="008F77B1" w:rsidP="00931CEA">
            <w:pPr>
              <w:ind w:firstLine="33"/>
              <w:jc w:val="center"/>
            </w:pPr>
            <w:r w:rsidRPr="005B0B7D">
              <w:t>3.2%</w:t>
            </w:r>
          </w:p>
        </w:tc>
        <w:tc>
          <w:tcPr>
            <w:tcW w:w="3061" w:type="dxa"/>
            <w:tcBorders>
              <w:top w:val="single" w:sz="4" w:space="0" w:color="auto"/>
            </w:tcBorders>
            <w:vAlign w:val="center"/>
          </w:tcPr>
          <w:p w14:paraId="69B24F89" w14:textId="77777777" w:rsidR="008F77B1" w:rsidRPr="005B0B7D" w:rsidRDefault="008F77B1" w:rsidP="00CC381A">
            <w:pPr>
              <w:pStyle w:val="TableFigure"/>
              <w:spacing w:before="0"/>
              <w:jc w:val="center"/>
            </w:pPr>
            <w:r w:rsidRPr="005B0B7D">
              <w:t>7.9%</w:t>
            </w:r>
          </w:p>
        </w:tc>
      </w:tr>
      <w:tr w:rsidR="008F77B1" w:rsidRPr="005B0B7D" w14:paraId="23E8696D" w14:textId="77777777" w:rsidTr="00931CEA">
        <w:tc>
          <w:tcPr>
            <w:tcW w:w="3936" w:type="dxa"/>
          </w:tcPr>
          <w:p w14:paraId="00E5C958" w14:textId="0572A4C0" w:rsidR="008F77B1" w:rsidRPr="005B0B7D" w:rsidRDefault="008F77B1" w:rsidP="004E62BE">
            <w:pPr>
              <w:pStyle w:val="TableFigure"/>
              <w:spacing w:before="0"/>
            </w:pPr>
            <w:r w:rsidRPr="005B0B7D">
              <w:t xml:space="preserve">No school diploma and completed vocational training </w:t>
            </w:r>
            <w:r w:rsidR="0082446B" w:rsidRPr="005B0B7D">
              <w:t>[</w:t>
            </w:r>
            <w:proofErr w:type="spellStart"/>
            <w:r w:rsidRPr="005B0B7D">
              <w:t>menyelesaikan</w:t>
            </w:r>
            <w:proofErr w:type="spellEnd"/>
            <w:r w:rsidRPr="005B0B7D">
              <w:t xml:space="preserve"> </w:t>
            </w:r>
            <w:proofErr w:type="spellStart"/>
            <w:r w:rsidRPr="005B0B7D">
              <w:t>pendidikan</w:t>
            </w:r>
            <w:proofErr w:type="spellEnd"/>
            <w:r w:rsidRPr="005B0B7D">
              <w:t xml:space="preserve"> non-formal </w:t>
            </w:r>
            <w:proofErr w:type="spellStart"/>
            <w:r w:rsidRPr="005B0B7D">
              <w:t>setara</w:t>
            </w:r>
            <w:proofErr w:type="spellEnd"/>
            <w:r w:rsidRPr="005B0B7D">
              <w:t xml:space="preserve"> </w:t>
            </w:r>
            <w:proofErr w:type="spellStart"/>
            <w:r w:rsidRPr="005B0B7D">
              <w:t>paket</w:t>
            </w:r>
            <w:proofErr w:type="spellEnd"/>
            <w:r w:rsidRPr="005B0B7D">
              <w:t xml:space="preserve"> A, B, C</w:t>
            </w:r>
            <w:r w:rsidR="0082446B" w:rsidRPr="005B0B7D">
              <w:t>]</w:t>
            </w:r>
          </w:p>
        </w:tc>
        <w:tc>
          <w:tcPr>
            <w:tcW w:w="1333" w:type="dxa"/>
            <w:vAlign w:val="center"/>
          </w:tcPr>
          <w:p w14:paraId="0A69D976" w14:textId="77777777" w:rsidR="008F77B1" w:rsidRPr="005B0B7D" w:rsidRDefault="008F77B1" w:rsidP="00931CEA">
            <w:pPr>
              <w:ind w:firstLine="33"/>
              <w:jc w:val="center"/>
            </w:pPr>
            <w:r w:rsidRPr="005B0B7D">
              <w:t>1</w:t>
            </w:r>
          </w:p>
        </w:tc>
        <w:tc>
          <w:tcPr>
            <w:tcW w:w="1701" w:type="dxa"/>
            <w:vAlign w:val="center"/>
          </w:tcPr>
          <w:p w14:paraId="19C848F4" w14:textId="77777777" w:rsidR="008F77B1" w:rsidRPr="005B0B7D" w:rsidRDefault="008F77B1" w:rsidP="00931CEA">
            <w:pPr>
              <w:ind w:firstLine="33"/>
              <w:jc w:val="center"/>
            </w:pPr>
            <w:r w:rsidRPr="005B0B7D">
              <w:t>0.3%</w:t>
            </w:r>
          </w:p>
        </w:tc>
        <w:tc>
          <w:tcPr>
            <w:tcW w:w="3061" w:type="dxa"/>
            <w:vAlign w:val="center"/>
          </w:tcPr>
          <w:p w14:paraId="33A389C0" w14:textId="77777777" w:rsidR="008F77B1" w:rsidRPr="005B0B7D" w:rsidRDefault="008F77B1" w:rsidP="00CC381A">
            <w:pPr>
              <w:pStyle w:val="TableFigure"/>
              <w:spacing w:before="0"/>
              <w:jc w:val="center"/>
            </w:pPr>
            <w:r w:rsidRPr="005B0B7D">
              <w:t>7.6%</w:t>
            </w:r>
          </w:p>
        </w:tc>
      </w:tr>
      <w:tr w:rsidR="008F77B1" w:rsidRPr="005B0B7D" w14:paraId="38C74433" w14:textId="77777777" w:rsidTr="00931CEA">
        <w:tc>
          <w:tcPr>
            <w:tcW w:w="3936" w:type="dxa"/>
          </w:tcPr>
          <w:p w14:paraId="26212E30" w14:textId="03CA0599" w:rsidR="008F77B1" w:rsidRPr="005B0B7D" w:rsidRDefault="008F77B1" w:rsidP="004E62BE">
            <w:pPr>
              <w:pStyle w:val="TableFigure"/>
              <w:spacing w:before="0"/>
            </w:pPr>
            <w:r w:rsidRPr="005B0B7D">
              <w:t xml:space="preserve">Elementary school diploma </w:t>
            </w:r>
            <w:r w:rsidR="0082446B" w:rsidRPr="005B0B7D">
              <w:t>[</w:t>
            </w:r>
            <w:r w:rsidRPr="005B0B7D">
              <w:t>SD</w:t>
            </w:r>
            <w:r w:rsidR="0082446B" w:rsidRPr="005B0B7D">
              <w:t>]</w:t>
            </w:r>
            <w:r w:rsidRPr="005B0B7D">
              <w:t xml:space="preserve"> and completed vocational training </w:t>
            </w:r>
            <w:r w:rsidR="0082446B" w:rsidRPr="005B0B7D">
              <w:t>[</w:t>
            </w:r>
            <w:proofErr w:type="spellStart"/>
            <w:r w:rsidRPr="005B0B7D">
              <w:t>menyelesaikan</w:t>
            </w:r>
            <w:proofErr w:type="spellEnd"/>
            <w:r w:rsidRPr="005B0B7D">
              <w:t xml:space="preserve"> </w:t>
            </w:r>
            <w:proofErr w:type="spellStart"/>
            <w:r w:rsidRPr="005B0B7D">
              <w:t>pendidikan</w:t>
            </w:r>
            <w:proofErr w:type="spellEnd"/>
            <w:r w:rsidRPr="005B0B7D">
              <w:t xml:space="preserve"> non-formal </w:t>
            </w:r>
            <w:proofErr w:type="spellStart"/>
            <w:r w:rsidRPr="005B0B7D">
              <w:t>setara</w:t>
            </w:r>
            <w:proofErr w:type="spellEnd"/>
            <w:r w:rsidRPr="005B0B7D">
              <w:t xml:space="preserve"> </w:t>
            </w:r>
            <w:proofErr w:type="spellStart"/>
            <w:r w:rsidRPr="005B0B7D">
              <w:t>paket</w:t>
            </w:r>
            <w:proofErr w:type="spellEnd"/>
            <w:r w:rsidRPr="005B0B7D">
              <w:t xml:space="preserve"> A, B, C</w:t>
            </w:r>
            <w:r w:rsidR="0082446B" w:rsidRPr="005B0B7D">
              <w:t>]</w:t>
            </w:r>
            <w:r w:rsidRPr="005B0B7D">
              <w:t xml:space="preserve"> or studen</w:t>
            </w:r>
            <w:r w:rsidR="00B012F6" w:rsidRPr="005B0B7D">
              <w:t>t</w:t>
            </w:r>
            <w:r w:rsidR="001B6C31" w:rsidRPr="005B0B7D">
              <w:t xml:space="preserve"> </w:t>
            </w:r>
            <w:r w:rsidR="0082446B" w:rsidRPr="005B0B7D">
              <w:t>[</w:t>
            </w:r>
            <w:proofErr w:type="spellStart"/>
            <w:r w:rsidRPr="005B0B7D">
              <w:t>mahasiswa</w:t>
            </w:r>
            <w:proofErr w:type="spellEnd"/>
            <w:r w:rsidR="0082446B" w:rsidRPr="005B0B7D">
              <w:t>]</w:t>
            </w:r>
          </w:p>
        </w:tc>
        <w:tc>
          <w:tcPr>
            <w:tcW w:w="1333" w:type="dxa"/>
            <w:vAlign w:val="center"/>
          </w:tcPr>
          <w:p w14:paraId="61F5B061" w14:textId="77777777" w:rsidR="008F77B1" w:rsidRPr="005B0B7D" w:rsidRDefault="008F77B1" w:rsidP="00931CEA">
            <w:pPr>
              <w:ind w:firstLine="33"/>
              <w:jc w:val="center"/>
            </w:pPr>
            <w:r w:rsidRPr="005B0B7D">
              <w:t>3</w:t>
            </w:r>
          </w:p>
        </w:tc>
        <w:tc>
          <w:tcPr>
            <w:tcW w:w="1701" w:type="dxa"/>
            <w:vAlign w:val="center"/>
          </w:tcPr>
          <w:p w14:paraId="297C5FA1" w14:textId="77777777" w:rsidR="008F77B1" w:rsidRPr="005B0B7D" w:rsidRDefault="008F77B1" w:rsidP="00931CEA">
            <w:pPr>
              <w:ind w:firstLine="33"/>
              <w:jc w:val="center"/>
            </w:pPr>
            <w:r w:rsidRPr="005B0B7D">
              <w:t>0.9%</w:t>
            </w:r>
          </w:p>
        </w:tc>
        <w:tc>
          <w:tcPr>
            <w:tcW w:w="3061" w:type="dxa"/>
            <w:vAlign w:val="center"/>
          </w:tcPr>
          <w:p w14:paraId="236D7251" w14:textId="77777777" w:rsidR="008F77B1" w:rsidRPr="005B0B7D" w:rsidRDefault="008F77B1" w:rsidP="00CC381A">
            <w:pPr>
              <w:pStyle w:val="TableFigure"/>
              <w:spacing w:before="0"/>
              <w:jc w:val="center"/>
            </w:pPr>
            <w:r w:rsidRPr="005B0B7D">
              <w:t>35.6%</w:t>
            </w:r>
          </w:p>
        </w:tc>
      </w:tr>
      <w:tr w:rsidR="008F77B1" w:rsidRPr="005B0B7D" w14:paraId="77122EBE" w14:textId="77777777" w:rsidTr="00931CEA">
        <w:tc>
          <w:tcPr>
            <w:tcW w:w="3936" w:type="dxa"/>
          </w:tcPr>
          <w:p w14:paraId="4F9029E6" w14:textId="3814B900" w:rsidR="008F77B1" w:rsidRPr="005B0B7D" w:rsidRDefault="008F77B1" w:rsidP="004E62BE">
            <w:pPr>
              <w:pStyle w:val="TableFigure"/>
              <w:spacing w:before="0"/>
            </w:pPr>
            <w:r w:rsidRPr="005B0B7D">
              <w:t xml:space="preserve">Middle school diploma </w:t>
            </w:r>
            <w:r w:rsidR="0082446B" w:rsidRPr="005B0B7D">
              <w:t>[</w:t>
            </w:r>
            <w:r w:rsidRPr="005B0B7D">
              <w:t>SMP</w:t>
            </w:r>
            <w:r w:rsidR="0082446B" w:rsidRPr="005B0B7D">
              <w:t>]</w:t>
            </w:r>
            <w:r w:rsidRPr="005B0B7D">
              <w:t xml:space="preserve"> and completed vocational training </w:t>
            </w:r>
            <w:r w:rsidR="0082446B" w:rsidRPr="005B0B7D">
              <w:t>[</w:t>
            </w:r>
            <w:proofErr w:type="spellStart"/>
            <w:r w:rsidRPr="005B0B7D">
              <w:t>menyelesaikan</w:t>
            </w:r>
            <w:proofErr w:type="spellEnd"/>
            <w:r w:rsidRPr="005B0B7D">
              <w:t xml:space="preserve"> </w:t>
            </w:r>
            <w:proofErr w:type="spellStart"/>
            <w:r w:rsidRPr="005B0B7D">
              <w:t>pendidikan</w:t>
            </w:r>
            <w:proofErr w:type="spellEnd"/>
            <w:r w:rsidRPr="005B0B7D">
              <w:t xml:space="preserve"> non-formal </w:t>
            </w:r>
            <w:proofErr w:type="spellStart"/>
            <w:r w:rsidRPr="005B0B7D">
              <w:t>setara</w:t>
            </w:r>
            <w:proofErr w:type="spellEnd"/>
            <w:r w:rsidRPr="005B0B7D">
              <w:t xml:space="preserve"> </w:t>
            </w:r>
            <w:proofErr w:type="spellStart"/>
            <w:r w:rsidRPr="005B0B7D">
              <w:t>paket</w:t>
            </w:r>
            <w:proofErr w:type="spellEnd"/>
            <w:r w:rsidRPr="005B0B7D">
              <w:t xml:space="preserve"> A, B, C</w:t>
            </w:r>
            <w:r w:rsidR="0082446B" w:rsidRPr="005B0B7D">
              <w:t>]</w:t>
            </w:r>
            <w:r w:rsidRPr="005B0B7D">
              <w:t xml:space="preserve"> or studen</w:t>
            </w:r>
            <w:r w:rsidR="00B012F6" w:rsidRPr="005B0B7D">
              <w:t>t</w:t>
            </w:r>
            <w:r w:rsidR="001B6C31" w:rsidRPr="005B0B7D">
              <w:t xml:space="preserve"> </w:t>
            </w:r>
            <w:r w:rsidR="0082446B" w:rsidRPr="005B0B7D">
              <w:t>[</w:t>
            </w:r>
            <w:proofErr w:type="spellStart"/>
            <w:r w:rsidRPr="005B0B7D">
              <w:t>mahasiswa</w:t>
            </w:r>
            <w:proofErr w:type="spellEnd"/>
            <w:r w:rsidR="0082446B" w:rsidRPr="005B0B7D">
              <w:t>]</w:t>
            </w:r>
          </w:p>
        </w:tc>
        <w:tc>
          <w:tcPr>
            <w:tcW w:w="1333" w:type="dxa"/>
            <w:vAlign w:val="center"/>
          </w:tcPr>
          <w:p w14:paraId="68A4406F" w14:textId="77777777" w:rsidR="008F77B1" w:rsidRPr="005B0B7D" w:rsidRDefault="008F77B1" w:rsidP="00931CEA">
            <w:pPr>
              <w:ind w:firstLine="33"/>
              <w:jc w:val="center"/>
            </w:pPr>
            <w:r w:rsidRPr="005B0B7D">
              <w:t>9</w:t>
            </w:r>
          </w:p>
        </w:tc>
        <w:tc>
          <w:tcPr>
            <w:tcW w:w="1701" w:type="dxa"/>
            <w:vAlign w:val="center"/>
          </w:tcPr>
          <w:p w14:paraId="0048C10A" w14:textId="77777777" w:rsidR="008F77B1" w:rsidRPr="005B0B7D" w:rsidRDefault="008F77B1" w:rsidP="00931CEA">
            <w:pPr>
              <w:ind w:firstLine="33"/>
              <w:jc w:val="center"/>
            </w:pPr>
            <w:r w:rsidRPr="005B0B7D">
              <w:t>2.6%</w:t>
            </w:r>
          </w:p>
        </w:tc>
        <w:tc>
          <w:tcPr>
            <w:tcW w:w="3061" w:type="dxa"/>
            <w:vAlign w:val="center"/>
          </w:tcPr>
          <w:p w14:paraId="02224087" w14:textId="77777777" w:rsidR="008F77B1" w:rsidRPr="005B0B7D" w:rsidRDefault="008F77B1" w:rsidP="00CC381A">
            <w:pPr>
              <w:pStyle w:val="TableFigure"/>
              <w:spacing w:before="0"/>
              <w:jc w:val="center"/>
            </w:pPr>
            <w:r w:rsidRPr="005B0B7D">
              <w:t>17.5%</w:t>
            </w:r>
          </w:p>
        </w:tc>
      </w:tr>
      <w:tr w:rsidR="008F77B1" w:rsidRPr="005B0B7D" w14:paraId="6898BADB" w14:textId="77777777" w:rsidTr="00931CEA">
        <w:tc>
          <w:tcPr>
            <w:tcW w:w="3936" w:type="dxa"/>
          </w:tcPr>
          <w:p w14:paraId="0F9823FA" w14:textId="30A950A6" w:rsidR="008F77B1" w:rsidRPr="005B0B7D" w:rsidRDefault="008F77B1" w:rsidP="004E62BE">
            <w:pPr>
              <w:pStyle w:val="TableFigure"/>
              <w:spacing w:before="0"/>
            </w:pPr>
            <w:r w:rsidRPr="005B0B7D">
              <w:t xml:space="preserve">Completed high school </w:t>
            </w:r>
            <w:r w:rsidR="0082446B" w:rsidRPr="005B0B7D">
              <w:t>[</w:t>
            </w:r>
            <w:r w:rsidRPr="005B0B7D">
              <w:t>SMA</w:t>
            </w:r>
            <w:r w:rsidR="0082446B" w:rsidRPr="005B0B7D">
              <w:t>]</w:t>
            </w:r>
            <w:r w:rsidRPr="005B0B7D">
              <w:t xml:space="preserve"> and no vocational training certificate, or currently in vocational training, or university/college student</w:t>
            </w:r>
          </w:p>
        </w:tc>
        <w:tc>
          <w:tcPr>
            <w:tcW w:w="1333" w:type="dxa"/>
            <w:vAlign w:val="center"/>
          </w:tcPr>
          <w:p w14:paraId="5AA8F646" w14:textId="77777777" w:rsidR="008F77B1" w:rsidRPr="005B0B7D" w:rsidRDefault="008F77B1" w:rsidP="00931CEA">
            <w:pPr>
              <w:ind w:firstLine="33"/>
              <w:jc w:val="center"/>
            </w:pPr>
            <w:r w:rsidRPr="005B0B7D">
              <w:t>105</w:t>
            </w:r>
          </w:p>
        </w:tc>
        <w:tc>
          <w:tcPr>
            <w:tcW w:w="1701" w:type="dxa"/>
            <w:vAlign w:val="center"/>
          </w:tcPr>
          <w:p w14:paraId="1EFCCE13" w14:textId="77777777" w:rsidR="008F77B1" w:rsidRPr="005B0B7D" w:rsidRDefault="008F77B1" w:rsidP="00931CEA">
            <w:pPr>
              <w:ind w:firstLine="33"/>
              <w:jc w:val="center"/>
            </w:pPr>
            <w:r w:rsidRPr="005B0B7D">
              <w:t>30.2%</w:t>
            </w:r>
          </w:p>
        </w:tc>
        <w:tc>
          <w:tcPr>
            <w:tcW w:w="3061" w:type="dxa"/>
            <w:vAlign w:val="center"/>
          </w:tcPr>
          <w:p w14:paraId="637A5EEE" w14:textId="77777777" w:rsidR="008F77B1" w:rsidRPr="005B0B7D" w:rsidRDefault="008F77B1" w:rsidP="00CC381A">
            <w:pPr>
              <w:pStyle w:val="TableFigure"/>
              <w:spacing w:before="0"/>
              <w:jc w:val="center"/>
            </w:pPr>
            <w:r w:rsidRPr="005B0B7D">
              <w:t>23.0%</w:t>
            </w:r>
          </w:p>
        </w:tc>
      </w:tr>
      <w:tr w:rsidR="008F77B1" w:rsidRPr="005B0B7D" w14:paraId="1D62CC90" w14:textId="77777777" w:rsidTr="00931CEA">
        <w:tc>
          <w:tcPr>
            <w:tcW w:w="3936" w:type="dxa"/>
          </w:tcPr>
          <w:p w14:paraId="46456110" w14:textId="4FB19731" w:rsidR="008F77B1" w:rsidRPr="005B0B7D" w:rsidRDefault="008F77B1" w:rsidP="004E62BE">
            <w:pPr>
              <w:pStyle w:val="TableFigure"/>
              <w:spacing w:before="0"/>
            </w:pPr>
            <w:r w:rsidRPr="005B0B7D">
              <w:t xml:space="preserve">Completed high school </w:t>
            </w:r>
            <w:r w:rsidR="0082446B" w:rsidRPr="005B0B7D">
              <w:t>[</w:t>
            </w:r>
            <w:r w:rsidRPr="005B0B7D">
              <w:t>SMA</w:t>
            </w:r>
            <w:r w:rsidR="0082446B" w:rsidRPr="005B0B7D">
              <w:t>]</w:t>
            </w:r>
            <w:r w:rsidRPr="005B0B7D">
              <w:t xml:space="preserve"> and college certificate </w:t>
            </w:r>
            <w:r w:rsidR="0082446B" w:rsidRPr="005B0B7D">
              <w:t>[</w:t>
            </w:r>
            <w:r w:rsidRPr="005B0B7D">
              <w:t>Diploma I/II/III</w:t>
            </w:r>
            <w:r w:rsidR="0082446B" w:rsidRPr="005B0B7D">
              <w:t>]</w:t>
            </w:r>
          </w:p>
        </w:tc>
        <w:tc>
          <w:tcPr>
            <w:tcW w:w="1333" w:type="dxa"/>
            <w:vAlign w:val="center"/>
          </w:tcPr>
          <w:p w14:paraId="6EA9862A" w14:textId="77777777" w:rsidR="008F77B1" w:rsidRPr="005B0B7D" w:rsidRDefault="008F77B1" w:rsidP="00931CEA">
            <w:pPr>
              <w:ind w:firstLine="33"/>
              <w:jc w:val="center"/>
            </w:pPr>
            <w:r w:rsidRPr="005B0B7D">
              <w:t>48</w:t>
            </w:r>
          </w:p>
        </w:tc>
        <w:tc>
          <w:tcPr>
            <w:tcW w:w="1701" w:type="dxa"/>
            <w:vAlign w:val="center"/>
          </w:tcPr>
          <w:p w14:paraId="788CF3EA" w14:textId="77777777" w:rsidR="008F77B1" w:rsidRPr="005B0B7D" w:rsidRDefault="008F77B1" w:rsidP="00931CEA">
            <w:pPr>
              <w:ind w:firstLine="33"/>
              <w:jc w:val="center"/>
            </w:pPr>
            <w:r w:rsidRPr="005B0B7D">
              <w:t>13.8%</w:t>
            </w:r>
          </w:p>
        </w:tc>
        <w:tc>
          <w:tcPr>
            <w:tcW w:w="3061" w:type="dxa"/>
            <w:vAlign w:val="center"/>
          </w:tcPr>
          <w:p w14:paraId="52763F2F" w14:textId="77777777" w:rsidR="008F77B1" w:rsidRPr="005B0B7D" w:rsidRDefault="008F77B1" w:rsidP="00CC381A">
            <w:pPr>
              <w:pStyle w:val="TableFigure"/>
              <w:spacing w:before="0"/>
              <w:jc w:val="center"/>
            </w:pPr>
            <w:r w:rsidRPr="005B0B7D">
              <w:t>2.9%</w:t>
            </w:r>
          </w:p>
        </w:tc>
      </w:tr>
      <w:tr w:rsidR="008F77B1" w:rsidRPr="005B0B7D" w14:paraId="5EB57EBA" w14:textId="77777777" w:rsidTr="00931CEA">
        <w:tc>
          <w:tcPr>
            <w:tcW w:w="3936" w:type="dxa"/>
            <w:tcBorders>
              <w:bottom w:val="single" w:sz="4" w:space="0" w:color="auto"/>
            </w:tcBorders>
          </w:tcPr>
          <w:p w14:paraId="724E65A9" w14:textId="66489F1D" w:rsidR="008F77B1" w:rsidRPr="005B0B7D" w:rsidRDefault="008F77B1" w:rsidP="004E62BE">
            <w:pPr>
              <w:pStyle w:val="TableFigure"/>
              <w:spacing w:before="0"/>
            </w:pPr>
            <w:r w:rsidRPr="005B0B7D">
              <w:t xml:space="preserve">Completed high school </w:t>
            </w:r>
            <w:r w:rsidR="0082446B" w:rsidRPr="005B0B7D">
              <w:t>[</w:t>
            </w:r>
            <w:r w:rsidRPr="005B0B7D">
              <w:t>SMA</w:t>
            </w:r>
            <w:r w:rsidR="0082446B" w:rsidRPr="005B0B7D">
              <w:t>]</w:t>
            </w:r>
            <w:r w:rsidRPr="005B0B7D">
              <w:t xml:space="preserve"> and university degree </w:t>
            </w:r>
            <w:r w:rsidR="0082446B" w:rsidRPr="005B0B7D">
              <w:t>[</w:t>
            </w:r>
            <w:r w:rsidRPr="005B0B7D">
              <w:t>S1/S2/S3</w:t>
            </w:r>
            <w:r w:rsidR="0082446B" w:rsidRPr="005B0B7D">
              <w:t>]</w:t>
            </w:r>
          </w:p>
        </w:tc>
        <w:tc>
          <w:tcPr>
            <w:tcW w:w="1333" w:type="dxa"/>
            <w:tcBorders>
              <w:bottom w:val="single" w:sz="4" w:space="0" w:color="auto"/>
            </w:tcBorders>
            <w:vAlign w:val="center"/>
          </w:tcPr>
          <w:p w14:paraId="449EEAD2" w14:textId="77777777" w:rsidR="008F77B1" w:rsidRPr="005B0B7D" w:rsidRDefault="008F77B1" w:rsidP="00931CEA">
            <w:pPr>
              <w:ind w:firstLine="33"/>
              <w:jc w:val="center"/>
            </w:pPr>
            <w:r w:rsidRPr="005B0B7D">
              <w:t>171</w:t>
            </w:r>
          </w:p>
        </w:tc>
        <w:tc>
          <w:tcPr>
            <w:tcW w:w="1701" w:type="dxa"/>
            <w:tcBorders>
              <w:bottom w:val="single" w:sz="4" w:space="0" w:color="auto"/>
            </w:tcBorders>
            <w:vAlign w:val="center"/>
          </w:tcPr>
          <w:p w14:paraId="1FA35FD2" w14:textId="77777777" w:rsidR="008F77B1" w:rsidRPr="005B0B7D" w:rsidRDefault="008F77B1" w:rsidP="00931CEA">
            <w:pPr>
              <w:ind w:firstLine="33"/>
              <w:jc w:val="center"/>
            </w:pPr>
            <w:r w:rsidRPr="005B0B7D">
              <w:t>49.1%</w:t>
            </w:r>
          </w:p>
        </w:tc>
        <w:tc>
          <w:tcPr>
            <w:tcW w:w="3061" w:type="dxa"/>
            <w:tcBorders>
              <w:bottom w:val="single" w:sz="4" w:space="0" w:color="auto"/>
            </w:tcBorders>
            <w:vAlign w:val="center"/>
          </w:tcPr>
          <w:p w14:paraId="599FB37C" w14:textId="77777777" w:rsidR="008F77B1" w:rsidRPr="005B0B7D" w:rsidRDefault="008F77B1" w:rsidP="00CC381A">
            <w:pPr>
              <w:pStyle w:val="TableFigure"/>
              <w:spacing w:before="0"/>
              <w:jc w:val="center"/>
            </w:pPr>
            <w:r w:rsidRPr="005B0B7D">
              <w:t>5.6%</w:t>
            </w:r>
          </w:p>
        </w:tc>
      </w:tr>
    </w:tbl>
    <w:p w14:paraId="73CB87E0" w14:textId="77777777" w:rsidR="00FC6B43" w:rsidRPr="005B0B7D" w:rsidRDefault="00FC6B43" w:rsidP="003F1E33"/>
    <w:p w14:paraId="62288233" w14:textId="34B2D0B4" w:rsidR="007F4776" w:rsidRPr="005B0B7D" w:rsidRDefault="007F4776" w:rsidP="0046020A">
      <w:pPr>
        <w:pStyle w:val="Heading3"/>
        <w:rPr>
          <w:b w:val="0"/>
        </w:rPr>
      </w:pPr>
      <w:r w:rsidRPr="005B0B7D">
        <w:lastRenderedPageBreak/>
        <w:t xml:space="preserve">Income. </w:t>
      </w:r>
      <w:r w:rsidRPr="005B0B7D">
        <w:rPr>
          <w:b w:val="0"/>
        </w:rPr>
        <w:t xml:space="preserve">The average monthly </w:t>
      </w:r>
      <w:r w:rsidR="00CE1489" w:rsidRPr="005B0B7D">
        <w:rPr>
          <w:b w:val="0"/>
        </w:rPr>
        <w:t>household expenditure</w:t>
      </w:r>
      <w:r w:rsidRPr="005B0B7D">
        <w:rPr>
          <w:b w:val="0"/>
        </w:rPr>
        <w:t xml:space="preserve"> of the participants is compared with the average </w:t>
      </w:r>
      <w:r w:rsidR="00CE1489" w:rsidRPr="005B0B7D">
        <w:rPr>
          <w:b w:val="0"/>
        </w:rPr>
        <w:t xml:space="preserve">monthly household expenditure </w:t>
      </w:r>
      <w:r w:rsidRPr="005B0B7D">
        <w:rPr>
          <w:b w:val="0"/>
        </w:rPr>
        <w:t xml:space="preserve">of </w:t>
      </w:r>
      <w:r w:rsidR="00CE1489" w:rsidRPr="005B0B7D">
        <w:rPr>
          <w:b w:val="0"/>
        </w:rPr>
        <w:t>the Indonesian</w:t>
      </w:r>
      <w:r w:rsidRPr="005B0B7D">
        <w:rPr>
          <w:b w:val="0"/>
        </w:rPr>
        <w:t xml:space="preserve"> population </w:t>
      </w:r>
      <w:r w:rsidR="00CE1489" w:rsidRPr="005B0B7D">
        <w:rPr>
          <w:b w:val="0"/>
        </w:rPr>
        <w:t xml:space="preserve">in </w:t>
      </w:r>
      <w:r w:rsidRPr="005B0B7D">
        <w:rPr>
          <w:b w:val="0"/>
        </w:rPr>
        <w:t>20</w:t>
      </w:r>
      <w:r w:rsidR="00CE1489" w:rsidRPr="005B0B7D">
        <w:rPr>
          <w:b w:val="0"/>
        </w:rPr>
        <w:t>11</w:t>
      </w:r>
      <w:r w:rsidRPr="005B0B7D">
        <w:rPr>
          <w:b w:val="0"/>
        </w:rPr>
        <w:t xml:space="preserve"> from the </w:t>
      </w:r>
      <w:r w:rsidR="00CE1489" w:rsidRPr="005B0B7D">
        <w:rPr>
          <w:b w:val="0"/>
        </w:rPr>
        <w:t>Indonesian</w:t>
      </w:r>
      <w:r w:rsidRPr="005B0B7D">
        <w:rPr>
          <w:b w:val="0"/>
        </w:rPr>
        <w:t xml:space="preserve"> </w:t>
      </w:r>
      <w:r w:rsidR="00B17797" w:rsidRPr="005B0B7D">
        <w:rPr>
          <w:b w:val="0"/>
        </w:rPr>
        <w:t>s</w:t>
      </w:r>
      <w:r w:rsidRPr="005B0B7D">
        <w:rPr>
          <w:b w:val="0"/>
        </w:rPr>
        <w:t>tatistic</w:t>
      </w:r>
      <w:r w:rsidR="00B17797" w:rsidRPr="005B0B7D">
        <w:rPr>
          <w:b w:val="0"/>
        </w:rPr>
        <w:t>al</w:t>
      </w:r>
      <w:r w:rsidRPr="005B0B7D">
        <w:rPr>
          <w:b w:val="0"/>
        </w:rPr>
        <w:t xml:space="preserve"> office </w:t>
      </w:r>
      <w:r w:rsidR="00C92DB8" w:rsidRPr="005B0B7D">
        <w:rPr>
          <w:b w:val="0"/>
        </w:rPr>
        <w:fldChar w:fldCharType="begin"/>
      </w:r>
      <w:r w:rsidR="00DE5D0F" w:rsidRPr="005B0B7D">
        <w:rPr>
          <w:b w:val="0"/>
        </w:rPr>
        <w:instrText xml:space="preserve"> ADDIN ZOTERO_ITEM CSL_CITATION {"citationID":"AEoqYgyN","properties":{"formattedCitation":"(Badan Pusat Statistik, 2011)","plainCitation":"(Badan Pusat Statistik, 2011)"},"citationItems":[{"id":2904,"uris":["http://zotero.org/users/1509854/items/3ZUMVJGC"],"uri":["http://zotero.org/users/1509854/items/3ZUMVJGC"],"itemData":{"id":2904,"type":"report","title":"Pengeluaran untuk konsumsi penduduk Indonesia 2011","publisher":"Badan Pusat Statistik","publisher-place":"Jakarta, Indonesia","genre":"Book","event-place":"Jakarta, Indonesia","abstract":"Publikasi pengeluaran untuk konsumsi penduduk Indonesia 2011 memberikan gambaran mengenai\npola pengeluaran dan pola konsumsi untuk perkotaan dan perdesaan di seluruh Indonesia.","URL":"http://bps.go.id/website/pdf_publikasi/watermark _Pengeluaran untuk Konsumsi Penduduk Indonesia​2011.pdf","author":[{"literal":"Badan Pusat Statistik"}],"issued":{"date-parts":[["2011",10]]}}}],"schema":"https://github.com/citation-style-language/schema/raw/master/csl-citation.json"} </w:instrText>
      </w:r>
      <w:r w:rsidR="00C92DB8" w:rsidRPr="005B0B7D">
        <w:rPr>
          <w:b w:val="0"/>
        </w:rPr>
        <w:fldChar w:fldCharType="separate"/>
      </w:r>
      <w:r w:rsidR="00B012F6" w:rsidRPr="005B0B7D">
        <w:rPr>
          <w:b w:val="0"/>
        </w:rPr>
        <w:t>(</w:t>
      </w:r>
      <w:r w:rsidR="00601FAB" w:rsidRPr="005B0B7D">
        <w:rPr>
          <w:b w:val="0"/>
        </w:rPr>
        <w:t>Badan Pusat Statistik, 2011)</w:t>
      </w:r>
      <w:r w:rsidR="00C92DB8" w:rsidRPr="005B0B7D">
        <w:rPr>
          <w:b w:val="0"/>
        </w:rPr>
        <w:fldChar w:fldCharType="end"/>
      </w:r>
      <w:r w:rsidRPr="005B0B7D">
        <w:rPr>
          <w:b w:val="0"/>
        </w:rPr>
        <w:t xml:space="preserve">. </w:t>
      </w:r>
      <w:r w:rsidR="00FE3917" w:rsidRPr="005B0B7D">
        <w:rPr>
          <w:b w:val="0"/>
        </w:rPr>
        <w:t>Income is difficult to compare across living conditions in Indonesia</w:t>
      </w:r>
      <w:r w:rsidR="00CE1489" w:rsidRPr="005B0B7D">
        <w:rPr>
          <w:b w:val="0"/>
        </w:rPr>
        <w:t xml:space="preserve"> due to the wide range of economic </w:t>
      </w:r>
      <w:r w:rsidR="00030EBC" w:rsidRPr="005B0B7D">
        <w:rPr>
          <w:b w:val="0"/>
        </w:rPr>
        <w:t>condition</w:t>
      </w:r>
      <w:r w:rsidR="00B17797" w:rsidRPr="005B0B7D">
        <w:rPr>
          <w:b w:val="0"/>
        </w:rPr>
        <w:t>s</w:t>
      </w:r>
      <w:r w:rsidR="00030EBC" w:rsidRPr="005B0B7D">
        <w:rPr>
          <w:b w:val="0"/>
        </w:rPr>
        <w:t xml:space="preserve">. </w:t>
      </w:r>
      <w:r w:rsidR="00FE3917" w:rsidRPr="005B0B7D">
        <w:rPr>
          <w:b w:val="0"/>
        </w:rPr>
        <w:t>To illustrate, t</w:t>
      </w:r>
      <w:r w:rsidR="001310D6" w:rsidRPr="005B0B7D">
        <w:rPr>
          <w:b w:val="0"/>
        </w:rPr>
        <w:t xml:space="preserve">he minimum monthly wage in Indonesian provinces </w:t>
      </w:r>
      <w:r w:rsidR="00FE3917" w:rsidRPr="005B0B7D">
        <w:rPr>
          <w:b w:val="0"/>
        </w:rPr>
        <w:t>range</w:t>
      </w:r>
      <w:r w:rsidR="001310D6" w:rsidRPr="005B0B7D">
        <w:rPr>
          <w:b w:val="0"/>
        </w:rPr>
        <w:t xml:space="preserve"> from USD$ 226 in Jakarta to USD$ 80 in Central Java</w:t>
      </w:r>
      <w:r w:rsidR="00FE3917" w:rsidRPr="005B0B7D">
        <w:rPr>
          <w:b w:val="0"/>
        </w:rPr>
        <w:t xml:space="preserve"> </w:t>
      </w:r>
      <w:r w:rsidR="00B012F6" w:rsidRPr="005B0B7D">
        <w:rPr>
          <w:b w:val="0"/>
        </w:rPr>
        <w:t>(</w:t>
      </w:r>
      <w:r w:rsidR="00FE3917" w:rsidRPr="005B0B7D">
        <w:rPr>
          <w:b w:val="0"/>
        </w:rPr>
        <w:t xml:space="preserve">approximation, see </w:t>
      </w:r>
      <w:r w:rsidR="00C92DB8" w:rsidRPr="005B0B7D">
        <w:rPr>
          <w:b w:val="0"/>
        </w:rPr>
        <w:fldChar w:fldCharType="begin"/>
      </w:r>
      <w:r w:rsidR="00DE5D0F" w:rsidRPr="005B0B7D">
        <w:rPr>
          <w:b w:val="0"/>
        </w:rPr>
        <w:instrText xml:space="preserve"> ADDIN ZOTERO_ITEM CSL_CITATION {"citationID":"twEsPKQR","properties":{"formattedCitation":"(Wage Indicator, 2015)","plainCitation":"(Wage Indicator, 2015)"},"citationItems":[{"id":2952,"uris":["http://zotero.org/users/1509854/items/BM84NC5C"],"uri":["http://zotero.org/users/1509854/items/BM84NC5C"],"itemData":{"id":2952,"type":"webpage","title":"Minimum Wages in Indonesia with effect from 01-01-2016 to 31-12-2016","URL":"http://www.wageindicator.org/main/salary/minimum-wage/indonesia","author":[{"literal":"Wage Indicator"}],"issued":{"date-parts":[["2015"]]},"accessed":{"date-parts":[["2015",12,23]]}}}],"schema":"https://github.com/citation-style-language/schema/raw/master/csl-citation.json"} </w:instrText>
      </w:r>
      <w:r w:rsidR="00C92DB8" w:rsidRPr="005B0B7D">
        <w:rPr>
          <w:b w:val="0"/>
        </w:rPr>
        <w:fldChar w:fldCharType="separate"/>
      </w:r>
      <w:r w:rsidR="00B012F6" w:rsidRPr="005B0B7D">
        <w:rPr>
          <w:b w:val="0"/>
        </w:rPr>
        <w:t>(</w:t>
      </w:r>
      <w:r w:rsidR="00601FAB" w:rsidRPr="005B0B7D">
        <w:rPr>
          <w:b w:val="0"/>
        </w:rPr>
        <w:t>Wage Indicator, 2015)</w:t>
      </w:r>
      <w:r w:rsidR="00C92DB8" w:rsidRPr="005B0B7D">
        <w:rPr>
          <w:b w:val="0"/>
        </w:rPr>
        <w:fldChar w:fldCharType="end"/>
      </w:r>
      <w:r w:rsidR="007B57AB" w:rsidRPr="005B0B7D">
        <w:rPr>
          <w:b w:val="0"/>
        </w:rPr>
        <w:t>)</w:t>
      </w:r>
      <w:r w:rsidR="001310D6" w:rsidRPr="005B0B7D">
        <w:rPr>
          <w:b w:val="0"/>
        </w:rPr>
        <w:t xml:space="preserve">. </w:t>
      </w:r>
      <w:r w:rsidR="007341D6" w:rsidRPr="005B0B7D">
        <w:rPr>
          <w:b w:val="0"/>
        </w:rPr>
        <w:t xml:space="preserve">Here we </w:t>
      </w:r>
      <w:r w:rsidR="00B17797" w:rsidRPr="005B0B7D">
        <w:rPr>
          <w:b w:val="0"/>
        </w:rPr>
        <w:t>do not</w:t>
      </w:r>
      <w:r w:rsidR="000967D5" w:rsidRPr="005B0B7D">
        <w:rPr>
          <w:b w:val="0"/>
        </w:rPr>
        <w:t xml:space="preserve"> find</w:t>
      </w:r>
      <w:r w:rsidR="00B17797" w:rsidRPr="005B0B7D">
        <w:rPr>
          <w:b w:val="0"/>
        </w:rPr>
        <w:t xml:space="preserve"> evidence</w:t>
      </w:r>
      <w:r w:rsidR="000967D5" w:rsidRPr="005B0B7D">
        <w:rPr>
          <w:b w:val="0"/>
        </w:rPr>
        <w:t xml:space="preserve"> of</w:t>
      </w:r>
      <w:r w:rsidR="00B17797" w:rsidRPr="005B0B7D">
        <w:rPr>
          <w:b w:val="0"/>
        </w:rPr>
        <w:t xml:space="preserve"> </w:t>
      </w:r>
      <w:r w:rsidR="007341D6" w:rsidRPr="005B0B7D">
        <w:rPr>
          <w:b w:val="0"/>
        </w:rPr>
        <w:t xml:space="preserve">the trend that the participants from our sample </w:t>
      </w:r>
      <w:r w:rsidR="005D4A5D" w:rsidRPr="005B0B7D">
        <w:rPr>
          <w:b w:val="0"/>
        </w:rPr>
        <w:t>are</w:t>
      </w:r>
      <w:r w:rsidR="007341D6" w:rsidRPr="005B0B7D">
        <w:rPr>
          <w:b w:val="0"/>
        </w:rPr>
        <w:t xml:space="preserve"> of lower income than the general population of Indonesia</w:t>
      </w:r>
      <w:r w:rsidR="005D4A5D" w:rsidRPr="005B0B7D">
        <w:rPr>
          <w:b w:val="0"/>
        </w:rPr>
        <w:t xml:space="preserve">. The trend seems to be the reverse. </w:t>
      </w:r>
      <w:r w:rsidR="007341D6" w:rsidRPr="005B0B7D">
        <w:rPr>
          <w:b w:val="0"/>
        </w:rPr>
        <w:t xml:space="preserve"> </w:t>
      </w:r>
    </w:p>
    <w:p w14:paraId="4717D909" w14:textId="77777777" w:rsidR="007F4776" w:rsidRPr="005B0B7D" w:rsidRDefault="007F4776" w:rsidP="003F1E33"/>
    <w:p w14:paraId="78EE076E" w14:textId="77777777" w:rsidR="007F4776" w:rsidRPr="005B0B7D" w:rsidRDefault="007F4776" w:rsidP="004E62BE">
      <w:pPr>
        <w:ind w:firstLine="0"/>
      </w:pPr>
      <w:r w:rsidRPr="005B0B7D">
        <w:t xml:space="preserve">Table </w:t>
      </w:r>
      <w:r w:rsidR="004E62BE" w:rsidRPr="005B0B7D">
        <w:t>4</w:t>
      </w:r>
      <w:r w:rsidRPr="005B0B7D">
        <w:t xml:space="preserve">. Average income of participants from </w:t>
      </w:r>
      <w:r w:rsidR="00A835A1" w:rsidRPr="005B0B7D">
        <w:t>Indonesia</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5"/>
        <w:gridCol w:w="1714"/>
        <w:gridCol w:w="2964"/>
      </w:tblGrid>
      <w:tr w:rsidR="00944343" w:rsidRPr="005B0B7D" w14:paraId="040B0922" w14:textId="77777777" w:rsidTr="00CC381A">
        <w:tc>
          <w:tcPr>
            <w:tcW w:w="3794" w:type="dxa"/>
            <w:tcBorders>
              <w:top w:val="single" w:sz="4" w:space="0" w:color="auto"/>
            </w:tcBorders>
          </w:tcPr>
          <w:p w14:paraId="5EA00D02" w14:textId="77777777" w:rsidR="00944343" w:rsidRPr="005B0B7D" w:rsidRDefault="00944343" w:rsidP="004E62BE">
            <w:pPr>
              <w:pStyle w:val="TableFigure"/>
              <w:spacing w:before="0"/>
            </w:pPr>
            <w:r w:rsidRPr="005B0B7D">
              <w:t>Income</w:t>
            </w:r>
          </w:p>
        </w:tc>
        <w:tc>
          <w:tcPr>
            <w:tcW w:w="2989" w:type="dxa"/>
            <w:gridSpan w:val="2"/>
            <w:tcBorders>
              <w:top w:val="single" w:sz="4" w:space="0" w:color="auto"/>
            </w:tcBorders>
            <w:vAlign w:val="center"/>
          </w:tcPr>
          <w:p w14:paraId="3D1FDDEB" w14:textId="170DC1A1" w:rsidR="00944343" w:rsidRPr="005B0B7D" w:rsidRDefault="00944343" w:rsidP="00B72FB1">
            <w:pPr>
              <w:pStyle w:val="TableFigure"/>
              <w:spacing w:before="0"/>
              <w:jc w:val="center"/>
            </w:pPr>
            <w:r w:rsidRPr="005B0B7D">
              <w:t xml:space="preserve">Participants </w:t>
            </w:r>
            <w:r w:rsidR="00B012F6" w:rsidRPr="005B0B7D">
              <w:rPr>
                <w:i/>
              </w:rPr>
              <w:t>(n =</w:t>
            </w:r>
            <w:r w:rsidR="004D781F" w:rsidRPr="005B0B7D">
              <w:t xml:space="preserve"> </w:t>
            </w:r>
            <w:r w:rsidR="00B72FB1" w:rsidRPr="005B0B7D">
              <w:t>348</w:t>
            </w:r>
            <w:r w:rsidRPr="005B0B7D">
              <w:t>)</w:t>
            </w:r>
          </w:p>
        </w:tc>
        <w:tc>
          <w:tcPr>
            <w:tcW w:w="2964" w:type="dxa"/>
            <w:tcBorders>
              <w:top w:val="single" w:sz="4" w:space="0" w:color="auto"/>
            </w:tcBorders>
            <w:vAlign w:val="center"/>
          </w:tcPr>
          <w:p w14:paraId="0A915232" w14:textId="618180C4" w:rsidR="00944343" w:rsidRPr="005B0B7D" w:rsidRDefault="00BC3154" w:rsidP="00BC3154">
            <w:pPr>
              <w:pStyle w:val="TableFigure"/>
              <w:spacing w:before="0"/>
              <w:jc w:val="center"/>
            </w:pPr>
            <w:r w:rsidRPr="005B0B7D">
              <w:t xml:space="preserve">Indonesia </w:t>
            </w:r>
            <w:r w:rsidR="00944343" w:rsidRPr="005B0B7D">
              <w:t xml:space="preserve">2011 </w:t>
            </w:r>
            <w:r w:rsidR="00B012F6" w:rsidRPr="005B0B7D">
              <w:t>(</w:t>
            </w:r>
            <w:r w:rsidR="00944343" w:rsidRPr="005B0B7D">
              <w:t>%)</w:t>
            </w:r>
          </w:p>
        </w:tc>
      </w:tr>
      <w:tr w:rsidR="00A835A1" w:rsidRPr="005B0B7D" w14:paraId="41B266FE" w14:textId="77777777" w:rsidTr="00CC381A">
        <w:tc>
          <w:tcPr>
            <w:tcW w:w="3794" w:type="dxa"/>
            <w:tcBorders>
              <w:bottom w:val="single" w:sz="4" w:space="0" w:color="auto"/>
            </w:tcBorders>
          </w:tcPr>
          <w:p w14:paraId="3669FCF9" w14:textId="77777777" w:rsidR="00A835A1" w:rsidRPr="005B0B7D" w:rsidRDefault="00A835A1" w:rsidP="004E62BE">
            <w:pPr>
              <w:pStyle w:val="TableFigure"/>
              <w:spacing w:before="0"/>
            </w:pPr>
          </w:p>
        </w:tc>
        <w:tc>
          <w:tcPr>
            <w:tcW w:w="1275" w:type="dxa"/>
            <w:tcBorders>
              <w:bottom w:val="single" w:sz="4" w:space="0" w:color="auto"/>
            </w:tcBorders>
            <w:vAlign w:val="center"/>
          </w:tcPr>
          <w:p w14:paraId="1B1AA8F6" w14:textId="77777777" w:rsidR="00A835A1" w:rsidRPr="005B0B7D" w:rsidRDefault="00A835A1" w:rsidP="00CC381A">
            <w:pPr>
              <w:pStyle w:val="TableFigure"/>
              <w:spacing w:before="0"/>
              <w:jc w:val="center"/>
            </w:pPr>
            <w:r w:rsidRPr="005B0B7D">
              <w:t>Frequency</w:t>
            </w:r>
          </w:p>
        </w:tc>
        <w:tc>
          <w:tcPr>
            <w:tcW w:w="1714" w:type="dxa"/>
            <w:tcBorders>
              <w:bottom w:val="single" w:sz="4" w:space="0" w:color="auto"/>
            </w:tcBorders>
            <w:vAlign w:val="center"/>
          </w:tcPr>
          <w:p w14:paraId="68D0AA4D" w14:textId="67D7CEDD" w:rsidR="00A835A1" w:rsidRPr="005B0B7D" w:rsidRDefault="00A835A1" w:rsidP="00CC381A">
            <w:pPr>
              <w:pStyle w:val="TableFigure"/>
              <w:spacing w:before="0"/>
              <w:jc w:val="center"/>
            </w:pPr>
            <w:r w:rsidRPr="005B0B7D">
              <w:t xml:space="preserve">Percentage </w:t>
            </w:r>
            <w:r w:rsidR="00B012F6" w:rsidRPr="005B0B7D">
              <w:t>(</w:t>
            </w:r>
            <w:r w:rsidRPr="005B0B7D">
              <w:t>%)</w:t>
            </w:r>
          </w:p>
        </w:tc>
        <w:tc>
          <w:tcPr>
            <w:tcW w:w="2964" w:type="dxa"/>
            <w:tcBorders>
              <w:bottom w:val="single" w:sz="4" w:space="0" w:color="auto"/>
            </w:tcBorders>
            <w:vAlign w:val="center"/>
          </w:tcPr>
          <w:p w14:paraId="28222A02" w14:textId="77777777" w:rsidR="00A835A1" w:rsidRPr="005B0B7D" w:rsidRDefault="00A835A1" w:rsidP="00CC381A">
            <w:pPr>
              <w:pStyle w:val="TableFigure"/>
              <w:spacing w:before="0"/>
              <w:jc w:val="center"/>
            </w:pPr>
          </w:p>
        </w:tc>
      </w:tr>
      <w:tr w:rsidR="00D474C4" w:rsidRPr="005B0B7D" w14:paraId="277EA215" w14:textId="77777777" w:rsidTr="00931CEA">
        <w:tc>
          <w:tcPr>
            <w:tcW w:w="3794" w:type="dxa"/>
            <w:tcBorders>
              <w:top w:val="single" w:sz="4" w:space="0" w:color="auto"/>
            </w:tcBorders>
          </w:tcPr>
          <w:p w14:paraId="7425F710" w14:textId="77777777" w:rsidR="00D474C4" w:rsidRPr="005B0B7D" w:rsidRDefault="00D474C4" w:rsidP="004E62BE">
            <w:pPr>
              <w:pStyle w:val="TableFigure"/>
              <w:spacing w:before="0"/>
            </w:pPr>
            <w:r w:rsidRPr="005B0B7D">
              <w:t>Under Rp1.000.000</w:t>
            </w:r>
          </w:p>
        </w:tc>
        <w:tc>
          <w:tcPr>
            <w:tcW w:w="1275" w:type="dxa"/>
            <w:tcBorders>
              <w:top w:val="single" w:sz="4" w:space="0" w:color="auto"/>
            </w:tcBorders>
          </w:tcPr>
          <w:p w14:paraId="6F840404" w14:textId="77777777" w:rsidR="00D474C4" w:rsidRPr="005B0B7D" w:rsidRDefault="00D474C4" w:rsidP="00931CEA">
            <w:pPr>
              <w:ind w:firstLine="34"/>
              <w:jc w:val="center"/>
            </w:pPr>
            <w:r w:rsidRPr="005B0B7D">
              <w:t>28</w:t>
            </w:r>
          </w:p>
        </w:tc>
        <w:tc>
          <w:tcPr>
            <w:tcW w:w="1714" w:type="dxa"/>
            <w:tcBorders>
              <w:top w:val="single" w:sz="4" w:space="0" w:color="auto"/>
            </w:tcBorders>
          </w:tcPr>
          <w:p w14:paraId="369AFA2D" w14:textId="77777777" w:rsidR="00D474C4" w:rsidRPr="005B0B7D" w:rsidRDefault="00D474C4" w:rsidP="00931CEA">
            <w:pPr>
              <w:ind w:firstLine="34"/>
              <w:jc w:val="center"/>
            </w:pPr>
            <w:r w:rsidRPr="005B0B7D">
              <w:t>8.0%</w:t>
            </w:r>
          </w:p>
        </w:tc>
        <w:tc>
          <w:tcPr>
            <w:tcW w:w="2964" w:type="dxa"/>
            <w:tcBorders>
              <w:top w:val="single" w:sz="4" w:space="0" w:color="auto"/>
            </w:tcBorders>
            <w:vAlign w:val="center"/>
          </w:tcPr>
          <w:p w14:paraId="727C5966" w14:textId="77777777" w:rsidR="00D474C4" w:rsidRPr="005B0B7D" w:rsidRDefault="00D474C4" w:rsidP="00CC381A">
            <w:pPr>
              <w:pStyle w:val="TableFigure"/>
              <w:spacing w:before="0"/>
              <w:jc w:val="center"/>
            </w:pPr>
            <w:r w:rsidRPr="005B0B7D">
              <w:t>87.2%</w:t>
            </w:r>
          </w:p>
        </w:tc>
      </w:tr>
      <w:tr w:rsidR="00D474C4" w:rsidRPr="005B0B7D" w14:paraId="3649F313" w14:textId="77777777" w:rsidTr="00931CEA">
        <w:tc>
          <w:tcPr>
            <w:tcW w:w="3794" w:type="dxa"/>
          </w:tcPr>
          <w:p w14:paraId="401CB534" w14:textId="77777777" w:rsidR="00D474C4" w:rsidRPr="005B0B7D" w:rsidRDefault="00D474C4" w:rsidP="004E62BE">
            <w:pPr>
              <w:pStyle w:val="TableFigure"/>
              <w:spacing w:before="0"/>
            </w:pPr>
            <w:r w:rsidRPr="005B0B7D">
              <w:t>Rp1.000.000-Rp3.000.000</w:t>
            </w:r>
          </w:p>
        </w:tc>
        <w:tc>
          <w:tcPr>
            <w:tcW w:w="1275" w:type="dxa"/>
          </w:tcPr>
          <w:p w14:paraId="286060DC" w14:textId="77777777" w:rsidR="00D474C4" w:rsidRPr="005B0B7D" w:rsidRDefault="00D474C4" w:rsidP="00931CEA">
            <w:pPr>
              <w:ind w:firstLine="34"/>
              <w:jc w:val="center"/>
            </w:pPr>
            <w:r w:rsidRPr="005B0B7D">
              <w:t>138</w:t>
            </w:r>
          </w:p>
        </w:tc>
        <w:tc>
          <w:tcPr>
            <w:tcW w:w="1714" w:type="dxa"/>
          </w:tcPr>
          <w:p w14:paraId="1470B104" w14:textId="77777777" w:rsidR="00D474C4" w:rsidRPr="005B0B7D" w:rsidRDefault="00D474C4" w:rsidP="00931CEA">
            <w:pPr>
              <w:ind w:firstLine="34"/>
              <w:jc w:val="center"/>
            </w:pPr>
            <w:r w:rsidRPr="005B0B7D">
              <w:t>39.7%</w:t>
            </w:r>
          </w:p>
        </w:tc>
        <w:tc>
          <w:tcPr>
            <w:tcW w:w="2964" w:type="dxa"/>
            <w:vMerge w:val="restart"/>
            <w:vAlign w:val="center"/>
          </w:tcPr>
          <w:p w14:paraId="424398CE" w14:textId="77777777" w:rsidR="00D474C4" w:rsidRPr="005B0B7D" w:rsidRDefault="00D474C4" w:rsidP="00CC381A">
            <w:pPr>
              <w:pStyle w:val="TableFigure"/>
              <w:spacing w:before="0"/>
              <w:jc w:val="center"/>
            </w:pPr>
            <w:r w:rsidRPr="005B0B7D">
              <w:t>12.8%</w:t>
            </w:r>
          </w:p>
        </w:tc>
      </w:tr>
      <w:tr w:rsidR="00D474C4" w:rsidRPr="005B0B7D" w14:paraId="7BED2E2B" w14:textId="77777777" w:rsidTr="00931CEA">
        <w:tc>
          <w:tcPr>
            <w:tcW w:w="3794" w:type="dxa"/>
          </w:tcPr>
          <w:p w14:paraId="4DFEEA61" w14:textId="77777777" w:rsidR="00D474C4" w:rsidRPr="005B0B7D" w:rsidRDefault="00D474C4" w:rsidP="004E62BE">
            <w:pPr>
              <w:pStyle w:val="TableFigure"/>
              <w:spacing w:before="0"/>
            </w:pPr>
            <w:r w:rsidRPr="005B0B7D">
              <w:t>Rp3.000.000-Rp5.000.000</w:t>
            </w:r>
          </w:p>
        </w:tc>
        <w:tc>
          <w:tcPr>
            <w:tcW w:w="1275" w:type="dxa"/>
          </w:tcPr>
          <w:p w14:paraId="47727A35" w14:textId="77777777" w:rsidR="00D474C4" w:rsidRPr="005B0B7D" w:rsidRDefault="00D474C4" w:rsidP="00931CEA">
            <w:pPr>
              <w:ind w:firstLine="34"/>
              <w:jc w:val="center"/>
            </w:pPr>
            <w:r w:rsidRPr="005B0B7D">
              <w:t>84</w:t>
            </w:r>
          </w:p>
        </w:tc>
        <w:tc>
          <w:tcPr>
            <w:tcW w:w="1714" w:type="dxa"/>
          </w:tcPr>
          <w:p w14:paraId="0DC71D79" w14:textId="77777777" w:rsidR="00D474C4" w:rsidRPr="005B0B7D" w:rsidRDefault="00D474C4" w:rsidP="00931CEA">
            <w:pPr>
              <w:ind w:firstLine="34"/>
              <w:jc w:val="center"/>
            </w:pPr>
            <w:r w:rsidRPr="005B0B7D">
              <w:t>24.1%</w:t>
            </w:r>
          </w:p>
        </w:tc>
        <w:tc>
          <w:tcPr>
            <w:tcW w:w="2964" w:type="dxa"/>
            <w:vMerge/>
            <w:vAlign w:val="center"/>
          </w:tcPr>
          <w:p w14:paraId="2AC252BF" w14:textId="77777777" w:rsidR="00D474C4" w:rsidRPr="005B0B7D" w:rsidRDefault="00D474C4" w:rsidP="00CC381A">
            <w:pPr>
              <w:pStyle w:val="TableFigure"/>
              <w:spacing w:before="0"/>
              <w:jc w:val="center"/>
            </w:pPr>
          </w:p>
        </w:tc>
      </w:tr>
      <w:tr w:rsidR="00D474C4" w:rsidRPr="005B0B7D" w14:paraId="4BDAA931" w14:textId="77777777" w:rsidTr="00931CEA">
        <w:tc>
          <w:tcPr>
            <w:tcW w:w="3794" w:type="dxa"/>
          </w:tcPr>
          <w:p w14:paraId="55111E15" w14:textId="77777777" w:rsidR="00D474C4" w:rsidRPr="005B0B7D" w:rsidRDefault="00D474C4" w:rsidP="004E62BE">
            <w:pPr>
              <w:pStyle w:val="TableFigure"/>
              <w:spacing w:before="0"/>
            </w:pPr>
            <w:r w:rsidRPr="005B0B7D">
              <w:t>Rp5.000.000-Rp7.000.000</w:t>
            </w:r>
          </w:p>
        </w:tc>
        <w:tc>
          <w:tcPr>
            <w:tcW w:w="1275" w:type="dxa"/>
          </w:tcPr>
          <w:p w14:paraId="0CBBEC37" w14:textId="77777777" w:rsidR="00D474C4" w:rsidRPr="005B0B7D" w:rsidRDefault="00D474C4" w:rsidP="00931CEA">
            <w:pPr>
              <w:ind w:firstLine="34"/>
              <w:jc w:val="center"/>
            </w:pPr>
            <w:r w:rsidRPr="005B0B7D">
              <w:t>48</w:t>
            </w:r>
          </w:p>
        </w:tc>
        <w:tc>
          <w:tcPr>
            <w:tcW w:w="1714" w:type="dxa"/>
          </w:tcPr>
          <w:p w14:paraId="2061B2A1" w14:textId="77777777" w:rsidR="00D474C4" w:rsidRPr="005B0B7D" w:rsidRDefault="00D474C4" w:rsidP="00931CEA">
            <w:pPr>
              <w:ind w:firstLine="34"/>
              <w:jc w:val="center"/>
            </w:pPr>
            <w:r w:rsidRPr="005B0B7D">
              <w:t>13.8%</w:t>
            </w:r>
          </w:p>
        </w:tc>
        <w:tc>
          <w:tcPr>
            <w:tcW w:w="2964" w:type="dxa"/>
            <w:vMerge/>
            <w:vAlign w:val="center"/>
          </w:tcPr>
          <w:p w14:paraId="5F0E8A40" w14:textId="77777777" w:rsidR="00D474C4" w:rsidRPr="005B0B7D" w:rsidRDefault="00D474C4" w:rsidP="00CC381A">
            <w:pPr>
              <w:pStyle w:val="TableFigure"/>
              <w:spacing w:before="0"/>
              <w:jc w:val="center"/>
            </w:pPr>
          </w:p>
        </w:tc>
      </w:tr>
      <w:tr w:rsidR="00D474C4" w:rsidRPr="005B0B7D" w14:paraId="59341EB2" w14:textId="77777777" w:rsidTr="00931CEA">
        <w:tc>
          <w:tcPr>
            <w:tcW w:w="3794" w:type="dxa"/>
          </w:tcPr>
          <w:p w14:paraId="1E99A4E1" w14:textId="77777777" w:rsidR="00D474C4" w:rsidRPr="005B0B7D" w:rsidRDefault="00D474C4" w:rsidP="004E62BE">
            <w:pPr>
              <w:pStyle w:val="TableFigure"/>
              <w:spacing w:before="0"/>
            </w:pPr>
            <w:r w:rsidRPr="005B0B7D">
              <w:t>Rp7.000.000-Rp9.000.000</w:t>
            </w:r>
          </w:p>
        </w:tc>
        <w:tc>
          <w:tcPr>
            <w:tcW w:w="1275" w:type="dxa"/>
          </w:tcPr>
          <w:p w14:paraId="07570AAF" w14:textId="77777777" w:rsidR="00D474C4" w:rsidRPr="005B0B7D" w:rsidRDefault="00D474C4" w:rsidP="00931CEA">
            <w:pPr>
              <w:ind w:firstLine="34"/>
              <w:jc w:val="center"/>
            </w:pPr>
            <w:r w:rsidRPr="005B0B7D">
              <w:t>17</w:t>
            </w:r>
          </w:p>
        </w:tc>
        <w:tc>
          <w:tcPr>
            <w:tcW w:w="1714" w:type="dxa"/>
          </w:tcPr>
          <w:p w14:paraId="31417EDE" w14:textId="77777777" w:rsidR="00D474C4" w:rsidRPr="005B0B7D" w:rsidRDefault="00D474C4" w:rsidP="00931CEA">
            <w:pPr>
              <w:ind w:firstLine="34"/>
              <w:jc w:val="center"/>
            </w:pPr>
            <w:r w:rsidRPr="005B0B7D">
              <w:t>4.9%</w:t>
            </w:r>
          </w:p>
        </w:tc>
        <w:tc>
          <w:tcPr>
            <w:tcW w:w="2964" w:type="dxa"/>
            <w:vMerge/>
            <w:vAlign w:val="center"/>
          </w:tcPr>
          <w:p w14:paraId="38ACD354" w14:textId="77777777" w:rsidR="00D474C4" w:rsidRPr="005B0B7D" w:rsidRDefault="00D474C4" w:rsidP="00CC381A">
            <w:pPr>
              <w:pStyle w:val="TableFigure"/>
              <w:spacing w:before="0"/>
              <w:jc w:val="center"/>
            </w:pPr>
          </w:p>
        </w:tc>
      </w:tr>
      <w:tr w:rsidR="00D474C4" w:rsidRPr="005B0B7D" w14:paraId="65BC0514" w14:textId="77777777" w:rsidTr="00931CEA">
        <w:tc>
          <w:tcPr>
            <w:tcW w:w="3794" w:type="dxa"/>
          </w:tcPr>
          <w:p w14:paraId="3F8A830F" w14:textId="77777777" w:rsidR="00D474C4" w:rsidRPr="005B0B7D" w:rsidRDefault="00D474C4" w:rsidP="004E62BE">
            <w:pPr>
              <w:pStyle w:val="TableFigure"/>
              <w:spacing w:before="0"/>
            </w:pPr>
            <w:r w:rsidRPr="005B0B7D">
              <w:t>Rp9.000.000-Rp11.000.000</w:t>
            </w:r>
          </w:p>
        </w:tc>
        <w:tc>
          <w:tcPr>
            <w:tcW w:w="1275" w:type="dxa"/>
          </w:tcPr>
          <w:p w14:paraId="3FD29B9C" w14:textId="77777777" w:rsidR="00D474C4" w:rsidRPr="005B0B7D" w:rsidRDefault="00D474C4" w:rsidP="00931CEA">
            <w:pPr>
              <w:ind w:firstLine="34"/>
              <w:jc w:val="center"/>
            </w:pPr>
            <w:r w:rsidRPr="005B0B7D">
              <w:t>10</w:t>
            </w:r>
          </w:p>
        </w:tc>
        <w:tc>
          <w:tcPr>
            <w:tcW w:w="1714" w:type="dxa"/>
          </w:tcPr>
          <w:p w14:paraId="0DA87C41" w14:textId="77777777" w:rsidR="00D474C4" w:rsidRPr="005B0B7D" w:rsidRDefault="00D474C4" w:rsidP="00931CEA">
            <w:pPr>
              <w:ind w:firstLine="34"/>
              <w:jc w:val="center"/>
            </w:pPr>
            <w:r w:rsidRPr="005B0B7D">
              <w:t>2.9%</w:t>
            </w:r>
          </w:p>
        </w:tc>
        <w:tc>
          <w:tcPr>
            <w:tcW w:w="2964" w:type="dxa"/>
            <w:vMerge/>
            <w:vAlign w:val="center"/>
          </w:tcPr>
          <w:p w14:paraId="13B36F28" w14:textId="77777777" w:rsidR="00D474C4" w:rsidRPr="005B0B7D" w:rsidRDefault="00D474C4" w:rsidP="00CC381A">
            <w:pPr>
              <w:pStyle w:val="TableFigure"/>
              <w:spacing w:before="0"/>
              <w:jc w:val="center"/>
            </w:pPr>
          </w:p>
        </w:tc>
      </w:tr>
      <w:tr w:rsidR="00D474C4" w:rsidRPr="005B0B7D" w14:paraId="2E6926B2" w14:textId="77777777" w:rsidTr="00931CEA">
        <w:tc>
          <w:tcPr>
            <w:tcW w:w="3794" w:type="dxa"/>
            <w:tcBorders>
              <w:bottom w:val="single" w:sz="4" w:space="0" w:color="auto"/>
            </w:tcBorders>
          </w:tcPr>
          <w:p w14:paraId="791BCF44" w14:textId="77777777" w:rsidR="00D474C4" w:rsidRPr="005B0B7D" w:rsidRDefault="00D474C4" w:rsidP="004E62BE">
            <w:pPr>
              <w:pStyle w:val="TableFigure"/>
              <w:spacing w:before="0"/>
            </w:pPr>
            <w:r w:rsidRPr="005B0B7D">
              <w:t>Over Rp11.000.000</w:t>
            </w:r>
          </w:p>
        </w:tc>
        <w:tc>
          <w:tcPr>
            <w:tcW w:w="1275" w:type="dxa"/>
            <w:tcBorders>
              <w:bottom w:val="single" w:sz="4" w:space="0" w:color="auto"/>
            </w:tcBorders>
          </w:tcPr>
          <w:p w14:paraId="3AEB5F56" w14:textId="77777777" w:rsidR="00D474C4" w:rsidRPr="005B0B7D" w:rsidRDefault="00D474C4" w:rsidP="00931CEA">
            <w:pPr>
              <w:ind w:firstLine="34"/>
              <w:jc w:val="center"/>
            </w:pPr>
            <w:r w:rsidRPr="005B0B7D">
              <w:t>23</w:t>
            </w:r>
          </w:p>
        </w:tc>
        <w:tc>
          <w:tcPr>
            <w:tcW w:w="1714" w:type="dxa"/>
            <w:tcBorders>
              <w:bottom w:val="single" w:sz="4" w:space="0" w:color="auto"/>
            </w:tcBorders>
          </w:tcPr>
          <w:p w14:paraId="72B534FD" w14:textId="77777777" w:rsidR="00D474C4" w:rsidRPr="005B0B7D" w:rsidRDefault="00D474C4" w:rsidP="00931CEA">
            <w:pPr>
              <w:ind w:firstLine="34"/>
              <w:jc w:val="center"/>
            </w:pPr>
            <w:r w:rsidRPr="005B0B7D">
              <w:t>6.6%</w:t>
            </w:r>
          </w:p>
        </w:tc>
        <w:tc>
          <w:tcPr>
            <w:tcW w:w="2964" w:type="dxa"/>
            <w:vMerge/>
            <w:tcBorders>
              <w:bottom w:val="single" w:sz="4" w:space="0" w:color="auto"/>
            </w:tcBorders>
            <w:vAlign w:val="center"/>
          </w:tcPr>
          <w:p w14:paraId="2CBECA71" w14:textId="77777777" w:rsidR="00D474C4" w:rsidRPr="005B0B7D" w:rsidRDefault="00D474C4" w:rsidP="00CC381A">
            <w:pPr>
              <w:pStyle w:val="TableFigure"/>
              <w:spacing w:before="0"/>
              <w:jc w:val="center"/>
            </w:pPr>
          </w:p>
        </w:tc>
      </w:tr>
    </w:tbl>
    <w:p w14:paraId="12FE45BF" w14:textId="77777777" w:rsidR="00FC6B43" w:rsidRPr="005B0B7D" w:rsidRDefault="00FC6B43" w:rsidP="003F1E33"/>
    <w:p w14:paraId="3FC66403" w14:textId="77777777" w:rsidR="003B2773" w:rsidRPr="005B0B7D" w:rsidRDefault="003B2773" w:rsidP="0046020A">
      <w:pPr>
        <w:pStyle w:val="Heading2"/>
      </w:pPr>
      <w:r w:rsidRPr="005B0B7D">
        <w:t>United States</w:t>
      </w:r>
    </w:p>
    <w:p w14:paraId="38F7A6B3" w14:textId="2C194FEE" w:rsidR="00047FF4" w:rsidRPr="005B0B7D" w:rsidRDefault="00CC163A" w:rsidP="006103F2">
      <w:pPr>
        <w:pStyle w:val="Heading3"/>
        <w:rPr>
          <w:b w:val="0"/>
        </w:rPr>
      </w:pPr>
      <w:r w:rsidRPr="005B0B7D">
        <w:t>Education</w:t>
      </w:r>
      <w:r w:rsidR="003B2773" w:rsidRPr="005B0B7D">
        <w:t>.</w:t>
      </w:r>
      <w:r w:rsidR="00D9750A" w:rsidRPr="005B0B7D">
        <w:t xml:space="preserve"> </w:t>
      </w:r>
      <w:r w:rsidR="00047FF4" w:rsidRPr="005B0B7D">
        <w:rPr>
          <w:b w:val="0"/>
        </w:rPr>
        <w:t xml:space="preserve">The educational </w:t>
      </w:r>
      <w:r w:rsidR="00B012F6" w:rsidRPr="005B0B7D">
        <w:rPr>
          <w:b w:val="0"/>
        </w:rPr>
        <w:t>levels</w:t>
      </w:r>
      <w:r w:rsidR="00047FF4" w:rsidRPr="005B0B7D">
        <w:rPr>
          <w:b w:val="0"/>
        </w:rPr>
        <w:t xml:space="preserve"> of the participants are compared with the </w:t>
      </w:r>
      <w:r w:rsidR="001529CB" w:rsidRPr="005B0B7D">
        <w:rPr>
          <w:b w:val="0"/>
        </w:rPr>
        <w:t xml:space="preserve">U.S. census </w:t>
      </w:r>
      <w:r w:rsidR="00047FF4" w:rsidRPr="005B0B7D">
        <w:rPr>
          <w:b w:val="0"/>
        </w:rPr>
        <w:t>data from</w:t>
      </w:r>
      <w:r w:rsidR="00D9750A" w:rsidRPr="005B0B7D">
        <w:rPr>
          <w:b w:val="0"/>
        </w:rPr>
        <w:t xml:space="preserve"> U.S. Census Bureau, Current Population Survey, 2013 Annual Social and Economic Supplement</w:t>
      </w:r>
      <w:r w:rsidR="00047FF4" w:rsidRPr="005B0B7D">
        <w:rPr>
          <w:b w:val="0"/>
        </w:rPr>
        <w:t xml:space="preserve"> </w:t>
      </w:r>
      <w:r w:rsidR="00C92DB8" w:rsidRPr="005B0B7D">
        <w:rPr>
          <w:b w:val="0"/>
        </w:rPr>
        <w:fldChar w:fldCharType="begin"/>
      </w:r>
      <w:r w:rsidR="00DE5D0F" w:rsidRPr="005B0B7D">
        <w:rPr>
          <w:b w:val="0"/>
        </w:rPr>
        <w:instrText xml:space="preserve"> ADDIN ZOTERO_ITEM CSL_CITATION {"citationID":"h429q9go2","properties":{"formattedCitation":"(U.S. Census Bureau, 2013)","plainCitation":"(U.S. Census Bureau, 2013)"},"citationItems":[{"id":2951,"uris":["http://zotero.org/users/1509854/items/2868THWP"],"uri":["http://zotero.org/users/1509854/items/2868THWP"],"itemData":{"id":2951,"type":"report","title":"Table 1.  Educational Attainment of the Population 18 Years and Over, by Age, Sex, Race, and Hispanic Origin:  2013","collection-title":"Current Population Survey, 2013 Annual Social and Economic Supplement","publisher":"U.S. Census Bureau","publisher-place":"USA","event-place":"USA","URL":"https://www.census.gov/hhes/socdemo/education/data/cps/2013/tables.html","author":[{"literal":"U.S. Census Bureau"}],"issued":{"date-parts":[["2013"]]},"accessed":{"date-parts":[["2014",2,20]]}}}],"schema":"https://github.com/citation-style-language/schema/raw/master/csl-citation.json"} </w:instrText>
      </w:r>
      <w:r w:rsidR="00C92DB8" w:rsidRPr="005B0B7D">
        <w:rPr>
          <w:b w:val="0"/>
        </w:rPr>
        <w:fldChar w:fldCharType="separate"/>
      </w:r>
      <w:r w:rsidR="00B012F6" w:rsidRPr="005B0B7D">
        <w:rPr>
          <w:b w:val="0"/>
        </w:rPr>
        <w:t>(</w:t>
      </w:r>
      <w:r w:rsidR="00601FAB" w:rsidRPr="005B0B7D">
        <w:rPr>
          <w:b w:val="0"/>
        </w:rPr>
        <w:t>U.S. Census Bureau, 2013)</w:t>
      </w:r>
      <w:r w:rsidR="00C92DB8" w:rsidRPr="005B0B7D">
        <w:rPr>
          <w:b w:val="0"/>
        </w:rPr>
        <w:fldChar w:fldCharType="end"/>
      </w:r>
      <w:r w:rsidR="00047FF4" w:rsidRPr="005B0B7D">
        <w:rPr>
          <w:b w:val="0"/>
        </w:rPr>
        <w:t>.</w:t>
      </w:r>
      <w:r w:rsidR="006103F2" w:rsidRPr="005B0B7D">
        <w:rPr>
          <w:b w:val="0"/>
        </w:rPr>
        <w:t xml:space="preserve"> Here</w:t>
      </w:r>
      <w:r w:rsidR="00B17797" w:rsidRPr="005B0B7D">
        <w:rPr>
          <w:b w:val="0"/>
        </w:rPr>
        <w:t>,</w:t>
      </w:r>
      <w:r w:rsidR="006103F2" w:rsidRPr="005B0B7D">
        <w:rPr>
          <w:b w:val="0"/>
        </w:rPr>
        <w:t xml:space="preserve"> the trend that the participants from our </w:t>
      </w:r>
      <w:r w:rsidR="00B17797" w:rsidRPr="005B0B7D">
        <w:rPr>
          <w:b w:val="0"/>
        </w:rPr>
        <w:t>sample are</w:t>
      </w:r>
      <w:r w:rsidR="006103F2" w:rsidRPr="005B0B7D">
        <w:rPr>
          <w:b w:val="0"/>
        </w:rPr>
        <w:t xml:space="preserve"> more highly educated than the general population of the U.S. </w:t>
      </w:r>
      <w:r w:rsidR="00B17797" w:rsidRPr="005B0B7D">
        <w:rPr>
          <w:b w:val="0"/>
        </w:rPr>
        <w:t>becomes evident in</w:t>
      </w:r>
      <w:r w:rsidR="006103F2" w:rsidRPr="005B0B7D">
        <w:rPr>
          <w:b w:val="0"/>
        </w:rPr>
        <w:t xml:space="preserve"> the underrepresentation of the lowest educational attainment category </w:t>
      </w:r>
      <w:r w:rsidR="00B012F6" w:rsidRPr="005B0B7D">
        <w:rPr>
          <w:b w:val="0"/>
        </w:rPr>
        <w:t>(</w:t>
      </w:r>
      <w:r w:rsidR="006103F2" w:rsidRPr="005B0B7D">
        <w:rPr>
          <w:b w:val="0"/>
        </w:rPr>
        <w:t xml:space="preserve">1.7% in our sample </w:t>
      </w:r>
      <w:proofErr w:type="spellStart"/>
      <w:r w:rsidR="006103F2" w:rsidRPr="005B0B7D">
        <w:rPr>
          <w:b w:val="0"/>
        </w:rPr>
        <w:t>vs</w:t>
      </w:r>
      <w:proofErr w:type="spellEnd"/>
      <w:r w:rsidR="006103F2" w:rsidRPr="005B0B7D">
        <w:rPr>
          <w:b w:val="0"/>
        </w:rPr>
        <w:t xml:space="preserve"> 12.23% in the U.S.) and a slight overrepresentation of the highest educational attainment category </w:t>
      </w:r>
      <w:r w:rsidR="00B012F6" w:rsidRPr="005B0B7D">
        <w:rPr>
          <w:b w:val="0"/>
        </w:rPr>
        <w:t>(</w:t>
      </w:r>
      <w:r w:rsidR="006103F2" w:rsidRPr="005B0B7D">
        <w:rPr>
          <w:b w:val="0"/>
        </w:rPr>
        <w:t xml:space="preserve">3.6% in our sample </w:t>
      </w:r>
      <w:proofErr w:type="spellStart"/>
      <w:r w:rsidR="006103F2" w:rsidRPr="005B0B7D">
        <w:rPr>
          <w:b w:val="0"/>
        </w:rPr>
        <w:t>vs</w:t>
      </w:r>
      <w:proofErr w:type="spellEnd"/>
      <w:r w:rsidR="006103F2" w:rsidRPr="005B0B7D">
        <w:rPr>
          <w:b w:val="0"/>
        </w:rPr>
        <w:t xml:space="preserve"> 2.95% in the U.S.)</w:t>
      </w:r>
    </w:p>
    <w:p w14:paraId="0FC2F22E" w14:textId="77777777" w:rsidR="006103F2" w:rsidRPr="005B0B7D" w:rsidRDefault="006103F2" w:rsidP="006103F2"/>
    <w:p w14:paraId="44D17752" w14:textId="77777777" w:rsidR="00CF5B28" w:rsidRPr="005B0B7D" w:rsidRDefault="00CF5B28" w:rsidP="004E62BE">
      <w:pPr>
        <w:ind w:firstLine="0"/>
      </w:pPr>
      <w:r w:rsidRPr="005B0B7D">
        <w:t xml:space="preserve">Table </w:t>
      </w:r>
      <w:r w:rsidR="004E62BE" w:rsidRPr="005B0B7D">
        <w:t>5</w:t>
      </w:r>
      <w:r w:rsidRPr="005B0B7D">
        <w:t>. Educational attainment of participants from the United States</w:t>
      </w:r>
    </w:p>
    <w:tbl>
      <w:tblPr>
        <w:tblStyle w:val="TableGrid"/>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01"/>
        <w:gridCol w:w="1843"/>
        <w:gridCol w:w="2409"/>
      </w:tblGrid>
      <w:tr w:rsidR="00944343" w:rsidRPr="005B0B7D" w14:paraId="37A6EB62" w14:textId="77777777" w:rsidTr="00CC381A">
        <w:tc>
          <w:tcPr>
            <w:tcW w:w="3369" w:type="dxa"/>
            <w:tcBorders>
              <w:top w:val="single" w:sz="4" w:space="0" w:color="auto"/>
            </w:tcBorders>
          </w:tcPr>
          <w:p w14:paraId="32DB6FDD" w14:textId="77777777" w:rsidR="00944343" w:rsidRPr="005B0B7D" w:rsidRDefault="00944343" w:rsidP="009F0B2A">
            <w:pPr>
              <w:pStyle w:val="TableFigure"/>
              <w:spacing w:before="0"/>
            </w:pPr>
            <w:r w:rsidRPr="005B0B7D">
              <w:lastRenderedPageBreak/>
              <w:t>Education</w:t>
            </w:r>
          </w:p>
        </w:tc>
        <w:tc>
          <w:tcPr>
            <w:tcW w:w="3144" w:type="dxa"/>
            <w:gridSpan w:val="2"/>
            <w:tcBorders>
              <w:top w:val="single" w:sz="4" w:space="0" w:color="auto"/>
            </w:tcBorders>
            <w:vAlign w:val="center"/>
          </w:tcPr>
          <w:p w14:paraId="275F3A6B" w14:textId="31E885FA" w:rsidR="00944343" w:rsidRPr="005B0B7D" w:rsidRDefault="00944343" w:rsidP="00B72FB1">
            <w:pPr>
              <w:pStyle w:val="TableFigure"/>
              <w:spacing w:before="0"/>
              <w:jc w:val="center"/>
            </w:pPr>
            <w:r w:rsidRPr="005B0B7D">
              <w:t xml:space="preserve">Participants </w:t>
            </w:r>
            <w:r w:rsidR="00B012F6" w:rsidRPr="005B0B7D">
              <w:rPr>
                <w:i/>
              </w:rPr>
              <w:t>(n =</w:t>
            </w:r>
            <w:r w:rsidR="00323144" w:rsidRPr="005B0B7D">
              <w:t xml:space="preserve"> </w:t>
            </w:r>
            <w:r w:rsidR="00B72FB1" w:rsidRPr="005B0B7D">
              <w:t>302</w:t>
            </w:r>
            <w:r w:rsidRPr="005B0B7D">
              <w:t>)</w:t>
            </w:r>
          </w:p>
        </w:tc>
        <w:tc>
          <w:tcPr>
            <w:tcW w:w="2409" w:type="dxa"/>
            <w:tcBorders>
              <w:top w:val="single" w:sz="4" w:space="0" w:color="auto"/>
            </w:tcBorders>
            <w:vAlign w:val="center"/>
          </w:tcPr>
          <w:p w14:paraId="0B50D924" w14:textId="25E5E055" w:rsidR="00944343" w:rsidRPr="005B0B7D" w:rsidRDefault="00944343" w:rsidP="00BC3154">
            <w:pPr>
              <w:pStyle w:val="TableFigure"/>
              <w:spacing w:before="0"/>
              <w:jc w:val="center"/>
            </w:pPr>
            <w:r w:rsidRPr="005B0B7D">
              <w:t>U</w:t>
            </w:r>
            <w:r w:rsidR="009104EF" w:rsidRPr="005B0B7D">
              <w:t>.</w:t>
            </w:r>
            <w:r w:rsidRPr="005B0B7D">
              <w:t>S</w:t>
            </w:r>
            <w:r w:rsidR="009104EF" w:rsidRPr="005B0B7D">
              <w:t>.</w:t>
            </w:r>
            <w:r w:rsidRPr="005B0B7D">
              <w:t xml:space="preserve"> 2013 </w:t>
            </w:r>
            <w:r w:rsidR="00B012F6" w:rsidRPr="005B0B7D">
              <w:t>(</w:t>
            </w:r>
            <w:r w:rsidRPr="005B0B7D">
              <w:t>%)</w:t>
            </w:r>
          </w:p>
        </w:tc>
      </w:tr>
      <w:tr w:rsidR="00CF5B28" w:rsidRPr="005B0B7D" w14:paraId="4A48952E" w14:textId="77777777" w:rsidTr="00CC381A">
        <w:tc>
          <w:tcPr>
            <w:tcW w:w="3369" w:type="dxa"/>
            <w:tcBorders>
              <w:bottom w:val="single" w:sz="4" w:space="0" w:color="auto"/>
            </w:tcBorders>
          </w:tcPr>
          <w:p w14:paraId="19A0D603" w14:textId="77777777" w:rsidR="00CF5B28" w:rsidRPr="005B0B7D" w:rsidRDefault="00CF5B28" w:rsidP="009F0B2A">
            <w:pPr>
              <w:pStyle w:val="TableFigure"/>
              <w:spacing w:before="0"/>
            </w:pPr>
          </w:p>
        </w:tc>
        <w:tc>
          <w:tcPr>
            <w:tcW w:w="1301" w:type="dxa"/>
            <w:tcBorders>
              <w:bottom w:val="single" w:sz="4" w:space="0" w:color="auto"/>
            </w:tcBorders>
            <w:vAlign w:val="center"/>
          </w:tcPr>
          <w:p w14:paraId="4A3EE889" w14:textId="77777777" w:rsidR="00CF5B28" w:rsidRPr="005B0B7D" w:rsidRDefault="00CF5B28" w:rsidP="00CC381A">
            <w:pPr>
              <w:pStyle w:val="TableFigure"/>
              <w:spacing w:before="0"/>
              <w:jc w:val="center"/>
            </w:pPr>
            <w:r w:rsidRPr="005B0B7D">
              <w:t>Frequency</w:t>
            </w:r>
          </w:p>
        </w:tc>
        <w:tc>
          <w:tcPr>
            <w:tcW w:w="1843" w:type="dxa"/>
            <w:tcBorders>
              <w:bottom w:val="single" w:sz="4" w:space="0" w:color="auto"/>
            </w:tcBorders>
            <w:vAlign w:val="center"/>
          </w:tcPr>
          <w:p w14:paraId="6A6BB97E" w14:textId="52116204" w:rsidR="00CF5B28" w:rsidRPr="005B0B7D" w:rsidRDefault="00CF5B28" w:rsidP="00CC381A">
            <w:pPr>
              <w:pStyle w:val="TableFigure"/>
              <w:spacing w:before="0"/>
              <w:jc w:val="center"/>
            </w:pPr>
            <w:r w:rsidRPr="005B0B7D">
              <w:t>Percentage</w:t>
            </w:r>
            <w:r w:rsidR="00FE3917" w:rsidRPr="005B0B7D">
              <w:t xml:space="preserve"> </w:t>
            </w:r>
            <w:r w:rsidR="00B012F6" w:rsidRPr="005B0B7D">
              <w:t>(</w:t>
            </w:r>
            <w:r w:rsidR="00FE3917" w:rsidRPr="005B0B7D">
              <w:t>%)</w:t>
            </w:r>
          </w:p>
        </w:tc>
        <w:tc>
          <w:tcPr>
            <w:tcW w:w="2409" w:type="dxa"/>
            <w:tcBorders>
              <w:bottom w:val="single" w:sz="4" w:space="0" w:color="auto"/>
            </w:tcBorders>
            <w:vAlign w:val="center"/>
          </w:tcPr>
          <w:p w14:paraId="41B7FBED" w14:textId="77777777" w:rsidR="00CF5B28" w:rsidRPr="005B0B7D" w:rsidRDefault="00CF5B28" w:rsidP="00CC381A">
            <w:pPr>
              <w:pStyle w:val="TableFigure"/>
              <w:spacing w:before="0"/>
              <w:jc w:val="center"/>
            </w:pPr>
          </w:p>
        </w:tc>
      </w:tr>
      <w:tr w:rsidR="00D474C4" w:rsidRPr="005B0B7D" w14:paraId="411D2EA4" w14:textId="77777777" w:rsidTr="00931CEA">
        <w:tc>
          <w:tcPr>
            <w:tcW w:w="3369" w:type="dxa"/>
            <w:tcBorders>
              <w:top w:val="single" w:sz="4" w:space="0" w:color="auto"/>
            </w:tcBorders>
          </w:tcPr>
          <w:p w14:paraId="5D8FD6A2" w14:textId="77777777" w:rsidR="00D474C4" w:rsidRPr="005B0B7D" w:rsidRDefault="00D474C4" w:rsidP="009F0B2A">
            <w:pPr>
              <w:pStyle w:val="TableFigure"/>
              <w:spacing w:before="0"/>
            </w:pPr>
            <w:r w:rsidRPr="005B0B7D">
              <w:t>Elementary or middle school</w:t>
            </w:r>
          </w:p>
        </w:tc>
        <w:tc>
          <w:tcPr>
            <w:tcW w:w="1301" w:type="dxa"/>
            <w:tcBorders>
              <w:top w:val="single" w:sz="4" w:space="0" w:color="auto"/>
            </w:tcBorders>
          </w:tcPr>
          <w:p w14:paraId="7229E548" w14:textId="77777777" w:rsidR="00D474C4" w:rsidRPr="005B0B7D" w:rsidRDefault="00D474C4" w:rsidP="00931CEA">
            <w:pPr>
              <w:ind w:firstLine="33"/>
              <w:jc w:val="center"/>
            </w:pPr>
            <w:r w:rsidRPr="005B0B7D">
              <w:t>5</w:t>
            </w:r>
          </w:p>
        </w:tc>
        <w:tc>
          <w:tcPr>
            <w:tcW w:w="1843" w:type="dxa"/>
            <w:tcBorders>
              <w:top w:val="single" w:sz="4" w:space="0" w:color="auto"/>
            </w:tcBorders>
          </w:tcPr>
          <w:p w14:paraId="4C4DF297" w14:textId="77777777" w:rsidR="00D474C4" w:rsidRPr="005B0B7D" w:rsidRDefault="00D474C4" w:rsidP="00931CEA">
            <w:pPr>
              <w:ind w:firstLine="33"/>
              <w:jc w:val="center"/>
            </w:pPr>
            <w:r w:rsidRPr="005B0B7D">
              <w:t>1.7%</w:t>
            </w:r>
          </w:p>
        </w:tc>
        <w:tc>
          <w:tcPr>
            <w:tcW w:w="2409" w:type="dxa"/>
            <w:tcBorders>
              <w:top w:val="single" w:sz="4" w:space="0" w:color="auto"/>
            </w:tcBorders>
            <w:vAlign w:val="center"/>
          </w:tcPr>
          <w:p w14:paraId="6560795F" w14:textId="77777777" w:rsidR="00D474C4" w:rsidRPr="005B0B7D" w:rsidRDefault="00D474C4" w:rsidP="00CC381A">
            <w:pPr>
              <w:pStyle w:val="TableFigure"/>
              <w:spacing w:before="0"/>
              <w:jc w:val="center"/>
            </w:pPr>
            <w:r w:rsidRPr="005B0B7D">
              <w:t>12.23%</w:t>
            </w:r>
          </w:p>
        </w:tc>
      </w:tr>
      <w:tr w:rsidR="00D474C4" w:rsidRPr="005B0B7D" w14:paraId="3EE6A869" w14:textId="77777777" w:rsidTr="00931CEA">
        <w:tc>
          <w:tcPr>
            <w:tcW w:w="3369" w:type="dxa"/>
          </w:tcPr>
          <w:p w14:paraId="17933075" w14:textId="77777777" w:rsidR="00D474C4" w:rsidRPr="005B0B7D" w:rsidRDefault="00D474C4" w:rsidP="009F0B2A">
            <w:pPr>
              <w:pStyle w:val="TableFigure"/>
              <w:spacing w:before="0"/>
            </w:pPr>
            <w:r w:rsidRPr="005B0B7D">
              <w:t>High school</w:t>
            </w:r>
          </w:p>
        </w:tc>
        <w:tc>
          <w:tcPr>
            <w:tcW w:w="1301" w:type="dxa"/>
          </w:tcPr>
          <w:p w14:paraId="04B6BB0B" w14:textId="77777777" w:rsidR="00D474C4" w:rsidRPr="005B0B7D" w:rsidRDefault="00D474C4" w:rsidP="00931CEA">
            <w:pPr>
              <w:ind w:firstLine="33"/>
              <w:jc w:val="center"/>
            </w:pPr>
            <w:r w:rsidRPr="005B0B7D">
              <w:t>55</w:t>
            </w:r>
          </w:p>
        </w:tc>
        <w:tc>
          <w:tcPr>
            <w:tcW w:w="1843" w:type="dxa"/>
          </w:tcPr>
          <w:p w14:paraId="713253DC" w14:textId="77777777" w:rsidR="00D474C4" w:rsidRPr="005B0B7D" w:rsidRDefault="00D474C4" w:rsidP="00931CEA">
            <w:pPr>
              <w:ind w:firstLine="33"/>
              <w:jc w:val="center"/>
            </w:pPr>
            <w:r w:rsidRPr="005B0B7D">
              <w:t>18.2%</w:t>
            </w:r>
          </w:p>
        </w:tc>
        <w:tc>
          <w:tcPr>
            <w:tcW w:w="2409" w:type="dxa"/>
            <w:vAlign w:val="center"/>
          </w:tcPr>
          <w:p w14:paraId="32C807F9" w14:textId="77777777" w:rsidR="00D474C4" w:rsidRPr="005B0B7D" w:rsidRDefault="00D474C4" w:rsidP="00CC381A">
            <w:pPr>
              <w:pStyle w:val="TableFigure"/>
              <w:spacing w:before="0"/>
              <w:jc w:val="center"/>
            </w:pPr>
            <w:r w:rsidRPr="005B0B7D">
              <w:t>29.67%</w:t>
            </w:r>
          </w:p>
        </w:tc>
      </w:tr>
      <w:tr w:rsidR="00D474C4" w:rsidRPr="005B0B7D" w14:paraId="6708A874" w14:textId="77777777" w:rsidTr="00931CEA">
        <w:tc>
          <w:tcPr>
            <w:tcW w:w="3369" w:type="dxa"/>
          </w:tcPr>
          <w:p w14:paraId="31D78C87" w14:textId="77777777" w:rsidR="00D474C4" w:rsidRPr="005B0B7D" w:rsidRDefault="00D474C4" w:rsidP="009F0B2A">
            <w:pPr>
              <w:pStyle w:val="TableFigure"/>
              <w:spacing w:before="0"/>
            </w:pPr>
            <w:r w:rsidRPr="005B0B7D">
              <w:t>Some college, no degree</w:t>
            </w:r>
          </w:p>
        </w:tc>
        <w:tc>
          <w:tcPr>
            <w:tcW w:w="1301" w:type="dxa"/>
          </w:tcPr>
          <w:p w14:paraId="3536DC5A" w14:textId="77777777" w:rsidR="00D474C4" w:rsidRPr="005B0B7D" w:rsidRDefault="00D474C4" w:rsidP="00931CEA">
            <w:pPr>
              <w:ind w:firstLine="33"/>
              <w:jc w:val="center"/>
            </w:pPr>
            <w:r w:rsidRPr="005B0B7D">
              <w:t>93</w:t>
            </w:r>
          </w:p>
        </w:tc>
        <w:tc>
          <w:tcPr>
            <w:tcW w:w="1843" w:type="dxa"/>
          </w:tcPr>
          <w:p w14:paraId="14B04336" w14:textId="77777777" w:rsidR="00D474C4" w:rsidRPr="005B0B7D" w:rsidRDefault="00D474C4" w:rsidP="00931CEA">
            <w:pPr>
              <w:ind w:firstLine="33"/>
              <w:jc w:val="center"/>
            </w:pPr>
            <w:r w:rsidRPr="005B0B7D">
              <w:t>30.8%</w:t>
            </w:r>
          </w:p>
        </w:tc>
        <w:tc>
          <w:tcPr>
            <w:tcW w:w="2409" w:type="dxa"/>
            <w:vAlign w:val="center"/>
          </w:tcPr>
          <w:p w14:paraId="490F3247" w14:textId="77777777" w:rsidR="00D474C4" w:rsidRPr="005B0B7D" w:rsidRDefault="00D474C4" w:rsidP="00CC381A">
            <w:pPr>
              <w:pStyle w:val="TableFigure"/>
              <w:spacing w:before="0"/>
              <w:jc w:val="center"/>
            </w:pPr>
            <w:r w:rsidRPr="005B0B7D">
              <w:t>18.31%</w:t>
            </w:r>
          </w:p>
        </w:tc>
      </w:tr>
      <w:tr w:rsidR="00D474C4" w:rsidRPr="005B0B7D" w14:paraId="49FAFDF4" w14:textId="77777777" w:rsidTr="00931CEA">
        <w:tc>
          <w:tcPr>
            <w:tcW w:w="3369" w:type="dxa"/>
          </w:tcPr>
          <w:p w14:paraId="5233621A" w14:textId="77777777" w:rsidR="00D474C4" w:rsidRPr="005B0B7D" w:rsidRDefault="00D474C4" w:rsidP="009F0B2A">
            <w:pPr>
              <w:pStyle w:val="TableFigure"/>
              <w:spacing w:before="0"/>
            </w:pPr>
            <w:r w:rsidRPr="005B0B7D">
              <w:t>Associate degree</w:t>
            </w:r>
          </w:p>
        </w:tc>
        <w:tc>
          <w:tcPr>
            <w:tcW w:w="1301" w:type="dxa"/>
          </w:tcPr>
          <w:p w14:paraId="184751DF" w14:textId="77777777" w:rsidR="00D474C4" w:rsidRPr="005B0B7D" w:rsidRDefault="00D474C4" w:rsidP="00931CEA">
            <w:pPr>
              <w:ind w:firstLine="33"/>
              <w:jc w:val="center"/>
            </w:pPr>
            <w:r w:rsidRPr="005B0B7D">
              <w:t>24</w:t>
            </w:r>
          </w:p>
        </w:tc>
        <w:tc>
          <w:tcPr>
            <w:tcW w:w="1843" w:type="dxa"/>
          </w:tcPr>
          <w:p w14:paraId="031C8400" w14:textId="77777777" w:rsidR="00D474C4" w:rsidRPr="005B0B7D" w:rsidRDefault="00D474C4" w:rsidP="00931CEA">
            <w:pPr>
              <w:ind w:firstLine="33"/>
              <w:jc w:val="center"/>
            </w:pPr>
            <w:r w:rsidRPr="005B0B7D">
              <w:t>7.9%</w:t>
            </w:r>
          </w:p>
        </w:tc>
        <w:tc>
          <w:tcPr>
            <w:tcW w:w="2409" w:type="dxa"/>
            <w:vAlign w:val="center"/>
          </w:tcPr>
          <w:p w14:paraId="78009903" w14:textId="77777777" w:rsidR="00D474C4" w:rsidRPr="005B0B7D" w:rsidRDefault="00D474C4" w:rsidP="00CC381A">
            <w:pPr>
              <w:pStyle w:val="TableFigure"/>
              <w:spacing w:before="0"/>
              <w:jc w:val="center"/>
            </w:pPr>
            <w:r w:rsidRPr="005B0B7D">
              <w:t>9.59%</w:t>
            </w:r>
          </w:p>
        </w:tc>
      </w:tr>
      <w:tr w:rsidR="00D474C4" w:rsidRPr="005B0B7D" w14:paraId="4E98CB80" w14:textId="77777777" w:rsidTr="00931CEA">
        <w:tc>
          <w:tcPr>
            <w:tcW w:w="3369" w:type="dxa"/>
          </w:tcPr>
          <w:p w14:paraId="3CED5FC5" w14:textId="77777777" w:rsidR="00D474C4" w:rsidRPr="005B0B7D" w:rsidRDefault="00D474C4" w:rsidP="009F0B2A">
            <w:pPr>
              <w:pStyle w:val="TableFigure"/>
              <w:spacing w:before="0"/>
            </w:pPr>
            <w:r w:rsidRPr="005B0B7D">
              <w:t>Bachelor degree</w:t>
            </w:r>
          </w:p>
        </w:tc>
        <w:tc>
          <w:tcPr>
            <w:tcW w:w="1301" w:type="dxa"/>
          </w:tcPr>
          <w:p w14:paraId="797FD225" w14:textId="77777777" w:rsidR="00D474C4" w:rsidRPr="005B0B7D" w:rsidRDefault="00D474C4" w:rsidP="00931CEA">
            <w:pPr>
              <w:ind w:firstLine="33"/>
              <w:jc w:val="center"/>
            </w:pPr>
            <w:r w:rsidRPr="005B0B7D">
              <w:t>85</w:t>
            </w:r>
          </w:p>
        </w:tc>
        <w:tc>
          <w:tcPr>
            <w:tcW w:w="1843" w:type="dxa"/>
          </w:tcPr>
          <w:p w14:paraId="37ADBD85" w14:textId="77777777" w:rsidR="00D474C4" w:rsidRPr="005B0B7D" w:rsidRDefault="00D474C4" w:rsidP="00931CEA">
            <w:pPr>
              <w:ind w:firstLine="33"/>
              <w:jc w:val="center"/>
            </w:pPr>
            <w:r w:rsidRPr="005B0B7D">
              <w:t>28.1%</w:t>
            </w:r>
          </w:p>
        </w:tc>
        <w:tc>
          <w:tcPr>
            <w:tcW w:w="2409" w:type="dxa"/>
            <w:vAlign w:val="center"/>
          </w:tcPr>
          <w:p w14:paraId="1F4C5655" w14:textId="77777777" w:rsidR="00D474C4" w:rsidRPr="005B0B7D" w:rsidRDefault="00D474C4" w:rsidP="00CC381A">
            <w:pPr>
              <w:pStyle w:val="TableFigure"/>
              <w:spacing w:before="0"/>
              <w:jc w:val="center"/>
            </w:pPr>
            <w:r w:rsidRPr="005B0B7D">
              <w:t>19.37%</w:t>
            </w:r>
          </w:p>
        </w:tc>
      </w:tr>
      <w:tr w:rsidR="00D474C4" w:rsidRPr="005B0B7D" w14:paraId="60FDDDDB" w14:textId="77777777" w:rsidTr="00931CEA">
        <w:tc>
          <w:tcPr>
            <w:tcW w:w="3369" w:type="dxa"/>
          </w:tcPr>
          <w:p w14:paraId="56C3D86C" w14:textId="77777777" w:rsidR="00D474C4" w:rsidRPr="005B0B7D" w:rsidRDefault="00D474C4" w:rsidP="009F0B2A">
            <w:pPr>
              <w:pStyle w:val="TableFigure"/>
              <w:spacing w:before="0"/>
            </w:pPr>
            <w:r w:rsidRPr="005B0B7D">
              <w:t>Master degree</w:t>
            </w:r>
          </w:p>
        </w:tc>
        <w:tc>
          <w:tcPr>
            <w:tcW w:w="1301" w:type="dxa"/>
          </w:tcPr>
          <w:p w14:paraId="325288CB" w14:textId="77777777" w:rsidR="00D474C4" w:rsidRPr="005B0B7D" w:rsidRDefault="00D474C4" w:rsidP="00931CEA">
            <w:pPr>
              <w:ind w:firstLine="33"/>
              <w:jc w:val="center"/>
            </w:pPr>
            <w:r w:rsidRPr="005B0B7D">
              <w:t>29</w:t>
            </w:r>
          </w:p>
        </w:tc>
        <w:tc>
          <w:tcPr>
            <w:tcW w:w="1843" w:type="dxa"/>
          </w:tcPr>
          <w:p w14:paraId="23569A41" w14:textId="77777777" w:rsidR="00D474C4" w:rsidRPr="005B0B7D" w:rsidRDefault="00D474C4" w:rsidP="00931CEA">
            <w:pPr>
              <w:ind w:firstLine="33"/>
              <w:jc w:val="center"/>
            </w:pPr>
            <w:r w:rsidRPr="005B0B7D">
              <w:t>9.6%</w:t>
            </w:r>
          </w:p>
        </w:tc>
        <w:tc>
          <w:tcPr>
            <w:tcW w:w="2409" w:type="dxa"/>
            <w:vAlign w:val="center"/>
          </w:tcPr>
          <w:p w14:paraId="4C688688" w14:textId="77777777" w:rsidR="00D474C4" w:rsidRPr="005B0B7D" w:rsidRDefault="00D474C4" w:rsidP="00CC381A">
            <w:pPr>
              <w:pStyle w:val="TableFigure"/>
              <w:spacing w:before="0"/>
              <w:jc w:val="center"/>
            </w:pPr>
            <w:r w:rsidRPr="005B0B7D">
              <w:t>7.88%</w:t>
            </w:r>
          </w:p>
        </w:tc>
      </w:tr>
      <w:tr w:rsidR="00D474C4" w:rsidRPr="005B0B7D" w14:paraId="2AD16E8D" w14:textId="77777777" w:rsidTr="00931CEA">
        <w:tc>
          <w:tcPr>
            <w:tcW w:w="3369" w:type="dxa"/>
            <w:tcBorders>
              <w:bottom w:val="single" w:sz="4" w:space="0" w:color="auto"/>
            </w:tcBorders>
          </w:tcPr>
          <w:p w14:paraId="0634FB38" w14:textId="77777777" w:rsidR="00D474C4" w:rsidRPr="005B0B7D" w:rsidRDefault="00D474C4" w:rsidP="009F0B2A">
            <w:pPr>
              <w:pStyle w:val="TableFigure"/>
              <w:spacing w:before="0"/>
            </w:pPr>
            <w:r w:rsidRPr="005B0B7D">
              <w:t>Professional or doctoral degree</w:t>
            </w:r>
          </w:p>
        </w:tc>
        <w:tc>
          <w:tcPr>
            <w:tcW w:w="1301" w:type="dxa"/>
            <w:tcBorders>
              <w:bottom w:val="single" w:sz="4" w:space="0" w:color="auto"/>
            </w:tcBorders>
          </w:tcPr>
          <w:p w14:paraId="399652F5" w14:textId="77777777" w:rsidR="00D474C4" w:rsidRPr="005B0B7D" w:rsidRDefault="00D474C4" w:rsidP="00931CEA">
            <w:pPr>
              <w:ind w:firstLine="33"/>
              <w:jc w:val="center"/>
            </w:pPr>
            <w:r w:rsidRPr="005B0B7D">
              <w:t>11</w:t>
            </w:r>
          </w:p>
        </w:tc>
        <w:tc>
          <w:tcPr>
            <w:tcW w:w="1843" w:type="dxa"/>
            <w:tcBorders>
              <w:bottom w:val="single" w:sz="4" w:space="0" w:color="auto"/>
            </w:tcBorders>
          </w:tcPr>
          <w:p w14:paraId="56F96302" w14:textId="77777777" w:rsidR="00D474C4" w:rsidRPr="005B0B7D" w:rsidRDefault="00D474C4" w:rsidP="00931CEA">
            <w:pPr>
              <w:ind w:firstLine="33"/>
              <w:jc w:val="center"/>
            </w:pPr>
            <w:r w:rsidRPr="005B0B7D">
              <w:t>3.6%</w:t>
            </w:r>
          </w:p>
        </w:tc>
        <w:tc>
          <w:tcPr>
            <w:tcW w:w="2409" w:type="dxa"/>
            <w:tcBorders>
              <w:bottom w:val="single" w:sz="4" w:space="0" w:color="auto"/>
            </w:tcBorders>
            <w:vAlign w:val="center"/>
          </w:tcPr>
          <w:p w14:paraId="3858340B" w14:textId="77777777" w:rsidR="00D474C4" w:rsidRPr="005B0B7D" w:rsidRDefault="00D474C4" w:rsidP="00CC381A">
            <w:pPr>
              <w:pStyle w:val="TableFigure"/>
              <w:spacing w:before="0"/>
              <w:jc w:val="center"/>
            </w:pPr>
            <w:r w:rsidRPr="005B0B7D">
              <w:t>2.95%</w:t>
            </w:r>
          </w:p>
        </w:tc>
      </w:tr>
    </w:tbl>
    <w:p w14:paraId="3F8AE7EC" w14:textId="77777777" w:rsidR="00047FF4" w:rsidRPr="005B0B7D" w:rsidRDefault="00047FF4" w:rsidP="0046020A">
      <w:pPr>
        <w:pStyle w:val="Heading3"/>
      </w:pPr>
    </w:p>
    <w:p w14:paraId="4EF01443" w14:textId="4F0C6C91" w:rsidR="00047FF4" w:rsidRPr="005B0B7D" w:rsidRDefault="00047FF4" w:rsidP="0046020A">
      <w:pPr>
        <w:pStyle w:val="Heading3"/>
        <w:rPr>
          <w:b w:val="0"/>
        </w:rPr>
      </w:pPr>
      <w:r w:rsidRPr="005B0B7D">
        <w:t xml:space="preserve">Income. </w:t>
      </w:r>
      <w:r w:rsidRPr="005B0B7D">
        <w:rPr>
          <w:b w:val="0"/>
        </w:rPr>
        <w:t xml:space="preserve">The average household yearly income of the participants </w:t>
      </w:r>
      <w:r w:rsidR="001529CB" w:rsidRPr="005B0B7D">
        <w:rPr>
          <w:b w:val="0"/>
        </w:rPr>
        <w:t>is</w:t>
      </w:r>
      <w:r w:rsidRPr="005B0B7D">
        <w:rPr>
          <w:b w:val="0"/>
        </w:rPr>
        <w:t xml:space="preserve"> compared with the </w:t>
      </w:r>
      <w:r w:rsidR="001529CB" w:rsidRPr="005B0B7D">
        <w:rPr>
          <w:b w:val="0"/>
        </w:rPr>
        <w:t xml:space="preserve">household yearly income U.S. census </w:t>
      </w:r>
      <w:r w:rsidRPr="005B0B7D">
        <w:rPr>
          <w:b w:val="0"/>
        </w:rPr>
        <w:t xml:space="preserve">data from U.S. Census Bureau, </w:t>
      </w:r>
      <w:r w:rsidR="001529CB" w:rsidRPr="005B0B7D">
        <w:rPr>
          <w:b w:val="0"/>
        </w:rPr>
        <w:t>Annual Social and Economic Supplement 2014</w:t>
      </w:r>
      <w:r w:rsidRPr="005B0B7D">
        <w:rPr>
          <w:b w:val="0"/>
        </w:rPr>
        <w:t xml:space="preserve"> </w:t>
      </w:r>
      <w:r w:rsidR="00C92DB8" w:rsidRPr="005B0B7D">
        <w:rPr>
          <w:b w:val="0"/>
        </w:rPr>
        <w:fldChar w:fldCharType="begin"/>
      </w:r>
      <w:r w:rsidR="00DE5D0F" w:rsidRPr="005B0B7D">
        <w:rPr>
          <w:b w:val="0"/>
        </w:rPr>
        <w:instrText xml:space="preserve"> ADDIN ZOTERO_ITEM CSL_CITATION {"citationID":"Sm0AzAQY","properties":{"formattedCitation":"(U.S. Census Bureau, 2014)","plainCitation":"(U.S. Census Bureau, 2014)"},"citationItems":[{"id":2947,"uris":["http://zotero.org/users/1509854/items/UKJJ7CBC"],"uri":["http://zotero.org/users/1509854/items/UKJJ7CBC"],"itemData":{"id":2947,"type":"report","title":"Table HINC-06. Income Distribution to $250,000 or More for Households: 2014","collection-title":"Annual Social and Economic Supplement","publisher":"U.S. Census Bureau","URL":"https://www.census.gov/hhes/www/cpstables/032015/hhinc/hinc06.xls","author":[{"literal":"U.S. Census Bureau"}],"issued":{"date-parts":[["2014"]]}}}],"schema":"https://github.com/citation-style-language/schema/raw/master/csl-citation.json"} </w:instrText>
      </w:r>
      <w:r w:rsidR="00C92DB8" w:rsidRPr="005B0B7D">
        <w:rPr>
          <w:b w:val="0"/>
        </w:rPr>
        <w:fldChar w:fldCharType="separate"/>
      </w:r>
      <w:r w:rsidR="00B012F6" w:rsidRPr="005B0B7D">
        <w:rPr>
          <w:b w:val="0"/>
        </w:rPr>
        <w:t>(</w:t>
      </w:r>
      <w:r w:rsidR="00601FAB" w:rsidRPr="005B0B7D">
        <w:rPr>
          <w:b w:val="0"/>
        </w:rPr>
        <w:t>U.S. Census Bureau, 2014)</w:t>
      </w:r>
      <w:r w:rsidR="00C92DB8" w:rsidRPr="005B0B7D">
        <w:rPr>
          <w:b w:val="0"/>
        </w:rPr>
        <w:fldChar w:fldCharType="end"/>
      </w:r>
      <w:r w:rsidRPr="005B0B7D">
        <w:rPr>
          <w:b w:val="0"/>
        </w:rPr>
        <w:t>.</w:t>
      </w:r>
      <w:r w:rsidR="00805609" w:rsidRPr="005B0B7D">
        <w:rPr>
          <w:b w:val="0"/>
        </w:rPr>
        <w:t xml:space="preserve"> Here</w:t>
      </w:r>
      <w:r w:rsidR="00B17797" w:rsidRPr="005B0B7D">
        <w:rPr>
          <w:b w:val="0"/>
        </w:rPr>
        <w:t>,</w:t>
      </w:r>
      <w:r w:rsidR="00805609" w:rsidRPr="005B0B7D">
        <w:rPr>
          <w:b w:val="0"/>
        </w:rPr>
        <w:t xml:space="preserve"> the trend that the participants from our sample </w:t>
      </w:r>
      <w:r w:rsidR="00B17797" w:rsidRPr="005B0B7D">
        <w:rPr>
          <w:b w:val="0"/>
        </w:rPr>
        <w:t xml:space="preserve">have </w:t>
      </w:r>
      <w:r w:rsidR="00805609" w:rsidRPr="005B0B7D">
        <w:rPr>
          <w:b w:val="0"/>
        </w:rPr>
        <w:t xml:space="preserve">lower income than the general population of the U.S. is </w:t>
      </w:r>
      <w:r w:rsidR="00B17797" w:rsidRPr="005B0B7D">
        <w:rPr>
          <w:b w:val="0"/>
        </w:rPr>
        <w:t>less</w:t>
      </w:r>
      <w:r w:rsidR="00805609" w:rsidRPr="005B0B7D">
        <w:rPr>
          <w:b w:val="0"/>
        </w:rPr>
        <w:t xml:space="preserve"> apparent</w:t>
      </w:r>
      <w:r w:rsidR="009E2D6B" w:rsidRPr="005B0B7D">
        <w:rPr>
          <w:b w:val="0"/>
        </w:rPr>
        <w:t>.</w:t>
      </w:r>
      <w:r w:rsidR="00805609" w:rsidRPr="005B0B7D">
        <w:rPr>
          <w:b w:val="0"/>
        </w:rPr>
        <w:t xml:space="preserve"> </w:t>
      </w:r>
      <w:r w:rsidR="00B17797" w:rsidRPr="005B0B7D">
        <w:rPr>
          <w:b w:val="0"/>
        </w:rPr>
        <w:t>Al</w:t>
      </w:r>
      <w:r w:rsidR="009E2D6B" w:rsidRPr="005B0B7D">
        <w:rPr>
          <w:b w:val="0"/>
        </w:rPr>
        <w:t xml:space="preserve">though there is a visible underrepresentation of the highest income category </w:t>
      </w:r>
      <w:r w:rsidR="00B012F6" w:rsidRPr="005B0B7D">
        <w:rPr>
          <w:b w:val="0"/>
        </w:rPr>
        <w:t>(</w:t>
      </w:r>
      <w:r w:rsidR="009E2D6B" w:rsidRPr="005B0B7D">
        <w:rPr>
          <w:b w:val="0"/>
        </w:rPr>
        <w:t xml:space="preserve">2.6% in our sample </w:t>
      </w:r>
      <w:proofErr w:type="spellStart"/>
      <w:r w:rsidR="009E2D6B" w:rsidRPr="005B0B7D">
        <w:rPr>
          <w:b w:val="0"/>
        </w:rPr>
        <w:t>vs</w:t>
      </w:r>
      <w:proofErr w:type="spellEnd"/>
      <w:r w:rsidR="009E2D6B" w:rsidRPr="005B0B7D">
        <w:rPr>
          <w:b w:val="0"/>
        </w:rPr>
        <w:t xml:space="preserve"> 10.38% in the U.S.), </w:t>
      </w:r>
      <w:r w:rsidR="00805609" w:rsidRPr="005B0B7D">
        <w:rPr>
          <w:b w:val="0"/>
        </w:rPr>
        <w:t xml:space="preserve">there is only a slight overrepresentation of the lowest income category </w:t>
      </w:r>
      <w:r w:rsidR="00B012F6" w:rsidRPr="005B0B7D">
        <w:rPr>
          <w:b w:val="0"/>
        </w:rPr>
        <w:t>(</w:t>
      </w:r>
      <w:r w:rsidR="00805609" w:rsidRPr="005B0B7D">
        <w:rPr>
          <w:b w:val="0"/>
        </w:rPr>
        <w:t xml:space="preserve">23.8% in our sample </w:t>
      </w:r>
      <w:proofErr w:type="spellStart"/>
      <w:r w:rsidR="00805609" w:rsidRPr="005B0B7D">
        <w:rPr>
          <w:b w:val="0"/>
        </w:rPr>
        <w:t>vs</w:t>
      </w:r>
      <w:proofErr w:type="spellEnd"/>
      <w:r w:rsidR="00805609" w:rsidRPr="005B0B7D">
        <w:rPr>
          <w:b w:val="0"/>
        </w:rPr>
        <w:t xml:space="preserve"> 23.52% in the U.S.)</w:t>
      </w:r>
      <w:r w:rsidR="009E2D6B" w:rsidRPr="005B0B7D">
        <w:rPr>
          <w:b w:val="0"/>
        </w:rPr>
        <w:t>.</w:t>
      </w:r>
    </w:p>
    <w:p w14:paraId="6B462BC6" w14:textId="77777777" w:rsidR="00DE4CB9" w:rsidRPr="005B0B7D" w:rsidRDefault="00DE4CB9" w:rsidP="003F1E33"/>
    <w:p w14:paraId="7E0A382C" w14:textId="77777777" w:rsidR="00DE4CB9" w:rsidRPr="005B0B7D" w:rsidRDefault="00DE4CB9" w:rsidP="009F0B2A">
      <w:pPr>
        <w:ind w:firstLine="0"/>
      </w:pPr>
      <w:r w:rsidRPr="005B0B7D">
        <w:t xml:space="preserve">Table </w:t>
      </w:r>
      <w:r w:rsidR="009F0B2A" w:rsidRPr="005B0B7D">
        <w:t>6</w:t>
      </w:r>
      <w:r w:rsidRPr="005B0B7D">
        <w:t>. Average household yearly income of participants from the United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16"/>
        <w:gridCol w:w="1701"/>
        <w:gridCol w:w="2653"/>
      </w:tblGrid>
      <w:tr w:rsidR="00944343" w:rsidRPr="005B0B7D" w14:paraId="38208566" w14:textId="77777777" w:rsidTr="00931CEA">
        <w:tc>
          <w:tcPr>
            <w:tcW w:w="3369" w:type="dxa"/>
            <w:tcBorders>
              <w:top w:val="single" w:sz="4" w:space="0" w:color="auto"/>
            </w:tcBorders>
          </w:tcPr>
          <w:p w14:paraId="6919E9E4" w14:textId="77777777" w:rsidR="00944343" w:rsidRPr="005B0B7D" w:rsidRDefault="00944343" w:rsidP="009104EF">
            <w:pPr>
              <w:pStyle w:val="TableFigure"/>
              <w:spacing w:before="0"/>
            </w:pPr>
            <w:r w:rsidRPr="005B0B7D">
              <w:t>Income</w:t>
            </w:r>
          </w:p>
        </w:tc>
        <w:tc>
          <w:tcPr>
            <w:tcW w:w="3017" w:type="dxa"/>
            <w:gridSpan w:val="2"/>
            <w:tcBorders>
              <w:top w:val="single" w:sz="4" w:space="0" w:color="auto"/>
            </w:tcBorders>
          </w:tcPr>
          <w:p w14:paraId="222EBE0D" w14:textId="086509B3" w:rsidR="00944343" w:rsidRPr="005B0B7D" w:rsidRDefault="00944343" w:rsidP="00B72FB1">
            <w:pPr>
              <w:pStyle w:val="TableFigure"/>
              <w:spacing w:before="0"/>
              <w:jc w:val="center"/>
            </w:pPr>
            <w:r w:rsidRPr="005B0B7D">
              <w:t xml:space="preserve">Participants </w:t>
            </w:r>
            <w:r w:rsidR="00B012F6" w:rsidRPr="005B0B7D">
              <w:rPr>
                <w:i/>
              </w:rPr>
              <w:t>(n =</w:t>
            </w:r>
            <w:r w:rsidR="00306458" w:rsidRPr="005B0B7D">
              <w:t xml:space="preserve"> </w:t>
            </w:r>
            <w:r w:rsidR="00B72FB1" w:rsidRPr="005B0B7D">
              <w:t>302</w:t>
            </w:r>
            <w:r w:rsidRPr="005B0B7D">
              <w:t>)</w:t>
            </w:r>
          </w:p>
        </w:tc>
        <w:tc>
          <w:tcPr>
            <w:tcW w:w="2653" w:type="dxa"/>
            <w:tcBorders>
              <w:top w:val="single" w:sz="4" w:space="0" w:color="auto"/>
            </w:tcBorders>
          </w:tcPr>
          <w:p w14:paraId="763DB39D" w14:textId="621F138F" w:rsidR="00944343" w:rsidRPr="005B0B7D" w:rsidRDefault="00944343" w:rsidP="00931CEA">
            <w:pPr>
              <w:pStyle w:val="TableFigure"/>
              <w:spacing w:before="0"/>
              <w:jc w:val="center"/>
            </w:pPr>
            <w:r w:rsidRPr="005B0B7D">
              <w:t>U</w:t>
            </w:r>
            <w:r w:rsidR="009104EF" w:rsidRPr="005B0B7D">
              <w:t>.</w:t>
            </w:r>
            <w:r w:rsidRPr="005B0B7D">
              <w:t>S</w:t>
            </w:r>
            <w:r w:rsidR="009104EF" w:rsidRPr="005B0B7D">
              <w:t>.</w:t>
            </w:r>
            <w:r w:rsidRPr="005B0B7D">
              <w:t xml:space="preserve"> 2014 </w:t>
            </w:r>
            <w:r w:rsidR="00B012F6" w:rsidRPr="005B0B7D">
              <w:t>(</w:t>
            </w:r>
            <w:r w:rsidRPr="005B0B7D">
              <w:t>%)</w:t>
            </w:r>
          </w:p>
        </w:tc>
      </w:tr>
      <w:tr w:rsidR="00DE4CB9" w:rsidRPr="005B0B7D" w14:paraId="0DEB4FC3" w14:textId="77777777" w:rsidTr="00931CEA">
        <w:tc>
          <w:tcPr>
            <w:tcW w:w="3369" w:type="dxa"/>
            <w:tcBorders>
              <w:bottom w:val="single" w:sz="4" w:space="0" w:color="auto"/>
            </w:tcBorders>
          </w:tcPr>
          <w:p w14:paraId="52AA5B2B" w14:textId="77777777" w:rsidR="00DE4CB9" w:rsidRPr="005B0B7D" w:rsidRDefault="00DE4CB9" w:rsidP="009104EF">
            <w:pPr>
              <w:pStyle w:val="TableFigure"/>
              <w:spacing w:before="0"/>
            </w:pPr>
          </w:p>
        </w:tc>
        <w:tc>
          <w:tcPr>
            <w:tcW w:w="1316" w:type="dxa"/>
            <w:tcBorders>
              <w:bottom w:val="single" w:sz="4" w:space="0" w:color="auto"/>
            </w:tcBorders>
          </w:tcPr>
          <w:p w14:paraId="6C78548A" w14:textId="77777777" w:rsidR="00DE4CB9" w:rsidRPr="005B0B7D" w:rsidRDefault="00DE4CB9" w:rsidP="00931CEA">
            <w:pPr>
              <w:pStyle w:val="TableFigure"/>
              <w:spacing w:before="0"/>
              <w:jc w:val="center"/>
            </w:pPr>
            <w:r w:rsidRPr="005B0B7D">
              <w:t>Frequency</w:t>
            </w:r>
          </w:p>
        </w:tc>
        <w:tc>
          <w:tcPr>
            <w:tcW w:w="1701" w:type="dxa"/>
            <w:tcBorders>
              <w:bottom w:val="single" w:sz="4" w:space="0" w:color="auto"/>
            </w:tcBorders>
          </w:tcPr>
          <w:p w14:paraId="5F501CC1" w14:textId="3AE56FE2" w:rsidR="00DE4CB9" w:rsidRPr="005B0B7D" w:rsidRDefault="00DE4CB9" w:rsidP="00931CEA">
            <w:pPr>
              <w:pStyle w:val="TableFigure"/>
              <w:spacing w:before="0"/>
              <w:jc w:val="center"/>
            </w:pPr>
            <w:r w:rsidRPr="005B0B7D">
              <w:t>Percentage</w:t>
            </w:r>
            <w:r w:rsidR="00FE3917" w:rsidRPr="005B0B7D">
              <w:t xml:space="preserve"> </w:t>
            </w:r>
            <w:r w:rsidR="00B012F6" w:rsidRPr="005B0B7D">
              <w:t>(</w:t>
            </w:r>
            <w:r w:rsidR="00FE3917" w:rsidRPr="005B0B7D">
              <w:t>%)</w:t>
            </w:r>
          </w:p>
        </w:tc>
        <w:tc>
          <w:tcPr>
            <w:tcW w:w="2653" w:type="dxa"/>
            <w:tcBorders>
              <w:bottom w:val="single" w:sz="4" w:space="0" w:color="auto"/>
            </w:tcBorders>
          </w:tcPr>
          <w:p w14:paraId="1F6C043D" w14:textId="77777777" w:rsidR="00DE4CB9" w:rsidRPr="005B0B7D" w:rsidRDefault="00DE4CB9" w:rsidP="00931CEA">
            <w:pPr>
              <w:pStyle w:val="TableFigure"/>
              <w:spacing w:before="0"/>
              <w:jc w:val="center"/>
            </w:pPr>
          </w:p>
        </w:tc>
      </w:tr>
      <w:tr w:rsidR="00D474C4" w:rsidRPr="005B0B7D" w14:paraId="657F0EC2" w14:textId="77777777" w:rsidTr="00931CEA">
        <w:tc>
          <w:tcPr>
            <w:tcW w:w="3369" w:type="dxa"/>
            <w:tcBorders>
              <w:top w:val="single" w:sz="4" w:space="0" w:color="auto"/>
            </w:tcBorders>
          </w:tcPr>
          <w:p w14:paraId="175F96C7" w14:textId="77777777" w:rsidR="00D474C4" w:rsidRPr="005B0B7D" w:rsidRDefault="00D474C4" w:rsidP="009104EF">
            <w:pPr>
              <w:pStyle w:val="TableFigure"/>
              <w:spacing w:before="0"/>
            </w:pPr>
            <w:r w:rsidRPr="005B0B7D">
              <w:t xml:space="preserve">Under US$24,999 </w:t>
            </w:r>
          </w:p>
        </w:tc>
        <w:tc>
          <w:tcPr>
            <w:tcW w:w="1316" w:type="dxa"/>
            <w:tcBorders>
              <w:top w:val="single" w:sz="4" w:space="0" w:color="auto"/>
            </w:tcBorders>
          </w:tcPr>
          <w:p w14:paraId="492806D7" w14:textId="77777777" w:rsidR="00D474C4" w:rsidRPr="005B0B7D" w:rsidRDefault="00D474C4" w:rsidP="00931CEA">
            <w:pPr>
              <w:ind w:firstLine="0"/>
              <w:jc w:val="center"/>
            </w:pPr>
            <w:r w:rsidRPr="005B0B7D">
              <w:t>72</w:t>
            </w:r>
          </w:p>
        </w:tc>
        <w:tc>
          <w:tcPr>
            <w:tcW w:w="1701" w:type="dxa"/>
            <w:tcBorders>
              <w:top w:val="single" w:sz="4" w:space="0" w:color="auto"/>
            </w:tcBorders>
          </w:tcPr>
          <w:p w14:paraId="1F9B48F0" w14:textId="77777777" w:rsidR="00D474C4" w:rsidRPr="005B0B7D" w:rsidRDefault="00D474C4" w:rsidP="00931CEA">
            <w:pPr>
              <w:ind w:firstLine="0"/>
              <w:jc w:val="center"/>
            </w:pPr>
            <w:r w:rsidRPr="005B0B7D">
              <w:t>23.8%</w:t>
            </w:r>
          </w:p>
        </w:tc>
        <w:tc>
          <w:tcPr>
            <w:tcW w:w="2653" w:type="dxa"/>
            <w:tcBorders>
              <w:top w:val="single" w:sz="4" w:space="0" w:color="auto"/>
            </w:tcBorders>
          </w:tcPr>
          <w:p w14:paraId="2349E912" w14:textId="77777777" w:rsidR="00D474C4" w:rsidRPr="005B0B7D" w:rsidRDefault="00D474C4" w:rsidP="00931CEA">
            <w:pPr>
              <w:pStyle w:val="TableFigure"/>
              <w:spacing w:before="0"/>
              <w:jc w:val="center"/>
            </w:pPr>
            <w:r w:rsidRPr="005B0B7D">
              <w:t>23.52%</w:t>
            </w:r>
          </w:p>
        </w:tc>
      </w:tr>
      <w:tr w:rsidR="00D474C4" w:rsidRPr="005B0B7D" w14:paraId="44C1291B" w14:textId="77777777" w:rsidTr="00931CEA">
        <w:tc>
          <w:tcPr>
            <w:tcW w:w="3369" w:type="dxa"/>
          </w:tcPr>
          <w:p w14:paraId="566623A8" w14:textId="77777777" w:rsidR="00D474C4" w:rsidRPr="005B0B7D" w:rsidRDefault="00D474C4" w:rsidP="009104EF">
            <w:pPr>
              <w:pStyle w:val="TableFigure"/>
              <w:spacing w:before="0"/>
            </w:pPr>
            <w:r w:rsidRPr="005B0B7D">
              <w:t>US$25,000 to US$49,999</w:t>
            </w:r>
          </w:p>
        </w:tc>
        <w:tc>
          <w:tcPr>
            <w:tcW w:w="1316" w:type="dxa"/>
          </w:tcPr>
          <w:p w14:paraId="2772D58D" w14:textId="77777777" w:rsidR="00D474C4" w:rsidRPr="005B0B7D" w:rsidRDefault="00D474C4" w:rsidP="00931CEA">
            <w:pPr>
              <w:ind w:firstLine="0"/>
              <w:jc w:val="center"/>
            </w:pPr>
            <w:r w:rsidRPr="005B0B7D">
              <w:t>93</w:t>
            </w:r>
          </w:p>
        </w:tc>
        <w:tc>
          <w:tcPr>
            <w:tcW w:w="1701" w:type="dxa"/>
          </w:tcPr>
          <w:p w14:paraId="7B773CD0" w14:textId="77777777" w:rsidR="00D474C4" w:rsidRPr="005B0B7D" w:rsidRDefault="00D474C4" w:rsidP="00931CEA">
            <w:pPr>
              <w:ind w:firstLine="0"/>
              <w:jc w:val="center"/>
            </w:pPr>
            <w:r w:rsidRPr="005B0B7D">
              <w:t>30.8%</w:t>
            </w:r>
          </w:p>
        </w:tc>
        <w:tc>
          <w:tcPr>
            <w:tcW w:w="2653" w:type="dxa"/>
          </w:tcPr>
          <w:p w14:paraId="2864F96A" w14:textId="77777777" w:rsidR="00D474C4" w:rsidRPr="005B0B7D" w:rsidRDefault="00D474C4" w:rsidP="00931CEA">
            <w:pPr>
              <w:pStyle w:val="TableFigure"/>
              <w:spacing w:before="0"/>
              <w:jc w:val="center"/>
            </w:pPr>
            <w:r w:rsidRPr="005B0B7D">
              <w:t>23.23%</w:t>
            </w:r>
          </w:p>
        </w:tc>
      </w:tr>
      <w:tr w:rsidR="00D474C4" w:rsidRPr="005B0B7D" w14:paraId="6C0140B0" w14:textId="77777777" w:rsidTr="00931CEA">
        <w:tc>
          <w:tcPr>
            <w:tcW w:w="3369" w:type="dxa"/>
          </w:tcPr>
          <w:p w14:paraId="4152C33B" w14:textId="77777777" w:rsidR="00D474C4" w:rsidRPr="005B0B7D" w:rsidRDefault="00D474C4" w:rsidP="009104EF">
            <w:pPr>
              <w:pStyle w:val="TableFigure"/>
              <w:spacing w:before="0"/>
            </w:pPr>
            <w:r w:rsidRPr="005B0B7D">
              <w:t>US$50,000 to US$74,999</w:t>
            </w:r>
          </w:p>
        </w:tc>
        <w:tc>
          <w:tcPr>
            <w:tcW w:w="1316" w:type="dxa"/>
          </w:tcPr>
          <w:p w14:paraId="1F1880C8" w14:textId="77777777" w:rsidR="00D474C4" w:rsidRPr="005B0B7D" w:rsidRDefault="00D474C4" w:rsidP="00931CEA">
            <w:pPr>
              <w:ind w:firstLine="0"/>
              <w:jc w:val="center"/>
            </w:pPr>
            <w:r w:rsidRPr="005B0B7D">
              <w:t>59</w:t>
            </w:r>
          </w:p>
        </w:tc>
        <w:tc>
          <w:tcPr>
            <w:tcW w:w="1701" w:type="dxa"/>
          </w:tcPr>
          <w:p w14:paraId="0A11440A" w14:textId="77777777" w:rsidR="00D474C4" w:rsidRPr="005B0B7D" w:rsidRDefault="00D474C4" w:rsidP="00931CEA">
            <w:pPr>
              <w:ind w:firstLine="0"/>
              <w:jc w:val="center"/>
            </w:pPr>
            <w:r w:rsidRPr="005B0B7D">
              <w:t>19.5%</w:t>
            </w:r>
          </w:p>
        </w:tc>
        <w:tc>
          <w:tcPr>
            <w:tcW w:w="2653" w:type="dxa"/>
          </w:tcPr>
          <w:p w14:paraId="536BDCC5" w14:textId="77777777" w:rsidR="00D474C4" w:rsidRPr="005B0B7D" w:rsidRDefault="00D474C4" w:rsidP="00931CEA">
            <w:pPr>
              <w:pStyle w:val="TableFigure"/>
              <w:spacing w:before="0"/>
              <w:jc w:val="center"/>
            </w:pPr>
            <w:r w:rsidRPr="005B0B7D">
              <w:t>17.04%</w:t>
            </w:r>
          </w:p>
        </w:tc>
      </w:tr>
      <w:tr w:rsidR="00D474C4" w:rsidRPr="005B0B7D" w14:paraId="08CC14DF" w14:textId="77777777" w:rsidTr="00931CEA">
        <w:tc>
          <w:tcPr>
            <w:tcW w:w="3369" w:type="dxa"/>
          </w:tcPr>
          <w:p w14:paraId="071B98F3" w14:textId="77777777" w:rsidR="00D474C4" w:rsidRPr="005B0B7D" w:rsidRDefault="00D474C4" w:rsidP="009104EF">
            <w:pPr>
              <w:pStyle w:val="TableFigure"/>
              <w:spacing w:before="0"/>
            </w:pPr>
            <w:r w:rsidRPr="005B0B7D">
              <w:t>US$75,000 to US$99,999</w:t>
            </w:r>
          </w:p>
        </w:tc>
        <w:tc>
          <w:tcPr>
            <w:tcW w:w="1316" w:type="dxa"/>
          </w:tcPr>
          <w:p w14:paraId="48C7633D" w14:textId="77777777" w:rsidR="00D474C4" w:rsidRPr="005B0B7D" w:rsidRDefault="00D474C4" w:rsidP="00931CEA">
            <w:pPr>
              <w:ind w:firstLine="0"/>
              <w:jc w:val="center"/>
            </w:pPr>
            <w:r w:rsidRPr="005B0B7D">
              <w:t>42</w:t>
            </w:r>
          </w:p>
        </w:tc>
        <w:tc>
          <w:tcPr>
            <w:tcW w:w="1701" w:type="dxa"/>
          </w:tcPr>
          <w:p w14:paraId="24370782" w14:textId="77777777" w:rsidR="00D474C4" w:rsidRPr="005B0B7D" w:rsidRDefault="00D474C4" w:rsidP="00931CEA">
            <w:pPr>
              <w:ind w:firstLine="0"/>
              <w:jc w:val="center"/>
            </w:pPr>
            <w:r w:rsidRPr="005B0B7D">
              <w:t>13.9%</w:t>
            </w:r>
          </w:p>
        </w:tc>
        <w:tc>
          <w:tcPr>
            <w:tcW w:w="2653" w:type="dxa"/>
          </w:tcPr>
          <w:p w14:paraId="6E27D2BA" w14:textId="77777777" w:rsidR="00D474C4" w:rsidRPr="005B0B7D" w:rsidRDefault="00D474C4" w:rsidP="00931CEA">
            <w:pPr>
              <w:pStyle w:val="TableFigure"/>
              <w:spacing w:before="0"/>
              <w:jc w:val="center"/>
            </w:pPr>
            <w:r w:rsidRPr="005B0B7D">
              <w:t>11.54%</w:t>
            </w:r>
          </w:p>
        </w:tc>
      </w:tr>
      <w:tr w:rsidR="00D474C4" w:rsidRPr="005B0B7D" w14:paraId="342D1E6A" w14:textId="77777777" w:rsidTr="00931CEA">
        <w:tc>
          <w:tcPr>
            <w:tcW w:w="3369" w:type="dxa"/>
          </w:tcPr>
          <w:p w14:paraId="184966B0" w14:textId="77777777" w:rsidR="00D474C4" w:rsidRPr="005B0B7D" w:rsidRDefault="00D474C4" w:rsidP="009104EF">
            <w:pPr>
              <w:pStyle w:val="TableFigure"/>
              <w:spacing w:before="0"/>
            </w:pPr>
            <w:r w:rsidRPr="005B0B7D">
              <w:t>US$100,000 to US$124,999</w:t>
            </w:r>
          </w:p>
        </w:tc>
        <w:tc>
          <w:tcPr>
            <w:tcW w:w="1316" w:type="dxa"/>
          </w:tcPr>
          <w:p w14:paraId="52F51FD7" w14:textId="77777777" w:rsidR="00D474C4" w:rsidRPr="005B0B7D" w:rsidRDefault="00D474C4" w:rsidP="00931CEA">
            <w:pPr>
              <w:ind w:firstLine="0"/>
              <w:jc w:val="center"/>
            </w:pPr>
            <w:r w:rsidRPr="005B0B7D">
              <w:t>21</w:t>
            </w:r>
          </w:p>
        </w:tc>
        <w:tc>
          <w:tcPr>
            <w:tcW w:w="1701" w:type="dxa"/>
          </w:tcPr>
          <w:p w14:paraId="20D353E6" w14:textId="77777777" w:rsidR="00D474C4" w:rsidRPr="005B0B7D" w:rsidRDefault="00D474C4" w:rsidP="00931CEA">
            <w:pPr>
              <w:ind w:firstLine="0"/>
              <w:jc w:val="center"/>
            </w:pPr>
            <w:r w:rsidRPr="005B0B7D">
              <w:t>7.0%</w:t>
            </w:r>
          </w:p>
        </w:tc>
        <w:tc>
          <w:tcPr>
            <w:tcW w:w="2653" w:type="dxa"/>
          </w:tcPr>
          <w:p w14:paraId="66465B65" w14:textId="77777777" w:rsidR="00D474C4" w:rsidRPr="005B0B7D" w:rsidRDefault="00D474C4" w:rsidP="00931CEA">
            <w:pPr>
              <w:pStyle w:val="TableFigure"/>
              <w:spacing w:before="0"/>
              <w:jc w:val="center"/>
            </w:pPr>
            <w:r w:rsidRPr="005B0B7D">
              <w:t>8.15%</w:t>
            </w:r>
          </w:p>
        </w:tc>
      </w:tr>
      <w:tr w:rsidR="00D474C4" w:rsidRPr="005B0B7D" w14:paraId="62A15E55" w14:textId="77777777" w:rsidTr="00931CEA">
        <w:tc>
          <w:tcPr>
            <w:tcW w:w="3369" w:type="dxa"/>
          </w:tcPr>
          <w:p w14:paraId="41F4917D" w14:textId="77777777" w:rsidR="00D474C4" w:rsidRPr="005B0B7D" w:rsidRDefault="00D474C4" w:rsidP="009104EF">
            <w:pPr>
              <w:pStyle w:val="TableFigure"/>
              <w:spacing w:before="0"/>
            </w:pPr>
            <w:r w:rsidRPr="005B0B7D">
              <w:t>US$125,000 to US$149,999</w:t>
            </w:r>
          </w:p>
        </w:tc>
        <w:tc>
          <w:tcPr>
            <w:tcW w:w="1316" w:type="dxa"/>
          </w:tcPr>
          <w:p w14:paraId="5E7E3F1A" w14:textId="77777777" w:rsidR="00D474C4" w:rsidRPr="005B0B7D" w:rsidRDefault="00D474C4" w:rsidP="00931CEA">
            <w:pPr>
              <w:ind w:firstLine="0"/>
              <w:jc w:val="center"/>
            </w:pPr>
            <w:r w:rsidRPr="005B0B7D">
              <w:t>7</w:t>
            </w:r>
          </w:p>
        </w:tc>
        <w:tc>
          <w:tcPr>
            <w:tcW w:w="1701" w:type="dxa"/>
          </w:tcPr>
          <w:p w14:paraId="2C47A85B" w14:textId="77777777" w:rsidR="00D474C4" w:rsidRPr="005B0B7D" w:rsidRDefault="00D474C4" w:rsidP="00931CEA">
            <w:pPr>
              <w:ind w:firstLine="0"/>
              <w:jc w:val="center"/>
            </w:pPr>
            <w:r w:rsidRPr="005B0B7D">
              <w:t>2.3%</w:t>
            </w:r>
          </w:p>
        </w:tc>
        <w:tc>
          <w:tcPr>
            <w:tcW w:w="2653" w:type="dxa"/>
          </w:tcPr>
          <w:p w14:paraId="541271B7" w14:textId="77777777" w:rsidR="00D474C4" w:rsidRPr="005B0B7D" w:rsidRDefault="00D474C4" w:rsidP="00931CEA">
            <w:pPr>
              <w:pStyle w:val="TableFigure"/>
              <w:spacing w:before="0"/>
              <w:jc w:val="center"/>
            </w:pPr>
            <w:r w:rsidRPr="005B0B7D">
              <w:t>4.97%</w:t>
            </w:r>
          </w:p>
        </w:tc>
      </w:tr>
      <w:tr w:rsidR="00D474C4" w:rsidRPr="005B0B7D" w14:paraId="2C5D9B0A" w14:textId="77777777" w:rsidTr="00931CEA">
        <w:tc>
          <w:tcPr>
            <w:tcW w:w="3369" w:type="dxa"/>
            <w:tcBorders>
              <w:bottom w:val="single" w:sz="4" w:space="0" w:color="auto"/>
            </w:tcBorders>
          </w:tcPr>
          <w:p w14:paraId="63ACCF73" w14:textId="77777777" w:rsidR="00D474C4" w:rsidRPr="005B0B7D" w:rsidRDefault="00D474C4" w:rsidP="009104EF">
            <w:pPr>
              <w:pStyle w:val="TableFigure"/>
              <w:spacing w:before="0"/>
            </w:pPr>
            <w:r w:rsidRPr="005B0B7D">
              <w:t>Above US$150,000</w:t>
            </w:r>
          </w:p>
        </w:tc>
        <w:tc>
          <w:tcPr>
            <w:tcW w:w="1316" w:type="dxa"/>
            <w:tcBorders>
              <w:bottom w:val="single" w:sz="4" w:space="0" w:color="auto"/>
            </w:tcBorders>
          </w:tcPr>
          <w:p w14:paraId="779F502E" w14:textId="77777777" w:rsidR="00D474C4" w:rsidRPr="005B0B7D" w:rsidRDefault="00D474C4" w:rsidP="00931CEA">
            <w:pPr>
              <w:ind w:firstLine="0"/>
              <w:jc w:val="center"/>
            </w:pPr>
            <w:r w:rsidRPr="005B0B7D">
              <w:t>8</w:t>
            </w:r>
          </w:p>
        </w:tc>
        <w:tc>
          <w:tcPr>
            <w:tcW w:w="1701" w:type="dxa"/>
            <w:tcBorders>
              <w:bottom w:val="single" w:sz="4" w:space="0" w:color="auto"/>
            </w:tcBorders>
          </w:tcPr>
          <w:p w14:paraId="35D3FA02" w14:textId="77777777" w:rsidR="00D474C4" w:rsidRPr="005B0B7D" w:rsidRDefault="00D474C4" w:rsidP="00931CEA">
            <w:pPr>
              <w:ind w:firstLine="0"/>
              <w:jc w:val="center"/>
            </w:pPr>
            <w:r w:rsidRPr="005B0B7D">
              <w:t>2.6%</w:t>
            </w:r>
          </w:p>
        </w:tc>
        <w:tc>
          <w:tcPr>
            <w:tcW w:w="2653" w:type="dxa"/>
            <w:tcBorders>
              <w:bottom w:val="single" w:sz="4" w:space="0" w:color="auto"/>
            </w:tcBorders>
          </w:tcPr>
          <w:p w14:paraId="202AFDF6" w14:textId="77777777" w:rsidR="00D474C4" w:rsidRPr="005B0B7D" w:rsidRDefault="00D474C4" w:rsidP="00931CEA">
            <w:pPr>
              <w:pStyle w:val="TableFigure"/>
              <w:spacing w:before="0"/>
              <w:jc w:val="center"/>
            </w:pPr>
            <w:r w:rsidRPr="005B0B7D">
              <w:t>10.38%</w:t>
            </w:r>
          </w:p>
        </w:tc>
      </w:tr>
    </w:tbl>
    <w:p w14:paraId="1E118BDA" w14:textId="41A0677F" w:rsidR="005B4602" w:rsidRPr="005B0B7D" w:rsidRDefault="00326DBF" w:rsidP="003F1E33">
      <w:r w:rsidRPr="005B0B7D">
        <w:br w:type="page"/>
      </w:r>
    </w:p>
    <w:p w14:paraId="222EED09" w14:textId="116F218A" w:rsidR="005B4602" w:rsidRPr="005B0B7D" w:rsidRDefault="00850E0C" w:rsidP="005B4602">
      <w:pPr>
        <w:pStyle w:val="Title2"/>
        <w:rPr>
          <w:b/>
        </w:rPr>
      </w:pPr>
      <w:r w:rsidRPr="005B0B7D">
        <w:rPr>
          <w:b/>
        </w:rPr>
        <w:lastRenderedPageBreak/>
        <w:t xml:space="preserve">S. Text 2 </w:t>
      </w:r>
      <w:r w:rsidR="005B4602" w:rsidRPr="005B0B7D">
        <w:rPr>
          <w:b/>
        </w:rPr>
        <w:t xml:space="preserve">Comparison of Participants who Completed One </w:t>
      </w:r>
      <w:r w:rsidR="00B17797" w:rsidRPr="005B0B7D">
        <w:rPr>
          <w:b/>
        </w:rPr>
        <w:t xml:space="preserve">or Several </w:t>
      </w:r>
      <w:r w:rsidR="005B4602" w:rsidRPr="005B0B7D">
        <w:rPr>
          <w:b/>
        </w:rPr>
        <w:t>Follow-Up Assessment</w:t>
      </w:r>
      <w:r w:rsidR="00B17797" w:rsidRPr="005B0B7D">
        <w:rPr>
          <w:b/>
        </w:rPr>
        <w:t>s</w:t>
      </w:r>
      <w:r w:rsidR="005B4602" w:rsidRPr="005B0B7D">
        <w:rPr>
          <w:b/>
        </w:rPr>
        <w:t xml:space="preserve"> with Participants who did not Complete any Follow-Up Assessment</w:t>
      </w:r>
    </w:p>
    <w:p w14:paraId="7D4826A4" w14:textId="77777777" w:rsidR="005B4602" w:rsidRPr="005B0B7D" w:rsidRDefault="005B4602" w:rsidP="005B4602">
      <w:pPr>
        <w:rPr>
          <w:rFonts w:eastAsia="Times New Roman"/>
        </w:rPr>
      </w:pPr>
    </w:p>
    <w:p w14:paraId="53FF6081" w14:textId="7F46743C" w:rsidR="005B4602" w:rsidRPr="005B0B7D" w:rsidRDefault="005B4602" w:rsidP="005B4602">
      <w:pPr>
        <w:rPr>
          <w:rFonts w:eastAsia="Times New Roman"/>
        </w:rPr>
      </w:pPr>
      <w:r w:rsidRPr="005B0B7D">
        <w:rPr>
          <w:rFonts w:eastAsia="Times New Roman"/>
        </w:rPr>
        <w:t>A series of independent sample t-tests and chi-square tests were conducted to compare participants who completed</w:t>
      </w:r>
      <w:r w:rsidR="00B17797" w:rsidRPr="005B0B7D">
        <w:rPr>
          <w:rFonts w:eastAsia="Times New Roman"/>
        </w:rPr>
        <w:t xml:space="preserve"> </w:t>
      </w:r>
      <w:r w:rsidRPr="005B0B7D">
        <w:rPr>
          <w:rFonts w:eastAsia="Times New Roman"/>
        </w:rPr>
        <w:t xml:space="preserve">one </w:t>
      </w:r>
      <w:r w:rsidR="00357D0E" w:rsidRPr="005B0B7D">
        <w:rPr>
          <w:rFonts w:eastAsia="Times New Roman"/>
        </w:rPr>
        <w:t xml:space="preserve">or several </w:t>
      </w:r>
      <w:r w:rsidRPr="005B0B7D">
        <w:rPr>
          <w:rFonts w:eastAsia="Times New Roman"/>
        </w:rPr>
        <w:t>follow-up assessment</w:t>
      </w:r>
      <w:r w:rsidR="00357D0E" w:rsidRPr="005B0B7D">
        <w:rPr>
          <w:rFonts w:eastAsia="Times New Roman"/>
        </w:rPr>
        <w:t>s</w:t>
      </w:r>
      <w:r w:rsidR="0064083B" w:rsidRPr="005B0B7D">
        <w:rPr>
          <w:rFonts w:eastAsia="Times New Roman"/>
        </w:rPr>
        <w:t xml:space="preserve"> </w:t>
      </w:r>
      <w:r w:rsidR="00B012F6" w:rsidRPr="005B0B7D">
        <w:rPr>
          <w:rFonts w:eastAsia="Times New Roman"/>
        </w:rPr>
        <w:t>(</w:t>
      </w:r>
      <w:r w:rsidR="0064083B" w:rsidRPr="005B0B7D">
        <w:rPr>
          <w:rFonts w:eastAsia="Times New Roman"/>
        </w:rPr>
        <w:t>FU)</w:t>
      </w:r>
      <w:r w:rsidRPr="005B0B7D">
        <w:rPr>
          <w:rFonts w:eastAsia="Times New Roman"/>
        </w:rPr>
        <w:t xml:space="preserve"> with participants who did not complete any follow-up assessmen</w:t>
      </w:r>
      <w:r w:rsidR="00B012F6" w:rsidRPr="005B0B7D">
        <w:rPr>
          <w:rFonts w:eastAsia="Times New Roman"/>
        </w:rPr>
        <w:t>t (</w:t>
      </w:r>
      <w:proofErr w:type="spellStart"/>
      <w:r w:rsidR="00B012F6" w:rsidRPr="005B0B7D">
        <w:rPr>
          <w:rFonts w:eastAsia="Times New Roman"/>
        </w:rPr>
        <w:t>n</w:t>
      </w:r>
      <w:r w:rsidR="008A1FE4" w:rsidRPr="005B0B7D">
        <w:rPr>
          <w:rFonts w:eastAsia="Times New Roman"/>
        </w:rPr>
        <w:t>o</w:t>
      </w:r>
      <w:r w:rsidR="0064083B" w:rsidRPr="005B0B7D">
        <w:rPr>
          <w:rFonts w:eastAsia="Times New Roman"/>
        </w:rPr>
        <w:t>FU</w:t>
      </w:r>
      <w:proofErr w:type="spellEnd"/>
      <w:r w:rsidR="0064083B" w:rsidRPr="005B0B7D">
        <w:rPr>
          <w:rFonts w:eastAsia="Times New Roman"/>
        </w:rPr>
        <w:t>)</w:t>
      </w:r>
      <w:r w:rsidRPr="005B0B7D">
        <w:rPr>
          <w:rFonts w:eastAsia="Times New Roman"/>
        </w:rPr>
        <w:t xml:space="preserve"> on several variables such as demographic </w:t>
      </w:r>
      <w:r w:rsidR="00B012F6" w:rsidRPr="005B0B7D">
        <w:rPr>
          <w:rFonts w:eastAsia="Times New Roman"/>
        </w:rPr>
        <w:t>(</w:t>
      </w:r>
      <w:r w:rsidRPr="005B0B7D">
        <w:rPr>
          <w:rFonts w:eastAsia="Times New Roman"/>
        </w:rPr>
        <w:t xml:space="preserve">age, sex, socio-economic status), mental health condition </w:t>
      </w:r>
      <w:r w:rsidR="00B012F6" w:rsidRPr="005B0B7D">
        <w:rPr>
          <w:rFonts w:eastAsia="Times New Roman"/>
        </w:rPr>
        <w:t>(</w:t>
      </w:r>
      <w:r w:rsidRPr="005B0B7D">
        <w:rPr>
          <w:rFonts w:eastAsia="Times New Roman"/>
        </w:rPr>
        <w:t>ever been diagnosed with a mental disorder or not, ever been diagnosed with schizophrenia and other psychoses or not), and baseline variables of interes</w:t>
      </w:r>
      <w:r w:rsidR="00B012F6" w:rsidRPr="005B0B7D">
        <w:rPr>
          <w:rFonts w:eastAsia="Times New Roman"/>
        </w:rPr>
        <w:t>t (n</w:t>
      </w:r>
      <w:r w:rsidRPr="005B0B7D">
        <w:rPr>
          <w:rFonts w:eastAsia="Times New Roman"/>
        </w:rPr>
        <w:t>egative</w:t>
      </w:r>
      <w:r w:rsidR="00656FD9" w:rsidRPr="005B0B7D">
        <w:rPr>
          <w:rFonts w:eastAsia="Times New Roman"/>
        </w:rPr>
        <w:t>-self schemas (NSS)</w:t>
      </w:r>
      <w:r w:rsidRPr="005B0B7D">
        <w:rPr>
          <w:rFonts w:eastAsia="Times New Roman"/>
        </w:rPr>
        <w:t xml:space="preserve">, negative affect and positive symptoms). </w:t>
      </w:r>
    </w:p>
    <w:p w14:paraId="5E19B281" w14:textId="6F3E4EFB" w:rsidR="005B4602" w:rsidRPr="005B0B7D" w:rsidRDefault="005B4602" w:rsidP="00393FB2">
      <w:r w:rsidRPr="005B0B7D">
        <w:rPr>
          <w:rFonts w:eastAsia="Times New Roman"/>
        </w:rPr>
        <w:t>We found significant differences between participants who completed one follow-up assessment or more</w:t>
      </w:r>
      <w:r w:rsidR="0064083B" w:rsidRPr="005B0B7D">
        <w:rPr>
          <w:rFonts w:eastAsia="Times New Roman"/>
        </w:rPr>
        <w:t xml:space="preserve"> </w:t>
      </w:r>
      <w:r w:rsidR="00B012F6" w:rsidRPr="005B0B7D">
        <w:rPr>
          <w:rFonts w:eastAsia="Times New Roman"/>
        </w:rPr>
        <w:t>(</w:t>
      </w:r>
      <w:r w:rsidR="0064083B" w:rsidRPr="005B0B7D">
        <w:rPr>
          <w:rFonts w:eastAsia="Times New Roman"/>
        </w:rPr>
        <w:t xml:space="preserve">FU, </w:t>
      </w:r>
      <w:r w:rsidR="00B012F6" w:rsidRPr="005B0B7D">
        <w:rPr>
          <w:rFonts w:eastAsia="Times New Roman"/>
          <w:i/>
        </w:rPr>
        <w:t>n =</w:t>
      </w:r>
      <w:r w:rsidR="0064083B" w:rsidRPr="005B0B7D">
        <w:rPr>
          <w:rFonts w:eastAsia="Times New Roman"/>
        </w:rPr>
        <w:t xml:space="preserve"> 962)</w:t>
      </w:r>
      <w:r w:rsidRPr="005B0B7D">
        <w:rPr>
          <w:rFonts w:eastAsia="Times New Roman"/>
        </w:rPr>
        <w:t xml:space="preserve"> with participants who did not complete any follow-up assessmen</w:t>
      </w:r>
      <w:r w:rsidR="00B012F6" w:rsidRPr="005B0B7D">
        <w:rPr>
          <w:rFonts w:eastAsia="Times New Roman"/>
        </w:rPr>
        <w:t>t (</w:t>
      </w:r>
      <w:proofErr w:type="spellStart"/>
      <w:r w:rsidR="00B012F6" w:rsidRPr="005B0B7D">
        <w:rPr>
          <w:rFonts w:eastAsia="Times New Roman"/>
        </w:rPr>
        <w:t>n</w:t>
      </w:r>
      <w:r w:rsidR="0064083B" w:rsidRPr="005B0B7D">
        <w:rPr>
          <w:rFonts w:eastAsia="Times New Roman"/>
        </w:rPr>
        <w:t>oFU</w:t>
      </w:r>
      <w:proofErr w:type="spellEnd"/>
      <w:r w:rsidR="0064083B" w:rsidRPr="005B0B7D">
        <w:rPr>
          <w:rFonts w:eastAsia="Times New Roman"/>
        </w:rPr>
        <w:t xml:space="preserve">, </w:t>
      </w:r>
      <w:r w:rsidR="00B012F6" w:rsidRPr="005B0B7D">
        <w:rPr>
          <w:rFonts w:eastAsia="Times New Roman"/>
          <w:i/>
        </w:rPr>
        <w:t>n =</w:t>
      </w:r>
      <w:r w:rsidR="0064083B" w:rsidRPr="005B0B7D">
        <w:rPr>
          <w:rFonts w:eastAsia="Times New Roman"/>
        </w:rPr>
        <w:t xml:space="preserve"> 1368)</w:t>
      </w:r>
      <w:r w:rsidRPr="005B0B7D">
        <w:rPr>
          <w:rFonts w:eastAsia="Times New Roman"/>
        </w:rPr>
        <w:t xml:space="preserve"> on </w:t>
      </w:r>
      <w:r w:rsidR="00FB5783" w:rsidRPr="005B0B7D">
        <w:rPr>
          <w:rFonts w:eastAsia="Times New Roman"/>
        </w:rPr>
        <w:t xml:space="preserve">all demographic variables such as </w:t>
      </w:r>
      <w:r w:rsidRPr="005B0B7D">
        <w:rPr>
          <w:rFonts w:eastAsia="Times New Roman"/>
        </w:rPr>
        <w:t>age</w:t>
      </w:r>
      <w:r w:rsidR="0064083B" w:rsidRPr="005B0B7D">
        <w:rPr>
          <w:rFonts w:eastAsia="Times New Roman"/>
        </w:rPr>
        <w:t xml:space="preserve"> </w:t>
      </w:r>
      <w:r w:rsidR="00B012F6" w:rsidRPr="005B0B7D">
        <w:rPr>
          <w:rFonts w:eastAsia="Times New Roman"/>
        </w:rPr>
        <w:t>(</w:t>
      </w:r>
      <w:r w:rsidR="0064083B" w:rsidRPr="005B0B7D">
        <w:rPr>
          <w:rFonts w:eastAsia="Times New Roman"/>
        </w:rPr>
        <w:t xml:space="preserve">FU, </w:t>
      </w:r>
      <w:r w:rsidR="00B012F6" w:rsidRPr="005B0B7D">
        <w:rPr>
          <w:rFonts w:eastAsia="Times New Roman"/>
          <w:i/>
        </w:rPr>
        <w:t>M =</w:t>
      </w:r>
      <w:r w:rsidR="0064083B" w:rsidRPr="005B0B7D">
        <w:rPr>
          <w:rFonts w:eastAsia="Times New Roman"/>
        </w:rPr>
        <w:t xml:space="preserve"> 34.41, </w:t>
      </w:r>
      <w:r w:rsidR="00B012F6" w:rsidRPr="005B0B7D">
        <w:rPr>
          <w:rFonts w:eastAsia="Times New Roman"/>
          <w:i/>
        </w:rPr>
        <w:t>SD =</w:t>
      </w:r>
      <w:r w:rsidR="0064083B" w:rsidRPr="005B0B7D">
        <w:rPr>
          <w:rFonts w:eastAsia="Times New Roman"/>
        </w:rPr>
        <w:t xml:space="preserve"> 11.85; </w:t>
      </w:r>
      <w:proofErr w:type="spellStart"/>
      <w:r w:rsidR="0064083B" w:rsidRPr="005B0B7D">
        <w:rPr>
          <w:rFonts w:eastAsia="Times New Roman"/>
        </w:rPr>
        <w:t>noFU</w:t>
      </w:r>
      <w:proofErr w:type="spellEnd"/>
      <w:r w:rsidR="0064083B" w:rsidRPr="005B0B7D">
        <w:rPr>
          <w:rFonts w:eastAsia="Times New Roman"/>
        </w:rPr>
        <w:t xml:space="preserve">, </w:t>
      </w:r>
      <w:r w:rsidR="00B012F6" w:rsidRPr="005B0B7D">
        <w:rPr>
          <w:rFonts w:eastAsia="Times New Roman"/>
          <w:i/>
        </w:rPr>
        <w:t>M =</w:t>
      </w:r>
      <w:r w:rsidR="0064083B" w:rsidRPr="005B0B7D">
        <w:rPr>
          <w:rFonts w:eastAsia="Times New Roman"/>
        </w:rPr>
        <w:t xml:space="preserve"> 31.22, </w:t>
      </w:r>
      <w:r w:rsidR="00B012F6" w:rsidRPr="005B0B7D">
        <w:rPr>
          <w:rFonts w:eastAsia="Times New Roman"/>
          <w:i/>
        </w:rPr>
        <w:t>SD =</w:t>
      </w:r>
      <w:r w:rsidR="0064083B" w:rsidRPr="005B0B7D">
        <w:rPr>
          <w:rFonts w:eastAsia="Times New Roman"/>
        </w:rPr>
        <w:t xml:space="preserve"> 10.86; </w:t>
      </w:r>
      <w:proofErr w:type="gramStart"/>
      <w:r w:rsidR="00B012F6" w:rsidRPr="005B0B7D">
        <w:rPr>
          <w:rFonts w:eastAsia="Times New Roman"/>
          <w:i/>
        </w:rPr>
        <w:t>t(</w:t>
      </w:r>
      <w:proofErr w:type="gramEnd"/>
      <w:r w:rsidR="0064083B" w:rsidRPr="005B0B7D">
        <w:rPr>
          <w:rFonts w:eastAsia="Times New Roman"/>
        </w:rPr>
        <w:t xml:space="preserve">1947.99) = -6.65, </w:t>
      </w:r>
      <w:r w:rsidR="00B012F6" w:rsidRPr="005B0B7D">
        <w:rPr>
          <w:rFonts w:eastAsia="Times New Roman"/>
          <w:i/>
        </w:rPr>
        <w:t>p =</w:t>
      </w:r>
      <w:r w:rsidR="0064083B" w:rsidRPr="005B0B7D">
        <w:rPr>
          <w:rFonts w:eastAsia="Times New Roman"/>
        </w:rPr>
        <w:t xml:space="preserve"> 0.001)</w:t>
      </w:r>
      <w:r w:rsidRPr="005B0B7D">
        <w:rPr>
          <w:rFonts w:eastAsia="Times New Roman"/>
        </w:rPr>
        <w:t>, socio-economic status</w:t>
      </w:r>
      <w:r w:rsidR="0064083B" w:rsidRPr="005B0B7D">
        <w:rPr>
          <w:rFonts w:eastAsia="Times New Roman"/>
        </w:rPr>
        <w:t xml:space="preserve"> </w:t>
      </w:r>
      <w:r w:rsidR="00B012F6" w:rsidRPr="005B0B7D">
        <w:rPr>
          <w:rFonts w:eastAsia="Times New Roman"/>
        </w:rPr>
        <w:t>(</w:t>
      </w:r>
      <w:r w:rsidR="0064083B" w:rsidRPr="005B0B7D">
        <w:rPr>
          <w:rFonts w:eastAsia="Times New Roman"/>
        </w:rPr>
        <w:t xml:space="preserve">FU, </w:t>
      </w:r>
      <w:r w:rsidR="00B012F6" w:rsidRPr="005B0B7D">
        <w:rPr>
          <w:rFonts w:eastAsia="Times New Roman"/>
          <w:i/>
        </w:rPr>
        <w:t>M =</w:t>
      </w:r>
      <w:r w:rsidR="0064083B" w:rsidRPr="005B0B7D">
        <w:rPr>
          <w:rFonts w:eastAsia="Times New Roman"/>
        </w:rPr>
        <w:t xml:space="preserve"> 10.27, </w:t>
      </w:r>
      <w:r w:rsidR="00B012F6" w:rsidRPr="005B0B7D">
        <w:rPr>
          <w:rFonts w:eastAsia="Times New Roman"/>
          <w:i/>
        </w:rPr>
        <w:t>SD =</w:t>
      </w:r>
      <w:r w:rsidR="0064083B" w:rsidRPr="005B0B7D">
        <w:rPr>
          <w:rFonts w:eastAsia="Times New Roman"/>
        </w:rPr>
        <w:t xml:space="preserve"> 3.77; </w:t>
      </w:r>
      <w:proofErr w:type="spellStart"/>
      <w:r w:rsidR="0064083B" w:rsidRPr="005B0B7D">
        <w:rPr>
          <w:rFonts w:eastAsia="Times New Roman"/>
        </w:rPr>
        <w:t>noFU</w:t>
      </w:r>
      <w:proofErr w:type="spellEnd"/>
      <w:r w:rsidR="0064083B" w:rsidRPr="005B0B7D">
        <w:rPr>
          <w:rFonts w:eastAsia="Times New Roman"/>
        </w:rPr>
        <w:t xml:space="preserve">, </w:t>
      </w:r>
      <w:r w:rsidR="00B012F6" w:rsidRPr="005B0B7D">
        <w:rPr>
          <w:rFonts w:eastAsia="Times New Roman"/>
          <w:i/>
        </w:rPr>
        <w:t>M =</w:t>
      </w:r>
      <w:r w:rsidR="0064083B" w:rsidRPr="005B0B7D">
        <w:rPr>
          <w:rFonts w:eastAsia="Times New Roman"/>
        </w:rPr>
        <w:t xml:space="preserve"> 9.91, </w:t>
      </w:r>
      <w:r w:rsidR="00B012F6" w:rsidRPr="005B0B7D">
        <w:rPr>
          <w:rFonts w:eastAsia="Times New Roman"/>
          <w:i/>
        </w:rPr>
        <w:t>SD =</w:t>
      </w:r>
      <w:r w:rsidR="0064083B" w:rsidRPr="005B0B7D">
        <w:rPr>
          <w:rFonts w:eastAsia="Times New Roman"/>
        </w:rPr>
        <w:t xml:space="preserve"> 3.90; </w:t>
      </w:r>
      <w:r w:rsidR="00B012F6" w:rsidRPr="005B0B7D">
        <w:rPr>
          <w:rFonts w:eastAsia="Times New Roman"/>
          <w:i/>
        </w:rPr>
        <w:t>t(</w:t>
      </w:r>
      <w:r w:rsidR="0064083B" w:rsidRPr="005B0B7D">
        <w:rPr>
          <w:rFonts w:eastAsia="Times New Roman"/>
        </w:rPr>
        <w:t xml:space="preserve">2348) = -2.24, </w:t>
      </w:r>
      <w:r w:rsidR="00B012F6" w:rsidRPr="005B0B7D">
        <w:rPr>
          <w:rFonts w:eastAsia="Times New Roman"/>
          <w:i/>
        </w:rPr>
        <w:t>p =</w:t>
      </w:r>
      <w:r w:rsidR="0064083B" w:rsidRPr="005B0B7D">
        <w:rPr>
          <w:rFonts w:eastAsia="Times New Roman"/>
        </w:rPr>
        <w:t xml:space="preserve"> 0.025) </w:t>
      </w:r>
      <w:r w:rsidRPr="005B0B7D">
        <w:rPr>
          <w:rFonts w:eastAsia="Times New Roman"/>
        </w:rPr>
        <w:t>and gender</w:t>
      </w:r>
      <w:r w:rsidR="0064083B" w:rsidRPr="005B0B7D">
        <w:rPr>
          <w:rFonts w:eastAsia="Times New Roman"/>
        </w:rPr>
        <w:t xml:space="preserve"> </w:t>
      </w:r>
      <w:r w:rsidR="00B012F6" w:rsidRPr="005B0B7D">
        <w:rPr>
          <w:rFonts w:eastAsia="Times New Roman"/>
        </w:rPr>
        <w:t>(</w:t>
      </w:r>
      <w:r w:rsidR="0064083B" w:rsidRPr="005B0B7D">
        <w:rPr>
          <w:rFonts w:eastAsia="Times New Roman"/>
        </w:rPr>
        <w:t xml:space="preserve">FU, </w:t>
      </w:r>
      <w:r w:rsidR="00393FB2" w:rsidRPr="005B0B7D">
        <w:rPr>
          <w:rFonts w:eastAsia="Times New Roman"/>
        </w:rPr>
        <w:t>male</w:t>
      </w:r>
      <w:r w:rsidR="0064083B" w:rsidRPr="005B0B7D">
        <w:rPr>
          <w:rFonts w:eastAsia="Times New Roman"/>
        </w:rPr>
        <w:t xml:space="preserve"> = </w:t>
      </w:r>
      <w:r w:rsidR="00393FB2" w:rsidRPr="005B0B7D">
        <w:rPr>
          <w:rFonts w:eastAsia="Times New Roman"/>
        </w:rPr>
        <w:t>54.4%</w:t>
      </w:r>
      <w:r w:rsidR="0064083B" w:rsidRPr="005B0B7D">
        <w:rPr>
          <w:rFonts w:eastAsia="Times New Roman"/>
        </w:rPr>
        <w:t xml:space="preserve">; </w:t>
      </w:r>
      <w:proofErr w:type="spellStart"/>
      <w:r w:rsidR="0064083B" w:rsidRPr="005B0B7D">
        <w:rPr>
          <w:rFonts w:eastAsia="Times New Roman"/>
        </w:rPr>
        <w:t>noFU</w:t>
      </w:r>
      <w:proofErr w:type="spellEnd"/>
      <w:r w:rsidR="0064083B" w:rsidRPr="005B0B7D">
        <w:rPr>
          <w:rFonts w:eastAsia="Times New Roman"/>
        </w:rPr>
        <w:t xml:space="preserve">, </w:t>
      </w:r>
      <w:r w:rsidR="00393FB2" w:rsidRPr="005B0B7D">
        <w:rPr>
          <w:rFonts w:eastAsia="Times New Roman"/>
        </w:rPr>
        <w:t>male = 67.7%</w:t>
      </w:r>
      <w:r w:rsidR="0064083B" w:rsidRPr="005B0B7D">
        <w:rPr>
          <w:rFonts w:eastAsia="Times New Roman"/>
        </w:rPr>
        <w:t>;</w:t>
      </w:r>
      <w:r w:rsidR="002161CF" w:rsidRPr="005B0B7D">
        <w:rPr>
          <w:rFonts w:eastAsia="Times New Roman"/>
        </w:rPr>
        <w:t xml:space="preserve"> </w:t>
      </w:r>
      <w:r w:rsidR="00B012F6" w:rsidRPr="005B0B7D">
        <w:rPr>
          <w:rFonts w:eastAsia="Times New Roman"/>
          <w:i/>
        </w:rPr>
        <w:t>χ2</w:t>
      </w:r>
      <w:r w:rsidR="00393FB2" w:rsidRPr="005B0B7D">
        <w:rPr>
          <w:rFonts w:eastAsia="Times New Roman"/>
        </w:rPr>
        <w:t xml:space="preserve"> </w:t>
      </w:r>
      <w:r w:rsidR="00B012F6" w:rsidRPr="005B0B7D">
        <w:rPr>
          <w:rFonts w:eastAsia="Times New Roman"/>
        </w:rPr>
        <w:t>(</w:t>
      </w:r>
      <w:r w:rsidR="00393FB2" w:rsidRPr="005B0B7D">
        <w:rPr>
          <w:rFonts w:eastAsia="Times New Roman"/>
        </w:rPr>
        <w:t>1, 2350</w:t>
      </w:r>
      <w:r w:rsidR="0064083B" w:rsidRPr="005B0B7D">
        <w:rPr>
          <w:rFonts w:eastAsia="Times New Roman"/>
        </w:rPr>
        <w:t>)</w:t>
      </w:r>
      <w:r w:rsidR="00393FB2" w:rsidRPr="005B0B7D">
        <w:rPr>
          <w:rFonts w:eastAsia="Times New Roman"/>
        </w:rPr>
        <w:t xml:space="preserve"> = 42.66, </w:t>
      </w:r>
      <w:r w:rsidR="00B012F6" w:rsidRPr="005B0B7D">
        <w:rPr>
          <w:rFonts w:eastAsia="Times New Roman"/>
          <w:i/>
        </w:rPr>
        <w:t>p =</w:t>
      </w:r>
      <w:r w:rsidR="00393FB2" w:rsidRPr="005B0B7D">
        <w:rPr>
          <w:rFonts w:eastAsia="Times New Roman"/>
        </w:rPr>
        <w:t xml:space="preserve"> 0.001)</w:t>
      </w:r>
      <w:r w:rsidR="00E140EB" w:rsidRPr="005B0B7D">
        <w:rPr>
          <w:rFonts w:eastAsia="Times New Roman"/>
        </w:rPr>
        <w:t xml:space="preserve">, as well as positive symptoms </w:t>
      </w:r>
      <w:r w:rsidR="00B012F6" w:rsidRPr="005B0B7D">
        <w:rPr>
          <w:rFonts w:eastAsia="Times New Roman"/>
        </w:rPr>
        <w:t>(</w:t>
      </w:r>
      <w:r w:rsidR="00E140EB" w:rsidRPr="005B0B7D">
        <w:rPr>
          <w:rFonts w:eastAsia="Times New Roman"/>
        </w:rPr>
        <w:t xml:space="preserve">FU, </w:t>
      </w:r>
      <w:r w:rsidR="00B012F6" w:rsidRPr="005B0B7D">
        <w:rPr>
          <w:rFonts w:eastAsia="Times New Roman"/>
          <w:i/>
        </w:rPr>
        <w:t>M =</w:t>
      </w:r>
      <w:r w:rsidR="00E140EB" w:rsidRPr="005B0B7D">
        <w:rPr>
          <w:rFonts w:eastAsia="Times New Roman"/>
        </w:rPr>
        <w:t xml:space="preserve"> 2.23, </w:t>
      </w:r>
      <w:r w:rsidR="00B012F6" w:rsidRPr="005B0B7D">
        <w:rPr>
          <w:rFonts w:eastAsia="Times New Roman"/>
          <w:i/>
        </w:rPr>
        <w:t>SD =</w:t>
      </w:r>
      <w:r w:rsidR="00E140EB" w:rsidRPr="005B0B7D">
        <w:rPr>
          <w:rFonts w:eastAsia="Times New Roman"/>
        </w:rPr>
        <w:t xml:space="preserve"> 1.4</w:t>
      </w:r>
      <w:r w:rsidR="002161CF" w:rsidRPr="005B0B7D">
        <w:rPr>
          <w:rFonts w:eastAsia="Times New Roman"/>
        </w:rPr>
        <w:t xml:space="preserve">7; </w:t>
      </w:r>
      <w:proofErr w:type="spellStart"/>
      <w:r w:rsidR="002161CF" w:rsidRPr="005B0B7D">
        <w:rPr>
          <w:rFonts w:eastAsia="Times New Roman"/>
        </w:rPr>
        <w:t>noFU</w:t>
      </w:r>
      <w:proofErr w:type="spellEnd"/>
      <w:r w:rsidR="002161CF" w:rsidRPr="005B0B7D">
        <w:rPr>
          <w:rFonts w:eastAsia="Times New Roman"/>
        </w:rPr>
        <w:t xml:space="preserve">, </w:t>
      </w:r>
      <w:r w:rsidR="00B012F6" w:rsidRPr="005B0B7D">
        <w:rPr>
          <w:rFonts w:eastAsia="Times New Roman"/>
          <w:i/>
        </w:rPr>
        <w:t>M =</w:t>
      </w:r>
      <w:r w:rsidR="002161CF" w:rsidRPr="005B0B7D">
        <w:rPr>
          <w:rFonts w:eastAsia="Times New Roman"/>
        </w:rPr>
        <w:t xml:space="preserve"> 2.62, </w:t>
      </w:r>
      <w:r w:rsidR="00B012F6" w:rsidRPr="005B0B7D">
        <w:rPr>
          <w:rFonts w:eastAsia="Times New Roman"/>
          <w:i/>
        </w:rPr>
        <w:t>SD =</w:t>
      </w:r>
      <w:r w:rsidR="002161CF" w:rsidRPr="005B0B7D">
        <w:rPr>
          <w:rFonts w:eastAsia="Times New Roman"/>
        </w:rPr>
        <w:t xml:space="preserve"> 1.76; t</w:t>
      </w:r>
      <w:r w:rsidR="00B012F6" w:rsidRPr="005B0B7D">
        <w:rPr>
          <w:rFonts w:eastAsia="Times New Roman"/>
        </w:rPr>
        <w:t>(</w:t>
      </w:r>
      <w:r w:rsidR="00E140EB" w:rsidRPr="005B0B7D">
        <w:rPr>
          <w:rFonts w:eastAsia="Times New Roman"/>
        </w:rPr>
        <w:t xml:space="preserve">2265.49) = 5.80, </w:t>
      </w:r>
      <w:r w:rsidR="00B012F6" w:rsidRPr="005B0B7D">
        <w:rPr>
          <w:rFonts w:eastAsia="Times New Roman"/>
          <w:i/>
        </w:rPr>
        <w:t>p =</w:t>
      </w:r>
      <w:r w:rsidR="00E140EB" w:rsidRPr="005B0B7D">
        <w:rPr>
          <w:rFonts w:eastAsia="Times New Roman"/>
        </w:rPr>
        <w:t xml:space="preserve"> 0.001)</w:t>
      </w:r>
      <w:r w:rsidR="00393FB2" w:rsidRPr="005B0B7D">
        <w:rPr>
          <w:rFonts w:eastAsia="Times New Roman"/>
        </w:rPr>
        <w:t xml:space="preserve">. </w:t>
      </w:r>
      <w:r w:rsidR="00357D0E" w:rsidRPr="005B0B7D">
        <w:rPr>
          <w:rFonts w:eastAsia="Times New Roman"/>
        </w:rPr>
        <w:t>Thus,</w:t>
      </w:r>
      <w:r w:rsidR="00357D0E" w:rsidRPr="005B0B7D">
        <w:t xml:space="preserve"> </w:t>
      </w:r>
      <w:proofErr w:type="spellStart"/>
      <w:r w:rsidR="00357D0E" w:rsidRPr="005B0B7D">
        <w:t>noFU</w:t>
      </w:r>
      <w:proofErr w:type="spellEnd"/>
      <w:r w:rsidRPr="005B0B7D">
        <w:t xml:space="preserve"> </w:t>
      </w:r>
      <w:r w:rsidR="00393FB2" w:rsidRPr="005B0B7D">
        <w:t>participants</w:t>
      </w:r>
      <w:r w:rsidR="00F12AA6" w:rsidRPr="005B0B7D">
        <w:t xml:space="preserve"> </w:t>
      </w:r>
      <w:r w:rsidRPr="005B0B7D">
        <w:t>were significantly younger, had lower socio-economic status</w:t>
      </w:r>
      <w:r w:rsidR="00E140EB" w:rsidRPr="005B0B7D">
        <w:t>,</w:t>
      </w:r>
      <w:r w:rsidRPr="005B0B7D">
        <w:t xml:space="preserve"> were more likely to be male </w:t>
      </w:r>
      <w:r w:rsidR="00E140EB" w:rsidRPr="005B0B7D">
        <w:t xml:space="preserve">and had </w:t>
      </w:r>
      <w:proofErr w:type="gramStart"/>
      <w:r w:rsidR="00357D0E" w:rsidRPr="005B0B7D">
        <w:t xml:space="preserve">a </w:t>
      </w:r>
      <w:r w:rsidR="00E140EB" w:rsidRPr="005B0B7D">
        <w:t>higher positive symptoms</w:t>
      </w:r>
      <w:proofErr w:type="gramEnd"/>
      <w:r w:rsidR="00E140EB" w:rsidRPr="005B0B7D">
        <w:t xml:space="preserve"> score </w:t>
      </w:r>
      <w:r w:rsidRPr="005B0B7D">
        <w:t xml:space="preserve">in comparison to </w:t>
      </w:r>
      <w:r w:rsidR="00393FB2" w:rsidRPr="005B0B7D">
        <w:t>participants who completed</w:t>
      </w:r>
      <w:r w:rsidRPr="005B0B7D">
        <w:t xml:space="preserve"> at</w:t>
      </w:r>
      <w:r w:rsidR="00393FB2" w:rsidRPr="005B0B7D">
        <w:t xml:space="preserve"> least one follow-up assessment.</w:t>
      </w:r>
    </w:p>
    <w:p w14:paraId="74890BBA" w14:textId="69B4ECAB" w:rsidR="00393FB2" w:rsidRPr="005B0B7D" w:rsidRDefault="00393FB2" w:rsidP="00393FB2">
      <w:r w:rsidRPr="005B0B7D">
        <w:t>We did not find significant differences between the comparison group</w:t>
      </w:r>
      <w:r w:rsidR="00FB5783" w:rsidRPr="005B0B7D">
        <w:t>s</w:t>
      </w:r>
      <w:r w:rsidRPr="005B0B7D">
        <w:t xml:space="preserve"> on </w:t>
      </w:r>
      <w:r w:rsidR="00FB5783" w:rsidRPr="005B0B7D">
        <w:t>mental health conditions</w:t>
      </w:r>
      <w:r w:rsidR="00E140EB" w:rsidRPr="005B0B7D">
        <w:t>, negative schema and negative affect</w:t>
      </w:r>
      <w:r w:rsidR="00FB5783" w:rsidRPr="005B0B7D">
        <w:t xml:space="preserve">. Specifically, there were no significant differences between </w:t>
      </w:r>
      <w:r w:rsidR="00357D0E" w:rsidRPr="005B0B7D">
        <w:t>FU-</w:t>
      </w:r>
      <w:r w:rsidR="008A1FE4" w:rsidRPr="005B0B7D">
        <w:rPr>
          <w:rFonts w:eastAsia="Times New Roman"/>
        </w:rPr>
        <w:t xml:space="preserve">participants </w:t>
      </w:r>
      <w:r w:rsidR="00B012F6" w:rsidRPr="005B0B7D">
        <w:rPr>
          <w:rFonts w:eastAsia="Times New Roman"/>
          <w:i/>
        </w:rPr>
        <w:t>(n =</w:t>
      </w:r>
      <w:r w:rsidR="00FB5783" w:rsidRPr="005B0B7D">
        <w:rPr>
          <w:rFonts w:eastAsia="Times New Roman"/>
        </w:rPr>
        <w:t xml:space="preserve"> 962) </w:t>
      </w:r>
      <w:r w:rsidR="00357D0E" w:rsidRPr="005B0B7D">
        <w:rPr>
          <w:rFonts w:eastAsia="Times New Roman"/>
        </w:rPr>
        <w:t xml:space="preserve">and </w:t>
      </w:r>
      <w:proofErr w:type="spellStart"/>
      <w:r w:rsidR="00357D0E" w:rsidRPr="005B0B7D">
        <w:rPr>
          <w:rFonts w:eastAsia="Times New Roman"/>
        </w:rPr>
        <w:t>noFU</w:t>
      </w:r>
      <w:proofErr w:type="spellEnd"/>
      <w:r w:rsidR="00357D0E" w:rsidRPr="005B0B7D">
        <w:rPr>
          <w:rFonts w:eastAsia="Times New Roman"/>
        </w:rPr>
        <w:t>-</w:t>
      </w:r>
      <w:r w:rsidR="008A1FE4" w:rsidRPr="005B0B7D">
        <w:rPr>
          <w:rFonts w:eastAsia="Times New Roman"/>
        </w:rPr>
        <w:t xml:space="preserve">participants  </w:t>
      </w:r>
      <w:r w:rsidR="00B012F6" w:rsidRPr="005B0B7D">
        <w:rPr>
          <w:rFonts w:eastAsia="Times New Roman"/>
          <w:i/>
        </w:rPr>
        <w:t>(n =</w:t>
      </w:r>
      <w:r w:rsidR="00FB5783" w:rsidRPr="005B0B7D">
        <w:rPr>
          <w:rFonts w:eastAsia="Times New Roman"/>
        </w:rPr>
        <w:t xml:space="preserve"> 1368) on the proportion of any lifetime mental health disorder </w:t>
      </w:r>
      <w:r w:rsidR="00B012F6" w:rsidRPr="005B0B7D">
        <w:rPr>
          <w:rFonts w:eastAsia="Times New Roman"/>
        </w:rPr>
        <w:t>(</w:t>
      </w:r>
      <w:r w:rsidR="00FB5783" w:rsidRPr="005B0B7D">
        <w:rPr>
          <w:rFonts w:eastAsia="Times New Roman"/>
        </w:rPr>
        <w:t xml:space="preserve">FU, diagnosed = 31.2%; </w:t>
      </w:r>
      <w:proofErr w:type="spellStart"/>
      <w:r w:rsidR="00FB5783" w:rsidRPr="005B0B7D">
        <w:rPr>
          <w:rFonts w:eastAsia="Times New Roman"/>
        </w:rPr>
        <w:t>noFU</w:t>
      </w:r>
      <w:proofErr w:type="spellEnd"/>
      <w:r w:rsidR="00FB5783" w:rsidRPr="005B0B7D">
        <w:rPr>
          <w:rFonts w:eastAsia="Times New Roman"/>
        </w:rPr>
        <w:t xml:space="preserve">, diagnosed = 27.4%; </w:t>
      </w:r>
      <w:r w:rsidR="00B012F6" w:rsidRPr="005B0B7D">
        <w:rPr>
          <w:rFonts w:eastAsia="Times New Roman"/>
          <w:i/>
        </w:rPr>
        <w:t>χ2</w:t>
      </w:r>
      <w:r w:rsidR="00FB5783" w:rsidRPr="005B0B7D">
        <w:rPr>
          <w:rFonts w:eastAsia="Times New Roman"/>
        </w:rPr>
        <w:t xml:space="preserve"> </w:t>
      </w:r>
      <w:r w:rsidR="00B012F6" w:rsidRPr="005B0B7D">
        <w:rPr>
          <w:rFonts w:eastAsia="Times New Roman"/>
        </w:rPr>
        <w:t>(</w:t>
      </w:r>
      <w:r w:rsidR="00FB5783" w:rsidRPr="005B0B7D">
        <w:rPr>
          <w:rFonts w:eastAsia="Times New Roman"/>
        </w:rPr>
        <w:t xml:space="preserve">1, 2350) = 3.85, </w:t>
      </w:r>
      <w:r w:rsidR="00B012F6" w:rsidRPr="005B0B7D">
        <w:rPr>
          <w:rFonts w:eastAsia="Times New Roman"/>
          <w:i/>
        </w:rPr>
        <w:t>p =</w:t>
      </w:r>
      <w:r w:rsidR="00FB5783" w:rsidRPr="005B0B7D">
        <w:rPr>
          <w:rFonts w:eastAsia="Times New Roman"/>
        </w:rPr>
        <w:t xml:space="preserve"> 0.050) and lifetime schizophrenia and other psychoses </w:t>
      </w:r>
      <w:r w:rsidR="00B012F6" w:rsidRPr="005B0B7D">
        <w:rPr>
          <w:rFonts w:eastAsia="Times New Roman"/>
        </w:rPr>
        <w:t>(</w:t>
      </w:r>
      <w:r w:rsidR="00FB5783" w:rsidRPr="005B0B7D">
        <w:rPr>
          <w:rFonts w:eastAsia="Times New Roman"/>
        </w:rPr>
        <w:t xml:space="preserve">FU, diagnosed = 96.7%; </w:t>
      </w:r>
      <w:proofErr w:type="spellStart"/>
      <w:r w:rsidR="00FB5783" w:rsidRPr="005B0B7D">
        <w:rPr>
          <w:rFonts w:eastAsia="Times New Roman"/>
        </w:rPr>
        <w:t>noFU</w:t>
      </w:r>
      <w:proofErr w:type="spellEnd"/>
      <w:r w:rsidR="00FB5783" w:rsidRPr="005B0B7D">
        <w:rPr>
          <w:rFonts w:eastAsia="Times New Roman"/>
        </w:rPr>
        <w:t xml:space="preserve">, diagnosed = 96.4%; </w:t>
      </w:r>
      <w:r w:rsidR="00B012F6" w:rsidRPr="005B0B7D">
        <w:rPr>
          <w:rFonts w:eastAsia="Times New Roman"/>
          <w:i/>
        </w:rPr>
        <w:t>χ2</w:t>
      </w:r>
      <w:r w:rsidR="00FB5783" w:rsidRPr="005B0B7D">
        <w:rPr>
          <w:rFonts w:eastAsia="Times New Roman"/>
        </w:rPr>
        <w:t xml:space="preserve"> </w:t>
      </w:r>
      <w:r w:rsidR="00B012F6" w:rsidRPr="005B0B7D">
        <w:rPr>
          <w:rFonts w:eastAsia="Times New Roman"/>
        </w:rPr>
        <w:t>(</w:t>
      </w:r>
      <w:r w:rsidR="00FB5783" w:rsidRPr="005B0B7D">
        <w:rPr>
          <w:rFonts w:eastAsia="Times New Roman"/>
        </w:rPr>
        <w:t xml:space="preserve">1, 2350) = 0.13, </w:t>
      </w:r>
      <w:r w:rsidR="00B012F6" w:rsidRPr="005B0B7D">
        <w:rPr>
          <w:rFonts w:eastAsia="Times New Roman"/>
          <w:i/>
        </w:rPr>
        <w:t>p =</w:t>
      </w:r>
      <w:r w:rsidR="00FB5783" w:rsidRPr="005B0B7D">
        <w:rPr>
          <w:rFonts w:eastAsia="Times New Roman"/>
        </w:rPr>
        <w:t xml:space="preserve"> 0.720). Additionally, </w:t>
      </w:r>
      <w:r w:rsidR="00FB5783" w:rsidRPr="005B0B7D">
        <w:lastRenderedPageBreak/>
        <w:t xml:space="preserve">there were no significant differences between </w:t>
      </w:r>
      <w:r w:rsidR="00FB5783" w:rsidRPr="005B0B7D">
        <w:rPr>
          <w:rFonts w:eastAsia="Times New Roman"/>
        </w:rPr>
        <w:t>FU</w:t>
      </w:r>
      <w:r w:rsidR="00357D0E" w:rsidRPr="005B0B7D">
        <w:rPr>
          <w:rFonts w:eastAsia="Times New Roman"/>
        </w:rPr>
        <w:t>-</w:t>
      </w:r>
      <w:r w:rsidR="008A1FE4" w:rsidRPr="005B0B7D">
        <w:rPr>
          <w:rFonts w:eastAsia="Times New Roman"/>
        </w:rPr>
        <w:t>participants</w:t>
      </w:r>
      <w:r w:rsidR="00357D0E" w:rsidRPr="005B0B7D">
        <w:rPr>
          <w:rFonts w:eastAsia="Times New Roman"/>
        </w:rPr>
        <w:t xml:space="preserve"> </w:t>
      </w:r>
      <w:r w:rsidR="00B012F6" w:rsidRPr="005B0B7D">
        <w:rPr>
          <w:rFonts w:eastAsia="Times New Roman"/>
          <w:i/>
        </w:rPr>
        <w:t>(n =</w:t>
      </w:r>
      <w:r w:rsidR="00FB5783" w:rsidRPr="005B0B7D">
        <w:rPr>
          <w:rFonts w:eastAsia="Times New Roman"/>
        </w:rPr>
        <w:t xml:space="preserve"> 962) </w:t>
      </w:r>
      <w:r w:rsidR="00357D0E" w:rsidRPr="005B0B7D">
        <w:rPr>
          <w:rFonts w:eastAsia="Times New Roman"/>
        </w:rPr>
        <w:t xml:space="preserve">and </w:t>
      </w:r>
      <w:proofErr w:type="spellStart"/>
      <w:r w:rsidR="008A1FE4" w:rsidRPr="005B0B7D">
        <w:rPr>
          <w:rFonts w:eastAsia="Times New Roman"/>
        </w:rPr>
        <w:t>noFU</w:t>
      </w:r>
      <w:proofErr w:type="spellEnd"/>
      <w:r w:rsidR="008A1FE4" w:rsidRPr="005B0B7D">
        <w:rPr>
          <w:rFonts w:eastAsia="Times New Roman"/>
        </w:rPr>
        <w:t xml:space="preserve"> </w:t>
      </w:r>
      <w:r w:rsidR="00357D0E" w:rsidRPr="005B0B7D">
        <w:rPr>
          <w:rFonts w:eastAsia="Times New Roman"/>
        </w:rPr>
        <w:t>participants</w:t>
      </w:r>
      <w:r w:rsidR="00FB5783" w:rsidRPr="005B0B7D">
        <w:rPr>
          <w:rFonts w:eastAsia="Times New Roman"/>
        </w:rPr>
        <w:t xml:space="preserve"> </w:t>
      </w:r>
      <w:r w:rsidR="00B012F6" w:rsidRPr="005B0B7D">
        <w:rPr>
          <w:rFonts w:eastAsia="Times New Roman"/>
          <w:i/>
        </w:rPr>
        <w:t>(n =</w:t>
      </w:r>
      <w:r w:rsidR="00FB5783" w:rsidRPr="005B0B7D">
        <w:rPr>
          <w:rFonts w:eastAsia="Times New Roman"/>
        </w:rPr>
        <w:t xml:space="preserve"> 1368) on baseline assessment of </w:t>
      </w:r>
      <w:r w:rsidR="00656FD9" w:rsidRPr="005B0B7D">
        <w:rPr>
          <w:rFonts w:eastAsia="Times New Roman"/>
        </w:rPr>
        <w:t>NSS</w:t>
      </w:r>
      <w:r w:rsidR="00FB5783" w:rsidRPr="005B0B7D">
        <w:rPr>
          <w:rFonts w:eastAsia="Times New Roman"/>
        </w:rPr>
        <w:t xml:space="preserve"> </w:t>
      </w:r>
      <w:r w:rsidR="00B012F6" w:rsidRPr="005B0B7D">
        <w:rPr>
          <w:rFonts w:eastAsia="Times New Roman"/>
        </w:rPr>
        <w:t>(</w:t>
      </w:r>
      <w:r w:rsidR="00FB5783" w:rsidRPr="005B0B7D">
        <w:rPr>
          <w:rFonts w:eastAsia="Times New Roman"/>
        </w:rPr>
        <w:t xml:space="preserve">FU, </w:t>
      </w:r>
      <w:r w:rsidR="00B012F6" w:rsidRPr="005B0B7D">
        <w:rPr>
          <w:rFonts w:eastAsia="Times New Roman"/>
          <w:i/>
        </w:rPr>
        <w:t>M =</w:t>
      </w:r>
      <w:r w:rsidR="00FB5783" w:rsidRPr="005B0B7D">
        <w:rPr>
          <w:rFonts w:eastAsia="Times New Roman"/>
        </w:rPr>
        <w:t xml:space="preserve"> 1.79, </w:t>
      </w:r>
      <w:r w:rsidR="00B012F6" w:rsidRPr="005B0B7D">
        <w:rPr>
          <w:rFonts w:eastAsia="Times New Roman"/>
          <w:i/>
        </w:rPr>
        <w:t>SD =</w:t>
      </w:r>
      <w:r w:rsidR="00FB5783" w:rsidRPr="005B0B7D">
        <w:rPr>
          <w:rFonts w:eastAsia="Times New Roman"/>
        </w:rPr>
        <w:t xml:space="preserve"> 0.90; </w:t>
      </w:r>
      <w:proofErr w:type="spellStart"/>
      <w:r w:rsidR="00FB5783" w:rsidRPr="005B0B7D">
        <w:rPr>
          <w:rFonts w:eastAsia="Times New Roman"/>
        </w:rPr>
        <w:t>noFU</w:t>
      </w:r>
      <w:proofErr w:type="spellEnd"/>
      <w:r w:rsidR="00FB5783" w:rsidRPr="005B0B7D">
        <w:rPr>
          <w:rFonts w:eastAsia="Times New Roman"/>
        </w:rPr>
        <w:t xml:space="preserve">, </w:t>
      </w:r>
      <w:r w:rsidR="00B012F6" w:rsidRPr="005B0B7D">
        <w:rPr>
          <w:rFonts w:eastAsia="Times New Roman"/>
          <w:i/>
        </w:rPr>
        <w:t>M =</w:t>
      </w:r>
      <w:r w:rsidR="00FB5783" w:rsidRPr="005B0B7D">
        <w:rPr>
          <w:rFonts w:eastAsia="Times New Roman"/>
        </w:rPr>
        <w:t xml:space="preserve"> 1.85, </w:t>
      </w:r>
      <w:r w:rsidR="00B012F6" w:rsidRPr="005B0B7D">
        <w:rPr>
          <w:rFonts w:eastAsia="Times New Roman"/>
          <w:i/>
        </w:rPr>
        <w:t>SD =</w:t>
      </w:r>
      <w:r w:rsidR="00FB5783" w:rsidRPr="005B0B7D">
        <w:rPr>
          <w:rFonts w:eastAsia="Times New Roman"/>
        </w:rPr>
        <w:t xml:space="preserve"> 0.98; </w:t>
      </w:r>
      <w:proofErr w:type="gramStart"/>
      <w:r w:rsidR="00B012F6" w:rsidRPr="005B0B7D">
        <w:rPr>
          <w:rFonts w:eastAsia="Times New Roman"/>
          <w:i/>
        </w:rPr>
        <w:t>t(</w:t>
      </w:r>
      <w:proofErr w:type="gramEnd"/>
      <w:r w:rsidR="00FB5783" w:rsidRPr="005B0B7D">
        <w:rPr>
          <w:rFonts w:eastAsia="Times New Roman"/>
        </w:rPr>
        <w:t xml:space="preserve">2170.73) = 1.23, </w:t>
      </w:r>
      <w:r w:rsidR="00B012F6" w:rsidRPr="005B0B7D">
        <w:rPr>
          <w:rFonts w:eastAsia="Times New Roman"/>
          <w:i/>
        </w:rPr>
        <w:t>p =</w:t>
      </w:r>
      <w:r w:rsidR="00FB5783" w:rsidRPr="005B0B7D">
        <w:rPr>
          <w:rFonts w:eastAsia="Times New Roman"/>
        </w:rPr>
        <w:t xml:space="preserve"> 0.217)</w:t>
      </w:r>
      <w:r w:rsidR="00E140EB" w:rsidRPr="005B0B7D">
        <w:rPr>
          <w:rFonts w:eastAsia="Times New Roman"/>
        </w:rPr>
        <w:t xml:space="preserve"> and</w:t>
      </w:r>
      <w:r w:rsidR="00FB5783" w:rsidRPr="005B0B7D">
        <w:rPr>
          <w:rFonts w:eastAsia="Times New Roman"/>
        </w:rPr>
        <w:t xml:space="preserve"> negative affec</w:t>
      </w:r>
      <w:r w:rsidR="00B012F6" w:rsidRPr="005B0B7D">
        <w:rPr>
          <w:rFonts w:eastAsia="Times New Roman"/>
        </w:rPr>
        <w:t>t</w:t>
      </w:r>
      <w:r w:rsidR="00656FD9" w:rsidRPr="005B0B7D">
        <w:rPr>
          <w:rFonts w:eastAsia="Times New Roman"/>
        </w:rPr>
        <w:t xml:space="preserve"> </w:t>
      </w:r>
      <w:r w:rsidR="00B012F6" w:rsidRPr="005B0B7D">
        <w:rPr>
          <w:rFonts w:eastAsia="Times New Roman"/>
        </w:rPr>
        <w:t>(</w:t>
      </w:r>
      <w:r w:rsidR="00FB5783" w:rsidRPr="005B0B7D">
        <w:rPr>
          <w:rFonts w:eastAsia="Times New Roman"/>
        </w:rPr>
        <w:t xml:space="preserve">FU, </w:t>
      </w:r>
      <w:r w:rsidR="00B012F6" w:rsidRPr="005B0B7D">
        <w:rPr>
          <w:rFonts w:eastAsia="Times New Roman"/>
          <w:i/>
        </w:rPr>
        <w:t>M =</w:t>
      </w:r>
      <w:r w:rsidR="00FB5783" w:rsidRPr="005B0B7D">
        <w:rPr>
          <w:rFonts w:eastAsia="Times New Roman"/>
        </w:rPr>
        <w:t xml:space="preserve"> 1.92, </w:t>
      </w:r>
      <w:r w:rsidR="00B012F6" w:rsidRPr="005B0B7D">
        <w:rPr>
          <w:rFonts w:eastAsia="Times New Roman"/>
          <w:i/>
        </w:rPr>
        <w:t>SD =</w:t>
      </w:r>
      <w:r w:rsidR="00FB5783" w:rsidRPr="005B0B7D">
        <w:rPr>
          <w:rFonts w:eastAsia="Times New Roman"/>
        </w:rPr>
        <w:t xml:space="preserve"> 0.78; </w:t>
      </w:r>
      <w:proofErr w:type="spellStart"/>
      <w:r w:rsidR="00FB5783" w:rsidRPr="005B0B7D">
        <w:rPr>
          <w:rFonts w:eastAsia="Times New Roman"/>
        </w:rPr>
        <w:t>noFU</w:t>
      </w:r>
      <w:proofErr w:type="spellEnd"/>
      <w:r w:rsidR="00FB5783" w:rsidRPr="005B0B7D">
        <w:rPr>
          <w:rFonts w:eastAsia="Times New Roman"/>
        </w:rPr>
        <w:t xml:space="preserve">, </w:t>
      </w:r>
      <w:r w:rsidR="00B012F6" w:rsidRPr="005B0B7D">
        <w:rPr>
          <w:rFonts w:eastAsia="Times New Roman"/>
          <w:i/>
        </w:rPr>
        <w:t>M =</w:t>
      </w:r>
      <w:r w:rsidR="00FB5783" w:rsidRPr="005B0B7D">
        <w:rPr>
          <w:rFonts w:eastAsia="Times New Roman"/>
        </w:rPr>
        <w:t xml:space="preserve"> 1.90, </w:t>
      </w:r>
      <w:r w:rsidR="00B012F6" w:rsidRPr="005B0B7D">
        <w:rPr>
          <w:rFonts w:eastAsia="Times New Roman"/>
          <w:i/>
        </w:rPr>
        <w:t>SD =</w:t>
      </w:r>
      <w:r w:rsidR="00FB5783" w:rsidRPr="005B0B7D">
        <w:rPr>
          <w:rFonts w:eastAsia="Times New Roman"/>
        </w:rPr>
        <w:t xml:space="preserve"> 0.76; </w:t>
      </w:r>
      <w:r w:rsidR="00B012F6" w:rsidRPr="005B0B7D">
        <w:rPr>
          <w:rFonts w:eastAsia="Times New Roman"/>
          <w:i/>
        </w:rPr>
        <w:t>t(</w:t>
      </w:r>
      <w:r w:rsidR="00FB5783" w:rsidRPr="005B0B7D">
        <w:rPr>
          <w:rFonts w:eastAsia="Times New Roman"/>
        </w:rPr>
        <w:t xml:space="preserve">2348) = -0.43, </w:t>
      </w:r>
      <w:r w:rsidR="00B012F6" w:rsidRPr="005B0B7D">
        <w:rPr>
          <w:rFonts w:eastAsia="Times New Roman"/>
          <w:i/>
        </w:rPr>
        <w:t>p =</w:t>
      </w:r>
      <w:r w:rsidR="00FB5783" w:rsidRPr="005B0B7D">
        <w:rPr>
          <w:rFonts w:eastAsia="Times New Roman"/>
        </w:rPr>
        <w:t xml:space="preserve"> 0.666)</w:t>
      </w:r>
      <w:r w:rsidR="00E140EB" w:rsidRPr="005B0B7D">
        <w:rPr>
          <w:rFonts w:eastAsia="Times New Roman"/>
        </w:rPr>
        <w:t xml:space="preserve">. </w:t>
      </w:r>
      <w:r w:rsidR="00357D0E" w:rsidRPr="005B0B7D">
        <w:rPr>
          <w:rFonts w:eastAsia="Times New Roman"/>
        </w:rPr>
        <w:t>Thus,</w:t>
      </w:r>
      <w:r w:rsidR="00E140EB" w:rsidRPr="005B0B7D">
        <w:t xml:space="preserve"> participants who did not complete any follow-up assessment were not significantly different to participants who completed at least one follow-up assessment in regard </w:t>
      </w:r>
      <w:r w:rsidR="00357D0E" w:rsidRPr="005B0B7D">
        <w:t xml:space="preserve">to the </w:t>
      </w:r>
      <w:r w:rsidR="00E713CA" w:rsidRPr="005B0B7D">
        <w:t xml:space="preserve">proportion of mental health </w:t>
      </w:r>
      <w:r w:rsidR="00E140EB" w:rsidRPr="005B0B7D">
        <w:t>diagnos</w:t>
      </w:r>
      <w:r w:rsidR="00357D0E" w:rsidRPr="005B0B7D">
        <w:t>e</w:t>
      </w:r>
      <w:r w:rsidR="00E140EB" w:rsidRPr="005B0B7D">
        <w:t xml:space="preserve">s, </w:t>
      </w:r>
      <w:r w:rsidR="002B5B78" w:rsidRPr="005B0B7D">
        <w:t>NSS</w:t>
      </w:r>
      <w:r w:rsidR="00E140EB" w:rsidRPr="005B0B7D">
        <w:t xml:space="preserve"> and negative affect.</w:t>
      </w:r>
    </w:p>
    <w:p w14:paraId="1AE1E4D8" w14:textId="77777777" w:rsidR="00326DBF" w:rsidRPr="005B0B7D" w:rsidRDefault="00326DBF" w:rsidP="003F1E33"/>
    <w:p w14:paraId="51965BDD" w14:textId="77777777" w:rsidR="009A0CB5" w:rsidRPr="005B0B7D" w:rsidRDefault="009A0CB5" w:rsidP="009A0CB5">
      <w:pPr>
        <w:pStyle w:val="Title2"/>
        <w:rPr>
          <w:b/>
        </w:rPr>
      </w:pPr>
      <w:r w:rsidRPr="005B0B7D">
        <w:rPr>
          <w:b/>
        </w:rPr>
        <w:br w:type="page"/>
      </w:r>
    </w:p>
    <w:p w14:paraId="46BC5B29" w14:textId="33B8FC7B" w:rsidR="009A0CB5" w:rsidRPr="005B0B7D" w:rsidRDefault="009A0CB5" w:rsidP="009A0CB5">
      <w:pPr>
        <w:pStyle w:val="Title2"/>
        <w:rPr>
          <w:b/>
        </w:rPr>
      </w:pPr>
      <w:r w:rsidRPr="005B0B7D">
        <w:rPr>
          <w:b/>
        </w:rPr>
        <w:lastRenderedPageBreak/>
        <w:t>S. Text 3 Discussion of the Longitudinal Mediation Analysis of the Effect of Negative-Other Schema</w:t>
      </w:r>
      <w:r w:rsidR="00A6302C" w:rsidRPr="005B0B7D">
        <w:rPr>
          <w:b/>
        </w:rPr>
        <w:t>s</w:t>
      </w:r>
      <w:r w:rsidRPr="005B0B7D">
        <w:rPr>
          <w:b/>
        </w:rPr>
        <w:t xml:space="preserve"> on Positive Symptoms via Negative Affect</w:t>
      </w:r>
    </w:p>
    <w:p w14:paraId="5AECB430" w14:textId="104F2147" w:rsidR="009A0CB5" w:rsidRPr="005B0B7D" w:rsidRDefault="009A0CB5" w:rsidP="009A0CB5">
      <w:pPr>
        <w:pStyle w:val="Title2"/>
      </w:pPr>
    </w:p>
    <w:p w14:paraId="5E32DC2B" w14:textId="4451A724" w:rsidR="009A0CB5" w:rsidRPr="005B0B7D" w:rsidRDefault="009A0CB5" w:rsidP="009A0CB5">
      <w:pPr>
        <w:pStyle w:val="Heading2"/>
        <w:jc w:val="both"/>
      </w:pPr>
      <w:r w:rsidRPr="005B0B7D">
        <w:t>Preconditions for Cross-Lagged Panel Models</w:t>
      </w:r>
    </w:p>
    <w:p w14:paraId="603547CB" w14:textId="67716D08" w:rsidR="009A0CB5" w:rsidRPr="005B0B7D" w:rsidRDefault="009A0CB5" w:rsidP="009A0CB5">
      <w:pPr>
        <w:ind w:firstLine="708"/>
        <w:jc w:val="both"/>
        <w:rPr>
          <w:strike/>
        </w:rPr>
      </w:pPr>
      <w:r w:rsidRPr="005B0B7D">
        <w:t xml:space="preserve">First, </w:t>
      </w:r>
      <w:r w:rsidR="00390F80" w:rsidRPr="005B0B7D">
        <w:t xml:space="preserve">the </w:t>
      </w:r>
      <w:r w:rsidRPr="005B0B7D">
        <w:t xml:space="preserve">saturated models show that </w:t>
      </w:r>
      <w:r w:rsidR="00B239FC" w:rsidRPr="005B0B7D">
        <w:t>negative-other schema</w:t>
      </w:r>
      <w:r w:rsidR="009B5990" w:rsidRPr="005B0B7D">
        <w:t>s</w:t>
      </w:r>
      <w:r w:rsidRPr="005B0B7D">
        <w:t xml:space="preserve">, negative affect, and positive symptoms were significantly correlated with each other within and across time points </w:t>
      </w:r>
      <w:r w:rsidR="00B012F6" w:rsidRPr="005B0B7D">
        <w:t>(</w:t>
      </w:r>
      <w:r w:rsidRPr="005B0B7D">
        <w:t xml:space="preserve">see Supplementary Table S. Table </w:t>
      </w:r>
      <w:r w:rsidR="00FD6E85" w:rsidRPr="005B0B7D">
        <w:t>8</w:t>
      </w:r>
      <w:r w:rsidRPr="005B0B7D">
        <w:t xml:space="preserve">). Second, </w:t>
      </w:r>
      <w:r w:rsidR="00390F80" w:rsidRPr="005B0B7D">
        <w:t xml:space="preserve">the </w:t>
      </w:r>
      <w:r w:rsidRPr="005B0B7D">
        <w:t>within-construct longitudinal models show that previous measures significantly predicted subsequent measures for all variables of interes</w:t>
      </w:r>
      <w:r w:rsidR="00B012F6" w:rsidRPr="005B0B7D">
        <w:t>t</w:t>
      </w:r>
      <w:r w:rsidR="00EA7D6A" w:rsidRPr="005B0B7D">
        <w:t xml:space="preserve"> </w:t>
      </w:r>
      <w:r w:rsidR="00B012F6" w:rsidRPr="005B0B7D">
        <w:t>(</w:t>
      </w:r>
      <w:r w:rsidRPr="005B0B7D">
        <w:t>se</w:t>
      </w:r>
      <w:r w:rsidR="00FD6E85" w:rsidRPr="005B0B7D">
        <w:t>e Supplementary Table S. Table 9</w:t>
      </w:r>
      <w:r w:rsidRPr="005B0B7D">
        <w:t xml:space="preserve">) indicating that these constructs are stable over time to a certain extent. In addition, all fit indices of the cross-lagged panel models tested below met at least two out of three goodness of fit criteria </w:t>
      </w:r>
      <w:r w:rsidR="00B012F6" w:rsidRPr="005B0B7D">
        <w:t>(</w:t>
      </w:r>
      <w:r w:rsidRPr="005B0B7D">
        <w:t xml:space="preserve">see notes of </w:t>
      </w:r>
      <w:r w:rsidR="00FD6E85" w:rsidRPr="005B0B7D">
        <w:t>Supplementary Table S. Table 10 to 13</w:t>
      </w:r>
      <w:r w:rsidRPr="005B0B7D">
        <w:t>), indicating that all parameter estimates can be interpreted.</w:t>
      </w:r>
      <w:r w:rsidR="001F5AB1" w:rsidRPr="005B0B7D">
        <w:t xml:space="preserve"> </w:t>
      </w:r>
      <w:r w:rsidR="00051A03" w:rsidRPr="005B0B7D">
        <w:t xml:space="preserve">Thus, </w:t>
      </w:r>
      <w:r w:rsidR="001F5AB1" w:rsidRPr="005B0B7D">
        <w:t>the preconditions for testing the hypotheses with cross-lagged panel models are fulfilled.</w:t>
      </w:r>
    </w:p>
    <w:p w14:paraId="77101F58" w14:textId="0B85F05D" w:rsidR="009A0CB5" w:rsidRPr="005B0B7D" w:rsidRDefault="009A0CB5" w:rsidP="009A0CB5">
      <w:pPr>
        <w:pStyle w:val="Heading2"/>
        <w:jc w:val="both"/>
      </w:pPr>
      <w:r w:rsidRPr="005B0B7D">
        <w:t>Preconditions for Longitudinal Mediation Analysis</w:t>
      </w:r>
    </w:p>
    <w:p w14:paraId="408F62B0" w14:textId="470FF483" w:rsidR="009A0CB5" w:rsidRPr="005B0B7D" w:rsidRDefault="009A0CB5" w:rsidP="009A0CB5">
      <w:pPr>
        <w:jc w:val="both"/>
      </w:pPr>
      <w:r w:rsidRPr="005B0B7D">
        <w:t xml:space="preserve">First, </w:t>
      </w:r>
      <w:r w:rsidR="00E27890" w:rsidRPr="005B0B7D">
        <w:t xml:space="preserve">there was no significant pathway from </w:t>
      </w:r>
      <w:r w:rsidR="00FD6E85" w:rsidRPr="005B0B7D">
        <w:t>negative-other schema</w:t>
      </w:r>
      <w:r w:rsidR="001531EB" w:rsidRPr="005B0B7D">
        <w:t>s</w:t>
      </w:r>
      <w:r w:rsidR="00FD6E85" w:rsidRPr="005B0B7D">
        <w:t xml:space="preserve"> </w:t>
      </w:r>
      <w:r w:rsidR="00E27890" w:rsidRPr="005B0B7D">
        <w:t xml:space="preserve">to </w:t>
      </w:r>
      <w:r w:rsidRPr="005B0B7D">
        <w:t xml:space="preserve">positive symptoms </w:t>
      </w:r>
      <w:r w:rsidR="00390F80" w:rsidRPr="005B0B7D">
        <w:t>at</w:t>
      </w:r>
      <w:r w:rsidRPr="005B0B7D">
        <w:t xml:space="preserve"> the following time-points. </w:t>
      </w:r>
      <w:r w:rsidR="00E27890" w:rsidRPr="005B0B7D">
        <w:t>However</w:t>
      </w:r>
      <w:r w:rsidRPr="005B0B7D">
        <w:t xml:space="preserve">, there </w:t>
      </w:r>
      <w:r w:rsidR="008C074E" w:rsidRPr="005B0B7D">
        <w:t>was</w:t>
      </w:r>
      <w:r w:rsidRPr="005B0B7D">
        <w:t xml:space="preserve"> </w:t>
      </w:r>
      <w:r w:rsidR="008C074E" w:rsidRPr="005B0B7D">
        <w:t>a significant reverse pathway</w:t>
      </w:r>
      <w:r w:rsidRPr="005B0B7D">
        <w:t xml:space="preserve"> from positive symptoms to </w:t>
      </w:r>
      <w:r w:rsidR="008C074E" w:rsidRPr="005B0B7D">
        <w:t>negative-other schema</w:t>
      </w:r>
      <w:r w:rsidR="001531EB" w:rsidRPr="005B0B7D">
        <w:t>s</w:t>
      </w:r>
      <w:r w:rsidRPr="005B0B7D">
        <w:t xml:space="preserve"> </w:t>
      </w:r>
      <w:r w:rsidR="00B012F6" w:rsidRPr="005B0B7D">
        <w:t>(</w:t>
      </w:r>
      <w:r w:rsidRPr="005B0B7D">
        <w:t xml:space="preserve">for details see </w:t>
      </w:r>
      <w:r w:rsidR="008C074E" w:rsidRPr="005B0B7D">
        <w:t>Supplementary Table S. Table 10</w:t>
      </w:r>
      <w:r w:rsidRPr="005B0B7D">
        <w:t xml:space="preserve">). Second, </w:t>
      </w:r>
      <w:r w:rsidR="008C074E" w:rsidRPr="005B0B7D">
        <w:t>there was no significant pathway from negative-other schema</w:t>
      </w:r>
      <w:r w:rsidR="001531EB" w:rsidRPr="005B0B7D">
        <w:t>s</w:t>
      </w:r>
      <w:r w:rsidR="008C074E" w:rsidRPr="005B0B7D">
        <w:t xml:space="preserve"> to negative affect </w:t>
      </w:r>
      <w:r w:rsidR="00390F80" w:rsidRPr="005B0B7D">
        <w:t>at</w:t>
      </w:r>
      <w:r w:rsidR="008C074E" w:rsidRPr="005B0B7D">
        <w:t xml:space="preserve"> the following time-points</w:t>
      </w:r>
      <w:r w:rsidRPr="005B0B7D">
        <w:t xml:space="preserve">. </w:t>
      </w:r>
      <w:r w:rsidR="008C074E" w:rsidRPr="005B0B7D">
        <w:t xml:space="preserve">However, again there </w:t>
      </w:r>
      <w:r w:rsidR="00756C0E" w:rsidRPr="005B0B7D">
        <w:t>were</w:t>
      </w:r>
      <w:r w:rsidR="008C074E" w:rsidRPr="005B0B7D">
        <w:t xml:space="preserve"> </w:t>
      </w:r>
      <w:r w:rsidR="00756C0E" w:rsidRPr="005B0B7D">
        <w:t>two significant</w:t>
      </w:r>
      <w:r w:rsidRPr="005B0B7D">
        <w:t xml:space="preserve"> reverse </w:t>
      </w:r>
      <w:r w:rsidR="00756C0E" w:rsidRPr="005B0B7D">
        <w:t>pathway</w:t>
      </w:r>
      <w:r w:rsidR="00390F80" w:rsidRPr="005B0B7D">
        <w:t>s</w:t>
      </w:r>
      <w:r w:rsidRPr="005B0B7D">
        <w:t xml:space="preserve"> from negative affect to </w:t>
      </w:r>
      <w:r w:rsidR="00756C0E" w:rsidRPr="005B0B7D">
        <w:t>negative-other schema</w:t>
      </w:r>
      <w:r w:rsidR="001531EB" w:rsidRPr="005B0B7D">
        <w:t>s</w:t>
      </w:r>
      <w:r w:rsidRPr="005B0B7D">
        <w:t xml:space="preserve"> </w:t>
      </w:r>
      <w:r w:rsidR="00B012F6" w:rsidRPr="005B0B7D">
        <w:t>(</w:t>
      </w:r>
      <w:r w:rsidRPr="005B0B7D">
        <w:t xml:space="preserve">for details see </w:t>
      </w:r>
      <w:r w:rsidR="00756C0E" w:rsidRPr="005B0B7D">
        <w:t>Supplementary Table S. Table 11</w:t>
      </w:r>
      <w:r w:rsidRPr="005B0B7D">
        <w:t xml:space="preserve">). Third, </w:t>
      </w:r>
      <w:r w:rsidR="001F5AB1" w:rsidRPr="005B0B7D">
        <w:t xml:space="preserve">as stated in the </w:t>
      </w:r>
      <w:r w:rsidR="00390F80" w:rsidRPr="005B0B7D">
        <w:t xml:space="preserve">article </w:t>
      </w:r>
      <w:r w:rsidRPr="005B0B7D">
        <w:t>we found that negative affect significantly predicted positive symptoms at the following time-points. There were no significant reverse pathways from positive symptoms to negative affec</w:t>
      </w:r>
      <w:r w:rsidR="00B012F6" w:rsidRPr="005B0B7D">
        <w:t>t</w:t>
      </w:r>
      <w:r w:rsidR="001531EB" w:rsidRPr="005B0B7D">
        <w:t xml:space="preserve"> </w:t>
      </w:r>
      <w:r w:rsidR="00B012F6" w:rsidRPr="005B0B7D">
        <w:t>(</w:t>
      </w:r>
      <w:r w:rsidRPr="005B0B7D">
        <w:t xml:space="preserve">for details see Figure 1c and Supplementary Table S. Table 6). </w:t>
      </w:r>
      <w:r w:rsidR="00390F80" w:rsidRPr="005B0B7D">
        <w:t xml:space="preserve">Although </w:t>
      </w:r>
      <w:r w:rsidR="00FD2F0E" w:rsidRPr="005B0B7D">
        <w:t xml:space="preserve">Baron and Kenny </w:t>
      </w:r>
      <w:r w:rsidR="00FD2F0E" w:rsidRPr="005B0B7D">
        <w:fldChar w:fldCharType="begin"/>
      </w:r>
      <w:r w:rsidR="00DE5D0F" w:rsidRPr="005B0B7D">
        <w:instrText xml:space="preserve"> ADDIN ZOTERO_ITEM CSL_CITATION {"citationID":"g4vBX5ML","properties":{"formattedCitation":"(1986)","plainCitation":"(1986)"},"citationItems":[{"id":797,"uris":["http://zotero.org/users/1509854/items/NPVZQQT8"],"uri":["http://zotero.org/users/1509854/items/NPVZQQT8"],"itemData":{"id":797,"type":"article-journal","title":"The moderator–mediator variable distinction in social psychological research: Conceptual, strategic, and statistical considerations","container-title":"Journal of Personality and Social Psychology","page":"1173-1182","volume":"51","issue":"6","source":"APA PsycNET","abstract":"In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(46 ref)","DOI":"10.1037/0022-3514.51.6.1173","ISSN":"1939-1315(Electronic);0022-3514(Print)","shortTitle":"The moderator–mediator variable distinction in social psychological research","author":[{"family":"Baron","given":"Reuben M."},{"family":"Kenny","given":"David A."}],"issued":{"date-parts":[["1986"]]}},"suppress-author":true}],"schema":"https://github.com/citation-style-language/schema/raw/master/csl-citation.json"} </w:instrText>
      </w:r>
      <w:r w:rsidR="00FD2F0E" w:rsidRPr="005B0B7D">
        <w:fldChar w:fldCharType="separate"/>
      </w:r>
      <w:r w:rsidR="00B012F6" w:rsidRPr="005B0B7D">
        <w:rPr>
          <w:noProof/>
        </w:rPr>
        <w:t>(</w:t>
      </w:r>
      <w:r w:rsidR="00DE5D0F" w:rsidRPr="005B0B7D">
        <w:rPr>
          <w:noProof/>
        </w:rPr>
        <w:t>1986)</w:t>
      </w:r>
      <w:r w:rsidR="00FD2F0E" w:rsidRPr="005B0B7D">
        <w:fldChar w:fldCharType="end"/>
      </w:r>
      <w:r w:rsidR="00390F80" w:rsidRPr="005B0B7D">
        <w:t xml:space="preserve"> caution against </w:t>
      </w:r>
      <w:r w:rsidR="00FD2F0E" w:rsidRPr="005B0B7D">
        <w:t>proceed</w:t>
      </w:r>
      <w:r w:rsidR="00390F80" w:rsidRPr="005B0B7D">
        <w:t>ing</w:t>
      </w:r>
      <w:r w:rsidR="00FD2F0E" w:rsidRPr="005B0B7D">
        <w:t xml:space="preserve"> with a longitudinal mediation analysis </w:t>
      </w:r>
      <w:r w:rsidR="00390F80" w:rsidRPr="005B0B7D">
        <w:t xml:space="preserve">in the absence of a </w:t>
      </w:r>
      <w:r w:rsidR="00FD2F0E" w:rsidRPr="005B0B7D">
        <w:t xml:space="preserve"> significa</w:t>
      </w:r>
      <w:r w:rsidR="00DE5D0F" w:rsidRPr="005B0B7D">
        <w:t>nt total effect</w:t>
      </w:r>
      <w:r w:rsidR="00390F80" w:rsidRPr="005B0B7D">
        <w:t>,</w:t>
      </w:r>
      <w:r w:rsidR="00F12AA6" w:rsidRPr="005B0B7D">
        <w:t xml:space="preserve"> </w:t>
      </w:r>
      <w:r w:rsidR="00DE5D0F" w:rsidRPr="005B0B7D">
        <w:t xml:space="preserve">the view that a total effect is absolutely necessary for a mediation analysis has been contested </w:t>
      </w:r>
      <w:r w:rsidR="00B012F6" w:rsidRPr="005B0B7D">
        <w:t>(</w:t>
      </w:r>
      <w:r w:rsidR="00DE5D0F" w:rsidRPr="005B0B7D">
        <w:t xml:space="preserve">e.g. </w:t>
      </w:r>
      <w:r w:rsidR="00DE5D0F" w:rsidRPr="005B0B7D">
        <w:fldChar w:fldCharType="begin"/>
      </w:r>
      <w:r w:rsidR="00DE5D0F" w:rsidRPr="005B0B7D">
        <w:instrText xml:space="preserve"> ADDIN ZOTERO_ITEM CSL_CITATION {"citationID":"1lrvummjtl","properties":{"formattedCitation":"(Hayes, 2013)","plainCitation":"(Hayes, 2013)"},"citationItems":[{"id":2375,"uris":["http://zotero.org/users/1509854/items/UDIGHT9S"],"uri":["http://zotero.org/users/1509854/items/UDIGHT9S"],"itemData":{"id":2375,"type":"book","title":"Introduction to mediation, moderation, and conditional process analysis: A regression-based approach","publisher":"Guilford Press","number-of-pages":"526","source":"Google Books","abstract":"This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Unique features include: *Compelling examples (presumed media influence, sex discrimination in the workplace, and more) with real data; boxes with SAS, SPSS, and PROCESS code; and loads of tips, including how to report mediation, moderation and conditional process analyses. *Appendix that presents documentation on use and features of PROCESS.? *Online supplement providing data, code, and syntax for the book's examples.","ISBN":"978-1-60918-230-4","shortTitle":"Introduction to Mediation, Moderation, and Conditional Process Analysis","language":"en","author":[{"family":"Hayes","given":"Andrew F."}],"issued":{"date-parts":[["2013"]]}}}],"schema":"https://github.com/citation-style-language/schema/raw/master/csl-citation.json"} </w:instrText>
      </w:r>
      <w:r w:rsidR="00DE5D0F" w:rsidRPr="005B0B7D">
        <w:fldChar w:fldCharType="separate"/>
      </w:r>
      <w:r w:rsidR="00B012F6" w:rsidRPr="005B0B7D">
        <w:rPr>
          <w:noProof/>
        </w:rPr>
        <w:t>(</w:t>
      </w:r>
      <w:r w:rsidR="00DE5D0F" w:rsidRPr="005B0B7D">
        <w:rPr>
          <w:noProof/>
        </w:rPr>
        <w:t>Hayes, 2013)</w:t>
      </w:r>
      <w:r w:rsidR="00DE5D0F" w:rsidRPr="005B0B7D">
        <w:fldChar w:fldCharType="end"/>
      </w:r>
      <w:r w:rsidR="00390F80" w:rsidRPr="005B0B7D">
        <w:t xml:space="preserve"> which is </w:t>
      </w:r>
      <w:r w:rsidR="00390F80" w:rsidRPr="005B0B7D">
        <w:lastRenderedPageBreak/>
        <w:t xml:space="preserve">why we have computed and report </w:t>
      </w:r>
      <w:r w:rsidR="00DE5D0F" w:rsidRPr="005B0B7D">
        <w:t>the longitudinal mediation analysis</w:t>
      </w:r>
      <w:r w:rsidR="00390F80" w:rsidRPr="005B0B7D">
        <w:t xml:space="preserve"> for reasons of completeness </w:t>
      </w:r>
      <w:r w:rsidR="00DE5D0F" w:rsidRPr="005B0B7D">
        <w:t>.</w:t>
      </w:r>
    </w:p>
    <w:p w14:paraId="57C9CD2F" w14:textId="2C62E2EC" w:rsidR="009A0CB5" w:rsidRPr="005B0B7D" w:rsidRDefault="009A0CB5" w:rsidP="009A0CB5">
      <w:pPr>
        <w:pStyle w:val="Heading3"/>
        <w:ind w:firstLine="0"/>
        <w:jc w:val="both"/>
      </w:pPr>
      <w:r w:rsidRPr="005B0B7D">
        <w:t xml:space="preserve">Longitudinal mediation </w:t>
      </w:r>
    </w:p>
    <w:p w14:paraId="73D15658" w14:textId="4A24336F" w:rsidR="009A0CB5" w:rsidRPr="005B0B7D" w:rsidRDefault="00390F80" w:rsidP="009A0CB5">
      <w:pPr>
        <w:jc w:val="both"/>
      </w:pPr>
      <w:r w:rsidRPr="005B0B7D">
        <w:t>As in</w:t>
      </w:r>
      <w:r w:rsidR="006D5538" w:rsidRPr="005B0B7D">
        <w:t xml:space="preserve"> the model</w:t>
      </w:r>
      <w:r w:rsidR="009A0CB5" w:rsidRPr="005B0B7D">
        <w:t xml:space="preserve"> in Figure 2</w:t>
      </w:r>
      <w:r w:rsidRPr="005B0B7D">
        <w:t xml:space="preserve"> of the article, </w:t>
      </w:r>
      <w:r w:rsidR="009A0CB5" w:rsidRPr="005B0B7D">
        <w:t xml:space="preserve">there are three possible indirect pathways from </w:t>
      </w:r>
      <w:r w:rsidR="006D5538" w:rsidRPr="005B0B7D">
        <w:t>negative-other schema</w:t>
      </w:r>
      <w:r w:rsidR="001531EB" w:rsidRPr="005B0B7D">
        <w:t>s</w:t>
      </w:r>
      <w:r w:rsidR="009A0CB5" w:rsidRPr="005B0B7D">
        <w:t xml:space="preserve"> at T0 via negative af</w:t>
      </w:r>
      <w:r w:rsidR="006D5538" w:rsidRPr="005B0B7D">
        <w:t>f</w:t>
      </w:r>
      <w:r w:rsidR="0074121E" w:rsidRPr="005B0B7D">
        <w:t>ect to positive symptoms at T3,</w:t>
      </w:r>
      <w:r w:rsidR="009A0CB5" w:rsidRPr="005B0B7D">
        <w:t xml:space="preserve"> of which </w:t>
      </w:r>
      <w:r w:rsidR="0074121E" w:rsidRPr="005B0B7D">
        <w:t>none was significant.</w:t>
      </w:r>
      <w:r w:rsidR="00EC16C0" w:rsidRPr="005B0B7D">
        <w:t xml:space="preserve"> The unstandardized indirect effect estimate ranges from -0.002 to 0.005 with p-value ranging from 0.172 to 0.483. </w:t>
      </w:r>
      <w:r w:rsidR="0074121E" w:rsidRPr="005B0B7D">
        <w:t xml:space="preserve"> </w:t>
      </w:r>
      <w:r w:rsidR="00EC16C0" w:rsidRPr="005B0B7D">
        <w:t xml:space="preserve">This result is consistent with the results of the independent cross-lagged panel analysis of negative-other schemas and positive symptoms, </w:t>
      </w:r>
      <w:r w:rsidRPr="005B0B7D">
        <w:t>in</w:t>
      </w:r>
      <w:r w:rsidR="00EC16C0" w:rsidRPr="005B0B7D">
        <w:t xml:space="preserve"> which negative-other schemas ha</w:t>
      </w:r>
      <w:r w:rsidRPr="005B0B7D">
        <w:t>d</w:t>
      </w:r>
      <w:r w:rsidR="00EC16C0" w:rsidRPr="005B0B7D">
        <w:t xml:space="preserve"> no significant effect on positive symptoms.</w:t>
      </w:r>
    </w:p>
    <w:p w14:paraId="2A7E0F30" w14:textId="095363E0" w:rsidR="00EC16C0" w:rsidRPr="005B0B7D" w:rsidRDefault="00EC16C0" w:rsidP="002A1878">
      <w:pPr>
        <w:ind w:firstLine="0"/>
        <w:jc w:val="both"/>
        <w:rPr>
          <w:b/>
        </w:rPr>
      </w:pPr>
      <w:r w:rsidRPr="005B0B7D">
        <w:rPr>
          <w:b/>
        </w:rPr>
        <w:t>Discussion</w:t>
      </w:r>
    </w:p>
    <w:p w14:paraId="6714EE1C" w14:textId="3CC9A98D" w:rsidR="005B4602" w:rsidRPr="005B0B7D" w:rsidRDefault="002A1878" w:rsidP="000E36D9">
      <w:r w:rsidRPr="005B0B7D">
        <w:t xml:space="preserve">There </w:t>
      </w:r>
      <w:r w:rsidR="00390F80" w:rsidRPr="005B0B7D">
        <w:t>was</w:t>
      </w:r>
      <w:r w:rsidRPr="005B0B7D">
        <w:t xml:space="preserve"> no significant effect of negative-other schema</w:t>
      </w:r>
      <w:r w:rsidR="004945A6" w:rsidRPr="005B0B7D">
        <w:t>s</w:t>
      </w:r>
      <w:r w:rsidRPr="005B0B7D">
        <w:t xml:space="preserve"> on positive symptoms, and no significant effect of negative-other schemas on negative affect. </w:t>
      </w:r>
      <w:r w:rsidR="000E36D9" w:rsidRPr="005B0B7D">
        <w:t xml:space="preserve">Consistent with </w:t>
      </w:r>
      <w:r w:rsidR="00390F80" w:rsidRPr="005B0B7D">
        <w:t>these findings, there was</w:t>
      </w:r>
      <w:r w:rsidR="000E36D9" w:rsidRPr="005B0B7D">
        <w:t xml:space="preserve"> no significant mediation path from negative-other schemas to positive symptoms via negative affect. Interestingly,</w:t>
      </w:r>
      <w:r w:rsidRPr="005B0B7D">
        <w:t xml:space="preserve"> </w:t>
      </w:r>
      <w:r w:rsidR="0033730A" w:rsidRPr="005B0B7D">
        <w:t xml:space="preserve">however, </w:t>
      </w:r>
      <w:r w:rsidRPr="005B0B7D">
        <w:t xml:space="preserve">there </w:t>
      </w:r>
      <w:r w:rsidR="000E36D9" w:rsidRPr="005B0B7D">
        <w:t>is</w:t>
      </w:r>
      <w:r w:rsidRPr="005B0B7D">
        <w:t xml:space="preserve"> evidence of </w:t>
      </w:r>
      <w:r w:rsidR="0033730A" w:rsidRPr="005B0B7D">
        <w:t xml:space="preserve">a </w:t>
      </w:r>
      <w:r w:rsidRPr="005B0B7D">
        <w:t>reverse causation from negative affect and positive symptoms to negative-other schema</w:t>
      </w:r>
      <w:bookmarkStart w:id="0" w:name="_GoBack"/>
      <w:bookmarkEnd w:id="0"/>
      <w:r w:rsidRPr="005B0B7D">
        <w:t>s.</w:t>
      </w:r>
      <w:r w:rsidR="005B4602" w:rsidRPr="005B0B7D">
        <w:br w:type="page"/>
      </w:r>
    </w:p>
    <w:p w14:paraId="28FF987E" w14:textId="77777777" w:rsidR="007A5482" w:rsidRPr="005B0B7D" w:rsidRDefault="00F93BA7" w:rsidP="00F93BA7">
      <w:pPr>
        <w:pStyle w:val="Heading1"/>
      </w:pPr>
      <w:r w:rsidRPr="005B0B7D">
        <w:lastRenderedPageBreak/>
        <w:t>References</w:t>
      </w:r>
    </w:p>
    <w:p w14:paraId="70C99110" w14:textId="77777777" w:rsidR="00C94C32" w:rsidRPr="005B0B7D" w:rsidRDefault="00C92DB8" w:rsidP="00DE27C5">
      <w:pPr>
        <w:pStyle w:val="Bibliography"/>
        <w:spacing w:line="240" w:lineRule="auto"/>
      </w:pPr>
      <w:r w:rsidRPr="005B0B7D">
        <w:fldChar w:fldCharType="begin"/>
      </w:r>
      <w:r w:rsidR="00C94C32" w:rsidRPr="005B0B7D">
        <w:instrText xml:space="preserve"> ADDIN ZOTERO_BIBL {"custom":[]} CSL_BIBLIOGRAPHY </w:instrText>
      </w:r>
      <w:r w:rsidRPr="005B0B7D">
        <w:fldChar w:fldCharType="separate"/>
      </w:r>
      <w:r w:rsidR="00C94C32" w:rsidRPr="005B0B7D">
        <w:t>Badan Pusat Statistik. (2010)</w:t>
      </w:r>
      <w:proofErr w:type="gramStart"/>
      <w:r w:rsidR="00C94C32" w:rsidRPr="005B0B7D">
        <w:t xml:space="preserve">. </w:t>
      </w:r>
      <w:r w:rsidR="00C94C32" w:rsidRPr="005B0B7D">
        <w:rPr>
          <w:i/>
          <w:iCs/>
        </w:rPr>
        <w:t>Penduduk Berumur 15 Tahun Keatas Menurut Kelompok Umur dan Pendidikan Tertinggi yang Ditamatkan</w:t>
      </w:r>
      <w:r w:rsidR="00C94C32" w:rsidRPr="005B0B7D">
        <w:t xml:space="preserve"> (Sensus Penduduk 2010).</w:t>
      </w:r>
      <w:proofErr w:type="gramEnd"/>
      <w:r w:rsidR="00C94C32" w:rsidRPr="005B0B7D">
        <w:t xml:space="preserve"> Jakarta: Badan Pusat Statistik. Retrieved from http://sp2010.bps.go.id/index.php/site/tabel</w:t>
      </w:r>
      <w:proofErr w:type="gramStart"/>
      <w:r w:rsidR="00C94C32" w:rsidRPr="005B0B7D">
        <w:t>?tid</w:t>
      </w:r>
      <w:proofErr w:type="gramEnd"/>
      <w:r w:rsidR="00C94C32" w:rsidRPr="005B0B7D">
        <w:t>=327&amp;wid=0</w:t>
      </w:r>
    </w:p>
    <w:p w14:paraId="7FCF06CC" w14:textId="77777777" w:rsidR="00C94C32" w:rsidRPr="005B0B7D" w:rsidRDefault="00C94C32" w:rsidP="00DE27C5">
      <w:pPr>
        <w:pStyle w:val="Bibliography"/>
        <w:spacing w:line="240" w:lineRule="auto"/>
      </w:pPr>
      <w:r w:rsidRPr="005B0B7D">
        <w:t>Badan Pusat Statistik. (2011)</w:t>
      </w:r>
      <w:proofErr w:type="gramStart"/>
      <w:r w:rsidRPr="005B0B7D">
        <w:t xml:space="preserve">. </w:t>
      </w:r>
      <w:r w:rsidRPr="005B0B7D">
        <w:rPr>
          <w:i/>
          <w:iCs/>
        </w:rPr>
        <w:t>Pengeluaran untuk konsumsi penduduk Indonesia 2011</w:t>
      </w:r>
      <w:r w:rsidRPr="005B0B7D">
        <w:t xml:space="preserve"> (Book).</w:t>
      </w:r>
      <w:proofErr w:type="gramEnd"/>
      <w:r w:rsidRPr="005B0B7D">
        <w:t xml:space="preserve"> Jakarta, Indonesia: Badan Pusat Statistik. Retrieved from http://bps.go.id/website/pdf_publikasi/watermark _Pengeluaran untuk Konsumsi Penduduk Indonesia​2011.pdf</w:t>
      </w:r>
    </w:p>
    <w:p w14:paraId="4444C735" w14:textId="77777777" w:rsidR="00C94C32" w:rsidRPr="005B0B7D" w:rsidRDefault="00C94C32" w:rsidP="00DE27C5">
      <w:pPr>
        <w:pStyle w:val="Bibliography"/>
        <w:spacing w:line="240" w:lineRule="auto"/>
      </w:pPr>
      <w:proofErr w:type="gramStart"/>
      <w:r w:rsidRPr="005B0B7D">
        <w:t>Baron, R. M., &amp; Kenny, D. A. (1986).</w:t>
      </w:r>
      <w:proofErr w:type="gramEnd"/>
      <w:r w:rsidRPr="005B0B7D">
        <w:t xml:space="preserve"> The moderator–mediator variable distinction in social psychological research: Conceptual, strategic, and statistical considerations. </w:t>
      </w:r>
      <w:r w:rsidRPr="005B0B7D">
        <w:rPr>
          <w:i/>
          <w:iCs/>
        </w:rPr>
        <w:t>Journal of Personality and Social Psychology</w:t>
      </w:r>
      <w:r w:rsidRPr="005B0B7D">
        <w:t xml:space="preserve">, </w:t>
      </w:r>
      <w:r w:rsidRPr="005B0B7D">
        <w:rPr>
          <w:i/>
          <w:iCs/>
        </w:rPr>
        <w:t>51</w:t>
      </w:r>
      <w:r w:rsidRPr="005B0B7D">
        <w:t>(6), 1173–1182. https://doi.org/10.1037/0022-3514.51.6.1173</w:t>
      </w:r>
    </w:p>
    <w:p w14:paraId="1D9B02EA" w14:textId="77777777" w:rsidR="00C94C32" w:rsidRPr="005B0B7D" w:rsidRDefault="00C94C32" w:rsidP="00DE27C5">
      <w:pPr>
        <w:pStyle w:val="Bibliography"/>
        <w:spacing w:line="240" w:lineRule="auto"/>
      </w:pPr>
      <w:r w:rsidRPr="005B0B7D">
        <w:t xml:space="preserve">Hayes, A. F. (2013). </w:t>
      </w:r>
      <w:r w:rsidRPr="005B0B7D">
        <w:rPr>
          <w:i/>
          <w:iCs/>
        </w:rPr>
        <w:t>Introduction to mediation, moderation, and conditional process analysis: A regression-based approach</w:t>
      </w:r>
      <w:r w:rsidRPr="005B0B7D">
        <w:t>. Guilford Press.</w:t>
      </w:r>
    </w:p>
    <w:p w14:paraId="5ECB897F" w14:textId="77777777" w:rsidR="00C94C32" w:rsidRPr="005B0B7D" w:rsidRDefault="00C94C32" w:rsidP="00DE27C5">
      <w:pPr>
        <w:pStyle w:val="Bibliography"/>
        <w:spacing w:line="240" w:lineRule="auto"/>
      </w:pPr>
      <w:r w:rsidRPr="005B0B7D">
        <w:t xml:space="preserve">Jaya, E. S., &amp; Lincoln, T. M. (2016). Social adversities and psychotic symptoms: A test of predictions derived from the social defeat hypothesis. </w:t>
      </w:r>
      <w:proofErr w:type="gramStart"/>
      <w:r w:rsidRPr="005B0B7D">
        <w:rPr>
          <w:i/>
          <w:iCs/>
        </w:rPr>
        <w:t>Psychiatry Research</w:t>
      </w:r>
      <w:r w:rsidRPr="005B0B7D">
        <w:t xml:space="preserve">, </w:t>
      </w:r>
      <w:r w:rsidRPr="005B0B7D">
        <w:rPr>
          <w:i/>
          <w:iCs/>
        </w:rPr>
        <w:t>245</w:t>
      </w:r>
      <w:r w:rsidRPr="005B0B7D">
        <w:t>, 466–472.</w:t>
      </w:r>
      <w:proofErr w:type="gramEnd"/>
      <w:r w:rsidRPr="005B0B7D">
        <w:t xml:space="preserve"> https://doi.org/10.1016/j.psychres.2016.09.002</w:t>
      </w:r>
    </w:p>
    <w:p w14:paraId="4166B9B5" w14:textId="77777777" w:rsidR="00C94C32" w:rsidRPr="005B0B7D" w:rsidRDefault="00C94C32" w:rsidP="00DE27C5">
      <w:pPr>
        <w:pStyle w:val="Bibliography"/>
        <w:spacing w:line="240" w:lineRule="auto"/>
      </w:pPr>
      <w:proofErr w:type="gramStart"/>
      <w:r w:rsidRPr="005B0B7D">
        <w:t>Lampert, T., &amp; Kroll, L. E. (2009).</w:t>
      </w:r>
      <w:proofErr w:type="gramEnd"/>
      <w:r w:rsidRPr="005B0B7D">
        <w:t xml:space="preserve"> Die Messung des sozioökonomischen Status in sozialepidemiologischen Studien. In M. Richter &amp; K. Hurrelmann (Eds.), </w:t>
      </w:r>
      <w:r w:rsidRPr="005B0B7D">
        <w:rPr>
          <w:i/>
          <w:iCs/>
        </w:rPr>
        <w:t>Gesundheitliche Ungleichheit</w:t>
      </w:r>
      <w:r w:rsidRPr="005B0B7D">
        <w:t xml:space="preserve"> (1st ed., pp. 309–334). Wiesbaden, Germany: VS Verlag für Sozialwissenschaften. Retrieved from http://link.springer.com/chapter/10.1007/978-3-531-91643-9_18</w:t>
      </w:r>
    </w:p>
    <w:p w14:paraId="1CEF362A" w14:textId="77777777" w:rsidR="00C94C32" w:rsidRPr="005B0B7D" w:rsidRDefault="00C94C32" w:rsidP="00DE27C5">
      <w:pPr>
        <w:pStyle w:val="Bibliography"/>
        <w:spacing w:line="240" w:lineRule="auto"/>
      </w:pPr>
      <w:r w:rsidRPr="005B0B7D">
        <w:t>Statistisches Bundesamt. (2012)</w:t>
      </w:r>
      <w:proofErr w:type="gramStart"/>
      <w:r w:rsidRPr="005B0B7D">
        <w:t xml:space="preserve">. </w:t>
      </w:r>
      <w:r w:rsidRPr="005B0B7D">
        <w:rPr>
          <w:i/>
          <w:iCs/>
        </w:rPr>
        <w:t>Einkommensverteilung, Einkommensarmut und Einkommensreichtum in Deutschland 2008</w:t>
      </w:r>
      <w:r w:rsidRPr="005B0B7D">
        <w:t xml:space="preserve"> (Fachserie 15 Heft 6 – 2008 No. 2152606089004).</w:t>
      </w:r>
      <w:proofErr w:type="gramEnd"/>
      <w:r w:rsidRPr="005B0B7D">
        <w:t xml:space="preserve"> Wiesbaden: Statistisches Bundesamt. Retrieved from https://www.destatis.de/DE/Publikationen/Thematisch/EinkommenKonsumLebensbedingungen/EinkommenVerbrauch/Einkommensverteilung2152606089004.pdf</w:t>
      </w:r>
      <w:proofErr w:type="gramStart"/>
      <w:r w:rsidRPr="005B0B7D">
        <w:t>?_</w:t>
      </w:r>
      <w:proofErr w:type="gramEnd"/>
      <w:r w:rsidRPr="005B0B7D">
        <w:t>_blob=publicationFile</w:t>
      </w:r>
    </w:p>
    <w:p w14:paraId="1FFDA1D5" w14:textId="77777777" w:rsidR="00C94C32" w:rsidRPr="005B0B7D" w:rsidRDefault="00C94C32" w:rsidP="00DE27C5">
      <w:pPr>
        <w:pStyle w:val="Bibliography"/>
        <w:spacing w:line="240" w:lineRule="auto"/>
      </w:pPr>
      <w:r w:rsidRPr="005B0B7D">
        <w:t>Statistisches Bundesamt. (2015)</w:t>
      </w:r>
      <w:proofErr w:type="gramStart"/>
      <w:r w:rsidRPr="005B0B7D">
        <w:t xml:space="preserve">. </w:t>
      </w:r>
      <w:r w:rsidRPr="005B0B7D">
        <w:rPr>
          <w:i/>
          <w:iCs/>
        </w:rPr>
        <w:t>Educational attainment of the population in Germany</w:t>
      </w:r>
      <w:r w:rsidRPr="005B0B7D">
        <w:t>.</w:t>
      </w:r>
      <w:proofErr w:type="gramEnd"/>
      <w:r w:rsidRPr="005B0B7D">
        <w:t xml:space="preserve"> Statistisches Bundesamt. Retrieved from https://www.destatis.de/EN/FactsFigures/SocietyState/EducationResearchCulture/EducationalLevel/Tables/EducationalAttainmentPopulationGermany.html</w:t>
      </w:r>
    </w:p>
    <w:p w14:paraId="6036212C" w14:textId="77777777" w:rsidR="00C94C32" w:rsidRPr="005B0B7D" w:rsidRDefault="00C94C32" w:rsidP="00DE27C5">
      <w:pPr>
        <w:pStyle w:val="Bibliography"/>
        <w:spacing w:line="240" w:lineRule="auto"/>
      </w:pPr>
      <w:proofErr w:type="gramStart"/>
      <w:r w:rsidRPr="005B0B7D">
        <w:t>U.S. Census Bureau.</w:t>
      </w:r>
      <w:proofErr w:type="gramEnd"/>
      <w:r w:rsidRPr="005B0B7D">
        <w:t xml:space="preserve"> (2013)</w:t>
      </w:r>
      <w:proofErr w:type="gramStart"/>
      <w:r w:rsidRPr="005B0B7D">
        <w:t xml:space="preserve">. </w:t>
      </w:r>
      <w:r w:rsidRPr="005B0B7D">
        <w:rPr>
          <w:i/>
          <w:iCs/>
        </w:rPr>
        <w:t>Table 1.</w:t>
      </w:r>
      <w:proofErr w:type="gramEnd"/>
      <w:r w:rsidRPr="005B0B7D">
        <w:rPr>
          <w:i/>
          <w:iCs/>
        </w:rPr>
        <w:t xml:space="preserve">  Educational Attainment of the Population 18 Years and Over, by Age, Sex, Race, and Hispanic Origin:  2013</w:t>
      </w:r>
      <w:r w:rsidRPr="005B0B7D">
        <w:t xml:space="preserve"> (Current Population Survey, 2013 Annual Social and Economic Supplement). USA: U.S. Census Bureau. Retrieved from https://www.census.gov/hhes/socdemo/education/data/cps/2013/tables.html</w:t>
      </w:r>
    </w:p>
    <w:p w14:paraId="17A3890D" w14:textId="77777777" w:rsidR="00C94C32" w:rsidRPr="005B0B7D" w:rsidRDefault="00C94C32" w:rsidP="00DE27C5">
      <w:pPr>
        <w:pStyle w:val="Bibliography"/>
        <w:spacing w:line="240" w:lineRule="auto"/>
      </w:pPr>
      <w:proofErr w:type="gramStart"/>
      <w:r w:rsidRPr="005B0B7D">
        <w:t>U.S. Census Bureau.</w:t>
      </w:r>
      <w:proofErr w:type="gramEnd"/>
      <w:r w:rsidRPr="005B0B7D">
        <w:t xml:space="preserve"> (2014). </w:t>
      </w:r>
      <w:r w:rsidRPr="005B0B7D">
        <w:rPr>
          <w:i/>
          <w:iCs/>
        </w:rPr>
        <w:t>Table HINC-06. Income Distribution to $250,000 or More for Households: 2014</w:t>
      </w:r>
      <w:r w:rsidRPr="005B0B7D">
        <w:t xml:space="preserve"> (Annual Social and Economic Supplement). </w:t>
      </w:r>
      <w:proofErr w:type="gramStart"/>
      <w:r w:rsidRPr="005B0B7D">
        <w:t>U.S. Census Bureau.</w:t>
      </w:r>
      <w:proofErr w:type="gramEnd"/>
      <w:r w:rsidRPr="005B0B7D">
        <w:t xml:space="preserve"> Retrieved from https://www.census.gov/hhes/www/cpstables/032015/hhinc/hinc06.xls</w:t>
      </w:r>
    </w:p>
    <w:p w14:paraId="77CD790F" w14:textId="77777777" w:rsidR="00C94C32" w:rsidRPr="005B0B7D" w:rsidRDefault="00C94C32" w:rsidP="00DE27C5">
      <w:pPr>
        <w:pStyle w:val="Bibliography"/>
        <w:spacing w:line="240" w:lineRule="auto"/>
      </w:pPr>
      <w:r w:rsidRPr="005B0B7D">
        <w:t>Wage Indicator. (2015)</w:t>
      </w:r>
      <w:proofErr w:type="gramStart"/>
      <w:r w:rsidRPr="005B0B7D">
        <w:t>. Minimum Wages in Indonesia with effect from 01-01-2016 to 31-12-2016.</w:t>
      </w:r>
      <w:proofErr w:type="gramEnd"/>
      <w:r w:rsidRPr="005B0B7D">
        <w:t xml:space="preserve"> Retrieved December 23, 2015, from http://www.wageindicator.org/main/salary/minimum-wage/indonesia</w:t>
      </w:r>
    </w:p>
    <w:p w14:paraId="42F131FD" w14:textId="4417C267" w:rsidR="00F93BA7" w:rsidRPr="005B0B7D" w:rsidRDefault="00C92DB8" w:rsidP="00DE27C5">
      <w:pPr>
        <w:spacing w:line="240" w:lineRule="auto"/>
      </w:pPr>
      <w:r w:rsidRPr="005B0B7D">
        <w:fldChar w:fldCharType="end"/>
      </w:r>
    </w:p>
    <w:sectPr w:rsidR="00F93BA7" w:rsidRPr="005B0B7D" w:rsidSect="00BA15BA">
      <w:head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352E0" w15:done="0"/>
  <w15:commentEx w15:paraId="44BB173D" w15:done="0"/>
  <w15:commentEx w15:paraId="27C07AC6" w15:done="0"/>
  <w15:commentEx w15:paraId="41F459C6" w15:done="0"/>
  <w15:commentEx w15:paraId="25864E5F" w15:done="0"/>
  <w15:commentEx w15:paraId="37E63D2E" w15:done="0"/>
  <w15:commentEx w15:paraId="1A043DAD" w15:done="0"/>
  <w15:commentEx w15:paraId="4897734E" w15:done="0"/>
  <w15:commentEx w15:paraId="45C69830" w15:done="0"/>
  <w15:commentEx w15:paraId="41F9AB95" w15:done="0"/>
  <w15:commentEx w15:paraId="5E80B2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04E8" w14:textId="77777777" w:rsidR="00A6302C" w:rsidRDefault="00A6302C" w:rsidP="00121435">
      <w:pPr>
        <w:spacing w:line="240" w:lineRule="auto"/>
      </w:pPr>
      <w:r>
        <w:separator/>
      </w:r>
    </w:p>
  </w:endnote>
  <w:endnote w:type="continuationSeparator" w:id="0">
    <w:p w14:paraId="1FE98AF9" w14:textId="77777777" w:rsidR="00A6302C" w:rsidRDefault="00A6302C" w:rsidP="00121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F399" w14:textId="77777777" w:rsidR="00A6302C" w:rsidRDefault="00A6302C" w:rsidP="00121435">
      <w:pPr>
        <w:spacing w:line="240" w:lineRule="auto"/>
      </w:pPr>
      <w:r>
        <w:separator/>
      </w:r>
    </w:p>
  </w:footnote>
  <w:footnote w:type="continuationSeparator" w:id="0">
    <w:p w14:paraId="39EE4059" w14:textId="77777777" w:rsidR="00A6302C" w:rsidRDefault="00A6302C" w:rsidP="001214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53815"/>
      <w:docPartObj>
        <w:docPartGallery w:val="Page Numbers (Top of Page)"/>
        <w:docPartUnique/>
      </w:docPartObj>
    </w:sdtPr>
    <w:sdtEndPr/>
    <w:sdtContent>
      <w:p w14:paraId="2872365D" w14:textId="2C4B0A7F" w:rsidR="00A6302C" w:rsidRDefault="00A6302C">
        <w:pPr>
          <w:pStyle w:val="Header"/>
          <w:jc w:val="right"/>
        </w:pPr>
        <w:r>
          <w:fldChar w:fldCharType="begin"/>
        </w:r>
        <w:r>
          <w:instrText xml:space="preserve"> PAGE   \* MERGEFORMAT </w:instrText>
        </w:r>
        <w:r>
          <w:fldChar w:fldCharType="separate"/>
        </w:r>
        <w:r w:rsidR="00DE27C5">
          <w:rPr>
            <w:noProof/>
          </w:rPr>
          <w:t>12</w:t>
        </w:r>
        <w:r>
          <w:rPr>
            <w:noProof/>
          </w:rPr>
          <w:fldChar w:fldCharType="end"/>
        </w:r>
      </w:p>
    </w:sdtContent>
  </w:sdt>
  <w:p w14:paraId="409C489B" w14:textId="77777777" w:rsidR="00A6302C" w:rsidRDefault="00A630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1"/>
  </w:num>
  <w:num w:numId="2">
    <w:abstractNumId w:val="1"/>
  </w:num>
  <w:num w:numId="3">
    <w:abstractNumId w:val="0"/>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C8"/>
    <w:rsid w:val="00000EB0"/>
    <w:rsid w:val="00015555"/>
    <w:rsid w:val="000216A7"/>
    <w:rsid w:val="00022E9A"/>
    <w:rsid w:val="00030EBC"/>
    <w:rsid w:val="00047FF4"/>
    <w:rsid w:val="00051A03"/>
    <w:rsid w:val="00051B73"/>
    <w:rsid w:val="000535F0"/>
    <w:rsid w:val="00054021"/>
    <w:rsid w:val="00054B9C"/>
    <w:rsid w:val="00083945"/>
    <w:rsid w:val="000967D5"/>
    <w:rsid w:val="000C06F9"/>
    <w:rsid w:val="000C0E11"/>
    <w:rsid w:val="000D44EF"/>
    <w:rsid w:val="000E0476"/>
    <w:rsid w:val="000E36D9"/>
    <w:rsid w:val="000E463F"/>
    <w:rsid w:val="000F27C4"/>
    <w:rsid w:val="001030A4"/>
    <w:rsid w:val="001046CE"/>
    <w:rsid w:val="00116897"/>
    <w:rsid w:val="00117550"/>
    <w:rsid w:val="00121435"/>
    <w:rsid w:val="001310D6"/>
    <w:rsid w:val="00136013"/>
    <w:rsid w:val="00143B70"/>
    <w:rsid w:val="0014525E"/>
    <w:rsid w:val="001529CB"/>
    <w:rsid w:val="001531EB"/>
    <w:rsid w:val="00162E20"/>
    <w:rsid w:val="0016795C"/>
    <w:rsid w:val="001A0288"/>
    <w:rsid w:val="001A61DF"/>
    <w:rsid w:val="001A6818"/>
    <w:rsid w:val="001B6C31"/>
    <w:rsid w:val="001C7D28"/>
    <w:rsid w:val="001F5AB1"/>
    <w:rsid w:val="002056BC"/>
    <w:rsid w:val="00206616"/>
    <w:rsid w:val="002161CF"/>
    <w:rsid w:val="00221603"/>
    <w:rsid w:val="00230CE5"/>
    <w:rsid w:val="002310EC"/>
    <w:rsid w:val="00241DE4"/>
    <w:rsid w:val="002620EF"/>
    <w:rsid w:val="002731FE"/>
    <w:rsid w:val="002737D6"/>
    <w:rsid w:val="002A1878"/>
    <w:rsid w:val="002A1D59"/>
    <w:rsid w:val="002A6BB3"/>
    <w:rsid w:val="002B5B78"/>
    <w:rsid w:val="002C0F85"/>
    <w:rsid w:val="002C1410"/>
    <w:rsid w:val="002C6B47"/>
    <w:rsid w:val="002D6BF4"/>
    <w:rsid w:val="002F3878"/>
    <w:rsid w:val="002F7CFE"/>
    <w:rsid w:val="00306458"/>
    <w:rsid w:val="00315080"/>
    <w:rsid w:val="003200A7"/>
    <w:rsid w:val="00323144"/>
    <w:rsid w:val="003240F3"/>
    <w:rsid w:val="00324EE8"/>
    <w:rsid w:val="00326D03"/>
    <w:rsid w:val="00326DBF"/>
    <w:rsid w:val="00327F4D"/>
    <w:rsid w:val="00330217"/>
    <w:rsid w:val="00333493"/>
    <w:rsid w:val="0033730A"/>
    <w:rsid w:val="0034176D"/>
    <w:rsid w:val="00341E8F"/>
    <w:rsid w:val="00357D0E"/>
    <w:rsid w:val="00363F6D"/>
    <w:rsid w:val="00383651"/>
    <w:rsid w:val="0039059B"/>
    <w:rsid w:val="00390F80"/>
    <w:rsid w:val="00393FB2"/>
    <w:rsid w:val="00397A7D"/>
    <w:rsid w:val="003A22B4"/>
    <w:rsid w:val="003B2773"/>
    <w:rsid w:val="003D7114"/>
    <w:rsid w:val="003F1E33"/>
    <w:rsid w:val="003F537D"/>
    <w:rsid w:val="003F68AF"/>
    <w:rsid w:val="004045C0"/>
    <w:rsid w:val="004166BC"/>
    <w:rsid w:val="004548B8"/>
    <w:rsid w:val="0046020A"/>
    <w:rsid w:val="0046575C"/>
    <w:rsid w:val="00466092"/>
    <w:rsid w:val="00472A5D"/>
    <w:rsid w:val="00484F54"/>
    <w:rsid w:val="004945A6"/>
    <w:rsid w:val="004B2C26"/>
    <w:rsid w:val="004C1DAD"/>
    <w:rsid w:val="004D781F"/>
    <w:rsid w:val="004E62BE"/>
    <w:rsid w:val="004F5982"/>
    <w:rsid w:val="00500278"/>
    <w:rsid w:val="00521CCC"/>
    <w:rsid w:val="00534979"/>
    <w:rsid w:val="00536084"/>
    <w:rsid w:val="00537A94"/>
    <w:rsid w:val="00537FB6"/>
    <w:rsid w:val="0054076E"/>
    <w:rsid w:val="00553DA8"/>
    <w:rsid w:val="00561786"/>
    <w:rsid w:val="0056279B"/>
    <w:rsid w:val="0056364A"/>
    <w:rsid w:val="00563B44"/>
    <w:rsid w:val="005670C5"/>
    <w:rsid w:val="00582D13"/>
    <w:rsid w:val="005A2D19"/>
    <w:rsid w:val="005B0B7D"/>
    <w:rsid w:val="005B4602"/>
    <w:rsid w:val="005D27D9"/>
    <w:rsid w:val="005D2BBB"/>
    <w:rsid w:val="005D4A5D"/>
    <w:rsid w:val="005D79E5"/>
    <w:rsid w:val="006009C7"/>
    <w:rsid w:val="00601FAB"/>
    <w:rsid w:val="006103F2"/>
    <w:rsid w:val="0063535F"/>
    <w:rsid w:val="0064083B"/>
    <w:rsid w:val="00645831"/>
    <w:rsid w:val="00646A34"/>
    <w:rsid w:val="00652729"/>
    <w:rsid w:val="00654CF4"/>
    <w:rsid w:val="00656FD9"/>
    <w:rsid w:val="00665C29"/>
    <w:rsid w:val="0067759B"/>
    <w:rsid w:val="006A463C"/>
    <w:rsid w:val="006A5386"/>
    <w:rsid w:val="006B4B9A"/>
    <w:rsid w:val="006C0620"/>
    <w:rsid w:val="006C7351"/>
    <w:rsid w:val="006D4B2C"/>
    <w:rsid w:val="006D5538"/>
    <w:rsid w:val="0071099A"/>
    <w:rsid w:val="00731507"/>
    <w:rsid w:val="007341D6"/>
    <w:rsid w:val="0074121E"/>
    <w:rsid w:val="007412D4"/>
    <w:rsid w:val="0075513F"/>
    <w:rsid w:val="00756C0E"/>
    <w:rsid w:val="00757161"/>
    <w:rsid w:val="00765D78"/>
    <w:rsid w:val="0077166F"/>
    <w:rsid w:val="007A5482"/>
    <w:rsid w:val="007B12AE"/>
    <w:rsid w:val="007B4309"/>
    <w:rsid w:val="007B57AB"/>
    <w:rsid w:val="007C17E3"/>
    <w:rsid w:val="007C225C"/>
    <w:rsid w:val="007C686F"/>
    <w:rsid w:val="007F4776"/>
    <w:rsid w:val="007F670C"/>
    <w:rsid w:val="008005DF"/>
    <w:rsid w:val="00805609"/>
    <w:rsid w:val="0082446B"/>
    <w:rsid w:val="008343BF"/>
    <w:rsid w:val="00837830"/>
    <w:rsid w:val="00842009"/>
    <w:rsid w:val="00850E0C"/>
    <w:rsid w:val="00852D97"/>
    <w:rsid w:val="00881D43"/>
    <w:rsid w:val="008A17E5"/>
    <w:rsid w:val="008A1FE4"/>
    <w:rsid w:val="008A2446"/>
    <w:rsid w:val="008A408C"/>
    <w:rsid w:val="008A417E"/>
    <w:rsid w:val="008C074E"/>
    <w:rsid w:val="008C28C1"/>
    <w:rsid w:val="008E2617"/>
    <w:rsid w:val="008E3165"/>
    <w:rsid w:val="008E425D"/>
    <w:rsid w:val="008F3CDF"/>
    <w:rsid w:val="008F77B1"/>
    <w:rsid w:val="00900979"/>
    <w:rsid w:val="009031A7"/>
    <w:rsid w:val="0090641F"/>
    <w:rsid w:val="009104EF"/>
    <w:rsid w:val="00912EE8"/>
    <w:rsid w:val="0091775A"/>
    <w:rsid w:val="0093036F"/>
    <w:rsid w:val="00931CEA"/>
    <w:rsid w:val="009334E3"/>
    <w:rsid w:val="0093494E"/>
    <w:rsid w:val="00937EF0"/>
    <w:rsid w:val="009409AF"/>
    <w:rsid w:val="00944343"/>
    <w:rsid w:val="0094635F"/>
    <w:rsid w:val="009513B0"/>
    <w:rsid w:val="00952B72"/>
    <w:rsid w:val="00966756"/>
    <w:rsid w:val="009719C8"/>
    <w:rsid w:val="009739F0"/>
    <w:rsid w:val="00973F1E"/>
    <w:rsid w:val="00980FBC"/>
    <w:rsid w:val="00983CF7"/>
    <w:rsid w:val="00983FAA"/>
    <w:rsid w:val="0099615C"/>
    <w:rsid w:val="009A0CB5"/>
    <w:rsid w:val="009B5990"/>
    <w:rsid w:val="009C14B9"/>
    <w:rsid w:val="009C3C9A"/>
    <w:rsid w:val="009D3D63"/>
    <w:rsid w:val="009D3FCF"/>
    <w:rsid w:val="009E0CFE"/>
    <w:rsid w:val="009E2D6B"/>
    <w:rsid w:val="009E31CA"/>
    <w:rsid w:val="009F0B2A"/>
    <w:rsid w:val="009F29FA"/>
    <w:rsid w:val="00A01583"/>
    <w:rsid w:val="00A02A11"/>
    <w:rsid w:val="00A03D18"/>
    <w:rsid w:val="00A145F3"/>
    <w:rsid w:val="00A178D8"/>
    <w:rsid w:val="00A22C9A"/>
    <w:rsid w:val="00A40371"/>
    <w:rsid w:val="00A417DF"/>
    <w:rsid w:val="00A464DC"/>
    <w:rsid w:val="00A521C3"/>
    <w:rsid w:val="00A6302C"/>
    <w:rsid w:val="00A63684"/>
    <w:rsid w:val="00A71075"/>
    <w:rsid w:val="00A835A1"/>
    <w:rsid w:val="00AA0CF8"/>
    <w:rsid w:val="00AA0D79"/>
    <w:rsid w:val="00AA0F4F"/>
    <w:rsid w:val="00AB5690"/>
    <w:rsid w:val="00B012F6"/>
    <w:rsid w:val="00B01B9C"/>
    <w:rsid w:val="00B06883"/>
    <w:rsid w:val="00B11660"/>
    <w:rsid w:val="00B163B0"/>
    <w:rsid w:val="00B17797"/>
    <w:rsid w:val="00B239FC"/>
    <w:rsid w:val="00B2626E"/>
    <w:rsid w:val="00B26B75"/>
    <w:rsid w:val="00B33DB1"/>
    <w:rsid w:val="00B460EB"/>
    <w:rsid w:val="00B52220"/>
    <w:rsid w:val="00B537B4"/>
    <w:rsid w:val="00B72FB1"/>
    <w:rsid w:val="00B7333E"/>
    <w:rsid w:val="00B755DA"/>
    <w:rsid w:val="00BA15BA"/>
    <w:rsid w:val="00BA1D00"/>
    <w:rsid w:val="00BA2F3F"/>
    <w:rsid w:val="00BA642A"/>
    <w:rsid w:val="00BC019F"/>
    <w:rsid w:val="00BC3154"/>
    <w:rsid w:val="00BD5860"/>
    <w:rsid w:val="00BF7D94"/>
    <w:rsid w:val="00C11B83"/>
    <w:rsid w:val="00C14ED9"/>
    <w:rsid w:val="00C21297"/>
    <w:rsid w:val="00C32C37"/>
    <w:rsid w:val="00C32F06"/>
    <w:rsid w:val="00C43C35"/>
    <w:rsid w:val="00C51A75"/>
    <w:rsid w:val="00C55068"/>
    <w:rsid w:val="00C61215"/>
    <w:rsid w:val="00C64F03"/>
    <w:rsid w:val="00C66E5D"/>
    <w:rsid w:val="00C82455"/>
    <w:rsid w:val="00C83CE2"/>
    <w:rsid w:val="00C878F0"/>
    <w:rsid w:val="00C9272B"/>
    <w:rsid w:val="00C92DB8"/>
    <w:rsid w:val="00C94C32"/>
    <w:rsid w:val="00C9672A"/>
    <w:rsid w:val="00CA03C1"/>
    <w:rsid w:val="00CC163A"/>
    <w:rsid w:val="00CC381A"/>
    <w:rsid w:val="00CD2876"/>
    <w:rsid w:val="00CD5A4E"/>
    <w:rsid w:val="00CE1489"/>
    <w:rsid w:val="00CE1F6B"/>
    <w:rsid w:val="00CE4A25"/>
    <w:rsid w:val="00CE57D1"/>
    <w:rsid w:val="00CF0B09"/>
    <w:rsid w:val="00CF5B28"/>
    <w:rsid w:val="00D261C0"/>
    <w:rsid w:val="00D27586"/>
    <w:rsid w:val="00D33495"/>
    <w:rsid w:val="00D35D59"/>
    <w:rsid w:val="00D474C4"/>
    <w:rsid w:val="00D553E7"/>
    <w:rsid w:val="00D80AE2"/>
    <w:rsid w:val="00D866C6"/>
    <w:rsid w:val="00D90DD1"/>
    <w:rsid w:val="00D93213"/>
    <w:rsid w:val="00D9750A"/>
    <w:rsid w:val="00DB3AA5"/>
    <w:rsid w:val="00DB5912"/>
    <w:rsid w:val="00DB75DA"/>
    <w:rsid w:val="00DE27C5"/>
    <w:rsid w:val="00DE3EB3"/>
    <w:rsid w:val="00DE4CB9"/>
    <w:rsid w:val="00DE5D0F"/>
    <w:rsid w:val="00DF2189"/>
    <w:rsid w:val="00E12B83"/>
    <w:rsid w:val="00E140EB"/>
    <w:rsid w:val="00E16826"/>
    <w:rsid w:val="00E259FF"/>
    <w:rsid w:val="00E27890"/>
    <w:rsid w:val="00E31F01"/>
    <w:rsid w:val="00E37B85"/>
    <w:rsid w:val="00E713CA"/>
    <w:rsid w:val="00E81661"/>
    <w:rsid w:val="00E952CB"/>
    <w:rsid w:val="00EA7D6A"/>
    <w:rsid w:val="00EC098B"/>
    <w:rsid w:val="00EC16C0"/>
    <w:rsid w:val="00EC691C"/>
    <w:rsid w:val="00ED422C"/>
    <w:rsid w:val="00ED6508"/>
    <w:rsid w:val="00EE415A"/>
    <w:rsid w:val="00EE6E0D"/>
    <w:rsid w:val="00EE6E34"/>
    <w:rsid w:val="00EF42E3"/>
    <w:rsid w:val="00F04B19"/>
    <w:rsid w:val="00F06C5E"/>
    <w:rsid w:val="00F12AA6"/>
    <w:rsid w:val="00F15242"/>
    <w:rsid w:val="00F26AB5"/>
    <w:rsid w:val="00F32B14"/>
    <w:rsid w:val="00F431C3"/>
    <w:rsid w:val="00F4358B"/>
    <w:rsid w:val="00F54E48"/>
    <w:rsid w:val="00F64C75"/>
    <w:rsid w:val="00F924CA"/>
    <w:rsid w:val="00F93BA7"/>
    <w:rsid w:val="00F97A69"/>
    <w:rsid w:val="00FA43EB"/>
    <w:rsid w:val="00FA5B7D"/>
    <w:rsid w:val="00FA5DCA"/>
    <w:rsid w:val="00FB2ED1"/>
    <w:rsid w:val="00FB5783"/>
    <w:rsid w:val="00FB59B1"/>
    <w:rsid w:val="00FC185B"/>
    <w:rsid w:val="00FC6B43"/>
    <w:rsid w:val="00FC6B77"/>
    <w:rsid w:val="00FC6C9F"/>
    <w:rsid w:val="00FD2F0E"/>
    <w:rsid w:val="00FD31FE"/>
    <w:rsid w:val="00FD3D17"/>
    <w:rsid w:val="00FD6E85"/>
    <w:rsid w:val="00FE3917"/>
    <w:rsid w:val="00FE5071"/>
    <w:rsid w:val="00FE6D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3F1E33"/>
    <w:rPr>
      <w:rFonts w:ascii="Times New Roman" w:hAnsi="Times New Roman" w:cs="Times New Roman"/>
      <w:kern w:val="24"/>
    </w:rPr>
  </w:style>
  <w:style w:type="paragraph" w:styleId="Heading1">
    <w:name w:val="heading 1"/>
    <w:basedOn w:val="Normal"/>
    <w:next w:val="Normal"/>
    <w:link w:val="Heading1Char"/>
    <w:uiPriority w:val="3"/>
    <w:qFormat/>
    <w:rsid w:val="0046020A"/>
    <w:pPr>
      <w:keepNext/>
      <w:keepLines/>
      <w:ind w:firstLine="0"/>
      <w:jc w:val="center"/>
      <w:outlineLvl w:val="0"/>
    </w:pPr>
    <w:rPr>
      <w:rFonts w:eastAsiaTheme="majorEastAsia"/>
      <w:b/>
      <w:bCs/>
    </w:rPr>
  </w:style>
  <w:style w:type="paragraph" w:styleId="Heading2">
    <w:name w:val="heading 2"/>
    <w:basedOn w:val="Normal"/>
    <w:next w:val="Normal"/>
    <w:link w:val="Heading2Char"/>
    <w:uiPriority w:val="3"/>
    <w:unhideWhenUsed/>
    <w:qFormat/>
    <w:rsid w:val="0046020A"/>
    <w:pPr>
      <w:keepNext/>
      <w:keepLines/>
      <w:ind w:firstLine="0"/>
      <w:outlineLvl w:val="1"/>
    </w:pPr>
    <w:rPr>
      <w:rFonts w:eastAsiaTheme="majorEastAsia"/>
      <w:b/>
      <w:bCs/>
    </w:rPr>
  </w:style>
  <w:style w:type="paragraph" w:styleId="Heading3">
    <w:name w:val="heading 3"/>
    <w:basedOn w:val="Normal"/>
    <w:next w:val="Normal"/>
    <w:link w:val="Heading3Char"/>
    <w:uiPriority w:val="3"/>
    <w:unhideWhenUsed/>
    <w:qFormat/>
    <w:rsid w:val="0046020A"/>
    <w:pPr>
      <w:keepNext/>
      <w:keepLines/>
      <w:outlineLvl w:val="2"/>
    </w:pPr>
    <w:rPr>
      <w:rFonts w:eastAsiaTheme="majorEastAsia"/>
      <w:b/>
      <w:bCs/>
    </w:rPr>
  </w:style>
  <w:style w:type="paragraph" w:styleId="Heading4">
    <w:name w:val="heading 4"/>
    <w:basedOn w:val="Normal"/>
    <w:next w:val="Normal"/>
    <w:link w:val="Heading4Char"/>
    <w:uiPriority w:val="3"/>
    <w:semiHidden/>
    <w:unhideWhenUsed/>
    <w:qFormat/>
    <w:rsid w:val="007412D4"/>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semiHidden/>
    <w:unhideWhenUsed/>
    <w:qFormat/>
    <w:rsid w:val="007412D4"/>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7412D4"/>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7412D4"/>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7412D4"/>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412D4"/>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9719C8"/>
    <w:rPr>
      <w:rFonts w:ascii="Courier New" w:eastAsia="Times New Roman" w:hAnsi="Courier New" w:cs="Courier New"/>
      <w:sz w:val="20"/>
      <w:szCs w:val="20"/>
      <w:lang w:eastAsia="de-DE"/>
    </w:rPr>
  </w:style>
  <w:style w:type="character" w:styleId="HTMLCode">
    <w:name w:val="HTML Code"/>
    <w:basedOn w:val="DefaultParagraphFont"/>
    <w:uiPriority w:val="99"/>
    <w:semiHidden/>
    <w:unhideWhenUsed/>
    <w:rsid w:val="009719C8"/>
    <w:rPr>
      <w:rFonts w:ascii="Courier New" w:eastAsia="Times New Roman" w:hAnsi="Courier New" w:cs="Courier New"/>
      <w:sz w:val="20"/>
      <w:szCs w:val="20"/>
    </w:rPr>
  </w:style>
  <w:style w:type="table" w:styleId="TableGrid">
    <w:name w:val="Table Grid"/>
    <w:basedOn w:val="TableNormal"/>
    <w:uiPriority w:val="59"/>
    <w:rsid w:val="000155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3"/>
    <w:rsid w:val="0046020A"/>
    <w:rPr>
      <w:rFonts w:ascii="Times New Roman" w:eastAsiaTheme="majorEastAsia" w:hAnsi="Times New Roman" w:cs="Times New Roman"/>
      <w:b/>
      <w:bCs/>
      <w:kern w:val="24"/>
    </w:rPr>
  </w:style>
  <w:style w:type="paragraph" w:styleId="BalloonText">
    <w:name w:val="Balloon Text"/>
    <w:basedOn w:val="Normal"/>
    <w:link w:val="BalloonTextChar"/>
    <w:uiPriority w:val="99"/>
    <w:semiHidden/>
    <w:unhideWhenUsed/>
    <w:rsid w:val="00205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BC"/>
    <w:rPr>
      <w:rFonts w:ascii="Tahoma" w:hAnsi="Tahoma" w:cs="Tahoma"/>
      <w:sz w:val="16"/>
      <w:szCs w:val="16"/>
      <w:lang w:val="en-US"/>
    </w:rPr>
  </w:style>
  <w:style w:type="character" w:customStyle="1" w:styleId="Heading1Char">
    <w:name w:val="Heading 1 Char"/>
    <w:basedOn w:val="DefaultParagraphFont"/>
    <w:link w:val="Heading1"/>
    <w:uiPriority w:val="3"/>
    <w:rsid w:val="0046020A"/>
    <w:rPr>
      <w:rFonts w:ascii="Times New Roman" w:eastAsiaTheme="majorEastAsia" w:hAnsi="Times New Roman" w:cs="Times New Roman"/>
      <w:b/>
      <w:bCs/>
      <w:kern w:val="24"/>
    </w:rPr>
  </w:style>
  <w:style w:type="character" w:customStyle="1" w:styleId="Heading3Char">
    <w:name w:val="Heading 3 Char"/>
    <w:basedOn w:val="DefaultParagraphFont"/>
    <w:link w:val="Heading3"/>
    <w:uiPriority w:val="3"/>
    <w:rsid w:val="0046020A"/>
    <w:rPr>
      <w:rFonts w:ascii="Times New Roman" w:eastAsiaTheme="majorEastAsia" w:hAnsi="Times New Roman" w:cs="Times New Roman"/>
      <w:b/>
      <w:bCs/>
      <w:kern w:val="24"/>
    </w:rPr>
  </w:style>
  <w:style w:type="character" w:customStyle="1" w:styleId="Heading4Char">
    <w:name w:val="Heading 4 Char"/>
    <w:basedOn w:val="DefaultParagraphFont"/>
    <w:link w:val="Heading4"/>
    <w:uiPriority w:val="3"/>
    <w:rsid w:val="007412D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7412D4"/>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7412D4"/>
    <w:rPr>
      <w:rFonts w:asciiTheme="majorHAnsi" w:eastAsiaTheme="majorEastAsia" w:hAnsiTheme="majorHAnsi" w:cstheme="majorBidi"/>
      <w:color w:val="243F60" w:themeColor="accent1" w:themeShade="7F"/>
      <w:kern w:val="24"/>
    </w:rPr>
  </w:style>
  <w:style w:type="character" w:customStyle="1" w:styleId="Heading7Char">
    <w:name w:val="Heading 7 Char"/>
    <w:basedOn w:val="DefaultParagraphFont"/>
    <w:link w:val="Heading7"/>
    <w:uiPriority w:val="9"/>
    <w:semiHidden/>
    <w:rsid w:val="007412D4"/>
    <w:rPr>
      <w:rFonts w:asciiTheme="majorHAnsi" w:eastAsiaTheme="majorEastAsia" w:hAnsiTheme="majorHAnsi" w:cstheme="majorBidi"/>
      <w:i/>
      <w:iCs/>
      <w:color w:val="243F60" w:themeColor="accent1" w:themeShade="7F"/>
      <w:kern w:val="24"/>
    </w:rPr>
  </w:style>
  <w:style w:type="character" w:customStyle="1" w:styleId="Heading8Char">
    <w:name w:val="Heading 8 Char"/>
    <w:basedOn w:val="DefaultParagraphFont"/>
    <w:link w:val="Heading8"/>
    <w:uiPriority w:val="9"/>
    <w:semiHidden/>
    <w:rsid w:val="007412D4"/>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7412D4"/>
    <w:rPr>
      <w:rFonts w:asciiTheme="majorHAnsi" w:eastAsiaTheme="majorEastAsia" w:hAnsiTheme="majorHAnsi" w:cstheme="majorBidi"/>
      <w:i/>
      <w:iCs/>
      <w:color w:val="272727" w:themeColor="text1" w:themeTint="D8"/>
      <w:kern w:val="24"/>
      <w:sz w:val="21"/>
      <w:szCs w:val="21"/>
    </w:rPr>
  </w:style>
  <w:style w:type="paragraph" w:styleId="Header">
    <w:name w:val="header"/>
    <w:basedOn w:val="Normal"/>
    <w:link w:val="HeaderChar"/>
    <w:uiPriority w:val="99"/>
    <w:unhideWhenUsed/>
    <w:qFormat/>
    <w:rsid w:val="007412D4"/>
    <w:pPr>
      <w:spacing w:line="240" w:lineRule="auto"/>
      <w:ind w:firstLine="0"/>
    </w:pPr>
  </w:style>
  <w:style w:type="character" w:customStyle="1" w:styleId="HeaderChar">
    <w:name w:val="Header Char"/>
    <w:basedOn w:val="DefaultParagraphFont"/>
    <w:link w:val="Header"/>
    <w:uiPriority w:val="99"/>
    <w:rsid w:val="007412D4"/>
    <w:rPr>
      <w:kern w:val="24"/>
    </w:rPr>
  </w:style>
  <w:style w:type="paragraph" w:styleId="Caption">
    <w:name w:val="caption"/>
    <w:basedOn w:val="Normal"/>
    <w:next w:val="Normal"/>
    <w:uiPriority w:val="35"/>
    <w:semiHidden/>
    <w:unhideWhenUsed/>
    <w:qFormat/>
    <w:rsid w:val="007412D4"/>
    <w:pPr>
      <w:spacing w:after="200" w:line="240" w:lineRule="auto"/>
      <w:ind w:firstLine="0"/>
    </w:pPr>
    <w:rPr>
      <w:i/>
      <w:iCs/>
      <w:color w:val="1F497D" w:themeColor="text2"/>
      <w:sz w:val="18"/>
      <w:szCs w:val="18"/>
    </w:rPr>
  </w:style>
  <w:style w:type="character" w:styleId="FootnoteReference">
    <w:name w:val="footnote reference"/>
    <w:basedOn w:val="DefaultParagraphFont"/>
    <w:uiPriority w:val="99"/>
    <w:semiHidden/>
    <w:unhideWhenUsed/>
    <w:qFormat/>
    <w:rsid w:val="007412D4"/>
    <w:rPr>
      <w:vertAlign w:val="superscript"/>
    </w:rPr>
  </w:style>
  <w:style w:type="paragraph" w:styleId="ListBullet">
    <w:name w:val="List Bullet"/>
    <w:basedOn w:val="Normal"/>
    <w:uiPriority w:val="9"/>
    <w:semiHidden/>
    <w:unhideWhenUsed/>
    <w:qFormat/>
    <w:rsid w:val="007412D4"/>
    <w:pPr>
      <w:numPr>
        <w:numId w:val="2"/>
      </w:numPr>
      <w:contextualSpacing/>
    </w:pPr>
  </w:style>
  <w:style w:type="paragraph" w:styleId="ListNumber">
    <w:name w:val="List Number"/>
    <w:basedOn w:val="Normal"/>
    <w:uiPriority w:val="9"/>
    <w:semiHidden/>
    <w:unhideWhenUsed/>
    <w:qFormat/>
    <w:rsid w:val="007412D4"/>
    <w:pPr>
      <w:numPr>
        <w:numId w:val="4"/>
      </w:numPr>
      <w:contextualSpacing/>
    </w:pPr>
  </w:style>
  <w:style w:type="paragraph" w:styleId="Title">
    <w:name w:val="Title"/>
    <w:basedOn w:val="Normal"/>
    <w:next w:val="Normal"/>
    <w:link w:val="TitleChar"/>
    <w:uiPriority w:val="10"/>
    <w:qFormat/>
    <w:rsid w:val="0046020A"/>
    <w:pPr>
      <w:spacing w:before="2400"/>
      <w:ind w:firstLine="0"/>
      <w:contextualSpacing/>
      <w:jc w:val="center"/>
    </w:pPr>
    <w:rPr>
      <w:rFonts w:eastAsiaTheme="majorEastAsia"/>
    </w:rPr>
  </w:style>
  <w:style w:type="character" w:customStyle="1" w:styleId="TitleChar">
    <w:name w:val="Title Char"/>
    <w:basedOn w:val="DefaultParagraphFont"/>
    <w:link w:val="Title"/>
    <w:uiPriority w:val="10"/>
    <w:rsid w:val="0046020A"/>
    <w:rPr>
      <w:rFonts w:ascii="Times New Roman" w:eastAsiaTheme="majorEastAsia" w:hAnsi="Times New Roman" w:cs="Times New Roman"/>
      <w:kern w:val="24"/>
    </w:rPr>
  </w:style>
  <w:style w:type="character" w:styleId="Strong">
    <w:name w:val="Strong"/>
    <w:basedOn w:val="DefaultParagraphFont"/>
    <w:uiPriority w:val="22"/>
    <w:unhideWhenUsed/>
    <w:qFormat/>
    <w:rsid w:val="007412D4"/>
    <w:rPr>
      <w:b w:val="0"/>
      <w:bCs w:val="0"/>
      <w:caps/>
      <w:smallCaps w:val="0"/>
    </w:rPr>
  </w:style>
  <w:style w:type="character" w:styleId="Emphasis">
    <w:name w:val="Emphasis"/>
    <w:basedOn w:val="DefaultParagraphFont"/>
    <w:uiPriority w:val="20"/>
    <w:unhideWhenUsed/>
    <w:qFormat/>
    <w:rsid w:val="007412D4"/>
    <w:rPr>
      <w:i/>
      <w:iCs/>
    </w:rPr>
  </w:style>
  <w:style w:type="paragraph" w:styleId="NoSpacing">
    <w:name w:val="No Spacing"/>
    <w:aliases w:val="No Indent"/>
    <w:uiPriority w:val="1"/>
    <w:qFormat/>
    <w:rsid w:val="007412D4"/>
    <w:pPr>
      <w:ind w:firstLine="0"/>
    </w:pPr>
  </w:style>
  <w:style w:type="paragraph" w:styleId="ListParagraph">
    <w:name w:val="List Paragraph"/>
    <w:basedOn w:val="Normal"/>
    <w:uiPriority w:val="34"/>
    <w:unhideWhenUsed/>
    <w:qFormat/>
    <w:rsid w:val="007412D4"/>
    <w:pPr>
      <w:ind w:left="720" w:firstLine="0"/>
      <w:contextualSpacing/>
    </w:pPr>
  </w:style>
  <w:style w:type="paragraph" w:styleId="Quote">
    <w:name w:val="Quote"/>
    <w:basedOn w:val="Normal"/>
    <w:next w:val="Normal"/>
    <w:link w:val="QuoteChar"/>
    <w:uiPriority w:val="29"/>
    <w:unhideWhenUsed/>
    <w:qFormat/>
    <w:rsid w:val="007412D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7412D4"/>
    <w:rPr>
      <w:i/>
      <w:iCs/>
      <w:color w:val="404040" w:themeColor="text1" w:themeTint="BF"/>
      <w:kern w:val="24"/>
    </w:rPr>
  </w:style>
  <w:style w:type="paragraph" w:styleId="IntenseQuote">
    <w:name w:val="Intense Quote"/>
    <w:basedOn w:val="Normal"/>
    <w:next w:val="Normal"/>
    <w:link w:val="IntenseQuoteChar"/>
    <w:uiPriority w:val="30"/>
    <w:unhideWhenUsed/>
    <w:qFormat/>
    <w:rsid w:val="007412D4"/>
    <w:pPr>
      <w:pBdr>
        <w:top w:val="single" w:sz="4" w:space="10" w:color="4F81BD" w:themeColor="accent1"/>
        <w:bottom w:val="single" w:sz="4" w:space="10" w:color="4F81BD" w:themeColor="accent1"/>
      </w:pBdr>
      <w:spacing w:before="360" w:after="360"/>
      <w:ind w:left="864" w:right="864" w:firstLine="0"/>
      <w:jc w:val="center"/>
    </w:pPr>
    <w:rPr>
      <w:i/>
      <w:iCs/>
      <w:color w:val="4F81BD" w:themeColor="accent1"/>
    </w:rPr>
  </w:style>
  <w:style w:type="character" w:customStyle="1" w:styleId="IntenseQuoteChar">
    <w:name w:val="Intense Quote Char"/>
    <w:basedOn w:val="DefaultParagraphFont"/>
    <w:link w:val="IntenseQuote"/>
    <w:uiPriority w:val="30"/>
    <w:rsid w:val="007412D4"/>
    <w:rPr>
      <w:i/>
      <w:iCs/>
      <w:color w:val="4F81BD" w:themeColor="accent1"/>
      <w:kern w:val="24"/>
    </w:rPr>
  </w:style>
  <w:style w:type="paragraph" w:styleId="Bibliography">
    <w:name w:val="Bibliography"/>
    <w:basedOn w:val="Normal"/>
    <w:next w:val="Normal"/>
    <w:uiPriority w:val="37"/>
    <w:unhideWhenUsed/>
    <w:qFormat/>
    <w:rsid w:val="007412D4"/>
    <w:pPr>
      <w:ind w:left="720" w:hanging="720"/>
    </w:pPr>
  </w:style>
  <w:style w:type="paragraph" w:customStyle="1" w:styleId="SectionTitle">
    <w:name w:val="Section Title"/>
    <w:basedOn w:val="Normal"/>
    <w:next w:val="Normal"/>
    <w:uiPriority w:val="2"/>
    <w:qFormat/>
    <w:rsid w:val="007412D4"/>
    <w:pPr>
      <w:pageBreakBefore/>
      <w:ind w:firstLine="0"/>
      <w:jc w:val="center"/>
      <w:outlineLvl w:val="0"/>
    </w:pPr>
    <w:rPr>
      <w:rFonts w:asciiTheme="majorHAnsi" w:eastAsiaTheme="majorEastAsia" w:hAnsiTheme="majorHAnsi" w:cstheme="majorBidi"/>
    </w:rPr>
  </w:style>
  <w:style w:type="paragraph" w:customStyle="1" w:styleId="Title2">
    <w:name w:val="Title 2"/>
    <w:basedOn w:val="Normal"/>
    <w:uiPriority w:val="10"/>
    <w:qFormat/>
    <w:rsid w:val="0046020A"/>
    <w:pPr>
      <w:ind w:firstLine="0"/>
      <w:jc w:val="center"/>
    </w:pPr>
  </w:style>
  <w:style w:type="paragraph" w:customStyle="1" w:styleId="TableFigure">
    <w:name w:val="Table/Figure"/>
    <w:basedOn w:val="Normal"/>
    <w:uiPriority w:val="4"/>
    <w:qFormat/>
    <w:rsid w:val="007412D4"/>
    <w:pPr>
      <w:spacing w:before="240"/>
      <w:ind w:firstLine="0"/>
      <w:contextualSpacing/>
    </w:pPr>
  </w:style>
  <w:style w:type="character" w:styleId="Hyperlink">
    <w:name w:val="Hyperlink"/>
    <w:basedOn w:val="DefaultParagraphFont"/>
    <w:uiPriority w:val="99"/>
    <w:unhideWhenUsed/>
    <w:rsid w:val="006A463C"/>
    <w:rPr>
      <w:color w:val="0000FF" w:themeColor="hyperlink"/>
      <w:u w:val="single"/>
    </w:rPr>
  </w:style>
  <w:style w:type="character" w:styleId="FollowedHyperlink">
    <w:name w:val="FollowedHyperlink"/>
    <w:basedOn w:val="DefaultParagraphFont"/>
    <w:uiPriority w:val="99"/>
    <w:semiHidden/>
    <w:unhideWhenUsed/>
    <w:rsid w:val="00BA1D00"/>
    <w:rPr>
      <w:color w:val="800080" w:themeColor="followedHyperlink"/>
      <w:u w:val="single"/>
    </w:rPr>
  </w:style>
  <w:style w:type="paragraph" w:styleId="Footer">
    <w:name w:val="footer"/>
    <w:basedOn w:val="Normal"/>
    <w:link w:val="FooterChar"/>
    <w:uiPriority w:val="99"/>
    <w:semiHidden/>
    <w:unhideWhenUsed/>
    <w:rsid w:val="0012143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21435"/>
    <w:rPr>
      <w:rFonts w:ascii="Times New Roman" w:hAnsi="Times New Roman" w:cs="Times New Roman"/>
      <w:kern w:val="24"/>
    </w:rPr>
  </w:style>
  <w:style w:type="character" w:styleId="CommentReference">
    <w:name w:val="annotation reference"/>
    <w:basedOn w:val="DefaultParagraphFont"/>
    <w:uiPriority w:val="99"/>
    <w:semiHidden/>
    <w:unhideWhenUsed/>
    <w:rsid w:val="005B4602"/>
    <w:rPr>
      <w:sz w:val="16"/>
      <w:szCs w:val="16"/>
    </w:rPr>
  </w:style>
  <w:style w:type="paragraph" w:styleId="CommentText">
    <w:name w:val="annotation text"/>
    <w:basedOn w:val="Normal"/>
    <w:link w:val="CommentTextChar"/>
    <w:uiPriority w:val="99"/>
    <w:unhideWhenUsed/>
    <w:rsid w:val="005B4602"/>
    <w:pPr>
      <w:spacing w:line="240" w:lineRule="auto"/>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B4602"/>
    <w:rPr>
      <w:kern w:val="24"/>
      <w:sz w:val="20"/>
      <w:szCs w:val="20"/>
      <w:lang w:eastAsia="en-US"/>
    </w:rPr>
  </w:style>
  <w:style w:type="paragraph" w:styleId="CommentSubject">
    <w:name w:val="annotation subject"/>
    <w:basedOn w:val="CommentText"/>
    <w:next w:val="CommentText"/>
    <w:link w:val="CommentSubjectChar"/>
    <w:uiPriority w:val="99"/>
    <w:semiHidden/>
    <w:unhideWhenUsed/>
    <w:rsid w:val="00221603"/>
    <w:rPr>
      <w:rFonts w:ascii="Times New Roman" w:hAnsi="Times New Roman" w:cs="Times New Roman"/>
      <w:b/>
      <w:bCs/>
      <w:lang w:eastAsia="ja-JP"/>
    </w:rPr>
  </w:style>
  <w:style w:type="character" w:customStyle="1" w:styleId="CommentSubjectChar">
    <w:name w:val="Comment Subject Char"/>
    <w:basedOn w:val="CommentTextChar"/>
    <w:link w:val="CommentSubject"/>
    <w:uiPriority w:val="99"/>
    <w:semiHidden/>
    <w:rsid w:val="00221603"/>
    <w:rPr>
      <w:rFonts w:ascii="Times New Roman" w:hAnsi="Times New Roman" w:cs="Times New Roman"/>
      <w:b/>
      <w:bCs/>
      <w:kern w:val="24"/>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3F1E33"/>
    <w:rPr>
      <w:rFonts w:ascii="Times New Roman" w:hAnsi="Times New Roman" w:cs="Times New Roman"/>
      <w:kern w:val="24"/>
    </w:rPr>
  </w:style>
  <w:style w:type="paragraph" w:styleId="Heading1">
    <w:name w:val="heading 1"/>
    <w:basedOn w:val="Normal"/>
    <w:next w:val="Normal"/>
    <w:link w:val="Heading1Char"/>
    <w:uiPriority w:val="3"/>
    <w:qFormat/>
    <w:rsid w:val="0046020A"/>
    <w:pPr>
      <w:keepNext/>
      <w:keepLines/>
      <w:ind w:firstLine="0"/>
      <w:jc w:val="center"/>
      <w:outlineLvl w:val="0"/>
    </w:pPr>
    <w:rPr>
      <w:rFonts w:eastAsiaTheme="majorEastAsia"/>
      <w:b/>
      <w:bCs/>
    </w:rPr>
  </w:style>
  <w:style w:type="paragraph" w:styleId="Heading2">
    <w:name w:val="heading 2"/>
    <w:basedOn w:val="Normal"/>
    <w:next w:val="Normal"/>
    <w:link w:val="Heading2Char"/>
    <w:uiPriority w:val="3"/>
    <w:unhideWhenUsed/>
    <w:qFormat/>
    <w:rsid w:val="0046020A"/>
    <w:pPr>
      <w:keepNext/>
      <w:keepLines/>
      <w:ind w:firstLine="0"/>
      <w:outlineLvl w:val="1"/>
    </w:pPr>
    <w:rPr>
      <w:rFonts w:eastAsiaTheme="majorEastAsia"/>
      <w:b/>
      <w:bCs/>
    </w:rPr>
  </w:style>
  <w:style w:type="paragraph" w:styleId="Heading3">
    <w:name w:val="heading 3"/>
    <w:basedOn w:val="Normal"/>
    <w:next w:val="Normal"/>
    <w:link w:val="Heading3Char"/>
    <w:uiPriority w:val="3"/>
    <w:unhideWhenUsed/>
    <w:qFormat/>
    <w:rsid w:val="0046020A"/>
    <w:pPr>
      <w:keepNext/>
      <w:keepLines/>
      <w:outlineLvl w:val="2"/>
    </w:pPr>
    <w:rPr>
      <w:rFonts w:eastAsiaTheme="majorEastAsia"/>
      <w:b/>
      <w:bCs/>
    </w:rPr>
  </w:style>
  <w:style w:type="paragraph" w:styleId="Heading4">
    <w:name w:val="heading 4"/>
    <w:basedOn w:val="Normal"/>
    <w:next w:val="Normal"/>
    <w:link w:val="Heading4Char"/>
    <w:uiPriority w:val="3"/>
    <w:semiHidden/>
    <w:unhideWhenUsed/>
    <w:qFormat/>
    <w:rsid w:val="007412D4"/>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semiHidden/>
    <w:unhideWhenUsed/>
    <w:qFormat/>
    <w:rsid w:val="007412D4"/>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7412D4"/>
    <w:pPr>
      <w:keepNext/>
      <w:keepLines/>
      <w:spacing w:before="4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7412D4"/>
    <w:pPr>
      <w:keepNext/>
      <w:keepLines/>
      <w:spacing w:before="4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7412D4"/>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412D4"/>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9719C8"/>
    <w:rPr>
      <w:rFonts w:ascii="Courier New" w:eastAsia="Times New Roman" w:hAnsi="Courier New" w:cs="Courier New"/>
      <w:sz w:val="20"/>
      <w:szCs w:val="20"/>
      <w:lang w:eastAsia="de-DE"/>
    </w:rPr>
  </w:style>
  <w:style w:type="character" w:styleId="HTMLCode">
    <w:name w:val="HTML Code"/>
    <w:basedOn w:val="DefaultParagraphFont"/>
    <w:uiPriority w:val="99"/>
    <w:semiHidden/>
    <w:unhideWhenUsed/>
    <w:rsid w:val="009719C8"/>
    <w:rPr>
      <w:rFonts w:ascii="Courier New" w:eastAsia="Times New Roman" w:hAnsi="Courier New" w:cs="Courier New"/>
      <w:sz w:val="20"/>
      <w:szCs w:val="20"/>
    </w:rPr>
  </w:style>
  <w:style w:type="table" w:styleId="TableGrid">
    <w:name w:val="Table Grid"/>
    <w:basedOn w:val="TableNormal"/>
    <w:uiPriority w:val="59"/>
    <w:rsid w:val="000155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3"/>
    <w:rsid w:val="0046020A"/>
    <w:rPr>
      <w:rFonts w:ascii="Times New Roman" w:eastAsiaTheme="majorEastAsia" w:hAnsi="Times New Roman" w:cs="Times New Roman"/>
      <w:b/>
      <w:bCs/>
      <w:kern w:val="24"/>
    </w:rPr>
  </w:style>
  <w:style w:type="paragraph" w:styleId="BalloonText">
    <w:name w:val="Balloon Text"/>
    <w:basedOn w:val="Normal"/>
    <w:link w:val="BalloonTextChar"/>
    <w:uiPriority w:val="99"/>
    <w:semiHidden/>
    <w:unhideWhenUsed/>
    <w:rsid w:val="00205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BC"/>
    <w:rPr>
      <w:rFonts w:ascii="Tahoma" w:hAnsi="Tahoma" w:cs="Tahoma"/>
      <w:sz w:val="16"/>
      <w:szCs w:val="16"/>
      <w:lang w:val="en-US"/>
    </w:rPr>
  </w:style>
  <w:style w:type="character" w:customStyle="1" w:styleId="Heading1Char">
    <w:name w:val="Heading 1 Char"/>
    <w:basedOn w:val="DefaultParagraphFont"/>
    <w:link w:val="Heading1"/>
    <w:uiPriority w:val="3"/>
    <w:rsid w:val="0046020A"/>
    <w:rPr>
      <w:rFonts w:ascii="Times New Roman" w:eastAsiaTheme="majorEastAsia" w:hAnsi="Times New Roman" w:cs="Times New Roman"/>
      <w:b/>
      <w:bCs/>
      <w:kern w:val="24"/>
    </w:rPr>
  </w:style>
  <w:style w:type="character" w:customStyle="1" w:styleId="Heading3Char">
    <w:name w:val="Heading 3 Char"/>
    <w:basedOn w:val="DefaultParagraphFont"/>
    <w:link w:val="Heading3"/>
    <w:uiPriority w:val="3"/>
    <w:rsid w:val="0046020A"/>
    <w:rPr>
      <w:rFonts w:ascii="Times New Roman" w:eastAsiaTheme="majorEastAsia" w:hAnsi="Times New Roman" w:cs="Times New Roman"/>
      <w:b/>
      <w:bCs/>
      <w:kern w:val="24"/>
    </w:rPr>
  </w:style>
  <w:style w:type="character" w:customStyle="1" w:styleId="Heading4Char">
    <w:name w:val="Heading 4 Char"/>
    <w:basedOn w:val="DefaultParagraphFont"/>
    <w:link w:val="Heading4"/>
    <w:uiPriority w:val="3"/>
    <w:rsid w:val="007412D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7412D4"/>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7412D4"/>
    <w:rPr>
      <w:rFonts w:asciiTheme="majorHAnsi" w:eastAsiaTheme="majorEastAsia" w:hAnsiTheme="majorHAnsi" w:cstheme="majorBidi"/>
      <w:color w:val="243F60" w:themeColor="accent1" w:themeShade="7F"/>
      <w:kern w:val="24"/>
    </w:rPr>
  </w:style>
  <w:style w:type="character" w:customStyle="1" w:styleId="Heading7Char">
    <w:name w:val="Heading 7 Char"/>
    <w:basedOn w:val="DefaultParagraphFont"/>
    <w:link w:val="Heading7"/>
    <w:uiPriority w:val="9"/>
    <w:semiHidden/>
    <w:rsid w:val="007412D4"/>
    <w:rPr>
      <w:rFonts w:asciiTheme="majorHAnsi" w:eastAsiaTheme="majorEastAsia" w:hAnsiTheme="majorHAnsi" w:cstheme="majorBidi"/>
      <w:i/>
      <w:iCs/>
      <w:color w:val="243F60" w:themeColor="accent1" w:themeShade="7F"/>
      <w:kern w:val="24"/>
    </w:rPr>
  </w:style>
  <w:style w:type="character" w:customStyle="1" w:styleId="Heading8Char">
    <w:name w:val="Heading 8 Char"/>
    <w:basedOn w:val="DefaultParagraphFont"/>
    <w:link w:val="Heading8"/>
    <w:uiPriority w:val="9"/>
    <w:semiHidden/>
    <w:rsid w:val="007412D4"/>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7412D4"/>
    <w:rPr>
      <w:rFonts w:asciiTheme="majorHAnsi" w:eastAsiaTheme="majorEastAsia" w:hAnsiTheme="majorHAnsi" w:cstheme="majorBidi"/>
      <w:i/>
      <w:iCs/>
      <w:color w:val="272727" w:themeColor="text1" w:themeTint="D8"/>
      <w:kern w:val="24"/>
      <w:sz w:val="21"/>
      <w:szCs w:val="21"/>
    </w:rPr>
  </w:style>
  <w:style w:type="paragraph" w:styleId="Header">
    <w:name w:val="header"/>
    <w:basedOn w:val="Normal"/>
    <w:link w:val="HeaderChar"/>
    <w:uiPriority w:val="99"/>
    <w:unhideWhenUsed/>
    <w:qFormat/>
    <w:rsid w:val="007412D4"/>
    <w:pPr>
      <w:spacing w:line="240" w:lineRule="auto"/>
      <w:ind w:firstLine="0"/>
    </w:pPr>
  </w:style>
  <w:style w:type="character" w:customStyle="1" w:styleId="HeaderChar">
    <w:name w:val="Header Char"/>
    <w:basedOn w:val="DefaultParagraphFont"/>
    <w:link w:val="Header"/>
    <w:uiPriority w:val="99"/>
    <w:rsid w:val="007412D4"/>
    <w:rPr>
      <w:kern w:val="24"/>
    </w:rPr>
  </w:style>
  <w:style w:type="paragraph" w:styleId="Caption">
    <w:name w:val="caption"/>
    <w:basedOn w:val="Normal"/>
    <w:next w:val="Normal"/>
    <w:uiPriority w:val="35"/>
    <w:semiHidden/>
    <w:unhideWhenUsed/>
    <w:qFormat/>
    <w:rsid w:val="007412D4"/>
    <w:pPr>
      <w:spacing w:after="200" w:line="240" w:lineRule="auto"/>
      <w:ind w:firstLine="0"/>
    </w:pPr>
    <w:rPr>
      <w:i/>
      <w:iCs/>
      <w:color w:val="1F497D" w:themeColor="text2"/>
      <w:sz w:val="18"/>
      <w:szCs w:val="18"/>
    </w:rPr>
  </w:style>
  <w:style w:type="character" w:styleId="FootnoteReference">
    <w:name w:val="footnote reference"/>
    <w:basedOn w:val="DefaultParagraphFont"/>
    <w:uiPriority w:val="99"/>
    <w:semiHidden/>
    <w:unhideWhenUsed/>
    <w:qFormat/>
    <w:rsid w:val="007412D4"/>
    <w:rPr>
      <w:vertAlign w:val="superscript"/>
    </w:rPr>
  </w:style>
  <w:style w:type="paragraph" w:styleId="ListBullet">
    <w:name w:val="List Bullet"/>
    <w:basedOn w:val="Normal"/>
    <w:uiPriority w:val="9"/>
    <w:semiHidden/>
    <w:unhideWhenUsed/>
    <w:qFormat/>
    <w:rsid w:val="007412D4"/>
    <w:pPr>
      <w:numPr>
        <w:numId w:val="2"/>
      </w:numPr>
      <w:contextualSpacing/>
    </w:pPr>
  </w:style>
  <w:style w:type="paragraph" w:styleId="ListNumber">
    <w:name w:val="List Number"/>
    <w:basedOn w:val="Normal"/>
    <w:uiPriority w:val="9"/>
    <w:semiHidden/>
    <w:unhideWhenUsed/>
    <w:qFormat/>
    <w:rsid w:val="007412D4"/>
    <w:pPr>
      <w:numPr>
        <w:numId w:val="4"/>
      </w:numPr>
      <w:contextualSpacing/>
    </w:pPr>
  </w:style>
  <w:style w:type="paragraph" w:styleId="Title">
    <w:name w:val="Title"/>
    <w:basedOn w:val="Normal"/>
    <w:next w:val="Normal"/>
    <w:link w:val="TitleChar"/>
    <w:uiPriority w:val="10"/>
    <w:qFormat/>
    <w:rsid w:val="0046020A"/>
    <w:pPr>
      <w:spacing w:before="2400"/>
      <w:ind w:firstLine="0"/>
      <w:contextualSpacing/>
      <w:jc w:val="center"/>
    </w:pPr>
    <w:rPr>
      <w:rFonts w:eastAsiaTheme="majorEastAsia"/>
    </w:rPr>
  </w:style>
  <w:style w:type="character" w:customStyle="1" w:styleId="TitleChar">
    <w:name w:val="Title Char"/>
    <w:basedOn w:val="DefaultParagraphFont"/>
    <w:link w:val="Title"/>
    <w:uiPriority w:val="10"/>
    <w:rsid w:val="0046020A"/>
    <w:rPr>
      <w:rFonts w:ascii="Times New Roman" w:eastAsiaTheme="majorEastAsia" w:hAnsi="Times New Roman" w:cs="Times New Roman"/>
      <w:kern w:val="24"/>
    </w:rPr>
  </w:style>
  <w:style w:type="character" w:styleId="Strong">
    <w:name w:val="Strong"/>
    <w:basedOn w:val="DefaultParagraphFont"/>
    <w:uiPriority w:val="22"/>
    <w:unhideWhenUsed/>
    <w:qFormat/>
    <w:rsid w:val="007412D4"/>
    <w:rPr>
      <w:b w:val="0"/>
      <w:bCs w:val="0"/>
      <w:caps/>
      <w:smallCaps w:val="0"/>
    </w:rPr>
  </w:style>
  <w:style w:type="character" w:styleId="Emphasis">
    <w:name w:val="Emphasis"/>
    <w:basedOn w:val="DefaultParagraphFont"/>
    <w:uiPriority w:val="20"/>
    <w:unhideWhenUsed/>
    <w:qFormat/>
    <w:rsid w:val="007412D4"/>
    <w:rPr>
      <w:i/>
      <w:iCs/>
    </w:rPr>
  </w:style>
  <w:style w:type="paragraph" w:styleId="NoSpacing">
    <w:name w:val="No Spacing"/>
    <w:aliases w:val="No Indent"/>
    <w:uiPriority w:val="1"/>
    <w:qFormat/>
    <w:rsid w:val="007412D4"/>
    <w:pPr>
      <w:ind w:firstLine="0"/>
    </w:pPr>
  </w:style>
  <w:style w:type="paragraph" w:styleId="ListParagraph">
    <w:name w:val="List Paragraph"/>
    <w:basedOn w:val="Normal"/>
    <w:uiPriority w:val="34"/>
    <w:unhideWhenUsed/>
    <w:qFormat/>
    <w:rsid w:val="007412D4"/>
    <w:pPr>
      <w:ind w:left="720" w:firstLine="0"/>
      <w:contextualSpacing/>
    </w:pPr>
  </w:style>
  <w:style w:type="paragraph" w:styleId="Quote">
    <w:name w:val="Quote"/>
    <w:basedOn w:val="Normal"/>
    <w:next w:val="Normal"/>
    <w:link w:val="QuoteChar"/>
    <w:uiPriority w:val="29"/>
    <w:unhideWhenUsed/>
    <w:qFormat/>
    <w:rsid w:val="007412D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7412D4"/>
    <w:rPr>
      <w:i/>
      <w:iCs/>
      <w:color w:val="404040" w:themeColor="text1" w:themeTint="BF"/>
      <w:kern w:val="24"/>
    </w:rPr>
  </w:style>
  <w:style w:type="paragraph" w:styleId="IntenseQuote">
    <w:name w:val="Intense Quote"/>
    <w:basedOn w:val="Normal"/>
    <w:next w:val="Normal"/>
    <w:link w:val="IntenseQuoteChar"/>
    <w:uiPriority w:val="30"/>
    <w:unhideWhenUsed/>
    <w:qFormat/>
    <w:rsid w:val="007412D4"/>
    <w:pPr>
      <w:pBdr>
        <w:top w:val="single" w:sz="4" w:space="10" w:color="4F81BD" w:themeColor="accent1"/>
        <w:bottom w:val="single" w:sz="4" w:space="10" w:color="4F81BD" w:themeColor="accent1"/>
      </w:pBdr>
      <w:spacing w:before="360" w:after="360"/>
      <w:ind w:left="864" w:right="864" w:firstLine="0"/>
      <w:jc w:val="center"/>
    </w:pPr>
    <w:rPr>
      <w:i/>
      <w:iCs/>
      <w:color w:val="4F81BD" w:themeColor="accent1"/>
    </w:rPr>
  </w:style>
  <w:style w:type="character" w:customStyle="1" w:styleId="IntenseQuoteChar">
    <w:name w:val="Intense Quote Char"/>
    <w:basedOn w:val="DefaultParagraphFont"/>
    <w:link w:val="IntenseQuote"/>
    <w:uiPriority w:val="30"/>
    <w:rsid w:val="007412D4"/>
    <w:rPr>
      <w:i/>
      <w:iCs/>
      <w:color w:val="4F81BD" w:themeColor="accent1"/>
      <w:kern w:val="24"/>
    </w:rPr>
  </w:style>
  <w:style w:type="paragraph" w:styleId="Bibliography">
    <w:name w:val="Bibliography"/>
    <w:basedOn w:val="Normal"/>
    <w:next w:val="Normal"/>
    <w:uiPriority w:val="37"/>
    <w:unhideWhenUsed/>
    <w:qFormat/>
    <w:rsid w:val="007412D4"/>
    <w:pPr>
      <w:ind w:left="720" w:hanging="720"/>
    </w:pPr>
  </w:style>
  <w:style w:type="paragraph" w:customStyle="1" w:styleId="SectionTitle">
    <w:name w:val="Section Title"/>
    <w:basedOn w:val="Normal"/>
    <w:next w:val="Normal"/>
    <w:uiPriority w:val="2"/>
    <w:qFormat/>
    <w:rsid w:val="007412D4"/>
    <w:pPr>
      <w:pageBreakBefore/>
      <w:ind w:firstLine="0"/>
      <w:jc w:val="center"/>
      <w:outlineLvl w:val="0"/>
    </w:pPr>
    <w:rPr>
      <w:rFonts w:asciiTheme="majorHAnsi" w:eastAsiaTheme="majorEastAsia" w:hAnsiTheme="majorHAnsi" w:cstheme="majorBidi"/>
    </w:rPr>
  </w:style>
  <w:style w:type="paragraph" w:customStyle="1" w:styleId="Title2">
    <w:name w:val="Title 2"/>
    <w:basedOn w:val="Normal"/>
    <w:uiPriority w:val="10"/>
    <w:qFormat/>
    <w:rsid w:val="0046020A"/>
    <w:pPr>
      <w:ind w:firstLine="0"/>
      <w:jc w:val="center"/>
    </w:pPr>
  </w:style>
  <w:style w:type="paragraph" w:customStyle="1" w:styleId="TableFigure">
    <w:name w:val="Table/Figure"/>
    <w:basedOn w:val="Normal"/>
    <w:uiPriority w:val="4"/>
    <w:qFormat/>
    <w:rsid w:val="007412D4"/>
    <w:pPr>
      <w:spacing w:before="240"/>
      <w:ind w:firstLine="0"/>
      <w:contextualSpacing/>
    </w:pPr>
  </w:style>
  <w:style w:type="character" w:styleId="Hyperlink">
    <w:name w:val="Hyperlink"/>
    <w:basedOn w:val="DefaultParagraphFont"/>
    <w:uiPriority w:val="99"/>
    <w:unhideWhenUsed/>
    <w:rsid w:val="006A463C"/>
    <w:rPr>
      <w:color w:val="0000FF" w:themeColor="hyperlink"/>
      <w:u w:val="single"/>
    </w:rPr>
  </w:style>
  <w:style w:type="character" w:styleId="FollowedHyperlink">
    <w:name w:val="FollowedHyperlink"/>
    <w:basedOn w:val="DefaultParagraphFont"/>
    <w:uiPriority w:val="99"/>
    <w:semiHidden/>
    <w:unhideWhenUsed/>
    <w:rsid w:val="00BA1D00"/>
    <w:rPr>
      <w:color w:val="800080" w:themeColor="followedHyperlink"/>
      <w:u w:val="single"/>
    </w:rPr>
  </w:style>
  <w:style w:type="paragraph" w:styleId="Footer">
    <w:name w:val="footer"/>
    <w:basedOn w:val="Normal"/>
    <w:link w:val="FooterChar"/>
    <w:uiPriority w:val="99"/>
    <w:semiHidden/>
    <w:unhideWhenUsed/>
    <w:rsid w:val="0012143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21435"/>
    <w:rPr>
      <w:rFonts w:ascii="Times New Roman" w:hAnsi="Times New Roman" w:cs="Times New Roman"/>
      <w:kern w:val="24"/>
    </w:rPr>
  </w:style>
  <w:style w:type="character" w:styleId="CommentReference">
    <w:name w:val="annotation reference"/>
    <w:basedOn w:val="DefaultParagraphFont"/>
    <w:uiPriority w:val="99"/>
    <w:semiHidden/>
    <w:unhideWhenUsed/>
    <w:rsid w:val="005B4602"/>
    <w:rPr>
      <w:sz w:val="16"/>
      <w:szCs w:val="16"/>
    </w:rPr>
  </w:style>
  <w:style w:type="paragraph" w:styleId="CommentText">
    <w:name w:val="annotation text"/>
    <w:basedOn w:val="Normal"/>
    <w:link w:val="CommentTextChar"/>
    <w:uiPriority w:val="99"/>
    <w:unhideWhenUsed/>
    <w:rsid w:val="005B4602"/>
    <w:pPr>
      <w:spacing w:line="240" w:lineRule="auto"/>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B4602"/>
    <w:rPr>
      <w:kern w:val="24"/>
      <w:sz w:val="20"/>
      <w:szCs w:val="20"/>
      <w:lang w:eastAsia="en-US"/>
    </w:rPr>
  </w:style>
  <w:style w:type="paragraph" w:styleId="CommentSubject">
    <w:name w:val="annotation subject"/>
    <w:basedOn w:val="CommentText"/>
    <w:next w:val="CommentText"/>
    <w:link w:val="CommentSubjectChar"/>
    <w:uiPriority w:val="99"/>
    <w:semiHidden/>
    <w:unhideWhenUsed/>
    <w:rsid w:val="00221603"/>
    <w:rPr>
      <w:rFonts w:ascii="Times New Roman" w:hAnsi="Times New Roman" w:cs="Times New Roman"/>
      <w:b/>
      <w:bCs/>
      <w:lang w:eastAsia="ja-JP"/>
    </w:rPr>
  </w:style>
  <w:style w:type="character" w:customStyle="1" w:styleId="CommentSubjectChar">
    <w:name w:val="Comment Subject Char"/>
    <w:basedOn w:val="CommentTextChar"/>
    <w:link w:val="CommentSubject"/>
    <w:uiPriority w:val="99"/>
    <w:semiHidden/>
    <w:rsid w:val="00221603"/>
    <w:rPr>
      <w:rFonts w:ascii="Times New Roman" w:hAnsi="Times New Roman" w:cs="Times New Roman"/>
      <w:b/>
      <w:bCs/>
      <w:kern w:val="2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394">
      <w:bodyDiv w:val="1"/>
      <w:marLeft w:val="0"/>
      <w:marRight w:val="0"/>
      <w:marTop w:val="0"/>
      <w:marBottom w:val="0"/>
      <w:divBdr>
        <w:top w:val="none" w:sz="0" w:space="0" w:color="auto"/>
        <w:left w:val="none" w:sz="0" w:space="0" w:color="auto"/>
        <w:bottom w:val="none" w:sz="0" w:space="0" w:color="auto"/>
        <w:right w:val="none" w:sz="0" w:space="0" w:color="auto"/>
      </w:divBdr>
    </w:div>
    <w:div w:id="439377048">
      <w:bodyDiv w:val="1"/>
      <w:marLeft w:val="0"/>
      <w:marRight w:val="0"/>
      <w:marTop w:val="0"/>
      <w:marBottom w:val="0"/>
      <w:divBdr>
        <w:top w:val="none" w:sz="0" w:space="0" w:color="auto"/>
        <w:left w:val="none" w:sz="0" w:space="0" w:color="auto"/>
        <w:bottom w:val="none" w:sz="0" w:space="0" w:color="auto"/>
        <w:right w:val="none" w:sz="0" w:space="0" w:color="auto"/>
      </w:divBdr>
    </w:div>
    <w:div w:id="537468714">
      <w:bodyDiv w:val="1"/>
      <w:marLeft w:val="0"/>
      <w:marRight w:val="0"/>
      <w:marTop w:val="0"/>
      <w:marBottom w:val="0"/>
      <w:divBdr>
        <w:top w:val="none" w:sz="0" w:space="0" w:color="auto"/>
        <w:left w:val="none" w:sz="0" w:space="0" w:color="auto"/>
        <w:bottom w:val="none" w:sz="0" w:space="0" w:color="auto"/>
        <w:right w:val="none" w:sz="0" w:space="0" w:color="auto"/>
      </w:divBdr>
    </w:div>
    <w:div w:id="750545552">
      <w:bodyDiv w:val="1"/>
      <w:marLeft w:val="0"/>
      <w:marRight w:val="0"/>
      <w:marTop w:val="0"/>
      <w:marBottom w:val="0"/>
      <w:divBdr>
        <w:top w:val="none" w:sz="0" w:space="0" w:color="auto"/>
        <w:left w:val="none" w:sz="0" w:space="0" w:color="auto"/>
        <w:bottom w:val="none" w:sz="0" w:space="0" w:color="auto"/>
        <w:right w:val="none" w:sz="0" w:space="0" w:color="auto"/>
      </w:divBdr>
    </w:div>
    <w:div w:id="1095249829">
      <w:bodyDiv w:val="1"/>
      <w:marLeft w:val="0"/>
      <w:marRight w:val="0"/>
      <w:marTop w:val="0"/>
      <w:marBottom w:val="0"/>
      <w:divBdr>
        <w:top w:val="none" w:sz="0" w:space="0" w:color="auto"/>
        <w:left w:val="none" w:sz="0" w:space="0" w:color="auto"/>
        <w:bottom w:val="none" w:sz="0" w:space="0" w:color="auto"/>
        <w:right w:val="none" w:sz="0" w:space="0" w:color="auto"/>
      </w:divBdr>
    </w:div>
    <w:div w:id="1434127951">
      <w:bodyDiv w:val="1"/>
      <w:marLeft w:val="0"/>
      <w:marRight w:val="0"/>
      <w:marTop w:val="0"/>
      <w:marBottom w:val="0"/>
      <w:divBdr>
        <w:top w:val="none" w:sz="0" w:space="0" w:color="auto"/>
        <w:left w:val="none" w:sz="0" w:space="0" w:color="auto"/>
        <w:bottom w:val="none" w:sz="0" w:space="0" w:color="auto"/>
        <w:right w:val="none" w:sz="0" w:space="0" w:color="auto"/>
      </w:divBdr>
    </w:div>
    <w:div w:id="1455446948">
      <w:bodyDiv w:val="1"/>
      <w:marLeft w:val="0"/>
      <w:marRight w:val="0"/>
      <w:marTop w:val="0"/>
      <w:marBottom w:val="0"/>
      <w:divBdr>
        <w:top w:val="none" w:sz="0" w:space="0" w:color="auto"/>
        <w:left w:val="none" w:sz="0" w:space="0" w:color="auto"/>
        <w:bottom w:val="none" w:sz="0" w:space="0" w:color="auto"/>
        <w:right w:val="none" w:sz="0" w:space="0" w:color="auto"/>
      </w:divBdr>
    </w:div>
    <w:div w:id="18476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5B788-4E59-B34A-AABF-A167928F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5074</Words>
  <Characters>28923</Characters>
  <Application>Microsoft Macintosh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 Jaya</dc:creator>
  <cp:lastModifiedBy>Edo S. Jaya</cp:lastModifiedBy>
  <cp:revision>21</cp:revision>
  <dcterms:created xsi:type="dcterms:W3CDTF">2017-08-12T02:09:00Z</dcterms:created>
  <dcterms:modified xsi:type="dcterms:W3CDTF">2017-08-13T15:16:00Z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id="Fz6E7WnK"/&gt;&lt;style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