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9" w:type="dxa"/>
        <w:tblLook w:val="04A0" w:firstRow="1" w:lastRow="0" w:firstColumn="1" w:lastColumn="0" w:noHBand="0" w:noVBand="1"/>
      </w:tblPr>
      <w:tblGrid>
        <w:gridCol w:w="2880"/>
        <w:gridCol w:w="266"/>
        <w:gridCol w:w="416"/>
        <w:gridCol w:w="668"/>
        <w:gridCol w:w="1182"/>
        <w:gridCol w:w="582"/>
        <w:gridCol w:w="9"/>
        <w:gridCol w:w="402"/>
        <w:gridCol w:w="525"/>
        <w:gridCol w:w="810"/>
        <w:gridCol w:w="1260"/>
        <w:gridCol w:w="684"/>
        <w:gridCol w:w="401"/>
        <w:gridCol w:w="625"/>
        <w:gridCol w:w="810"/>
        <w:gridCol w:w="1170"/>
        <w:gridCol w:w="739"/>
      </w:tblGrid>
      <w:tr w:rsidR="00445EA7" w:rsidRPr="00445EA7" w:rsidTr="0015067A">
        <w:trPr>
          <w:trHeight w:val="330"/>
        </w:trPr>
        <w:tc>
          <w:tcPr>
            <w:tcW w:w="59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EE1361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Supplement 2</w:t>
            </w:r>
            <w:bookmarkStart w:id="0" w:name="_GoBack"/>
            <w:bookmarkEnd w:id="0"/>
            <w:r w:rsidR="007A64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45EA7"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Moderator Analyses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5EA7" w:rsidRPr="00445EA7" w:rsidTr="0015067A">
        <w:trPr>
          <w:trHeight w:val="2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Suicide Ideation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Suicide Attempt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Suicide Death</w:t>
            </w:r>
          </w:p>
        </w:tc>
      </w:tr>
      <w:tr w:rsidR="00445EA7" w:rsidRPr="00445EA7" w:rsidTr="0015067A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445EA7" w:rsidRPr="00445EA7" w:rsidTr="0015067A">
        <w:trPr>
          <w:trHeight w:val="2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Sample Region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5EA7" w:rsidRPr="00445EA7" w:rsidTr="0015067A">
        <w:trPr>
          <w:trHeight w:val="23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(0.98-1.08)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(1.17-1.95)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445EA7" w:rsidRPr="00445EA7" w:rsidTr="0015067A">
        <w:trPr>
          <w:trHeight w:val="2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(1.08-2.12)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445EA7" w:rsidRPr="00445EA7" w:rsidTr="0015067A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(0.80-3.54)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5EA7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(0.26-1.40)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.24</w:t>
            </w:r>
          </w:p>
        </w:tc>
      </w:tr>
      <w:tr w:rsidR="00445EA7" w:rsidRPr="00445EA7" w:rsidTr="0015067A">
        <w:trPr>
          <w:trHeight w:val="1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(0.67-4.08)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.27</w:t>
            </w:r>
          </w:p>
        </w:tc>
      </w:tr>
      <w:tr w:rsidR="00445EA7" w:rsidRPr="00445EA7" w:rsidTr="0015067A">
        <w:trPr>
          <w:trHeight w:val="29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(1.30-6.78)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5EA7" w:rsidRPr="00445EA7" w:rsidTr="0015067A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(0.99-1.01)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5EA7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(1.07-5.10)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.03</w:t>
            </w:r>
          </w:p>
        </w:tc>
      </w:tr>
      <w:tr w:rsidR="00445EA7" w:rsidRPr="00445EA7" w:rsidTr="0015067A">
        <w:trPr>
          <w:trHeight w:val="1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(0.73-2.02)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(1.56-5.77)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(0.83-1.90)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.28</w:t>
            </w:r>
          </w:p>
        </w:tc>
      </w:tr>
      <w:tr w:rsidR="00445EA7" w:rsidRPr="00445EA7" w:rsidTr="0015067A">
        <w:trPr>
          <w:trHeight w:val="20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(0.73-2.02)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(2.28-6.29)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BB611F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7C3AC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7C3AC7" w:rsidRDefault="00445EA7" w:rsidP="0009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 w:rsidR="007C3AC7"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9382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7C3AC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(0.</w:t>
            </w:r>
            <w:r w:rsidR="007C3AC7"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  <w:r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 w:rsidR="007C3AC7"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  <w:r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7C3AC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7C3AC7" w:rsidRPr="00093827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445EA7" w:rsidRPr="00445EA7" w:rsidTr="0015067A">
        <w:trPr>
          <w:trHeight w:val="18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Oceania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(0.90-1.49)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5EA7" w:rsidRPr="00445EA7" w:rsidTr="0015067A">
        <w:trPr>
          <w:trHeight w:val="20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(0.89-1.49)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EA7" w:rsidRPr="00445EA7" w:rsidRDefault="00445EA7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5067A" w:rsidRPr="00445EA7" w:rsidTr="0015067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15067A" w:rsidRDefault="0015067A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Sample Type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445EA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5067A" w:rsidRPr="00445EA7" w:rsidTr="0015067A">
        <w:trPr>
          <w:trHeight w:val="23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Community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(3.21-6.76)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(1.51-4.00)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15067A" w:rsidRPr="00445EA7" w:rsidTr="0015067A">
        <w:trPr>
          <w:trHeight w:val="18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Clinical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(0.73-2.02)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(0.96-1.05)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(0.83-1.24)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0.86</w:t>
            </w:r>
          </w:p>
        </w:tc>
      </w:tr>
      <w:tr w:rsidR="0015067A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Self-injurious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(0.89-3.43)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(1.38-3.44)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067A" w:rsidRPr="00483110" w:rsidRDefault="0015067A" w:rsidP="001506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83110">
              <w:rPr>
                <w:rFonts w:eastAsia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15067A" w:rsidRPr="00445EA7" w:rsidTr="0015067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Diagnostic Criteria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067A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DSM-III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(0.68-1.58)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.86</w:t>
            </w:r>
          </w:p>
        </w:tc>
      </w:tr>
      <w:tr w:rsidR="0015067A" w:rsidRPr="00445EA7" w:rsidTr="0015067A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DSM-III-R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(0.45-2.10)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5067A" w:rsidRPr="00445EA7" w:rsidTr="0015067A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DSM-IV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(1.28-1.55)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5067A" w:rsidRPr="00445EA7" w:rsidTr="0015067A">
        <w:trPr>
          <w:trHeight w:val="20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DSM-IV-TR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(0.67-4.08)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.27</w:t>
            </w:r>
          </w:p>
        </w:tc>
      </w:tr>
      <w:tr w:rsidR="0015067A" w:rsidRPr="00445EA7" w:rsidTr="0015067A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Multiple DSMs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(0.88-1.49)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5067A" w:rsidRPr="00445EA7" w:rsidTr="0015067A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ICD 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(1.77-9.10)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  <w:tr w:rsidR="0015067A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Multiple ICDs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(1.11-2.24)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.01</w:t>
            </w:r>
          </w:p>
        </w:tc>
      </w:tr>
      <w:tr w:rsidR="0015067A" w:rsidRPr="00445EA7" w:rsidTr="0015067A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Research Diagnostic Criteria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(0.73-2.02)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(0.35-1.53)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.40</w:t>
            </w:r>
          </w:p>
        </w:tc>
      </w:tr>
      <w:tr w:rsidR="0015067A" w:rsidRPr="00445EA7" w:rsidTr="0015067A">
        <w:trPr>
          <w:trHeight w:val="18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(0.62-1.19)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.35</w:t>
            </w:r>
          </w:p>
        </w:tc>
      </w:tr>
      <w:tr w:rsidR="0015067A" w:rsidRPr="00445EA7" w:rsidTr="0015067A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Psychiatric </w:t>
            </w:r>
            <w:r w:rsidRPr="00445E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067A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None Medicated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(0.51-1.88)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.95</w:t>
            </w:r>
          </w:p>
        </w:tc>
      </w:tr>
      <w:tr w:rsidR="0015067A" w:rsidRPr="00445EA7" w:rsidTr="0015067A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Some Medicated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(0.73-2.02)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(0.93-1.51)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(1.01-4.86)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C3AC7">
              <w:rPr>
                <w:rFonts w:eastAsia="Times New Roman" w:cs="Times New Roman"/>
                <w:color w:val="000000"/>
                <w:sz w:val="20"/>
                <w:szCs w:val="20"/>
              </w:rPr>
              <w:t>.046</w:t>
            </w:r>
          </w:p>
        </w:tc>
      </w:tr>
      <w:tr w:rsidR="0015067A" w:rsidRPr="00445EA7" w:rsidTr="0015067A">
        <w:trPr>
          <w:trHeight w:val="22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All Medicated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5067A" w:rsidRPr="00445EA7" w:rsidTr="0015067A">
        <w:trPr>
          <w:trHeight w:val="27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45EA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Unspecified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(1.28-1.55)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(1.18-1.87)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7A" w:rsidRPr="00445EA7" w:rsidRDefault="0015067A" w:rsidP="001506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5EA7">
              <w:rPr>
                <w:rFonts w:eastAsia="Times New Roman" w:cs="Times New Roman"/>
                <w:color w:val="000000"/>
                <w:sz w:val="20"/>
                <w:szCs w:val="20"/>
              </w:rPr>
              <w:t>&lt;.001</w:t>
            </w:r>
          </w:p>
        </w:tc>
      </w:tr>
    </w:tbl>
    <w:p w:rsidR="00A725F3" w:rsidRDefault="00445EA7">
      <w:pPr>
        <w:rPr>
          <w:sz w:val="20"/>
          <w:szCs w:val="20"/>
        </w:rPr>
      </w:pPr>
      <w:r w:rsidRPr="00445EA7">
        <w:rPr>
          <w:i/>
          <w:sz w:val="20"/>
          <w:szCs w:val="20"/>
        </w:rPr>
        <w:t>Note</w:t>
      </w:r>
      <w:r w:rsidRPr="00445EA7">
        <w:rPr>
          <w:sz w:val="20"/>
          <w:szCs w:val="20"/>
        </w:rPr>
        <w:t>.</w:t>
      </w:r>
      <w:r w:rsidR="003E6F50">
        <w:rPr>
          <w:sz w:val="20"/>
          <w:szCs w:val="20"/>
        </w:rPr>
        <w:t xml:space="preserve"> Samples were categorized as community, clinical, or self-injurious samples based on the reference group. </w:t>
      </w:r>
      <w:r w:rsidR="003E6F50" w:rsidRPr="003E6F50">
        <w:rPr>
          <w:sz w:val="20"/>
          <w:szCs w:val="20"/>
        </w:rPr>
        <w:t xml:space="preserve">A sample was coded as self-injurious when participants were recruited based on prior self-injurious thoughts and behaviors (e.g., suicide attempt history). Sample was determined as clinical if participants were </w:t>
      </w:r>
      <w:r w:rsidR="00CC3B26">
        <w:rPr>
          <w:sz w:val="20"/>
          <w:szCs w:val="20"/>
        </w:rPr>
        <w:t>not selected based on prior self-injurious thoughts and behavior</w:t>
      </w:r>
      <w:r w:rsidR="003E6F50" w:rsidRPr="003E6F50">
        <w:rPr>
          <w:sz w:val="20"/>
          <w:szCs w:val="20"/>
        </w:rPr>
        <w:t>s</w:t>
      </w:r>
      <w:r w:rsidR="00CC3B26">
        <w:rPr>
          <w:sz w:val="20"/>
          <w:szCs w:val="20"/>
        </w:rPr>
        <w:t xml:space="preserve"> but b</w:t>
      </w:r>
      <w:r w:rsidR="003E6F50" w:rsidRPr="003E6F50">
        <w:rPr>
          <w:sz w:val="20"/>
          <w:szCs w:val="20"/>
        </w:rPr>
        <w:t>ased on clinical criteria (e.g., schizophrenia diagnosis).</w:t>
      </w:r>
      <w:r w:rsidR="003E6F50">
        <w:rPr>
          <w:sz w:val="20"/>
          <w:szCs w:val="20"/>
        </w:rPr>
        <w:t xml:space="preserve"> When</w:t>
      </w:r>
      <w:r w:rsidR="003E6F50" w:rsidRPr="003E6F50">
        <w:rPr>
          <w:sz w:val="20"/>
          <w:szCs w:val="20"/>
        </w:rPr>
        <w:t xml:space="preserve"> a sample did not meet the above criteria, it was labeled as a community sample.</w:t>
      </w:r>
      <w:r w:rsidRPr="00445EA7">
        <w:rPr>
          <w:sz w:val="20"/>
          <w:szCs w:val="20"/>
        </w:rPr>
        <w:t xml:space="preserve"> </w:t>
      </w:r>
      <w:r w:rsidR="00CC3B26">
        <w:rPr>
          <w:sz w:val="20"/>
          <w:szCs w:val="20"/>
        </w:rPr>
        <w:t>Moderator analyses of sample type provides a rough estimate of the effects of sample clinical status</w:t>
      </w:r>
      <w:r w:rsidR="00542D56">
        <w:rPr>
          <w:sz w:val="20"/>
          <w:szCs w:val="20"/>
        </w:rPr>
        <w:t>,</w:t>
      </w:r>
      <w:r w:rsidR="00CC3B26">
        <w:rPr>
          <w:sz w:val="20"/>
          <w:szCs w:val="20"/>
        </w:rPr>
        <w:t xml:space="preserve"> and results should be interpreted with caution. </w:t>
      </w:r>
      <w:r w:rsidRPr="00445EA7">
        <w:rPr>
          <w:sz w:val="20"/>
          <w:szCs w:val="20"/>
        </w:rPr>
        <w:t xml:space="preserve">Estimates were not reported for analyses involving fewer than three effect sizes as small number of effect sizes reduce the reliability of estimates. </w:t>
      </w:r>
      <w:r w:rsidR="0015067A">
        <w:rPr>
          <w:sz w:val="20"/>
          <w:szCs w:val="20"/>
        </w:rPr>
        <w:t>C</w:t>
      </w:r>
      <w:r>
        <w:rPr>
          <w:sz w:val="20"/>
          <w:szCs w:val="20"/>
        </w:rPr>
        <w:t xml:space="preserve">ategories that do not have sufficient number of cases across outcomes were omitted from the table (e.g., Canada, New Zealand were omitted from sample region; ICD 8 and 9 were omitted from diagnostic criteria). </w:t>
      </w:r>
      <w:r w:rsidRPr="00445EA7">
        <w:rPr>
          <w:sz w:val="20"/>
          <w:szCs w:val="20"/>
        </w:rPr>
        <w:t>n = number of effect sizes, OR = weighted mean odds ratio, 95% CI = 95% confidence interval, dashes indicate unavailable information.</w:t>
      </w:r>
    </w:p>
    <w:sectPr w:rsidR="00A725F3" w:rsidSect="00DC2934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7"/>
    <w:rsid w:val="000245BD"/>
    <w:rsid w:val="00093827"/>
    <w:rsid w:val="0015067A"/>
    <w:rsid w:val="001E341D"/>
    <w:rsid w:val="003E6F50"/>
    <w:rsid w:val="00445EA7"/>
    <w:rsid w:val="00542D56"/>
    <w:rsid w:val="007A6444"/>
    <w:rsid w:val="007C3AC7"/>
    <w:rsid w:val="009C0842"/>
    <w:rsid w:val="00A725F3"/>
    <w:rsid w:val="00BB611F"/>
    <w:rsid w:val="00CC3B26"/>
    <w:rsid w:val="00DC2934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F5A7"/>
  <w15:chartTrackingRefBased/>
  <w15:docId w15:val="{A5C89CC6-8146-4A40-A381-F2881E09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88BEA2A1</Template>
  <TotalTime>64</TotalTime>
  <Pages>1</Pages>
  <Words>488</Words>
  <Characters>2783</Characters>
  <Application>Microsoft Office Word</Application>
  <DocSecurity>0</DocSecurity>
  <Lines>23</Lines>
  <Paragraphs>6</Paragraphs>
  <ScaleCrop>false</ScaleCrop>
  <Company>Florida State University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Xieyining</dc:creator>
  <cp:keywords/>
  <dc:description/>
  <cp:lastModifiedBy>Huang, Xieyining</cp:lastModifiedBy>
  <cp:revision>15</cp:revision>
  <dcterms:created xsi:type="dcterms:W3CDTF">2017-04-06T18:08:00Z</dcterms:created>
  <dcterms:modified xsi:type="dcterms:W3CDTF">2017-06-19T15:30:00Z</dcterms:modified>
</cp:coreProperties>
</file>