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9" w:rsidRDefault="00040829" w:rsidP="0004082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C4A21">
        <w:rPr>
          <w:rFonts w:ascii="Times New Roman" w:hAnsi="Times New Roman" w:cs="Times New Roman"/>
          <w:b/>
          <w:lang w:val="en-US"/>
        </w:rPr>
        <w:t xml:space="preserve">e-Table </w:t>
      </w:r>
      <w:r>
        <w:rPr>
          <w:rFonts w:ascii="Times New Roman" w:hAnsi="Times New Roman" w:cs="Times New Roman"/>
          <w:b/>
          <w:lang w:val="en-US"/>
        </w:rPr>
        <w:t>1</w:t>
      </w:r>
      <w:r w:rsidRPr="00FC4A21">
        <w:rPr>
          <w:rFonts w:ascii="Times New Roman" w:hAnsi="Times New Roman" w:cs="Times New Roman"/>
          <w:lang w:val="en-US"/>
        </w:rPr>
        <w:t xml:space="preserve">: Multinomial logistic regression </w:t>
      </w:r>
      <w:r w:rsidR="00862186">
        <w:rPr>
          <w:rFonts w:ascii="Times New Roman" w:hAnsi="Times New Roman" w:cs="Times New Roman"/>
          <w:lang w:val="en-US"/>
        </w:rPr>
        <w:t>of prenatal exposure</w:t>
      </w:r>
      <w:r>
        <w:rPr>
          <w:rFonts w:ascii="Times New Roman" w:hAnsi="Times New Roman" w:cs="Times New Roman"/>
          <w:lang w:val="en-US"/>
        </w:rPr>
        <w:t xml:space="preserve"> </w:t>
      </w:r>
      <w:r w:rsidR="00862186">
        <w:rPr>
          <w:rFonts w:ascii="Times New Roman" w:hAnsi="Times New Roman" w:cs="Times New Roman"/>
          <w:lang w:val="en-US"/>
        </w:rPr>
        <w:t xml:space="preserve">to influenza-like illness </w:t>
      </w:r>
      <w:r w:rsidRPr="00FC4A21">
        <w:rPr>
          <w:rFonts w:ascii="Times New Roman" w:hAnsi="Times New Roman" w:cs="Times New Roman"/>
          <w:lang w:val="en-US"/>
        </w:rPr>
        <w:t>and reporting of definite psych</w:t>
      </w:r>
      <w:r>
        <w:rPr>
          <w:rFonts w:ascii="Times New Roman" w:hAnsi="Times New Roman" w:cs="Times New Roman"/>
          <w:lang w:val="en-US"/>
        </w:rPr>
        <w:t>osis-like experiences at age 11</w:t>
      </w:r>
      <w:r w:rsidR="00386D53">
        <w:rPr>
          <w:rFonts w:ascii="Times New Roman" w:hAnsi="Times New Roman" w:cs="Times New Roman"/>
          <w:lang w:val="en-US"/>
        </w:rPr>
        <w:t>.</w:t>
      </w:r>
      <w:r w:rsidR="00386D53" w:rsidRPr="00FC4A21">
        <w:rPr>
          <w:rFonts w:ascii="Times New Roman" w:hAnsi="Times New Roman" w:cs="Times New Roman"/>
          <w:vertAlign w:val="superscript"/>
          <w:lang w:val="en-US"/>
        </w:rPr>
        <w:t>a</w:t>
      </w:r>
      <w:r w:rsidR="00862186">
        <w:rPr>
          <w:rFonts w:ascii="Times New Roman" w:hAnsi="Times New Roman" w:cs="Times New Roman"/>
          <w:lang w:val="en-US"/>
        </w:rPr>
        <w:t xml:space="preserve"> Use of various influenza case-definitions. </w:t>
      </w:r>
      <w:r w:rsidRPr="00FC4A21">
        <w:rPr>
          <w:rFonts w:ascii="Times New Roman" w:hAnsi="Times New Roman" w:cs="Times New Roman"/>
          <w:lang w:val="en-US"/>
        </w:rPr>
        <w:t xml:space="preserve">DNBC, </w:t>
      </w:r>
      <w:r w:rsidRPr="00FC4A21">
        <w:rPr>
          <w:rFonts w:ascii="Times New Roman" w:hAnsi="Times New Roman" w:cs="Times New Roman"/>
          <w:i/>
          <w:lang w:val="en-US"/>
        </w:rPr>
        <w:t>n</w:t>
      </w:r>
      <w:r w:rsidRPr="00FC4A21">
        <w:rPr>
          <w:rFonts w:ascii="Times New Roman" w:hAnsi="Times New Roman" w:cs="Times New Roman"/>
          <w:lang w:val="en-US"/>
        </w:rPr>
        <w:t>= 46 184.</w:t>
      </w:r>
      <w:bookmarkStart w:id="0" w:name="_GoBack"/>
      <w:bookmarkEnd w:id="0"/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560"/>
        <w:gridCol w:w="283"/>
        <w:gridCol w:w="1701"/>
      </w:tblGrid>
      <w:tr w:rsidR="00040829" w:rsidRPr="00350B33" w:rsidTr="00040829">
        <w:tc>
          <w:tcPr>
            <w:tcW w:w="5245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 of definite psychosis-like experiences</w:t>
            </w:r>
          </w:p>
        </w:tc>
      </w:tr>
      <w:tr w:rsidR="00040829" w:rsidRPr="00386D53" w:rsidTr="00040829">
        <w:tc>
          <w:tcPr>
            <w:tcW w:w="5245" w:type="dxa"/>
            <w:vAlign w:val="center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PLE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≥2 PLEs</w:t>
            </w:r>
          </w:p>
        </w:tc>
      </w:tr>
      <w:tr w:rsidR="00040829" w:rsidRPr="00FC4A21" w:rsidTr="00040829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Definition of influenza-like illness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829" w:rsidRPr="00D15F43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(95 % 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(95 % CI)</w:t>
            </w:r>
          </w:p>
        </w:tc>
      </w:tr>
      <w:tr w:rsidR="00040829" w:rsidRPr="00350B33" w:rsidTr="00350B33">
        <w:tc>
          <w:tcPr>
            <w:tcW w:w="5245" w:type="dxa"/>
            <w:tcBorders>
              <w:top w:val="single" w:sz="4" w:space="0" w:color="auto"/>
            </w:tcBorders>
          </w:tcPr>
          <w:p w:rsidR="00040829" w:rsidRPr="004E1E6F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 and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 throat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FC4A21" w:rsidTr="00350B33">
        <w:tc>
          <w:tcPr>
            <w:tcW w:w="5245" w:type="dxa"/>
          </w:tcPr>
          <w:p w:rsidR="00040829" w:rsidRPr="004E1E6F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42,984</w:t>
            </w: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</w:tr>
      <w:tr w:rsidR="00040829" w:rsidRPr="00FC4A21" w:rsidTr="00350B33">
        <w:tc>
          <w:tcPr>
            <w:tcW w:w="5245" w:type="dxa"/>
          </w:tcPr>
          <w:p w:rsidR="00040829" w:rsidRPr="004E1E6F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Yes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3,117</w:t>
            </w: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(0.95-1.25)</w:t>
            </w: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 (0.80-1.17)</w:t>
            </w:r>
          </w:p>
        </w:tc>
      </w:tr>
      <w:tr w:rsidR="00040829" w:rsidRPr="00350B33" w:rsidTr="00350B33">
        <w:tc>
          <w:tcPr>
            <w:tcW w:w="5245" w:type="dxa"/>
          </w:tcPr>
          <w:p w:rsidR="00040829" w:rsidRPr="004E1E6F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cough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 throat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headache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muscle pain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4E1E6F" w:rsidTr="00350B33">
        <w:tc>
          <w:tcPr>
            <w:tcW w:w="5245" w:type="dxa"/>
          </w:tcPr>
          <w:p w:rsidR="00040829" w:rsidRPr="00D15F43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44,660</w:t>
            </w: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</w:tr>
      <w:tr w:rsidR="00040829" w:rsidRPr="004E1E6F" w:rsidTr="00350B33">
        <w:tc>
          <w:tcPr>
            <w:tcW w:w="5245" w:type="dxa"/>
          </w:tcPr>
          <w:p w:rsidR="00040829" w:rsidRPr="004E1E6F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Yes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1,441</w:t>
            </w: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(0.84-1.26)</w:t>
            </w: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(0.75-1.29)</w:t>
            </w:r>
          </w:p>
        </w:tc>
      </w:tr>
      <w:tr w:rsidR="00040829" w:rsidRPr="00350B33" w:rsidTr="00350B33">
        <w:tc>
          <w:tcPr>
            <w:tcW w:w="5245" w:type="dxa"/>
          </w:tcPr>
          <w:p w:rsidR="00040829" w:rsidRPr="004E1E6F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 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at least two 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symptoms of influenza</w:t>
            </w:r>
            <w:r w:rsidRPr="00D15F4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4E1E6F" w:rsidTr="00350B33">
        <w:tc>
          <w:tcPr>
            <w:tcW w:w="5245" w:type="dxa"/>
          </w:tcPr>
          <w:p w:rsidR="00040829" w:rsidRPr="00D15F43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</w:t>
            </w:r>
          </w:p>
        </w:tc>
        <w:tc>
          <w:tcPr>
            <w:tcW w:w="992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38,468</w:t>
            </w:r>
          </w:p>
        </w:tc>
        <w:tc>
          <w:tcPr>
            <w:tcW w:w="156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3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</w:tr>
      <w:tr w:rsidR="00040829" w:rsidRPr="004E1E6F" w:rsidTr="00350B33">
        <w:tc>
          <w:tcPr>
            <w:tcW w:w="5245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(0.98-1.18)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(1.03-1.31)</w:t>
            </w:r>
          </w:p>
        </w:tc>
      </w:tr>
    </w:tbl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sz w:val="20"/>
          <w:vertAlign w:val="superscript"/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Reference category: Not having reported any definite psychosis-like experiences</w:t>
      </w:r>
    </w:p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sz w:val="20"/>
          <w:vertAlign w:val="superscript"/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Refers to numbers in crude analyses</w:t>
      </w:r>
    </w:p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Analyses are adjusted for maternal age, maternal education, household income, parental secondary mental health care, maternal smoking in pregnancy, children in the household at birth, and urbanization.</w:t>
      </w:r>
    </w:p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d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Included any combination of  the following symptoms: common cold, cough, headache, joint pain, muscle pain, pain behind eyes, sore throat, or tiredness.</w:t>
      </w:r>
    </w:p>
    <w:p w:rsidR="00040829" w:rsidRDefault="00040829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C4A21">
        <w:rPr>
          <w:rFonts w:ascii="Times New Roman" w:hAnsi="Times New Roman" w:cs="Times New Roman"/>
          <w:b/>
          <w:lang w:val="en-US"/>
        </w:rPr>
        <w:lastRenderedPageBreak/>
        <w:t xml:space="preserve">e-Table </w:t>
      </w:r>
      <w:r>
        <w:rPr>
          <w:rFonts w:ascii="Times New Roman" w:hAnsi="Times New Roman" w:cs="Times New Roman"/>
          <w:b/>
          <w:lang w:val="en-US"/>
        </w:rPr>
        <w:t>2</w:t>
      </w:r>
      <w:r w:rsidRPr="00FC4A21">
        <w:rPr>
          <w:rFonts w:ascii="Times New Roman" w:hAnsi="Times New Roman" w:cs="Times New Roman"/>
          <w:lang w:val="en-US"/>
        </w:rPr>
        <w:t>: Multinomial logistic regression of trimester specific exposures to prenatal fever and infection and reporting of definite psych</w:t>
      </w:r>
      <w:r>
        <w:rPr>
          <w:rFonts w:ascii="Times New Roman" w:hAnsi="Times New Roman" w:cs="Times New Roman"/>
          <w:lang w:val="en-US"/>
        </w:rPr>
        <w:t>osis-like experiences at age 11.</w:t>
      </w:r>
      <w:r w:rsidRPr="00FC4A21"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r w:rsidRPr="00FC4A21">
        <w:rPr>
          <w:rFonts w:ascii="Times New Roman" w:hAnsi="Times New Roman" w:cs="Times New Roman"/>
          <w:lang w:val="en-US"/>
        </w:rPr>
        <w:t xml:space="preserve">DNBC, </w:t>
      </w:r>
      <w:r w:rsidRPr="00FC4A21">
        <w:rPr>
          <w:rFonts w:ascii="Times New Roman" w:hAnsi="Times New Roman" w:cs="Times New Roman"/>
          <w:i/>
          <w:lang w:val="en-US"/>
        </w:rPr>
        <w:t>n</w:t>
      </w:r>
      <w:r w:rsidRPr="00FC4A21">
        <w:rPr>
          <w:rFonts w:ascii="Times New Roman" w:hAnsi="Times New Roman" w:cs="Times New Roman"/>
          <w:lang w:val="en-US"/>
        </w:rPr>
        <w:t>= 46 184.</w:t>
      </w:r>
    </w:p>
    <w:tbl>
      <w:tblPr>
        <w:tblStyle w:val="TableGrid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36"/>
        <w:gridCol w:w="1720"/>
      </w:tblGrid>
      <w:tr w:rsidR="00040829" w:rsidRPr="00350B33" w:rsidTr="00040829">
        <w:tc>
          <w:tcPr>
            <w:tcW w:w="2830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 of definite psychosis-like experiences</w:t>
            </w:r>
          </w:p>
        </w:tc>
      </w:tr>
      <w:tr w:rsidR="00040829" w:rsidRPr="00FC4A21" w:rsidTr="00040829">
        <w:tc>
          <w:tcPr>
            <w:tcW w:w="2830" w:type="dxa"/>
            <w:vAlign w:val="center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PLE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≥2 PLEs</w:t>
            </w:r>
          </w:p>
        </w:tc>
      </w:tr>
      <w:tr w:rsidR="00040829" w:rsidRPr="00FC4A21" w:rsidTr="00040829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Prenatal exposure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RRR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(95 % CI)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RRR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(95 % CI)</w:t>
            </w:r>
          </w:p>
        </w:tc>
      </w:tr>
      <w:tr w:rsidR="00040829" w:rsidRPr="00FC4A21" w:rsidTr="00350B33">
        <w:tc>
          <w:tcPr>
            <w:tcW w:w="2830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 (0.9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-1.21)</w:t>
            </w: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Pr="00FC4A21" w:rsidDel="001439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Genitourinary infection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(0.91-1.27)</w:t>
            </w: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(0.86-1.36)</w:t>
            </w: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(0.91-1.13)</w:t>
            </w: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(0.88-1.19)</w:t>
            </w: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Respiratory tract infection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(0.97-1.53)</w:t>
            </w: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(0.80-1.52)</w:t>
            </w:r>
          </w:p>
        </w:tc>
      </w:tr>
      <w:tr w:rsidR="00040829" w:rsidRPr="00FC4A21" w:rsidTr="00350B33">
        <w:tc>
          <w:tcPr>
            <w:tcW w:w="2830" w:type="dxa"/>
          </w:tcPr>
          <w:p w:rsidR="00040829" w:rsidRPr="00FC4A21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(0.87-1.12)</w:t>
            </w:r>
          </w:p>
        </w:tc>
        <w:tc>
          <w:tcPr>
            <w:tcW w:w="236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FC4A21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(0.88-1.22)</w:t>
            </w:r>
          </w:p>
        </w:tc>
      </w:tr>
      <w:tr w:rsidR="00040829" w:rsidRPr="00FC4A21" w:rsidTr="00350B33">
        <w:tc>
          <w:tcPr>
            <w:tcW w:w="2830" w:type="dxa"/>
          </w:tcPr>
          <w:p w:rsidR="00040829" w:rsidRPr="00040829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Influenza-like illness</w:t>
            </w:r>
            <w:r w:rsidRPr="000408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829" w:rsidRPr="00FC4A21" w:rsidTr="00350B33">
        <w:tc>
          <w:tcPr>
            <w:tcW w:w="2830" w:type="dxa"/>
          </w:tcPr>
          <w:p w:rsidR="00040829" w:rsidRPr="00040829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</w:t>
            </w:r>
            <w:r w:rsidRPr="000408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 (1.00-1.73)</w:t>
            </w:r>
          </w:p>
        </w:tc>
        <w:tc>
          <w:tcPr>
            <w:tcW w:w="236" w:type="dxa"/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 (0.93-1.89)</w:t>
            </w:r>
          </w:p>
        </w:tc>
      </w:tr>
      <w:tr w:rsidR="00040829" w:rsidRPr="00FC4A21" w:rsidTr="00350B33">
        <w:tc>
          <w:tcPr>
            <w:tcW w:w="2830" w:type="dxa"/>
            <w:tcBorders>
              <w:bottom w:val="single" w:sz="4" w:space="0" w:color="auto"/>
            </w:tcBorders>
          </w:tcPr>
          <w:p w:rsidR="00040829" w:rsidRPr="00040829" w:rsidRDefault="00040829" w:rsidP="00040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</w:t>
            </w:r>
            <w:r w:rsidRPr="000408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trimester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 (0.84-1.47)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40829" w:rsidRPr="00040829" w:rsidRDefault="00040829" w:rsidP="0004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 (1.02-1.97)</w:t>
            </w:r>
          </w:p>
        </w:tc>
      </w:tr>
    </w:tbl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sz w:val="20"/>
          <w:vertAlign w:val="superscript"/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Reference category: Not having reported any psychosis-like experiences</w:t>
      </w:r>
    </w:p>
    <w:p w:rsidR="00040829" w:rsidRPr="00FC4A21" w:rsidRDefault="00040829" w:rsidP="0004082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Analyses are adjusted for maternal age, maternal education, household income, parental secondary mental health care, maternal smoking in pregnancy, children in the household at birth, and urbanization. </w:t>
      </w:r>
      <w:r w:rsidRPr="00973F85">
        <w:rPr>
          <w:rFonts w:ascii="Times New Roman" w:hAnsi="Times New Roman" w:cs="Times New Roman"/>
          <w:sz w:val="20"/>
          <w:lang w:val="en-US"/>
        </w:rPr>
        <w:t xml:space="preserve"> 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Analyses of fever episodes are additionally adjusted for </w:t>
      </w:r>
      <w:r>
        <w:rPr>
          <w:rFonts w:ascii="Times New Roman" w:hAnsi="Times New Roman" w:cs="Times New Roman"/>
          <w:sz w:val="20"/>
          <w:lang w:val="en-US"/>
        </w:rPr>
        <w:t xml:space="preserve">genitourinary and respiratory </w:t>
      </w:r>
      <w:r w:rsidRPr="00FC4A21">
        <w:rPr>
          <w:rFonts w:ascii="Times New Roman" w:hAnsi="Times New Roman" w:cs="Times New Roman"/>
          <w:sz w:val="20"/>
          <w:lang w:val="en-US"/>
        </w:rPr>
        <w:t>infection exposure and vice versa.</w:t>
      </w:r>
    </w:p>
    <w:p w:rsidR="00CE7351" w:rsidRPr="00040829" w:rsidRDefault="00040829" w:rsidP="00040829">
      <w:pPr>
        <w:spacing w:after="0" w:line="240" w:lineRule="auto"/>
        <w:rPr>
          <w:lang w:val="en-US"/>
        </w:rPr>
      </w:pP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Models are mutually adjusted for exposure in 1</w:t>
      </w: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st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and 2</w:t>
      </w: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nd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trimester. 3</w:t>
      </w:r>
      <w:r w:rsidRPr="00FC4A21">
        <w:rPr>
          <w:rFonts w:ascii="Times New Roman" w:hAnsi="Times New Roman" w:cs="Times New Roman"/>
          <w:sz w:val="20"/>
          <w:vertAlign w:val="superscript"/>
          <w:lang w:val="en-US"/>
        </w:rPr>
        <w:t>rd</w:t>
      </w:r>
      <w:r w:rsidRPr="00FC4A21">
        <w:rPr>
          <w:rFonts w:ascii="Times New Roman" w:hAnsi="Times New Roman" w:cs="Times New Roman"/>
          <w:sz w:val="20"/>
          <w:lang w:val="en-US"/>
        </w:rPr>
        <w:t xml:space="preserve"> trimester exposures are not included in the analyses, as the last interview in pregnancy was conducted at approximately gestational week 30.</w:t>
      </w:r>
    </w:p>
    <w:sectPr w:rsidR="00CE7351" w:rsidRPr="000408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29"/>
    <w:rsid w:val="00040829"/>
    <w:rsid w:val="00386D53"/>
    <w:rsid w:val="005C73CC"/>
    <w:rsid w:val="00862186"/>
    <w:rsid w:val="00C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329B-6D93-48AC-A8BA-732197C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2311</Characters>
  <Application>Microsoft Office Word</Application>
  <DocSecurity>0</DocSecurity>
  <Lines>46</Lines>
  <Paragraphs>19</Paragraphs>
  <ScaleCrop>false</ScaleCrop>
  <Company>Aarhus University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Werenberg Dreier</dc:creator>
  <cp:keywords/>
  <dc:description/>
  <cp:lastModifiedBy>Julie Werenberg Dreier</cp:lastModifiedBy>
  <cp:revision>4</cp:revision>
  <dcterms:created xsi:type="dcterms:W3CDTF">2017-05-23T09:58:00Z</dcterms:created>
  <dcterms:modified xsi:type="dcterms:W3CDTF">2017-05-23T10:08:00Z</dcterms:modified>
</cp:coreProperties>
</file>