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5F" w:rsidRDefault="002F095F" w:rsidP="002F095F">
      <w:pPr>
        <w:pStyle w:val="Standard"/>
        <w:ind w:left="720" w:hanging="720"/>
        <w:rPr>
          <w:b/>
        </w:rPr>
      </w:pPr>
      <w:r>
        <w:rPr>
          <w:b/>
        </w:rPr>
        <w:t xml:space="preserve">Supplementary </w:t>
      </w:r>
      <w:proofErr w:type="gramStart"/>
      <w:r>
        <w:rPr>
          <w:b/>
        </w:rPr>
        <w:t>Information :</w:t>
      </w:r>
      <w:proofErr w:type="gramEnd"/>
    </w:p>
    <w:p w:rsidR="002F095F" w:rsidRDefault="002F095F" w:rsidP="002F095F">
      <w:pPr>
        <w:pStyle w:val="Standard"/>
        <w:ind w:left="720" w:hanging="720"/>
      </w:pPr>
    </w:p>
    <w:p w:rsidR="002F095F" w:rsidRDefault="002F095F" w:rsidP="002F095F">
      <w:pPr>
        <w:pStyle w:val="Standard"/>
        <w:spacing w:line="480" w:lineRule="auto"/>
      </w:pPr>
    </w:p>
    <w:p w:rsidR="001E2896" w:rsidRDefault="000028FF" w:rsidP="002F095F">
      <w:pPr>
        <w:pStyle w:val="Standard"/>
        <w:spacing w:line="480" w:lineRule="auto"/>
        <w:rPr>
          <w:b/>
        </w:rPr>
      </w:pPr>
      <w:r>
        <w:rPr>
          <w:b/>
        </w:rPr>
        <w:t>Figure</w:t>
      </w:r>
      <w:r w:rsidR="00817C11">
        <w:rPr>
          <w:b/>
        </w:rPr>
        <w:t xml:space="preserve"> </w:t>
      </w:r>
      <w:r w:rsidR="00EC7DE6">
        <w:rPr>
          <w:b/>
        </w:rPr>
        <w:t>S1</w:t>
      </w:r>
      <w:r w:rsidR="004F60AD">
        <w:rPr>
          <w:b/>
        </w:rPr>
        <w:t xml:space="preserve"> </w:t>
      </w:r>
      <w:r>
        <w:rPr>
          <w:b/>
        </w:rPr>
        <w:t xml:space="preserve">– </w:t>
      </w:r>
      <w:r w:rsidR="00EC7DE6">
        <w:rPr>
          <w:b/>
        </w:rPr>
        <w:t xml:space="preserve">Colour Version of </w:t>
      </w:r>
      <w:r>
        <w:rPr>
          <w:b/>
        </w:rPr>
        <w:t>Weak Aggregate</w:t>
      </w:r>
      <w:r w:rsidR="00EC7DE6">
        <w:rPr>
          <w:b/>
        </w:rPr>
        <w:t xml:space="preserve"> (Main Text – Figure 2)</w:t>
      </w:r>
    </w:p>
    <w:p w:rsidR="000028FF" w:rsidRPr="001E2896" w:rsidRDefault="000028FF" w:rsidP="002F095F">
      <w:pPr>
        <w:pStyle w:val="Standard"/>
        <w:spacing w:line="480" w:lineRule="auto"/>
        <w:rPr>
          <w:b/>
        </w:rPr>
      </w:pPr>
    </w:p>
    <w:p w:rsidR="001E2896" w:rsidRDefault="00817C11" w:rsidP="002F095F">
      <w:pPr>
        <w:pStyle w:val="Standard"/>
        <w:spacing w:line="480" w:lineRule="auto"/>
      </w:pPr>
      <w:r w:rsidRPr="00817C11">
        <w:rPr>
          <w:noProof/>
          <w:lang w:eastAsia="en-GB" w:bidi="ar-SA"/>
        </w:rPr>
        <w:drawing>
          <wp:inline distT="0" distB="0" distL="0" distR="0">
            <wp:extent cx="5410200" cy="4167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618"/>
                    <a:stretch/>
                  </pic:blipFill>
                  <pic:spPr bwMode="auto">
                    <a:xfrm>
                      <a:off x="0" y="0"/>
                      <a:ext cx="5410200" cy="4167505"/>
                    </a:xfrm>
                    <a:prstGeom prst="rect">
                      <a:avLst/>
                    </a:prstGeom>
                    <a:noFill/>
                    <a:ln>
                      <a:noFill/>
                    </a:ln>
                    <a:extLst>
                      <a:ext uri="{53640926-AAD7-44D8-BBD7-CCE9431645EC}">
                        <a14:shadowObscured xmlns:a14="http://schemas.microsoft.com/office/drawing/2010/main"/>
                      </a:ext>
                    </a:extLst>
                  </pic:spPr>
                </pic:pic>
              </a:graphicData>
            </a:graphic>
          </wp:inline>
        </w:drawing>
      </w:r>
    </w:p>
    <w:p w:rsidR="000028FF" w:rsidRDefault="000028FF">
      <w:pPr>
        <w:rPr>
          <w:rFonts w:ascii="Liberation Serif" w:eastAsia="Noto Sans CJK SC Regular" w:hAnsi="Liberation Serif" w:cs="FreeSans"/>
          <w:kern w:val="3"/>
          <w:sz w:val="24"/>
          <w:szCs w:val="24"/>
          <w:lang w:eastAsia="zh-CN" w:bidi="hi-IN"/>
        </w:rPr>
      </w:pPr>
      <w:r>
        <w:br w:type="page"/>
      </w:r>
    </w:p>
    <w:p w:rsidR="00EC7DE6" w:rsidRDefault="00EC7DE6" w:rsidP="00EC7DE6">
      <w:pPr>
        <w:pStyle w:val="Standard"/>
        <w:spacing w:line="480" w:lineRule="auto"/>
        <w:rPr>
          <w:b/>
        </w:rPr>
      </w:pPr>
      <w:r>
        <w:rPr>
          <w:b/>
        </w:rPr>
        <w:lastRenderedPageBreak/>
        <w:t>Figure S2 – Colour Version of Strong Aggregate (Main Text – Figure 3)</w:t>
      </w:r>
    </w:p>
    <w:p w:rsidR="000028FF" w:rsidRDefault="000028FF" w:rsidP="002F095F">
      <w:pPr>
        <w:pStyle w:val="Standard"/>
        <w:spacing w:line="480" w:lineRule="auto"/>
      </w:pPr>
      <w:r w:rsidRPr="000028FF">
        <w:rPr>
          <w:noProof/>
          <w:lang w:eastAsia="en-GB" w:bidi="ar-SA"/>
        </w:rPr>
        <w:drawing>
          <wp:inline distT="0" distB="0" distL="0" distR="0">
            <wp:extent cx="5429250" cy="414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 r="268"/>
                    <a:stretch/>
                  </pic:blipFill>
                  <pic:spPr bwMode="auto">
                    <a:xfrm>
                      <a:off x="0" y="0"/>
                      <a:ext cx="5429250" cy="4143375"/>
                    </a:xfrm>
                    <a:prstGeom prst="rect">
                      <a:avLst/>
                    </a:prstGeom>
                    <a:noFill/>
                    <a:ln>
                      <a:noFill/>
                    </a:ln>
                    <a:extLst>
                      <a:ext uri="{53640926-AAD7-44D8-BBD7-CCE9431645EC}">
                        <a14:shadowObscured xmlns:a14="http://schemas.microsoft.com/office/drawing/2010/main"/>
                      </a:ext>
                    </a:extLst>
                  </pic:spPr>
                </pic:pic>
              </a:graphicData>
            </a:graphic>
          </wp:inline>
        </w:drawing>
      </w:r>
    </w:p>
    <w:p w:rsidR="000028FF" w:rsidRDefault="000028FF" w:rsidP="002F095F">
      <w:pPr>
        <w:pStyle w:val="Standard"/>
        <w:spacing w:line="480" w:lineRule="auto"/>
      </w:pPr>
    </w:p>
    <w:p w:rsidR="002F095F" w:rsidRPr="00DC7196" w:rsidRDefault="002F095F" w:rsidP="002F095F">
      <w:pPr>
        <w:pStyle w:val="Standard"/>
        <w:spacing w:line="480" w:lineRule="auto"/>
        <w:rPr>
          <w:b/>
        </w:rPr>
      </w:pPr>
      <w:r w:rsidRPr="00DC7196">
        <w:rPr>
          <w:b/>
        </w:rPr>
        <w:t>Application of Singular Valued Decomposition</w:t>
      </w:r>
      <w:r w:rsidR="000B5D9C">
        <w:rPr>
          <w:b/>
        </w:rPr>
        <w:t xml:space="preserve"> </w:t>
      </w:r>
      <w:r w:rsidR="00CE7983">
        <w:rPr>
          <w:b/>
        </w:rPr>
        <w:t xml:space="preserve">(SVD) </w:t>
      </w:r>
      <w:r w:rsidR="000B5D9C">
        <w:rPr>
          <w:b/>
        </w:rPr>
        <w:t>to Derive Strong Aggregate</w:t>
      </w:r>
    </w:p>
    <w:p w:rsidR="00CE7983" w:rsidRDefault="001E2896" w:rsidP="001E2896">
      <w:pPr>
        <w:pStyle w:val="Textbody"/>
      </w:pPr>
      <w:r>
        <w:t xml:space="preserve">Suppose that, </w:t>
      </w:r>
      <w:r w:rsidR="000B5D9C">
        <w:t xml:space="preserve">as in the main text, </w:t>
      </w:r>
      <w:r>
        <w:t xml:space="preserve">the distinction between disease states in the neighbourhood of </w:t>
      </w:r>
      <w:r w:rsidR="000B5D9C">
        <w:t xml:space="preserve">prototypes </w:t>
      </w:r>
      <w:r>
        <w:t xml:space="preserve">C and D are </w:t>
      </w:r>
      <w:r w:rsidR="002A5B5F">
        <w:t>clinically relevant</w:t>
      </w:r>
      <w:r>
        <w:t xml:space="preserve">.  </w:t>
      </w:r>
      <w:r w:rsidR="00CE7983">
        <w:t xml:space="preserve">Using the positive, negative and general symptom domain scores for each patient, a 3-dimensional space is formed, shown in Figure 2 and 3 of the main text, and above, in colour form.  </w:t>
      </w:r>
    </w:p>
    <w:p w:rsidR="00CE7983" w:rsidRDefault="00CE7983" w:rsidP="001E2896">
      <w:pPr>
        <w:pStyle w:val="Textbody"/>
      </w:pPr>
    </w:p>
    <w:p w:rsidR="00CE7983" w:rsidRPr="00CE7983" w:rsidRDefault="00CE7983" w:rsidP="001E2896">
      <w:pPr>
        <w:pStyle w:val="Textbody"/>
      </w:pPr>
      <w:r>
        <w:t>W</w:t>
      </w:r>
      <w:r w:rsidR="001E2896">
        <w:t xml:space="preserve">e </w:t>
      </w:r>
      <w:r>
        <w:t xml:space="preserve">first define </w:t>
      </w:r>
      <w:r w:rsidR="001E2896">
        <w:t xml:space="preserve">the </w:t>
      </w:r>
      <w:r w:rsidRPr="00CE7983">
        <w:rPr>
          <w:i/>
        </w:rPr>
        <w:t>M</w:t>
      </w:r>
      <w:r>
        <w:t xml:space="preserve"> </w:t>
      </w:r>
      <w:proofErr w:type="gramStart"/>
      <w:r>
        <w:t>x</w:t>
      </w:r>
      <w:proofErr w:type="gramEnd"/>
      <w:r>
        <w:t xml:space="preserve"> </w:t>
      </w:r>
      <w:r w:rsidRPr="00CE7983">
        <w:rPr>
          <w:i/>
        </w:rPr>
        <w:t>N</w:t>
      </w:r>
      <w:r>
        <w:t xml:space="preserve"> </w:t>
      </w:r>
      <w:r w:rsidR="001E2896">
        <w:t xml:space="preserve">matrix, </w:t>
      </w:r>
      <w:r w:rsidR="001E2896">
        <w:rPr>
          <w:b/>
          <w:bCs/>
        </w:rPr>
        <w:t>Y</w:t>
      </w:r>
      <w:r>
        <w:t xml:space="preserve">, where rows, </w:t>
      </w:r>
      <w:r w:rsidRPr="00CE7983">
        <w:rPr>
          <w:i/>
        </w:rPr>
        <w:t>M</w:t>
      </w:r>
      <w:r>
        <w:t xml:space="preserve">, are </w:t>
      </w:r>
      <w:r w:rsidR="00692C3C">
        <w:t xml:space="preserve">variables measuring clinical state e.g. </w:t>
      </w:r>
      <w:r>
        <w:t xml:space="preserve">PANSS domains (positive, negative and general respectively) and the columns </w:t>
      </w:r>
      <w:r w:rsidR="00733EB5">
        <w:t xml:space="preserve">are </w:t>
      </w:r>
      <w:r w:rsidR="00692C3C">
        <w:t xml:space="preserve">values of each variable for </w:t>
      </w:r>
      <w:r w:rsidR="00733EB5">
        <w:t>the</w:t>
      </w:r>
      <w:r>
        <w:t xml:space="preserve"> 1459 </w:t>
      </w:r>
      <w:r w:rsidR="001E2896" w:rsidRPr="00CE7983">
        <w:t>patients</w:t>
      </w:r>
      <w:r>
        <w:t xml:space="preserve">.  We then append to </w:t>
      </w:r>
      <w:r>
        <w:rPr>
          <w:b/>
        </w:rPr>
        <w:t>Y</w:t>
      </w:r>
      <w:r>
        <w:t xml:space="preserve"> the prototypes A, B, C and D</w:t>
      </w:r>
      <w:r w:rsidR="000C1884">
        <w:t xml:space="preserve"> resulting in </w:t>
      </w:r>
      <w:r w:rsidR="000C1884">
        <w:rPr>
          <w:i/>
        </w:rPr>
        <w:t xml:space="preserve">N </w:t>
      </w:r>
      <w:r w:rsidR="000C1884">
        <w:t>= 1463</w:t>
      </w:r>
      <w:r>
        <w:t>.</w:t>
      </w:r>
    </w:p>
    <w:p w:rsidR="00CE7983" w:rsidRDefault="00CE7983" w:rsidP="003A5FF9">
      <w:pPr>
        <w:pStyle w:val="Textbody"/>
      </w:pPr>
    </w:p>
    <w:p w:rsidR="003A5FF9" w:rsidRDefault="006B4080" w:rsidP="003A5FF9">
      <w:pPr>
        <w:pStyle w:val="Textbody"/>
      </w:pPr>
      <w:r>
        <w:t>A</w:t>
      </w:r>
      <w:r w:rsidR="003A5FF9">
        <w:t xml:space="preserve">n SVD </w:t>
      </w:r>
      <w:r w:rsidR="00CE7983">
        <w:fldChar w:fldCharType="begin" w:fldLock="1"/>
      </w:r>
      <w:r w:rsidR="00FA0632">
        <w:instrText>ADDIN CSL_CITATION { "citationItems" : [ { "id" : "ITEM-1", "itemData" : { "DOI" : "10.2307/2003783", "ISBN" : "0-9614088-9-8", "ISSN" : "03081087", "PMID" : "1148740", "abstract" : "\"This book is designed to help students understand and solve the four central problems of linear algebra: Ax = b, n by n; Ax = b, m by n; Ax = [lambda]x, n by n; Av = [sigma]u, m by n\"--Back cover. Introduction to vectors -- Solving linear equations -- Vector spaces and subspaces -- Orthogonality -- Determinants -- Eigenvalues and eigenvectors -- The singular value decomposition (SVD) -- Linear transformations -- Complex vectors and matrices -- Applications -- Numeral linear algebra -- Linear algebra in probability &amp; statistics -- Matrix factorizations -- Index -- Six great theorems, linear algebra in a nutshell.", "author" : [ { "dropping-particle" : "", "family" : "Strang", "given" : "Gibert", "non-dropping-particle" : "", "parse-names" : false, "suffix" : "" } ], "edition" : "4th", "id" : "ITEM-1", "issued" : { "date-parts" : [ [ "2004" ] ] }, "number-of-pages" : "496", "publisher" : "WB Saunders", "title" : "Linear Algebra and Its Applications", "type" : "book" }, "uris" : [ "http://www.mendeley.com/documents/?uuid=80978bbf-06d5-364f-a0bc-02ae3ac4ae02" ] } ], "mendeley" : { "formattedCitation" : "(Strang, 2004)", "plainTextFormattedCitation" : "(Strang, 2004)", "previouslyFormattedCitation" : "(Strang, 2004)" }, "properties" : { "noteIndex" : 0 }, "schema" : "https://github.com/citation-style-language/schema/raw/master/csl-citation.json" }</w:instrText>
      </w:r>
      <w:r w:rsidR="00CE7983">
        <w:fldChar w:fldCharType="separate"/>
      </w:r>
      <w:r w:rsidR="00CE7983" w:rsidRPr="00CE7983">
        <w:rPr>
          <w:noProof/>
        </w:rPr>
        <w:t>(Strang, 2004)</w:t>
      </w:r>
      <w:r w:rsidR="00CE7983">
        <w:fldChar w:fldCharType="end"/>
      </w:r>
      <w:r w:rsidR="00CE7983">
        <w:t xml:space="preserve"> </w:t>
      </w:r>
      <w:r w:rsidR="009361C8">
        <w:t xml:space="preserve">decomposes </w:t>
      </w:r>
      <w:r w:rsidR="009361C8">
        <w:rPr>
          <w:b/>
        </w:rPr>
        <w:t>Y</w:t>
      </w:r>
      <w:r w:rsidR="009361C8">
        <w:t xml:space="preserve"> into</w:t>
      </w:r>
      <w:r w:rsidR="003A5FF9">
        <w:t xml:space="preserve"> three matrices:</w:t>
      </w:r>
    </w:p>
    <w:p w:rsidR="00FE20EE" w:rsidRDefault="00FE20EE" w:rsidP="003A5FF9">
      <w:pPr>
        <w:pStyle w:val="Textbody"/>
      </w:pPr>
      <m:oMathPara>
        <m:oMath>
          <m:r>
            <m:rPr>
              <m:nor/>
            </m:rPr>
            <w:rPr>
              <w:rFonts w:ascii="Cambria Math" w:hAnsi="Cambria Math"/>
              <w:b/>
            </w:rPr>
            <m:t>Y</m:t>
          </m:r>
          <m:r>
            <w:rPr>
              <w:rFonts w:ascii="Cambria Math" w:hAnsi="Cambria Math"/>
            </w:rPr>
            <m:t>=</m:t>
          </m:r>
          <m:r>
            <m:rPr>
              <m:nor/>
            </m:rPr>
            <w:rPr>
              <w:rFonts w:ascii="Cambria Math" w:hAnsi="Cambria Math"/>
              <w:b/>
            </w:rPr>
            <m:t>UΣ</m:t>
          </m:r>
          <m:sSup>
            <m:sSupPr>
              <m:ctrlPr>
                <w:rPr>
                  <w:rFonts w:ascii="Cambria Math" w:hAnsi="Cambria Math"/>
                  <w:i/>
                </w:rPr>
              </m:ctrlPr>
            </m:sSupPr>
            <m:e>
              <m:r>
                <m:rPr>
                  <m:nor/>
                </m:rPr>
                <w:rPr>
                  <w:rFonts w:ascii="Cambria Math" w:hAnsi="Cambria Math"/>
                  <w:b/>
                </w:rPr>
                <m:t>V</m:t>
              </m:r>
            </m:e>
            <m:sup>
              <m:r>
                <m:rPr>
                  <m:nor/>
                </m:rPr>
                <w:rPr>
                  <w:rFonts w:ascii="Cambria Math" w:hAnsi="Cambria Math"/>
                </w:rPr>
                <m:t>T</m:t>
              </m:r>
            </m:sup>
          </m:sSup>
        </m:oMath>
      </m:oMathPara>
    </w:p>
    <w:p w:rsidR="00F03A9C" w:rsidRDefault="00FE20EE" w:rsidP="001E2896">
      <w:pPr>
        <w:pStyle w:val="Textbody"/>
      </w:pPr>
      <w:r>
        <w:t xml:space="preserve">Where </w:t>
      </w:r>
      <m:oMath>
        <m:r>
          <m:rPr>
            <m:nor/>
          </m:rPr>
          <w:rPr>
            <w:rFonts w:ascii="Cambria Math" w:hAnsi="Cambria Math"/>
            <w:b/>
          </w:rPr>
          <m:t>U</m:t>
        </m:r>
      </m:oMath>
      <w:r>
        <w:t xml:space="preserve"> </w:t>
      </w:r>
      <w:r w:rsidR="00CA5CCF">
        <w:t xml:space="preserve">and </w:t>
      </w:r>
      <m:oMath>
        <m:r>
          <m:rPr>
            <m:nor/>
          </m:rPr>
          <w:rPr>
            <w:rFonts w:ascii="Cambria Math" w:hAnsi="Cambria Math"/>
            <w:b/>
          </w:rPr>
          <m:t>V</m:t>
        </m:r>
      </m:oMath>
      <w:r w:rsidR="00CA5CCF">
        <w:t xml:space="preserve"> are </w:t>
      </w:r>
      <w:r w:rsidR="00CA5CCF" w:rsidRPr="00CA5CCF">
        <w:t>square</w:t>
      </w:r>
      <w:r w:rsidR="00CA5CCF">
        <w:t xml:space="preserve"> matrices</w:t>
      </w:r>
      <w:r>
        <w:t xml:space="preserve"> </w:t>
      </w:r>
      <w:r w:rsidR="00290E2A">
        <w:t xml:space="preserve">(the so-called left and right singular vectors) </w:t>
      </w:r>
      <w:r>
        <w:t xml:space="preserve">whose columns </w:t>
      </w:r>
      <w:r w:rsidR="004801D3">
        <w:t>are</w:t>
      </w:r>
      <w:r>
        <w:t xml:space="preserve"> the orthogonal eigenvectors of the matrix </w:t>
      </w:r>
      <m:oMath>
        <m:r>
          <m:rPr>
            <m:nor/>
          </m:rPr>
          <w:rPr>
            <w:rFonts w:ascii="Cambria Math" w:hAnsi="Cambria Math"/>
            <w:b/>
          </w:rPr>
          <m:t>Y</m:t>
        </m:r>
        <m:sSup>
          <m:sSupPr>
            <m:ctrlPr>
              <w:rPr>
                <w:rFonts w:ascii="Cambria Math" w:hAnsi="Cambria Math"/>
                <w:b/>
              </w:rPr>
            </m:ctrlPr>
          </m:sSupPr>
          <m:e>
            <m:r>
              <m:rPr>
                <m:nor/>
              </m:rPr>
              <w:rPr>
                <w:rFonts w:ascii="Cambria Math" w:hAnsi="Cambria Math"/>
                <w:b/>
              </w:rPr>
              <m:t>Y</m:t>
            </m:r>
          </m:e>
          <m:sup>
            <m:r>
              <w:rPr>
                <w:rFonts w:ascii="Cambria Math" w:hAnsi="Cambria Math"/>
              </w:rPr>
              <m:t>T</m:t>
            </m:r>
          </m:sup>
        </m:sSup>
      </m:oMath>
      <w:r>
        <w:t xml:space="preserve"> </w:t>
      </w:r>
      <w:r w:rsidR="00CA5CCF">
        <w:t>and</w:t>
      </w:r>
      <w:r>
        <w:t xml:space="preserve"> </w:t>
      </w:r>
      <m:oMath>
        <m:sSup>
          <m:sSupPr>
            <m:ctrlPr>
              <w:rPr>
                <w:rFonts w:ascii="Cambria Math" w:hAnsi="Cambria Math"/>
                <w:b/>
              </w:rPr>
            </m:ctrlPr>
          </m:sSupPr>
          <m:e>
            <m:r>
              <m:rPr>
                <m:nor/>
              </m:rPr>
              <w:rPr>
                <w:rFonts w:ascii="Cambria Math" w:hAnsi="Cambria Math"/>
                <w:b/>
              </w:rPr>
              <m:t>Y</m:t>
            </m:r>
          </m:e>
          <m:sup>
            <m:r>
              <w:rPr>
                <w:rFonts w:ascii="Cambria Math" w:hAnsi="Cambria Math"/>
              </w:rPr>
              <m:t>T</m:t>
            </m:r>
          </m:sup>
        </m:sSup>
        <m:r>
          <m:rPr>
            <m:nor/>
          </m:rPr>
          <w:rPr>
            <w:rFonts w:ascii="Cambria Math" w:hAnsi="Cambria Math"/>
            <w:b/>
          </w:rPr>
          <m:t>Y</m:t>
        </m:r>
      </m:oMath>
      <w:r>
        <w:t xml:space="preserve"> </w:t>
      </w:r>
      <w:r w:rsidR="00CA5CCF">
        <w:t xml:space="preserve">respectively.  </w:t>
      </w:r>
      <w:r w:rsidR="00BB12D8">
        <w:t>E</w:t>
      </w:r>
      <w:r>
        <w:t>lements (</w:t>
      </w:r>
      <w:proofErr w:type="spellStart"/>
      <w:proofErr w:type="gramStart"/>
      <w:r w:rsidRPr="00FE20EE">
        <w:rPr>
          <w:i/>
        </w:rPr>
        <w:t>i</w:t>
      </w:r>
      <w:r>
        <w:t>,</w:t>
      </w:r>
      <w:r w:rsidRPr="00FE20EE">
        <w:rPr>
          <w:i/>
        </w:rPr>
        <w:t>j</w:t>
      </w:r>
      <w:proofErr w:type="spellEnd"/>
      <w:proofErr w:type="gramEnd"/>
      <w:r>
        <w:t xml:space="preserve">) of </w:t>
      </w:r>
      <m:oMath>
        <m:sSup>
          <m:sSupPr>
            <m:ctrlPr>
              <w:rPr>
                <w:rFonts w:ascii="Cambria Math" w:hAnsi="Cambria Math"/>
                <w:b/>
              </w:rPr>
            </m:ctrlPr>
          </m:sSupPr>
          <m:e>
            <m:r>
              <m:rPr>
                <m:nor/>
              </m:rPr>
              <w:rPr>
                <w:rFonts w:ascii="Cambria Math" w:hAnsi="Cambria Math"/>
                <w:b/>
              </w:rPr>
              <m:t>Y</m:t>
            </m:r>
          </m:e>
          <m:sup>
            <m:r>
              <w:rPr>
                <w:rFonts w:ascii="Cambria Math" w:hAnsi="Cambria Math"/>
              </w:rPr>
              <m:t>T</m:t>
            </m:r>
          </m:sup>
        </m:sSup>
        <m:r>
          <m:rPr>
            <m:sty m:val="b"/>
          </m:rPr>
          <w:rPr>
            <w:rFonts w:ascii="Cambria Math" w:hAnsi="Cambria Math"/>
          </w:rPr>
          <m:t>Y</m:t>
        </m:r>
      </m:oMath>
      <w:r>
        <w:rPr>
          <w:b/>
        </w:rPr>
        <w:t xml:space="preserve"> </w:t>
      </w:r>
      <w:r w:rsidRPr="00FE20EE">
        <w:t>repres</w:t>
      </w:r>
      <w:r>
        <w:t xml:space="preserve">ent a measure of </w:t>
      </w:r>
      <w:r w:rsidR="00CA5CCF">
        <w:t xml:space="preserve">similarity </w:t>
      </w:r>
      <w:r>
        <w:t xml:space="preserve">between </w:t>
      </w:r>
      <w:r w:rsidR="00AE7821">
        <w:t>patients</w:t>
      </w:r>
      <w:r w:rsidR="00366B9D">
        <w:t xml:space="preserve"> </w:t>
      </w:r>
      <w:proofErr w:type="spellStart"/>
      <w:r w:rsidR="00366B9D">
        <w:rPr>
          <w:i/>
        </w:rPr>
        <w:t>i</w:t>
      </w:r>
      <w:proofErr w:type="spellEnd"/>
      <w:r w:rsidR="00366B9D">
        <w:rPr>
          <w:i/>
        </w:rPr>
        <w:t xml:space="preserve"> </w:t>
      </w:r>
      <w:r w:rsidR="00366B9D">
        <w:t xml:space="preserve">and </w:t>
      </w:r>
      <w:r w:rsidR="00366B9D">
        <w:rPr>
          <w:i/>
        </w:rPr>
        <w:t xml:space="preserve">j </w:t>
      </w:r>
      <w:r w:rsidR="00366B9D">
        <w:t>based on co-occurrence of their PANSS domains scores (positive, negative and general)</w:t>
      </w:r>
      <w:r>
        <w:t>.</w:t>
      </w:r>
      <w:r w:rsidR="00290E2A">
        <w:t xml:space="preserve"> </w:t>
      </w:r>
      <m:oMath>
        <m:r>
          <m:rPr>
            <m:nor/>
          </m:rPr>
          <w:rPr>
            <w:rFonts w:ascii="Cambria Math" w:hAnsi="Cambria Math"/>
            <w:b/>
          </w:rPr>
          <m:t>Σ</m:t>
        </m:r>
      </m:oMath>
      <w:r w:rsidR="00290E2A">
        <w:t xml:space="preserve"> is the diagonal matrix of singular values of </w:t>
      </w:r>
      <m:oMath>
        <m:r>
          <m:rPr>
            <m:sty m:val="b"/>
          </m:rPr>
          <w:rPr>
            <w:rFonts w:ascii="Cambria Math" w:hAnsi="Cambria Math"/>
          </w:rPr>
          <m:t>Y</m:t>
        </m:r>
      </m:oMath>
      <w:r w:rsidR="00290E2A" w:rsidRPr="009361C8">
        <w:t>.</w:t>
      </w:r>
      <w:r w:rsidR="00290E2A">
        <w:t xml:space="preserve"> </w:t>
      </w:r>
      <w:r w:rsidR="00196ED5">
        <w:t xml:space="preserve"> </w:t>
      </w:r>
    </w:p>
    <w:p w:rsidR="009B3A4F" w:rsidRDefault="009B3A4F" w:rsidP="001E2896">
      <w:pPr>
        <w:pStyle w:val="Textbody"/>
      </w:pPr>
    </w:p>
    <w:p w:rsidR="008C604C" w:rsidRDefault="000C1884" w:rsidP="001E2896">
      <w:pPr>
        <w:pStyle w:val="Textbody"/>
      </w:pPr>
      <w:r>
        <w:t xml:space="preserve">We </w:t>
      </w:r>
      <w:r w:rsidR="009B3A4F">
        <w:t>can now examine</w:t>
      </w:r>
      <w:r w:rsidR="00C43296">
        <w:t xml:space="preserve"> </w:t>
      </w:r>
      <w:r w:rsidR="004801D3">
        <w:t xml:space="preserve">the pattern of </w:t>
      </w:r>
      <w:r w:rsidR="00C43296">
        <w:t xml:space="preserve">similarity </w:t>
      </w:r>
      <w:r w:rsidR="004801D3">
        <w:t xml:space="preserve">between </w:t>
      </w:r>
      <w:r w:rsidR="00C43296">
        <w:t xml:space="preserve">patients </w:t>
      </w:r>
      <w:r w:rsidR="009B3A4F">
        <w:t>and prototypes</w:t>
      </w:r>
      <w:r w:rsidR="00C43296">
        <w:t xml:space="preserve"> </w:t>
      </w:r>
      <w:r w:rsidR="009B3A4F">
        <w:t xml:space="preserve">by </w:t>
      </w:r>
      <w:r w:rsidR="00C43296">
        <w:t xml:space="preserve">using </w:t>
      </w:r>
      <w:r w:rsidR="00F03A9C">
        <w:t xml:space="preserve">only </w:t>
      </w:r>
      <w:r w:rsidR="009F5A69">
        <w:t xml:space="preserve">the </w:t>
      </w:r>
      <w:r>
        <w:t>columns</w:t>
      </w:r>
      <w:r w:rsidR="00733EB5">
        <w:t xml:space="preserve"> of</w:t>
      </w:r>
      <w:r>
        <w:t xml:space="preserve"> </w:t>
      </w:r>
      <m:oMath>
        <m:r>
          <m:rPr>
            <m:nor/>
          </m:rPr>
          <w:rPr>
            <w:rFonts w:ascii="Cambria Math" w:hAnsi="Cambria Math"/>
            <w:b/>
          </w:rPr>
          <m:t>V</m:t>
        </m:r>
      </m:oMath>
      <w:r>
        <w:t xml:space="preserve"> representing the 3 largest singular values</w:t>
      </w:r>
      <w:r w:rsidR="009F5A69">
        <w:t xml:space="preserve"> -</w:t>
      </w:r>
      <w:r>
        <w:t xml:space="preserve"> re</w:t>
      </w:r>
      <w:r w:rsidR="00733EB5">
        <w:t>sulting in a matrix of size 1463</w:t>
      </w:r>
      <w:r>
        <w:t xml:space="preserve"> </w:t>
      </w:r>
      <w:r w:rsidR="00733EB5">
        <w:t>x 3</w:t>
      </w:r>
      <w:r w:rsidR="00C43296">
        <w:t xml:space="preserve">, which can be visualised as </w:t>
      </w:r>
      <w:r w:rsidR="00733EB5">
        <w:t xml:space="preserve">shown in </w:t>
      </w:r>
      <w:r w:rsidR="008C604C">
        <w:t>Figure S3.</w:t>
      </w:r>
      <w:r w:rsidR="00C43296">
        <w:t xml:space="preserve">  </w:t>
      </w:r>
      <w:r w:rsidR="001E2896">
        <w:t xml:space="preserve"> </w:t>
      </w:r>
      <w:r w:rsidR="009361C8">
        <w:t xml:space="preserve"> </w:t>
      </w:r>
    </w:p>
    <w:p w:rsidR="008C604C" w:rsidRDefault="008C604C" w:rsidP="001E2896">
      <w:pPr>
        <w:pStyle w:val="Textbody"/>
        <w:rPr>
          <w:noProof/>
          <w:lang w:eastAsia="en-GB" w:bidi="ar-SA"/>
        </w:rPr>
      </w:pPr>
    </w:p>
    <w:p w:rsidR="008C604C" w:rsidRPr="009F5A69" w:rsidRDefault="008C604C" w:rsidP="001E2896">
      <w:pPr>
        <w:pStyle w:val="Textbody"/>
      </w:pPr>
      <w:r w:rsidRPr="008C604C">
        <w:rPr>
          <w:noProof/>
          <w:lang w:eastAsia="en-GB" w:bidi="ar-SA"/>
        </w:rPr>
        <w:lastRenderedPageBreak/>
        <w:drawing>
          <wp:inline distT="0" distB="0" distL="0" distR="0">
            <wp:extent cx="5731510" cy="44051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405115"/>
                    </a:xfrm>
                    <a:prstGeom prst="rect">
                      <a:avLst/>
                    </a:prstGeom>
                    <a:noFill/>
                    <a:ln>
                      <a:noFill/>
                    </a:ln>
                  </pic:spPr>
                </pic:pic>
              </a:graphicData>
            </a:graphic>
          </wp:inline>
        </w:drawing>
      </w:r>
      <w:r w:rsidRPr="008C604C">
        <w:rPr>
          <w:b/>
        </w:rPr>
        <w:t>Figure S3</w:t>
      </w:r>
    </w:p>
    <w:p w:rsidR="009F5A69" w:rsidRDefault="009F5A69" w:rsidP="001E2896">
      <w:pPr>
        <w:pStyle w:val="Textbody"/>
      </w:pPr>
    </w:p>
    <w:p w:rsidR="001E2896" w:rsidRDefault="009361C8" w:rsidP="001E2896">
      <w:pPr>
        <w:pStyle w:val="Textbody"/>
      </w:pPr>
      <w:r>
        <w:t xml:space="preserve">By </w:t>
      </w:r>
      <w:r w:rsidR="001E2896">
        <w:t xml:space="preserve">inspection, we find that </w:t>
      </w:r>
      <w:r w:rsidR="00EC7DE6">
        <w:t xml:space="preserve">the </w:t>
      </w:r>
      <w:r w:rsidR="001E2896">
        <w:t xml:space="preserve">prototypes </w:t>
      </w:r>
      <w:r w:rsidR="00EC7DE6">
        <w:t xml:space="preserve">of </w:t>
      </w:r>
      <w:r w:rsidR="00EB560F">
        <w:t xml:space="preserve">clinical relevance </w:t>
      </w:r>
      <w:r w:rsidR="009B3A4F">
        <w:t xml:space="preserve">that </w:t>
      </w:r>
      <w:r w:rsidR="00EB560F">
        <w:t>we wish to emphasise (see main text)</w:t>
      </w:r>
      <w:r w:rsidR="00EC7DE6">
        <w:t xml:space="preserve">, </w:t>
      </w:r>
      <w:r w:rsidR="001E2896">
        <w:t>C and D</w:t>
      </w:r>
      <w:r w:rsidR="00EC7DE6">
        <w:t>,</w:t>
      </w:r>
      <w:r w:rsidR="001E2896">
        <w:t xml:space="preserve"> are </w:t>
      </w:r>
      <w:r w:rsidR="004801D3">
        <w:t xml:space="preserve">most </w:t>
      </w:r>
      <w:r w:rsidR="001E2896">
        <w:t xml:space="preserve">separated along the </w:t>
      </w:r>
      <w:r w:rsidR="00A92D2E">
        <w:t xml:space="preserve">axis </w:t>
      </w:r>
      <w:r w:rsidR="0087702C">
        <w:t>V3</w:t>
      </w:r>
      <w:r w:rsidR="00EC7DE6">
        <w:t xml:space="preserve"> </w:t>
      </w:r>
      <w:r w:rsidR="0087702C">
        <w:t>(</w:t>
      </w:r>
      <w:r w:rsidR="00A92D2E">
        <w:t>corresponding to the 3</w:t>
      </w:r>
      <w:r w:rsidR="00A92D2E" w:rsidRPr="00A92D2E">
        <w:rPr>
          <w:vertAlign w:val="superscript"/>
        </w:rPr>
        <w:t>rd</w:t>
      </w:r>
      <w:r w:rsidR="00A92D2E">
        <w:t xml:space="preserve"> singular value</w:t>
      </w:r>
      <w:r w:rsidR="0087702C">
        <w:t>)</w:t>
      </w:r>
      <w:r w:rsidR="001E2896">
        <w:t>.</w:t>
      </w:r>
      <w:r w:rsidR="00D06710">
        <w:t xml:space="preserve">  We label this the </w:t>
      </w:r>
      <w:r w:rsidR="00D06710">
        <w:rPr>
          <w:i/>
        </w:rPr>
        <w:t>best</w:t>
      </w:r>
      <w:r w:rsidR="00D06710">
        <w:t xml:space="preserve"> or </w:t>
      </w:r>
      <w:r w:rsidR="00D06710">
        <w:rPr>
          <w:i/>
        </w:rPr>
        <w:t>optimal</w:t>
      </w:r>
      <w:r w:rsidR="00D06710">
        <w:t xml:space="preserve"> dimension </w:t>
      </w:r>
      <w:r w:rsidR="00D06710">
        <w:rPr>
          <w:i/>
        </w:rPr>
        <w:t>V*</w:t>
      </w:r>
      <w:r w:rsidR="00D06710">
        <w:t>.</w:t>
      </w:r>
      <w:r w:rsidR="001E2896">
        <w:t xml:space="preserve">  To form a univariate</w:t>
      </w:r>
      <w:r w:rsidR="00C43296">
        <w:t xml:space="preserve"> score</w:t>
      </w:r>
      <w:r w:rsidR="001E2896">
        <w:t xml:space="preserve">, we </w:t>
      </w:r>
      <w:r w:rsidR="00EC7DE6">
        <w:t xml:space="preserve">simply </w:t>
      </w:r>
      <w:r w:rsidR="001E2896">
        <w:t xml:space="preserve">retrieve the position of each </w:t>
      </w:r>
      <w:r w:rsidR="0087702C">
        <w:t xml:space="preserve">of the 1459 </w:t>
      </w:r>
      <w:r w:rsidR="00EC7DE6">
        <w:t>point</w:t>
      </w:r>
      <w:r w:rsidR="0087702C">
        <w:t>s</w:t>
      </w:r>
      <w:r w:rsidR="00EC7DE6">
        <w:t xml:space="preserve"> (</w:t>
      </w:r>
      <w:r w:rsidR="0087702C">
        <w:t xml:space="preserve">for </w:t>
      </w:r>
      <w:r w:rsidR="00EC7DE6">
        <w:t xml:space="preserve">each patient) </w:t>
      </w:r>
      <w:r w:rsidR="00654E66">
        <w:t xml:space="preserve">on </w:t>
      </w:r>
      <w:r w:rsidR="00D06710">
        <w:rPr>
          <w:i/>
        </w:rPr>
        <w:t>V*</w:t>
      </w:r>
      <w:r w:rsidR="001E2896">
        <w:t>.</w:t>
      </w:r>
      <w:r w:rsidR="00654E66">
        <w:t xml:space="preserve">  </w:t>
      </w:r>
      <w:r w:rsidR="001E2896">
        <w:t xml:space="preserve">To define </w:t>
      </w:r>
      <w:r w:rsidR="00654E66">
        <w:t>our strong aggregate (</w:t>
      </w:r>
      <w:r w:rsidR="001E2896">
        <w:t>in the traditional sense</w:t>
      </w:r>
      <w:r w:rsidR="00654E66">
        <w:t xml:space="preserve"> of a univariate outcome)</w:t>
      </w:r>
      <w:r w:rsidR="001E2896">
        <w:t xml:space="preserve">, we can then use either a hard or soft threshold.  In the former, we chose a fixed point along </w:t>
      </w:r>
      <w:r w:rsidR="00CF778F">
        <w:rPr>
          <w:i/>
        </w:rPr>
        <w:t>V*</w:t>
      </w:r>
      <w:r w:rsidR="001E2896">
        <w:t xml:space="preserve">, and all </w:t>
      </w:r>
      <w:r w:rsidR="00EC7DE6">
        <w:t xml:space="preserve">patients </w:t>
      </w:r>
      <w:r w:rsidR="001E2896">
        <w:t xml:space="preserve">higher/lower are assigned a binary outcome (which could represent </w:t>
      </w:r>
      <w:r w:rsidR="00EC7DE6">
        <w:t xml:space="preserve">for example, response </w:t>
      </w:r>
      <w:r w:rsidR="001E2896">
        <w:t xml:space="preserve">or non-response).  Alternatively, we </w:t>
      </w:r>
      <w:r w:rsidR="00EC7DE6">
        <w:t>use</w:t>
      </w:r>
      <w:r w:rsidR="008E5F84">
        <w:t>d</w:t>
      </w:r>
      <w:r w:rsidR="00EB560F">
        <w:t xml:space="preserve"> a</w:t>
      </w:r>
      <w:r w:rsidR="00EC7DE6">
        <w:t xml:space="preserve"> </w:t>
      </w:r>
      <w:r w:rsidR="001E2896">
        <w:t xml:space="preserve">‘soft-threshold’, assigning each </w:t>
      </w:r>
      <w:proofErr w:type="gramStart"/>
      <w:r w:rsidR="008E5F84">
        <w:t>patient</w:t>
      </w:r>
      <w:r w:rsidR="00EB560F">
        <w:t>s</w:t>
      </w:r>
      <w:proofErr w:type="gramEnd"/>
      <w:r w:rsidR="00EB560F">
        <w:t xml:space="preserve">’ </w:t>
      </w:r>
      <w:r w:rsidR="008E5F84">
        <w:t xml:space="preserve">strong aggregate </w:t>
      </w:r>
      <w:r w:rsidR="001E2896">
        <w:t xml:space="preserve">value according to </w:t>
      </w:r>
      <w:r w:rsidR="008E5F84">
        <w:t xml:space="preserve">a </w:t>
      </w:r>
      <w:r w:rsidR="001E2896">
        <w:t>smooth function over their</w:t>
      </w:r>
      <w:r w:rsidR="00237474">
        <w:t xml:space="preserve"> values along </w:t>
      </w:r>
      <w:r w:rsidR="00237474" w:rsidRPr="00237474">
        <w:rPr>
          <w:i/>
        </w:rPr>
        <w:t>V*</w:t>
      </w:r>
      <w:r w:rsidR="00EC7DE6">
        <w:t xml:space="preserve"> (Figure 3 in the main text, shown in colour above as Figure S</w:t>
      </w:r>
      <w:r w:rsidR="008F1294">
        <w:t>2)</w:t>
      </w:r>
      <w:r w:rsidR="001E2896">
        <w:t xml:space="preserve">.  </w:t>
      </w:r>
    </w:p>
    <w:p w:rsidR="009F5A69" w:rsidRDefault="009F5A69" w:rsidP="001E2896">
      <w:pPr>
        <w:pStyle w:val="Textbody"/>
      </w:pPr>
      <w:r>
        <w:rPr>
          <w:b/>
        </w:rPr>
        <w:lastRenderedPageBreak/>
        <w:t xml:space="preserve">Using SVD For Matching </w:t>
      </w:r>
      <w:r w:rsidR="00692C3C">
        <w:rPr>
          <w:b/>
        </w:rPr>
        <w:t xml:space="preserve">/ Retrieving </w:t>
      </w:r>
      <w:r>
        <w:rPr>
          <w:b/>
        </w:rPr>
        <w:t>Patients</w:t>
      </w:r>
    </w:p>
    <w:p w:rsidR="009F5A69" w:rsidRDefault="00CB72DC" w:rsidP="001E2896">
      <w:pPr>
        <w:pStyle w:val="Textbody"/>
      </w:pPr>
      <w:r>
        <w:t xml:space="preserve">In the Discussions and Conclusions of the main text, we suggested that </w:t>
      </w:r>
      <w:r w:rsidR="008E5F84">
        <w:t xml:space="preserve">beyond defining </w:t>
      </w:r>
      <w:r>
        <w:t>strong aggregate</w:t>
      </w:r>
      <w:r w:rsidR="008E5F84">
        <w:t>s,</w:t>
      </w:r>
      <w:r>
        <w:t xml:space="preserve"> the formulation of SV</w:t>
      </w:r>
      <w:bookmarkStart w:id="0" w:name="_GoBack"/>
      <w:bookmarkEnd w:id="0"/>
      <w:r>
        <w:t>D has utility for ‘matching’ patients.  In this application - as it is in information retrieval</w:t>
      </w:r>
      <w:r w:rsidR="00080BA7">
        <w:t xml:space="preserve"> and latent semantic indexing</w:t>
      </w:r>
      <w:r w:rsidR="00FA0632">
        <w:t xml:space="preserve"> </w:t>
      </w:r>
      <w:r w:rsidR="00FA0632">
        <w:fldChar w:fldCharType="begin" w:fldLock="1"/>
      </w:r>
      <w:r w:rsidR="002B716B">
        <w:instrText>ADDIN CSL_CITATION { "citationItems" : [ { "id" : "ITEM-1", "itemData" : { "DOI" : "10.1109/LPT.2009.2020494", "ISBN" : "0521865719", "ISSN" : "13864564", "PMID" : "10575050", "abstract" : "Class-tested and coherent, this groundbreaking new textbook teaches web-era information retrieval, including web search and the related areas of text classification and text clustering from basic concepts. Written from a computer science perspective by three leading experts in the field, it gives an up-to-date treatment of all aspects of the design and implementation of systems for gathering, indexing, and searching documents; methods for evaluating systems; and an introduction to the use of machine learning methods on text collections. All the important ideas are explained using examples and figures, making it perfect for introductory courses in information retrieval for advanced undergraduates and graduate students in computer science. Based on feedback from extensive classroom experience, the book has been carefully structured in order to make teaching more natural and effective. Although originally designed as the primary text for a graduate or advanced undergraduate course in information retrieval, the book will also create a buzz for researchers and professionals alike.", "author" : [ { "dropping-particle" : "", "family" : "Manning", "given" : "Christopher D.", "non-dropping-particle" : "", "parse-names" : false, "suffix" : "" }, { "dropping-particle" : "", "family" : "Raghavan", "given" : "Prabhakar", "non-dropping-particle" : "", "parse-names" : false, "suffix" : "" }, { "dropping-particle" : "", "family" : "Shutze", "given" : "Hinrich", "non-dropping-particle" : "", "parse-names" : false, "suffix" : "" } ], "id" : "ITEM-1", "issued" : { "date-parts" : [ [ "2008" ] ] }, "publisher" : "Cambridge University Press", "title" : "An Introduction to Information Retrieval", "type" : "book" }, "uris" : [ "http://www.mendeley.com/documents/?uuid=efdd739e-bbdc-4163-8af8-4d3224ebc34a" ] } ], "mendeley" : { "formattedCitation" : "(Manning, Raghavan and Shutze, 2008)", "plainTextFormattedCitation" : "(Manning, Raghavan and Shutze, 2008)", "previouslyFormattedCitation" : "(Manning, Raghavan and Shutze, 2008)" }, "properties" : { "noteIndex" : 0 }, "schema" : "https://github.com/citation-style-language/schema/raw/master/csl-citation.json" }</w:instrText>
      </w:r>
      <w:r w:rsidR="00FA0632">
        <w:fldChar w:fldCharType="separate"/>
      </w:r>
      <w:r w:rsidR="00FA0632" w:rsidRPr="00FA0632">
        <w:rPr>
          <w:noProof/>
        </w:rPr>
        <w:t>(Manning, Raghavan and Shutze, 2008)</w:t>
      </w:r>
      <w:r w:rsidR="00FA0632">
        <w:fldChar w:fldCharType="end"/>
      </w:r>
      <w:r w:rsidR="00FA0632">
        <w:t xml:space="preserve"> </w:t>
      </w:r>
      <w:r>
        <w:t>– given an SVD of some set of patients</w:t>
      </w:r>
      <w:r w:rsidR="008E5F84">
        <w:t xml:space="preserve"> represented by</w:t>
      </w:r>
      <w:r>
        <w:t xml:space="preserve"> </w:t>
      </w:r>
      <m:oMath>
        <m:r>
          <m:rPr>
            <m:nor/>
          </m:rPr>
          <w:rPr>
            <w:rFonts w:ascii="Cambria Math" w:hAnsi="Cambria Math"/>
            <w:b/>
          </w:rPr>
          <m:t>Y</m:t>
        </m:r>
      </m:oMath>
      <w:r w:rsidR="00A060E0">
        <w:rPr>
          <w:b/>
        </w:rPr>
        <w:t xml:space="preserve"> </w:t>
      </w:r>
      <w:r w:rsidR="00A060E0" w:rsidRPr="00A060E0">
        <w:t>def</w:t>
      </w:r>
      <w:r w:rsidR="00A060E0">
        <w:t>ined as before</w:t>
      </w:r>
      <w:r w:rsidR="00594F05">
        <w:t xml:space="preserve"> (e.g. rows correspond to </w:t>
      </w:r>
      <w:r w:rsidR="00692C3C">
        <w:t xml:space="preserve">variables measuring clinical state via an instrument  </w:t>
      </w:r>
      <w:r w:rsidR="00594F05">
        <w:t>such as PANSS items or domains</w:t>
      </w:r>
      <w:r w:rsidR="00692C3C">
        <w:t>,</w:t>
      </w:r>
      <w:r w:rsidR="00594F05">
        <w:t xml:space="preserve"> with columns </w:t>
      </w:r>
      <w:r w:rsidR="00692C3C">
        <w:t xml:space="preserve">again </w:t>
      </w:r>
      <w:r w:rsidR="00594F05">
        <w:t>representing individual patients)</w:t>
      </w:r>
      <w:r w:rsidRPr="00CB72DC">
        <w:t>,</w:t>
      </w:r>
      <w:r>
        <w:t xml:space="preserve"> a new patient </w:t>
      </w:r>
      <w:r w:rsidR="00FA0632">
        <w:t xml:space="preserve">becomes a </w:t>
      </w:r>
      <w:r>
        <w:t xml:space="preserve">‘query’ </w:t>
      </w:r>
      <w:r w:rsidR="008E5F84">
        <w:t xml:space="preserve">for which we seek </w:t>
      </w:r>
      <w:r>
        <w:t xml:space="preserve">similar patients </w:t>
      </w:r>
      <w:r w:rsidR="00FA0632">
        <w:t xml:space="preserve">and </w:t>
      </w:r>
      <w:r>
        <w:t xml:space="preserve">measure the proximity of the new patient to prototypes.  </w:t>
      </w:r>
      <w:r w:rsidR="00FA0632">
        <w:t xml:space="preserve"> </w:t>
      </w:r>
    </w:p>
    <w:p w:rsidR="00FA0632" w:rsidRDefault="00FA0632" w:rsidP="001E2896">
      <w:pPr>
        <w:pStyle w:val="Textbody"/>
      </w:pPr>
    </w:p>
    <w:p w:rsidR="00FA0632" w:rsidRDefault="00A555C8" w:rsidP="001E2896">
      <w:pPr>
        <w:pStyle w:val="Textbody"/>
      </w:pPr>
      <w:r>
        <w:t xml:space="preserve">Assume an SVD has been constructed in </w:t>
      </w:r>
      <w:proofErr w:type="gramStart"/>
      <w:r>
        <w:t>exactly the same</w:t>
      </w:r>
      <w:proofErr w:type="gramEnd"/>
      <w:r>
        <w:t xml:space="preserve"> way as before, but now, we retain some number </w:t>
      </w:r>
      <w:r>
        <w:rPr>
          <w:i/>
        </w:rPr>
        <w:t>k</w:t>
      </w:r>
      <w:r>
        <w:t xml:space="preserve"> of the singular values</w:t>
      </w:r>
      <w:r w:rsidR="00692C3C">
        <w:t xml:space="preserve"> (i.e. rather than 3, we might opt for larger </w:t>
      </w:r>
      <w:r w:rsidR="00692C3C">
        <w:rPr>
          <w:i/>
        </w:rPr>
        <w:t>k</w:t>
      </w:r>
      <w:r w:rsidR="00692C3C">
        <w:t>)</w:t>
      </w:r>
      <w:r>
        <w:t xml:space="preserve">.  This results in the reduced-rank representation </w:t>
      </w:r>
      <w:r w:rsidR="00FA0632">
        <w:t xml:space="preserve">of </w:t>
      </w:r>
      <m:oMath>
        <m:r>
          <m:rPr>
            <m:nor/>
          </m:rPr>
          <w:rPr>
            <w:rFonts w:ascii="Cambria Math" w:hAnsi="Cambria Math"/>
            <w:b/>
          </w:rPr>
          <m:t>Y</m:t>
        </m:r>
      </m:oMath>
      <w:r w:rsidR="00FA0632">
        <w:rPr>
          <w:b/>
        </w:rPr>
        <w:t xml:space="preserve"> </w:t>
      </w:r>
      <w:r w:rsidR="00FA0632">
        <w:t xml:space="preserve">as follows: </w:t>
      </w:r>
    </w:p>
    <w:p w:rsidR="00FA0632" w:rsidRPr="00FA0632" w:rsidRDefault="00692C3C" w:rsidP="001E2896">
      <w:pPr>
        <w:pStyle w:val="Textbody"/>
      </w:pPr>
      <m:oMathPara>
        <m:oMath>
          <m:sSub>
            <m:sSubPr>
              <m:ctrlPr>
                <w:rPr>
                  <w:rFonts w:ascii="Cambria Math" w:hAnsi="Cambria Math"/>
                  <w:i/>
                </w:rPr>
              </m:ctrlPr>
            </m:sSubPr>
            <m:e>
              <m:r>
                <m:rPr>
                  <m:nor/>
                </m:rPr>
                <w:rPr>
                  <w:rFonts w:ascii="Cambria Math" w:hAnsi="Cambria Math"/>
                  <w:b/>
                </w:rPr>
                <m:t>Y</m:t>
              </m:r>
            </m:e>
            <m:sub>
              <m:r>
                <m:rPr>
                  <m:nor/>
                </m:rPr>
                <w:rPr>
                  <w:rFonts w:ascii="Cambria Math" w:hAnsi="Cambria Math"/>
                </w:rPr>
                <m:t>k</m:t>
              </m:r>
            </m:sub>
          </m:sSub>
          <m:r>
            <m:rPr>
              <m:nor/>
            </m:rPr>
            <w:rPr>
              <w:rFonts w:ascii="Cambria Math" w:hAnsi="Cambria Math"/>
            </w:rPr>
            <m:t>=</m:t>
          </m:r>
          <m:sSub>
            <m:sSubPr>
              <m:ctrlPr>
                <w:rPr>
                  <w:rFonts w:ascii="Cambria Math" w:hAnsi="Cambria Math"/>
                  <w:i/>
                </w:rPr>
              </m:ctrlPr>
            </m:sSubPr>
            <m:e>
              <m:r>
                <m:rPr>
                  <m:nor/>
                </m:rPr>
                <w:rPr>
                  <w:rFonts w:ascii="Cambria Math" w:hAnsi="Cambria Math"/>
                  <w:b/>
                </w:rPr>
                <m:t>U</m:t>
              </m:r>
            </m:e>
            <m:sub>
              <m:r>
                <m:rPr>
                  <m:nor/>
                </m:rPr>
                <w:rPr>
                  <w:rFonts w:ascii="Cambria Math" w:hAnsi="Cambria Math"/>
                </w:rPr>
                <m:t>k</m:t>
              </m:r>
            </m:sub>
          </m:sSub>
          <m:sSub>
            <m:sSubPr>
              <m:ctrlPr>
                <w:rPr>
                  <w:rFonts w:ascii="Cambria Math" w:hAnsi="Cambria Math"/>
                  <w:i/>
                </w:rPr>
              </m:ctrlPr>
            </m:sSubPr>
            <m:e>
              <m:r>
                <m:rPr>
                  <m:nor/>
                </m:rPr>
                <w:rPr>
                  <w:rFonts w:ascii="Cambria Math" w:hAnsi="Cambria Math"/>
                  <w:b/>
                </w:rPr>
                <m:t>Σ</m:t>
              </m:r>
            </m:e>
            <m:sub>
              <m:r>
                <m:rPr>
                  <m:nor/>
                </m:rPr>
                <w:rPr>
                  <w:rFonts w:ascii="Cambria Math" w:hAnsi="Cambria Math"/>
                </w:rPr>
                <m:t>k</m:t>
              </m:r>
            </m:sub>
          </m:sSub>
          <m:sSubSup>
            <m:sSubSupPr>
              <m:ctrlPr>
                <w:rPr>
                  <w:rFonts w:ascii="Cambria Math" w:hAnsi="Cambria Math"/>
                  <w:i/>
                </w:rPr>
              </m:ctrlPr>
            </m:sSubSupPr>
            <m:e>
              <m:r>
                <m:rPr>
                  <m:nor/>
                </m:rPr>
                <w:rPr>
                  <w:rFonts w:ascii="Cambria Math" w:hAnsi="Cambria Math"/>
                  <w:b/>
                </w:rPr>
                <m:t>V</m:t>
              </m:r>
            </m:e>
            <m:sub>
              <m:r>
                <m:rPr>
                  <m:nor/>
                </m:rPr>
                <w:rPr>
                  <w:rFonts w:ascii="Cambria Math" w:hAnsi="Cambria Math"/>
                </w:rPr>
                <m:t>k</m:t>
              </m:r>
            </m:sub>
            <m:sup>
              <m:r>
                <m:rPr>
                  <m:nor/>
                </m:rPr>
                <w:rPr>
                  <w:rFonts w:ascii="Cambria Math" w:hAnsi="Cambria Math"/>
                </w:rPr>
                <m:t>T</m:t>
              </m:r>
            </m:sup>
          </m:sSubSup>
        </m:oMath>
      </m:oMathPara>
    </w:p>
    <w:p w:rsidR="00FA0632" w:rsidRDefault="00692C3C" w:rsidP="001E2896">
      <w:pPr>
        <w:pStyle w:val="Textbody"/>
      </w:pPr>
      <m:oMath>
        <m:sSub>
          <m:sSubPr>
            <m:ctrlPr>
              <w:rPr>
                <w:rFonts w:ascii="Cambria Math" w:hAnsi="Cambria Math"/>
                <w:i/>
              </w:rPr>
            </m:ctrlPr>
          </m:sSubPr>
          <m:e>
            <m:r>
              <m:rPr>
                <m:nor/>
              </m:rPr>
              <w:rPr>
                <w:rFonts w:ascii="Cambria Math" w:hAnsi="Cambria Math"/>
                <w:b/>
              </w:rPr>
              <m:t>Y</m:t>
            </m:r>
          </m:e>
          <m:sub>
            <m:r>
              <m:rPr>
                <m:nor/>
              </m:rPr>
              <w:rPr>
                <w:rFonts w:ascii="Cambria Math" w:hAnsi="Cambria Math"/>
              </w:rPr>
              <m:t>k</m:t>
            </m:r>
          </m:sub>
        </m:sSub>
      </m:oMath>
      <w:r w:rsidR="00FA0632">
        <w:t xml:space="preserve"> is now a lower-dimensional approximation of the original </w:t>
      </w:r>
      <m:oMath>
        <m:r>
          <m:rPr>
            <m:nor/>
          </m:rPr>
          <w:rPr>
            <w:rFonts w:ascii="Cambria Math" w:hAnsi="Cambria Math"/>
            <w:b/>
          </w:rPr>
          <m:t>Y</m:t>
        </m:r>
      </m:oMath>
      <w:r w:rsidR="00A060E0">
        <w:rPr>
          <w:b/>
        </w:rPr>
        <w:t xml:space="preserve"> </w:t>
      </w:r>
      <w:r w:rsidR="00EB560F">
        <w:t>that,</w:t>
      </w:r>
      <w:r w:rsidR="00A060E0">
        <w:t xml:space="preserve"> by virtue of retaining </w:t>
      </w:r>
      <w:r w:rsidR="00EB560F">
        <w:t xml:space="preserve">only </w:t>
      </w:r>
      <w:r w:rsidR="009B3A4F">
        <w:t xml:space="preserve">a subset of the </w:t>
      </w:r>
      <w:r w:rsidR="00080BA7">
        <w:t xml:space="preserve">largest </w:t>
      </w:r>
      <w:r w:rsidR="00080BA7" w:rsidRPr="00080BA7">
        <w:rPr>
          <w:i/>
        </w:rPr>
        <w:t>k</w:t>
      </w:r>
      <w:r w:rsidR="00080BA7">
        <w:t xml:space="preserve"> </w:t>
      </w:r>
      <w:r w:rsidR="00A060E0" w:rsidRPr="00080BA7">
        <w:t>singular</w:t>
      </w:r>
      <w:r w:rsidR="00A060E0">
        <w:t>-values</w:t>
      </w:r>
      <w:r w:rsidR="00080BA7">
        <w:t>,</w:t>
      </w:r>
      <w:r w:rsidR="00594F05">
        <w:t xml:space="preserve"> reduces redundancy and </w:t>
      </w:r>
      <w:r w:rsidR="00A060E0">
        <w:t>noise</w:t>
      </w:r>
      <w:r w:rsidR="00594F05">
        <w:t>, emphasising the domina</w:t>
      </w:r>
      <w:r>
        <w:t xml:space="preserve">nt similarities between patients’ clinical </w:t>
      </w:r>
      <w:proofErr w:type="gramStart"/>
      <w:r>
        <w:t>states</w:t>
      </w:r>
      <w:r w:rsidR="00FA0632">
        <w:t>.</w:t>
      </w:r>
      <w:proofErr w:type="gramEnd"/>
      <w:r w:rsidR="00FA0632">
        <w:t xml:space="preserve">  </w:t>
      </w:r>
      <w:r w:rsidR="00A060E0">
        <w:t>Any new patient</w:t>
      </w:r>
      <w:r w:rsidR="001E7D3D">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oMath>
      <w:r w:rsidR="00A060E0">
        <w:t xml:space="preserve"> </w:t>
      </w:r>
      <w:r w:rsidR="001E7D3D">
        <w:t xml:space="preserve">represented by their state in the original space </w:t>
      </w:r>
      <m:oMath>
        <m:r>
          <m:rPr>
            <m:nor/>
          </m:rPr>
          <w:rPr>
            <w:rFonts w:ascii="Cambria Math" w:hAnsi="Cambria Math"/>
            <w:b/>
          </w:rPr>
          <m:t>Y</m:t>
        </m:r>
      </m:oMath>
      <w:r w:rsidR="001E7D3D">
        <w:rPr>
          <w:b/>
        </w:rPr>
        <w:t xml:space="preserve"> </w:t>
      </w:r>
      <w:r w:rsidR="00A060E0">
        <w:t>can be queried for similarity to other patie</w:t>
      </w:r>
      <w:r w:rsidR="001E7D3D">
        <w:t>nts</w:t>
      </w:r>
      <w:r w:rsidR="00C46853">
        <w:t xml:space="preserve"> and prototypes by first computing their projection into the lower dimensional space </w:t>
      </w:r>
      <m:oMath>
        <m:sSub>
          <m:sSubPr>
            <m:ctrlPr>
              <w:rPr>
                <w:rFonts w:ascii="Cambria Math" w:hAnsi="Cambria Math"/>
                <w:i/>
              </w:rPr>
            </m:ctrlPr>
          </m:sSubPr>
          <m:e>
            <m:r>
              <m:rPr>
                <m:nor/>
              </m:rPr>
              <w:rPr>
                <w:rFonts w:ascii="Cambria Math" w:hAnsi="Cambria Math"/>
                <w:b/>
              </w:rPr>
              <m:t>Y</m:t>
            </m:r>
          </m:e>
          <m:sub>
            <m:r>
              <m:rPr>
                <m:nor/>
              </m:rPr>
              <w:rPr>
                <w:rFonts w:ascii="Cambria Math" w:hAnsi="Cambria Math"/>
              </w:rPr>
              <m:t>k</m:t>
            </m:r>
          </m:sub>
        </m:sSub>
      </m:oMath>
      <w:r w:rsidR="00C46853">
        <w:t xml:space="preserve"> :</w:t>
      </w:r>
    </w:p>
    <w:p w:rsidR="00C46853" w:rsidRPr="00C46853" w:rsidRDefault="00692C3C" w:rsidP="001E2896">
      <w:pPr>
        <w:pStyle w:val="Textbody"/>
      </w:pPr>
      <m:oMathPara>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m:rPr>
                  <m:sty m:val="b"/>
                </m:rPr>
                <w:rPr>
                  <w:rFonts w:ascii="Cambria Math" w:hAnsi="Cambria Math"/>
                </w:rPr>
                <m:t>Σ</m:t>
              </m:r>
            </m:e>
            <m:sub>
              <m:r>
                <w:rPr>
                  <w:rFonts w:ascii="Cambria Math" w:hAnsi="Cambria Math"/>
                </w:rPr>
                <m:t>k</m:t>
              </m:r>
            </m:sub>
            <m:sup>
              <m:r>
                <w:rPr>
                  <w:rFonts w:ascii="Cambria Math" w:hAnsi="Cambria Math"/>
                </w:rPr>
                <m:t>-1</m:t>
              </m:r>
            </m:sup>
          </m:sSubSup>
          <m:sSubSup>
            <m:sSubSupPr>
              <m:ctrlPr>
                <w:rPr>
                  <w:rFonts w:ascii="Cambria Math" w:hAnsi="Cambria Math"/>
                  <w:i/>
                </w:rPr>
              </m:ctrlPr>
            </m:sSubSupPr>
            <m:e>
              <m:r>
                <m:rPr>
                  <m:nor/>
                </m:rPr>
                <w:rPr>
                  <w:rFonts w:ascii="Cambria Math" w:hAnsi="Cambria Math"/>
                  <w:b/>
                </w:rPr>
                <m:t>U</m:t>
              </m:r>
            </m:e>
            <m:sub>
              <m:r>
                <w:rPr>
                  <w:rFonts w:ascii="Cambria Math" w:hAnsi="Cambria Math"/>
                </w:rPr>
                <m:t>k</m:t>
              </m:r>
            </m:sub>
            <m:sup>
              <m:r>
                <w:rPr>
                  <w:rFonts w:ascii="Cambria Math" w:hAnsi="Cambria Math"/>
                </w:rPr>
                <m:t>T</m:t>
              </m:r>
            </m:sup>
          </m:sSubSup>
          <m:sSup>
            <m:sSupPr>
              <m:ctrlPr>
                <w:rPr>
                  <w:rFonts w:ascii="Cambria Math" w:hAnsi="Cambria Math"/>
                  <w:i/>
                </w:rPr>
              </m:ctrlPr>
            </m:sSupPr>
            <m:e>
              <m:r>
                <w:rPr>
                  <w:rFonts w:ascii="Cambria Math" w:hAnsi="Cambria Math"/>
                </w:rPr>
                <m:t>y</m:t>
              </m:r>
            </m:e>
            <m:sup>
              <m:r>
                <w:rPr>
                  <w:rFonts w:ascii="Cambria Math" w:hAnsi="Cambria Math"/>
                </w:rPr>
                <m:t>'</m:t>
              </m:r>
            </m:sup>
          </m:sSup>
        </m:oMath>
      </m:oMathPara>
    </w:p>
    <w:p w:rsidR="00A060E0" w:rsidRDefault="001E7D3D" w:rsidP="001E7D3D">
      <w:pPr>
        <w:pStyle w:val="Textbody"/>
      </w:pPr>
      <w:r>
        <w:t xml:space="preserve">Then, comparison to other patients (and prototypes) proceeds by measuring the cosine similarity between </w:t>
      </w: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rPr>
              <m:t>'</m:t>
            </m:r>
          </m:sup>
        </m:sSubSup>
      </m:oMath>
      <w:r>
        <w:t xml:space="preserve"> and columns of </w:t>
      </w:r>
      <m:oMath>
        <m:sSubSup>
          <m:sSubSupPr>
            <m:ctrlPr>
              <w:rPr>
                <w:rFonts w:ascii="Cambria Math" w:hAnsi="Cambria Math"/>
                <w:i/>
              </w:rPr>
            </m:ctrlPr>
          </m:sSubSupPr>
          <m:e>
            <m:r>
              <m:rPr>
                <m:nor/>
              </m:rPr>
              <w:rPr>
                <w:rFonts w:ascii="Cambria Math" w:hAnsi="Cambria Math"/>
                <w:b/>
              </w:rPr>
              <m:t>V</m:t>
            </m:r>
          </m:e>
          <m:sub>
            <m:r>
              <m:rPr>
                <m:nor/>
              </m:rPr>
              <w:rPr>
                <w:rFonts w:ascii="Cambria Math" w:hAnsi="Cambria Math"/>
              </w:rPr>
              <m:t>k</m:t>
            </m:r>
          </m:sub>
          <m:sup>
            <m:r>
              <m:rPr>
                <m:nor/>
              </m:rPr>
              <w:rPr>
                <w:rFonts w:ascii="Cambria Math" w:hAnsi="Cambria Math"/>
              </w:rPr>
              <m:t>T</m:t>
            </m:r>
          </m:sup>
        </m:sSubSup>
      </m:oMath>
      <w:r w:rsidR="00EB560F">
        <w:t xml:space="preserve"> – see </w:t>
      </w:r>
      <w:r w:rsidR="00EB560F">
        <w:fldChar w:fldCharType="begin" w:fldLock="1"/>
      </w:r>
      <w:r w:rsidR="00EB560F">
        <w:instrText>ADDIN CSL_CITATION { "citationItems" : [ { "id" : "ITEM-1", "itemData" : { "DOI" : "10.1109/LPT.2009.2020494", "ISBN" : "0521865719", "ISSN" : "13864564", "PMID" : "10575050", "abstract" : "Class-tested and coherent, this groundbreaking new textbook teaches web-era information retrieval, including web search and the related areas of text classification and text clustering from basic concepts. Written from a computer science perspective by three leading experts in the field, it gives an up-to-date treatment of all aspects of the design and implementation of systems for gathering, indexing, and searching documents; methods for evaluating systems; and an introduction to the use of machine learning methods on text collections. All the important ideas are explained using examples and figures, making it perfect for introductory courses in information retrieval for advanced undergraduates and graduate students in computer science. Based on feedback from extensive classroom experience, the book has been carefully structured in order to make teaching more natural and effective. Although originally designed as the primary text for a graduate or advanced undergraduate course in information retrieval, the book will also create a buzz for researchers and professionals alike.", "author" : [ { "dropping-particle" : "", "family" : "Manning", "given" : "Christopher D.", "non-dropping-particle" : "", "parse-names" : false, "suffix" : "" }, { "dropping-particle" : "", "family" : "Raghavan", "given" : "Prabhakar", "non-dropping-particle" : "", "parse-names" : false, "suffix" : "" }, { "dropping-particle" : "", "family" : "Shutze", "given" : "Hinrich", "non-dropping-particle" : "", "parse-names" : false, "suffix" : "" } ], "id" : "ITEM-1", "issued" : { "date-parts" : [ [ "2008" ] ] }, "publisher" : "Cambridge University Press", "title" : "An Introduction to Information Retrieval", "type" : "book" }, "uris" : [ "http://www.mendeley.com/documents/?uuid=efdd739e-bbdc-4163-8af8-4d3224ebc34a" ] } ], "mendeley" : { "formattedCitation" : "(Manning, Raghavan and Shutze, 2008)", "plainTextFormattedCitation" : "(Manning, Raghavan and Shutze, 2008)" }, "properties" : { "noteIndex" : 0 }, "schema" : "https://github.com/citation-style-language/schema/raw/master/csl-citation.json" }</w:instrText>
      </w:r>
      <w:r w:rsidR="00EB560F">
        <w:fldChar w:fldCharType="separate"/>
      </w:r>
      <w:r w:rsidR="00EB560F" w:rsidRPr="00EB560F">
        <w:rPr>
          <w:noProof/>
        </w:rPr>
        <w:t>(Manning, Raghavan and Shutze, 2008)</w:t>
      </w:r>
      <w:r w:rsidR="00EB560F">
        <w:fldChar w:fldCharType="end"/>
      </w:r>
      <w:r w:rsidR="00EB560F">
        <w:t xml:space="preserve"> for further details and demonstration</w:t>
      </w:r>
      <w:r>
        <w:t>.</w:t>
      </w:r>
    </w:p>
    <w:p w:rsidR="002B716B" w:rsidRDefault="002B716B" w:rsidP="001E7D3D">
      <w:pPr>
        <w:pStyle w:val="Textbody"/>
      </w:pPr>
    </w:p>
    <w:p w:rsidR="00EB560F" w:rsidRPr="00EB560F" w:rsidRDefault="002B716B" w:rsidP="00EB560F">
      <w:pPr>
        <w:widowControl w:val="0"/>
        <w:autoSpaceDE w:val="0"/>
        <w:autoSpaceDN w:val="0"/>
        <w:adjustRightInd w:val="0"/>
        <w:spacing w:after="140" w:line="480" w:lineRule="auto"/>
        <w:rPr>
          <w:rFonts w:ascii="Liberation Serif" w:hAnsi="Liberation Serif" w:cs="Times New Roman"/>
          <w:noProof/>
          <w:sz w:val="24"/>
          <w:szCs w:val="24"/>
        </w:rPr>
      </w:pPr>
      <w:r>
        <w:fldChar w:fldCharType="begin" w:fldLock="1"/>
      </w:r>
      <w:r>
        <w:instrText xml:space="preserve">ADDIN Mendeley Bibliography CSL_BIBLIOGRAPHY </w:instrText>
      </w:r>
      <w:r>
        <w:fldChar w:fldCharType="separate"/>
      </w:r>
      <w:r w:rsidR="00EB560F" w:rsidRPr="00EB560F">
        <w:rPr>
          <w:rFonts w:ascii="Liberation Serif" w:hAnsi="Liberation Serif" w:cs="Times New Roman"/>
          <w:noProof/>
          <w:sz w:val="24"/>
          <w:szCs w:val="24"/>
        </w:rPr>
        <w:t xml:space="preserve">Manning, C. D., Raghavan, P. and Shutze, H. (2008) </w:t>
      </w:r>
      <w:r w:rsidR="00EB560F" w:rsidRPr="00EB560F">
        <w:rPr>
          <w:rFonts w:ascii="Liberation Serif" w:hAnsi="Liberation Serif" w:cs="Times New Roman"/>
          <w:i/>
          <w:iCs/>
          <w:noProof/>
          <w:sz w:val="24"/>
          <w:szCs w:val="24"/>
        </w:rPr>
        <w:t>An Introduction to Information Retrieval</w:t>
      </w:r>
      <w:r w:rsidR="00EB560F" w:rsidRPr="00EB560F">
        <w:rPr>
          <w:rFonts w:ascii="Liberation Serif" w:hAnsi="Liberation Serif" w:cs="Times New Roman"/>
          <w:noProof/>
          <w:sz w:val="24"/>
          <w:szCs w:val="24"/>
        </w:rPr>
        <w:t>. Cambridge University Press. doi: 10.1109/LPT.2009.2020494.</w:t>
      </w:r>
    </w:p>
    <w:p w:rsidR="00EB560F" w:rsidRPr="00EB560F" w:rsidRDefault="00EB560F" w:rsidP="00EB560F">
      <w:pPr>
        <w:widowControl w:val="0"/>
        <w:autoSpaceDE w:val="0"/>
        <w:autoSpaceDN w:val="0"/>
        <w:adjustRightInd w:val="0"/>
        <w:spacing w:after="140" w:line="480" w:lineRule="auto"/>
        <w:rPr>
          <w:rFonts w:ascii="Liberation Serif" w:hAnsi="Liberation Serif"/>
          <w:noProof/>
          <w:sz w:val="24"/>
        </w:rPr>
      </w:pPr>
      <w:r w:rsidRPr="00EB560F">
        <w:rPr>
          <w:rFonts w:ascii="Liberation Serif" w:hAnsi="Liberation Serif" w:cs="Times New Roman"/>
          <w:noProof/>
          <w:sz w:val="24"/>
          <w:szCs w:val="24"/>
        </w:rPr>
        <w:t xml:space="preserve">Strang, G. (2004) </w:t>
      </w:r>
      <w:r w:rsidRPr="00EB560F">
        <w:rPr>
          <w:rFonts w:ascii="Liberation Serif" w:hAnsi="Liberation Serif" w:cs="Times New Roman"/>
          <w:i/>
          <w:iCs/>
          <w:noProof/>
          <w:sz w:val="24"/>
          <w:szCs w:val="24"/>
        </w:rPr>
        <w:t>Linear Algebra and Its Applications</w:t>
      </w:r>
      <w:r w:rsidRPr="00EB560F">
        <w:rPr>
          <w:rFonts w:ascii="Liberation Serif" w:hAnsi="Liberation Serif" w:cs="Times New Roman"/>
          <w:noProof/>
          <w:sz w:val="24"/>
          <w:szCs w:val="24"/>
        </w:rPr>
        <w:t>. 4th edn. WB Saunders. doi: 10.2307/2003783.</w:t>
      </w:r>
    </w:p>
    <w:p w:rsidR="002B716B" w:rsidRPr="00A555C8" w:rsidRDefault="002B716B" w:rsidP="001E7D3D">
      <w:pPr>
        <w:pStyle w:val="Textbody"/>
      </w:pPr>
      <w:r>
        <w:fldChar w:fldCharType="end"/>
      </w:r>
    </w:p>
    <w:sectPr w:rsidR="002B716B" w:rsidRPr="00A55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charset w:val="00"/>
    <w:family w:val="auto"/>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5F"/>
    <w:rsid w:val="000028FF"/>
    <w:rsid w:val="00080BA7"/>
    <w:rsid w:val="000B5D9C"/>
    <w:rsid w:val="000C1884"/>
    <w:rsid w:val="00196ED5"/>
    <w:rsid w:val="001E2896"/>
    <w:rsid w:val="001E7D3D"/>
    <w:rsid w:val="00237474"/>
    <w:rsid w:val="00290E2A"/>
    <w:rsid w:val="002A5B5F"/>
    <w:rsid w:val="002B716B"/>
    <w:rsid w:val="002F095F"/>
    <w:rsid w:val="00366B9D"/>
    <w:rsid w:val="003A5FF9"/>
    <w:rsid w:val="004801D3"/>
    <w:rsid w:val="004F60AD"/>
    <w:rsid w:val="00594F05"/>
    <w:rsid w:val="00654E66"/>
    <w:rsid w:val="00673484"/>
    <w:rsid w:val="00692C3C"/>
    <w:rsid w:val="006B2648"/>
    <w:rsid w:val="006B4080"/>
    <w:rsid w:val="00733EB5"/>
    <w:rsid w:val="00817C11"/>
    <w:rsid w:val="00824024"/>
    <w:rsid w:val="0084090D"/>
    <w:rsid w:val="0087702C"/>
    <w:rsid w:val="008B6059"/>
    <w:rsid w:val="008C604C"/>
    <w:rsid w:val="008E5F84"/>
    <w:rsid w:val="008F1294"/>
    <w:rsid w:val="009361C8"/>
    <w:rsid w:val="009B3A4F"/>
    <w:rsid w:val="009C1815"/>
    <w:rsid w:val="009D0137"/>
    <w:rsid w:val="009F5A69"/>
    <w:rsid w:val="00A060E0"/>
    <w:rsid w:val="00A555C8"/>
    <w:rsid w:val="00A8297A"/>
    <w:rsid w:val="00A92D2E"/>
    <w:rsid w:val="00AE7821"/>
    <w:rsid w:val="00B97ACB"/>
    <w:rsid w:val="00BA1E68"/>
    <w:rsid w:val="00BB12D8"/>
    <w:rsid w:val="00C43296"/>
    <w:rsid w:val="00C46853"/>
    <w:rsid w:val="00CA5CCF"/>
    <w:rsid w:val="00CB72DC"/>
    <w:rsid w:val="00CE7983"/>
    <w:rsid w:val="00CF778F"/>
    <w:rsid w:val="00D06710"/>
    <w:rsid w:val="00E50142"/>
    <w:rsid w:val="00EB560F"/>
    <w:rsid w:val="00EC7DE6"/>
    <w:rsid w:val="00F03A9C"/>
    <w:rsid w:val="00F142BD"/>
    <w:rsid w:val="00F45008"/>
    <w:rsid w:val="00FA0632"/>
    <w:rsid w:val="00FA4F40"/>
    <w:rsid w:val="00FE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03CF"/>
  <w15:chartTrackingRefBased/>
  <w15:docId w15:val="{D3D6FD01-AE6C-4464-B2F6-9D218716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F095F"/>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customStyle="1" w:styleId="Textbody">
    <w:name w:val="Text body"/>
    <w:basedOn w:val="Standard"/>
    <w:rsid w:val="002F095F"/>
    <w:pPr>
      <w:spacing w:after="140" w:line="480" w:lineRule="auto"/>
    </w:pPr>
  </w:style>
  <w:style w:type="character" w:styleId="PlaceholderText">
    <w:name w:val="Placeholder Text"/>
    <w:basedOn w:val="DefaultParagraphFont"/>
    <w:uiPriority w:val="99"/>
    <w:semiHidden/>
    <w:rsid w:val="00FE2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1F88-C0B4-4D3E-9DFB-F759529F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Joyce</dc:creator>
  <cp:keywords/>
  <dc:description/>
  <cp:lastModifiedBy>Dan Joyce</cp:lastModifiedBy>
  <cp:revision>45</cp:revision>
  <dcterms:created xsi:type="dcterms:W3CDTF">2016-12-01T23:48:00Z</dcterms:created>
  <dcterms:modified xsi:type="dcterms:W3CDTF">2017-05-25T14:52:00Z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7eaaecee-c0b4-30ab-9eb0-e896bb77db10</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http://www.zotero.org/styles/bmc-psychiatry</vt:lpwstr>
  </property>
  <property fmtid="{D5CDD505-2E9C-101B-9397-08002B2CF9AE}" pid="8" name="Mendeley Recent Style Name 1_1">
    <vt:lpwstr>BMC Psychiatry</vt:lpwstr>
  </property>
  <property fmtid="{D5CDD505-2E9C-101B-9397-08002B2CF9AE}" pid="9" name="Mendeley Recent Style Id 2_1">
    <vt:lpwstr>http://www.zotero.org/styles/brain</vt:lpwstr>
  </property>
  <property fmtid="{D5CDD505-2E9C-101B-9397-08002B2CF9AE}" pid="10" name="Mendeley Recent Style Name 2_1">
    <vt:lpwstr>Brain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