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7C63" w14:textId="77777777" w:rsidR="00376694" w:rsidRPr="00B00AB8" w:rsidRDefault="00376694" w:rsidP="00376694">
      <w:pPr>
        <w:spacing w:line="360" w:lineRule="auto"/>
        <w:jc w:val="center"/>
        <w:rPr>
          <w:rFonts w:asciiTheme="minorHAnsi" w:hAnsiTheme="minorHAnsi" w:cs="Arial"/>
          <w:lang w:val="en-GB"/>
        </w:rPr>
      </w:pPr>
      <w:r w:rsidRPr="00B00AB8">
        <w:rPr>
          <w:rFonts w:asciiTheme="minorHAnsi" w:hAnsiTheme="minorHAnsi" w:cs="Arial"/>
          <w:lang w:val="en-GB"/>
        </w:rPr>
        <w:t xml:space="preserve">Supplementary </w:t>
      </w:r>
      <w:r w:rsidR="00295F8A">
        <w:rPr>
          <w:rFonts w:asciiTheme="minorHAnsi" w:hAnsiTheme="minorHAnsi" w:cs="Arial"/>
          <w:lang w:val="en-GB"/>
        </w:rPr>
        <w:t>Ma</w:t>
      </w:r>
      <w:r w:rsidR="00C2417D">
        <w:rPr>
          <w:rFonts w:asciiTheme="minorHAnsi" w:hAnsiTheme="minorHAnsi" w:cs="Arial"/>
          <w:lang w:val="en-GB"/>
        </w:rPr>
        <w:t>terials</w:t>
      </w:r>
    </w:p>
    <w:p w14:paraId="0274D668" w14:textId="77777777" w:rsidR="00376694" w:rsidRPr="00B00AB8" w:rsidRDefault="00376694" w:rsidP="00376694">
      <w:pPr>
        <w:spacing w:line="360" w:lineRule="auto"/>
        <w:rPr>
          <w:rFonts w:asciiTheme="minorHAnsi" w:hAnsiTheme="minorHAnsi" w:cs="Arial"/>
          <w:lang w:val="en-GB"/>
        </w:rPr>
      </w:pPr>
    </w:p>
    <w:p w14:paraId="57521199" w14:textId="77777777" w:rsidR="00376694" w:rsidRPr="00B00AB8" w:rsidRDefault="00C2417D" w:rsidP="00376694">
      <w:pPr>
        <w:spacing w:line="360" w:lineRule="auto"/>
        <w:rPr>
          <w:rFonts w:asciiTheme="minorHAnsi" w:hAnsiTheme="minorHAnsi" w:cs="Arial"/>
          <w:b/>
          <w:lang w:val="en-GB"/>
        </w:rPr>
      </w:pPr>
      <w:r>
        <w:rPr>
          <w:rFonts w:asciiTheme="minorHAnsi" w:hAnsiTheme="minorHAnsi" w:cs="Arial"/>
          <w:b/>
          <w:lang w:val="en-GB"/>
        </w:rPr>
        <w:t>SM</w:t>
      </w:r>
      <w:r w:rsidR="00376694" w:rsidRPr="00B00AB8">
        <w:rPr>
          <w:rFonts w:asciiTheme="minorHAnsi" w:hAnsiTheme="minorHAnsi" w:cs="Arial"/>
          <w:b/>
          <w:lang w:val="en-GB"/>
        </w:rPr>
        <w:t xml:space="preserve"> 1 Method</w:t>
      </w:r>
    </w:p>
    <w:p w14:paraId="0279EECF" w14:textId="77777777" w:rsidR="00931EA0" w:rsidRPr="00B00AB8" w:rsidRDefault="00931EA0" w:rsidP="00376694">
      <w:pPr>
        <w:spacing w:line="360" w:lineRule="auto"/>
        <w:rPr>
          <w:rFonts w:asciiTheme="minorHAnsi" w:hAnsiTheme="minorHAnsi" w:cs="Arial"/>
          <w:b/>
          <w:lang w:val="en-GB"/>
        </w:rPr>
      </w:pPr>
    </w:p>
    <w:p w14:paraId="1ACB259C" w14:textId="77777777" w:rsidR="008775D2" w:rsidRPr="002B3649" w:rsidRDefault="00C2417D" w:rsidP="008775D2">
      <w:pPr>
        <w:spacing w:line="360" w:lineRule="auto"/>
        <w:rPr>
          <w:rFonts w:asciiTheme="minorHAnsi" w:hAnsiTheme="minorHAnsi"/>
          <w:i/>
          <w:noProof/>
          <w:lang w:val="en-GB" w:eastAsia="en-GB"/>
        </w:rPr>
      </w:pPr>
      <w:r>
        <w:rPr>
          <w:rFonts w:asciiTheme="minorHAnsi" w:hAnsiTheme="minorHAnsi"/>
          <w:i/>
          <w:noProof/>
          <w:lang w:val="en-GB" w:eastAsia="en-GB"/>
        </w:rPr>
        <w:t>SM</w:t>
      </w:r>
      <w:r w:rsidR="008775D2" w:rsidRPr="0055135C">
        <w:rPr>
          <w:rFonts w:asciiTheme="minorHAnsi" w:hAnsiTheme="minorHAnsi"/>
          <w:i/>
          <w:noProof/>
          <w:lang w:val="en-GB" w:eastAsia="en-GB"/>
        </w:rPr>
        <w:t xml:space="preserve"> 1.1</w:t>
      </w:r>
      <w:r w:rsidR="008775D2" w:rsidRPr="00A9120A">
        <w:rPr>
          <w:rFonts w:asciiTheme="minorHAnsi" w:hAnsiTheme="minorHAnsi"/>
          <w:i/>
          <w:noProof/>
          <w:lang w:val="en-GB" w:eastAsia="en-GB"/>
        </w:rPr>
        <w:t xml:space="preserve"> </w:t>
      </w:r>
      <w:r w:rsidR="008775D2" w:rsidRPr="002B3649">
        <w:rPr>
          <w:rFonts w:asciiTheme="minorHAnsi" w:hAnsiTheme="minorHAnsi"/>
          <w:i/>
          <w:noProof/>
          <w:lang w:val="en-GB" w:eastAsia="en-GB"/>
        </w:rPr>
        <w:t>Symptom score conversion algorithms</w:t>
      </w:r>
    </w:p>
    <w:p w14:paraId="7E6EA42B" w14:textId="77777777" w:rsidR="008775D2" w:rsidRPr="002B3649" w:rsidRDefault="008775D2" w:rsidP="008775D2">
      <w:pPr>
        <w:spacing w:line="360" w:lineRule="auto"/>
        <w:rPr>
          <w:rFonts w:asciiTheme="minorHAnsi" w:hAnsiTheme="minorHAnsi"/>
          <w:lang w:val="en-GB"/>
        </w:rPr>
      </w:pPr>
    </w:p>
    <w:p w14:paraId="759CF5F0" w14:textId="77777777" w:rsidR="008775D2" w:rsidRPr="002B3649" w:rsidRDefault="008775D2" w:rsidP="008775D2">
      <w:pPr>
        <w:spacing w:line="360" w:lineRule="auto"/>
        <w:rPr>
          <w:rFonts w:asciiTheme="minorHAnsi" w:hAnsiTheme="minorHAnsi"/>
          <w:lang w:val="en-GB"/>
        </w:rPr>
      </w:pPr>
      <w:r w:rsidRPr="002B3649">
        <w:rPr>
          <w:rFonts w:asciiTheme="minorHAnsi" w:hAnsiTheme="minorHAnsi"/>
          <w:lang w:val="en-GB"/>
        </w:rPr>
        <w:t>Global SANS (Summary) Score = -2.0671 + (0.665*PANSS Negative score)</w:t>
      </w:r>
    </w:p>
    <w:p w14:paraId="2193DCD2" w14:textId="77777777" w:rsidR="008775D2" w:rsidRPr="002B3649" w:rsidRDefault="008775D2" w:rsidP="008775D2">
      <w:pPr>
        <w:spacing w:line="360" w:lineRule="auto"/>
        <w:rPr>
          <w:rFonts w:asciiTheme="minorHAnsi" w:hAnsiTheme="minorHAnsi"/>
          <w:lang w:val="en-GB"/>
        </w:rPr>
      </w:pPr>
      <w:r w:rsidRPr="002B3649">
        <w:rPr>
          <w:rFonts w:asciiTheme="minorHAnsi" w:hAnsiTheme="minorHAnsi"/>
          <w:lang w:val="en-GB"/>
        </w:rPr>
        <w:t>Global SANS (Summary) Score = 1.0863 + (0.2943*Total SANS (composite) score)</w:t>
      </w:r>
    </w:p>
    <w:p w14:paraId="408B15AB" w14:textId="77777777" w:rsidR="00931EA0" w:rsidRPr="002B3649" w:rsidRDefault="00931EA0" w:rsidP="00376694">
      <w:pPr>
        <w:spacing w:line="360" w:lineRule="auto"/>
        <w:rPr>
          <w:rFonts w:asciiTheme="minorHAnsi" w:hAnsiTheme="minorHAnsi" w:cs="Arial"/>
          <w:lang w:val="en-GB"/>
        </w:rPr>
      </w:pPr>
    </w:p>
    <w:p w14:paraId="32CB0F7F" w14:textId="547CD932" w:rsidR="00376694" w:rsidRPr="002B3649" w:rsidRDefault="00C2417D" w:rsidP="00376694">
      <w:pPr>
        <w:spacing w:line="360" w:lineRule="auto"/>
        <w:rPr>
          <w:rFonts w:asciiTheme="minorHAnsi" w:hAnsiTheme="minorHAnsi" w:cs="Arial"/>
          <w:i/>
          <w:lang w:val="en-GB"/>
        </w:rPr>
      </w:pPr>
      <w:r w:rsidRPr="002B3649">
        <w:rPr>
          <w:rFonts w:asciiTheme="minorHAnsi" w:hAnsiTheme="minorHAnsi" w:cs="Arial"/>
          <w:i/>
          <w:lang w:val="en-GB"/>
        </w:rPr>
        <w:t>SM</w:t>
      </w:r>
      <w:r w:rsidR="00386B34" w:rsidRPr="002B3649">
        <w:rPr>
          <w:rFonts w:asciiTheme="minorHAnsi" w:hAnsiTheme="minorHAnsi" w:cs="Arial"/>
          <w:i/>
          <w:lang w:val="en-GB"/>
        </w:rPr>
        <w:t xml:space="preserve"> 1.2</w:t>
      </w:r>
      <w:r w:rsidR="00376694" w:rsidRPr="002B3649">
        <w:rPr>
          <w:rFonts w:asciiTheme="minorHAnsi" w:hAnsiTheme="minorHAnsi" w:cs="Arial"/>
          <w:i/>
          <w:lang w:val="en-GB"/>
        </w:rPr>
        <w:t xml:space="preserve"> Imaging </w:t>
      </w:r>
      <w:proofErr w:type="spellStart"/>
      <w:r w:rsidR="00376694" w:rsidRPr="002B3649">
        <w:rPr>
          <w:rFonts w:asciiTheme="minorHAnsi" w:hAnsiTheme="minorHAnsi" w:cs="Arial"/>
          <w:i/>
          <w:lang w:val="en-GB"/>
        </w:rPr>
        <w:t>descriptives</w:t>
      </w:r>
      <w:proofErr w:type="spellEnd"/>
      <w:r w:rsidR="008475A5" w:rsidRPr="002B3649">
        <w:rPr>
          <w:rFonts w:asciiTheme="minorHAnsi" w:hAnsiTheme="minorHAnsi" w:cs="Arial"/>
          <w:i/>
          <w:lang w:val="en-GB"/>
        </w:rPr>
        <w:t xml:space="preserve"> and </w:t>
      </w:r>
      <w:r w:rsidR="007B7A62" w:rsidRPr="002B3649">
        <w:rPr>
          <w:rFonts w:asciiTheme="minorHAnsi" w:hAnsiTheme="minorHAnsi" w:cs="Arial"/>
          <w:i/>
          <w:lang w:val="en-GB"/>
        </w:rPr>
        <w:t>quality control</w:t>
      </w:r>
    </w:p>
    <w:p w14:paraId="331E54D4" w14:textId="77777777" w:rsidR="00376694" w:rsidRPr="002B3649" w:rsidRDefault="008475A5" w:rsidP="00C23C61">
      <w:pPr>
        <w:spacing w:line="360" w:lineRule="auto"/>
        <w:ind w:firstLine="720"/>
        <w:rPr>
          <w:rFonts w:asciiTheme="minorHAnsi" w:hAnsiTheme="minorHAnsi"/>
          <w:noProof/>
          <w:lang w:val="en-GB" w:eastAsia="en-GB"/>
        </w:rPr>
      </w:pPr>
      <w:r w:rsidRPr="002B3649">
        <w:rPr>
          <w:rFonts w:asciiTheme="minorHAnsi" w:hAnsiTheme="minorHAnsi"/>
          <w:noProof/>
          <w:lang w:val="en-GB" w:eastAsia="en-GB"/>
        </w:rPr>
        <w:t>Parcellations were visually inspected and statistically evaluated for outliers following standardized ENIGMA protocols (http://enigma.ini.usc.edu/protocols/imaging-protocols). Each image parcellation was individually examined by a neuroimaging expert at each site by overlaying the parcellation label of each structure on the T1-weighted brain scan. Further, we collected study-wide statistics (means, minimums, maximums, and standard deviations; see SM Figure 1s) as well as histogram and diagnostic plots in order to identify non-normally distributed data and major outliers. A subject was considered a statistical outlier if its thickness was &gt;2.698 standard deviations away from the global mean. For each subject that was marked as a statistical outlier, individual sites were asked to re-inspect the subject’s parcellations in order to verify that it was properly segmented. If a subject was a statistical outlier, but was properly segmented it was kept in the analysis. Otherwise the subject was removed (see SM Table 2s for details).</w:t>
      </w:r>
    </w:p>
    <w:p w14:paraId="2DA90CC1" w14:textId="54A53013" w:rsidR="00C61C38" w:rsidRPr="002B3649" w:rsidRDefault="00FB73F8" w:rsidP="00376694">
      <w:pPr>
        <w:spacing w:line="360" w:lineRule="auto"/>
        <w:rPr>
          <w:snapToGrid w:val="0"/>
          <w:color w:val="000000"/>
          <w:w w:val="0"/>
          <w:sz w:val="0"/>
          <w:szCs w:val="0"/>
          <w:u w:color="000000"/>
          <w:bdr w:val="none" w:sz="0" w:space="0" w:color="000000"/>
          <w:shd w:val="clear" w:color="000000" w:fill="000000"/>
          <w:lang w:val="x-none" w:eastAsia="x-none" w:bidi="x-none"/>
        </w:rPr>
      </w:pPr>
      <w:r w:rsidRPr="002B3649">
        <w:rPr>
          <w:snapToGrid w:val="0"/>
          <w:color w:val="000000"/>
          <w:w w:val="0"/>
          <w:sz w:val="0"/>
          <w:szCs w:val="0"/>
          <w:u w:color="000000"/>
          <w:bdr w:val="none" w:sz="0" w:space="0" w:color="000000"/>
          <w:shd w:val="clear" w:color="000000" w:fill="000000"/>
          <w:lang w:val="x-none" w:eastAsia="x-none" w:bidi="x-none"/>
        </w:rPr>
        <w:t xml:space="preserve"> </w:t>
      </w:r>
    </w:p>
    <w:p w14:paraId="495B0362" w14:textId="77777777" w:rsidR="002144DD" w:rsidRPr="002B3649" w:rsidRDefault="002144DD" w:rsidP="00376694">
      <w:pPr>
        <w:spacing w:line="360" w:lineRule="auto"/>
        <w:rPr>
          <w:rFonts w:asciiTheme="minorHAnsi" w:hAnsiTheme="minorHAnsi"/>
          <w:noProof/>
          <w:lang w:val="en-GB" w:eastAsia="en-GB"/>
        </w:rPr>
      </w:pPr>
      <w:r w:rsidRPr="002B3649">
        <w:rPr>
          <w:rFonts w:asciiTheme="minorHAnsi" w:hAnsiTheme="minorHAnsi"/>
          <w:noProof/>
          <w:lang w:val="en-GB" w:eastAsia="en-GB"/>
        </w:rPr>
        <w:lastRenderedPageBreak/>
        <w:drawing>
          <wp:inline distT="0" distB="0" distL="0" distR="0" wp14:anchorId="2C0C3CB3" wp14:editId="6C8157D2">
            <wp:extent cx="4572000" cy="45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Figure1.tif"/>
                    <pic:cNvPicPr/>
                  </pic:nvPicPr>
                  <pic:blipFill>
                    <a:blip r:embed="rId8">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439D9414" w14:textId="77777777" w:rsidR="00A721DD" w:rsidRPr="002B3649" w:rsidRDefault="00C2417D" w:rsidP="00376694">
      <w:pPr>
        <w:spacing w:line="360" w:lineRule="auto"/>
        <w:rPr>
          <w:rFonts w:asciiTheme="minorHAnsi" w:hAnsiTheme="minorHAnsi"/>
          <w:noProof/>
          <w:lang w:val="en-GB" w:eastAsia="en-GB"/>
        </w:rPr>
      </w:pPr>
      <w:r w:rsidRPr="002B3649">
        <w:rPr>
          <w:rFonts w:asciiTheme="minorHAnsi" w:hAnsiTheme="minorHAnsi"/>
          <w:noProof/>
          <w:lang w:val="en-GB" w:eastAsia="en-GB"/>
        </w:rPr>
        <w:t>SM</w:t>
      </w:r>
      <w:r w:rsidR="00A721DD" w:rsidRPr="002B3649">
        <w:rPr>
          <w:rFonts w:asciiTheme="minorHAnsi" w:hAnsiTheme="minorHAnsi"/>
          <w:noProof/>
          <w:lang w:val="en-GB" w:eastAsia="en-GB"/>
        </w:rPr>
        <w:t xml:space="preserve"> </w:t>
      </w:r>
      <w:r w:rsidR="00386B34" w:rsidRPr="002B3649">
        <w:rPr>
          <w:rFonts w:asciiTheme="minorHAnsi" w:hAnsiTheme="minorHAnsi"/>
          <w:noProof/>
          <w:lang w:val="en-GB" w:eastAsia="en-GB"/>
        </w:rPr>
        <w:t xml:space="preserve">Figure </w:t>
      </w:r>
      <w:r w:rsidR="0072169E" w:rsidRPr="002B3649">
        <w:rPr>
          <w:rFonts w:asciiTheme="minorHAnsi" w:hAnsiTheme="minorHAnsi"/>
          <w:noProof/>
          <w:lang w:val="en-GB" w:eastAsia="en-GB"/>
        </w:rPr>
        <w:t>1</w:t>
      </w:r>
      <w:r w:rsidRPr="002B3649">
        <w:rPr>
          <w:rFonts w:asciiTheme="minorHAnsi" w:hAnsiTheme="minorHAnsi"/>
          <w:noProof/>
          <w:lang w:val="en-GB" w:eastAsia="en-GB"/>
        </w:rPr>
        <w:t>s</w:t>
      </w:r>
      <w:r w:rsidR="00A721DD" w:rsidRPr="002B3649">
        <w:rPr>
          <w:rFonts w:asciiTheme="minorHAnsi" w:hAnsiTheme="minorHAnsi"/>
          <w:noProof/>
          <w:lang w:val="en-GB" w:eastAsia="en-GB"/>
        </w:rPr>
        <w:t>. Left (A-B) and right (C-D) medial orbitofrontal cortical thickness descriptives (min/mean/sd/max) by study site.</w:t>
      </w:r>
    </w:p>
    <w:p w14:paraId="0F469611" w14:textId="77777777" w:rsidR="00F67DB5" w:rsidRPr="002B3649" w:rsidRDefault="00F67DB5" w:rsidP="00FA17DA">
      <w:pPr>
        <w:spacing w:after="200" w:line="276" w:lineRule="auto"/>
        <w:rPr>
          <w:rFonts w:asciiTheme="minorHAnsi" w:hAnsiTheme="minorHAnsi"/>
          <w:lang w:val="en-GB"/>
        </w:rPr>
      </w:pPr>
    </w:p>
    <w:p w14:paraId="21F7B2A4" w14:textId="77777777" w:rsidR="00F67DB5" w:rsidRDefault="00F67DB5" w:rsidP="00FA17DA">
      <w:pPr>
        <w:spacing w:after="200" w:line="276" w:lineRule="auto"/>
        <w:rPr>
          <w:rFonts w:asciiTheme="minorHAnsi" w:hAnsiTheme="minorHAnsi"/>
          <w:b/>
          <w:lang w:val="en-GB"/>
        </w:rPr>
      </w:pPr>
    </w:p>
    <w:p w14:paraId="368CF45A" w14:textId="77777777" w:rsidR="00EF43C5" w:rsidRPr="00B00AB8" w:rsidRDefault="00C2417D" w:rsidP="00FA17DA">
      <w:pPr>
        <w:spacing w:after="200" w:line="276" w:lineRule="auto"/>
        <w:rPr>
          <w:rFonts w:asciiTheme="minorHAnsi" w:hAnsiTheme="minorHAnsi"/>
          <w:b/>
          <w:lang w:val="en-GB"/>
        </w:rPr>
      </w:pPr>
      <w:r>
        <w:rPr>
          <w:rFonts w:asciiTheme="minorHAnsi" w:hAnsiTheme="minorHAnsi"/>
          <w:b/>
          <w:lang w:val="en-GB"/>
        </w:rPr>
        <w:t>SM</w:t>
      </w:r>
      <w:r w:rsidR="00EF43C5" w:rsidRPr="00B00AB8">
        <w:rPr>
          <w:rFonts w:asciiTheme="minorHAnsi" w:hAnsiTheme="minorHAnsi"/>
          <w:b/>
          <w:lang w:val="en-GB"/>
        </w:rPr>
        <w:t xml:space="preserve"> 2 Results</w:t>
      </w:r>
    </w:p>
    <w:p w14:paraId="5886F211" w14:textId="77777777" w:rsidR="00EF43C5" w:rsidRPr="00B00AB8" w:rsidRDefault="00EF43C5" w:rsidP="00EF43C5">
      <w:pPr>
        <w:spacing w:line="360" w:lineRule="auto"/>
        <w:rPr>
          <w:rFonts w:asciiTheme="minorHAnsi" w:hAnsiTheme="minorHAnsi"/>
          <w:i/>
          <w:lang w:val="en-GB"/>
        </w:rPr>
      </w:pPr>
    </w:p>
    <w:p w14:paraId="4C015A0E" w14:textId="77777777" w:rsidR="00EF43C5" w:rsidRPr="00B00AB8" w:rsidRDefault="00C2417D" w:rsidP="00EF43C5">
      <w:pPr>
        <w:spacing w:line="360" w:lineRule="auto"/>
        <w:rPr>
          <w:rFonts w:asciiTheme="minorHAnsi" w:hAnsiTheme="minorHAnsi"/>
          <w:i/>
          <w:lang w:val="en-GB"/>
        </w:rPr>
      </w:pPr>
      <w:r>
        <w:rPr>
          <w:rFonts w:asciiTheme="minorHAnsi" w:hAnsiTheme="minorHAnsi"/>
          <w:i/>
          <w:lang w:val="en-GB"/>
        </w:rPr>
        <w:t>SM</w:t>
      </w:r>
      <w:r w:rsidR="00EF43C5" w:rsidRPr="00B00AB8">
        <w:rPr>
          <w:rFonts w:asciiTheme="minorHAnsi" w:hAnsiTheme="minorHAnsi"/>
          <w:i/>
          <w:lang w:val="en-GB"/>
        </w:rPr>
        <w:t xml:space="preserve"> 2.1 Detailed results of meta-analyses</w:t>
      </w:r>
    </w:p>
    <w:p w14:paraId="6AE8A9CB" w14:textId="77777777" w:rsidR="00EF43C5" w:rsidRPr="00B00AB8" w:rsidRDefault="00EF43C5" w:rsidP="00EF43C5">
      <w:pPr>
        <w:spacing w:line="360" w:lineRule="auto"/>
        <w:rPr>
          <w:rFonts w:asciiTheme="minorHAnsi" w:hAnsiTheme="minorHAnsi"/>
          <w:lang w:val="en-GB"/>
        </w:rPr>
      </w:pPr>
    </w:p>
    <w:p w14:paraId="7AC6C15C" w14:textId="77777777" w:rsidR="00EF43C5" w:rsidRPr="002B3649" w:rsidRDefault="00EF43C5" w:rsidP="00EF43C5">
      <w:pPr>
        <w:pStyle w:val="ListParagraph"/>
        <w:numPr>
          <w:ilvl w:val="0"/>
          <w:numId w:val="1"/>
        </w:numPr>
        <w:spacing w:line="360" w:lineRule="auto"/>
        <w:rPr>
          <w:rFonts w:asciiTheme="minorHAnsi" w:hAnsiTheme="minorHAnsi"/>
          <w:lang w:val="en-GB"/>
        </w:rPr>
      </w:pPr>
      <w:r w:rsidRPr="00B00AB8">
        <w:rPr>
          <w:rFonts w:asciiTheme="minorHAnsi" w:hAnsiTheme="minorHAnsi"/>
          <w:lang w:val="en-GB"/>
        </w:rPr>
        <w:t xml:space="preserve">Main </w:t>
      </w:r>
      <w:r w:rsidRPr="002B3649">
        <w:rPr>
          <w:rFonts w:asciiTheme="minorHAnsi" w:hAnsiTheme="minorHAnsi"/>
          <w:lang w:val="en-GB"/>
        </w:rPr>
        <w:t>model</w:t>
      </w:r>
      <w:r w:rsidR="0055135C" w:rsidRPr="002B3649">
        <w:rPr>
          <w:rFonts w:asciiTheme="minorHAnsi" w:hAnsiTheme="minorHAnsi"/>
          <w:lang w:val="en-GB"/>
        </w:rPr>
        <w:t xml:space="preserve">: left </w:t>
      </w:r>
      <w:r w:rsidR="00447EBC" w:rsidRPr="002B3649">
        <w:rPr>
          <w:rFonts w:asciiTheme="minorHAnsi" w:hAnsiTheme="minorHAnsi"/>
          <w:lang w:val="en-GB"/>
        </w:rPr>
        <w:t>MOFC</w:t>
      </w:r>
      <w:r w:rsidR="0055135C" w:rsidRPr="002B3649">
        <w:rPr>
          <w:rFonts w:asciiTheme="minorHAnsi" w:hAnsiTheme="minorHAnsi"/>
          <w:lang w:val="en-GB"/>
        </w:rPr>
        <w:t xml:space="preserve"> &lt;- global SANS + </w:t>
      </w:r>
      <w:r w:rsidR="001F67E3" w:rsidRPr="002B3649">
        <w:rPr>
          <w:rFonts w:asciiTheme="minorHAnsi" w:hAnsiTheme="minorHAnsi"/>
          <w:lang w:val="en-GB"/>
        </w:rPr>
        <w:t>gender</w:t>
      </w:r>
      <w:r w:rsidR="0055135C" w:rsidRPr="002B3649">
        <w:rPr>
          <w:rFonts w:asciiTheme="minorHAnsi" w:hAnsiTheme="minorHAnsi"/>
          <w:lang w:val="en-GB"/>
        </w:rPr>
        <w:t xml:space="preserve"> + age + site (if applicable)</w:t>
      </w:r>
    </w:p>
    <w:p w14:paraId="35F4E6ED" w14:textId="77777777" w:rsidR="00A9120A" w:rsidRPr="002B3649" w:rsidRDefault="00A9120A" w:rsidP="00B00AB8">
      <w:pPr>
        <w:pStyle w:val="ListParagraph"/>
        <w:spacing w:line="360" w:lineRule="auto"/>
        <w:ind w:left="360"/>
        <w:rPr>
          <w:rFonts w:asciiTheme="minorHAnsi" w:hAnsiTheme="minorHAnsi"/>
          <w:lang w:val="en-GB"/>
        </w:rPr>
      </w:pPr>
    </w:p>
    <w:p w14:paraId="0F4BD95C" w14:textId="77777777" w:rsidR="00EF43C5" w:rsidRPr="002B3649" w:rsidRDefault="00EF43C5" w:rsidP="00EF43C5">
      <w:pPr>
        <w:spacing w:line="360" w:lineRule="auto"/>
        <w:ind w:left="360"/>
        <w:rPr>
          <w:rFonts w:asciiTheme="minorHAnsi" w:hAnsiTheme="minorHAnsi"/>
          <w:lang w:val="en-GB"/>
        </w:rPr>
      </w:pPr>
      <w:r w:rsidRPr="002B3649">
        <w:rPr>
          <w:rFonts w:asciiTheme="minorHAnsi" w:hAnsiTheme="minorHAnsi"/>
          <w:lang w:val="en-GB"/>
        </w:rPr>
        <w:t>In the main model we investigated the effect of global SANS scores on left MOF</w:t>
      </w:r>
      <w:r w:rsidR="00447EBC" w:rsidRPr="002B3649">
        <w:rPr>
          <w:rFonts w:asciiTheme="minorHAnsi" w:hAnsiTheme="minorHAnsi"/>
          <w:lang w:val="en-GB"/>
        </w:rPr>
        <w:t>C</w:t>
      </w:r>
      <w:r w:rsidRPr="002B3649">
        <w:rPr>
          <w:rFonts w:asciiTheme="minorHAnsi" w:hAnsiTheme="minorHAnsi"/>
          <w:lang w:val="en-GB"/>
        </w:rPr>
        <w:t xml:space="preserve"> thickness, covarying for </w:t>
      </w:r>
      <w:r w:rsidR="001F67E3" w:rsidRPr="002B3649">
        <w:rPr>
          <w:rFonts w:asciiTheme="minorHAnsi" w:hAnsiTheme="minorHAnsi"/>
          <w:lang w:val="en-GB"/>
        </w:rPr>
        <w:t>gender</w:t>
      </w:r>
      <w:r w:rsidRPr="002B3649">
        <w:rPr>
          <w:rFonts w:asciiTheme="minorHAnsi" w:hAnsiTheme="minorHAnsi"/>
          <w:lang w:val="en-GB"/>
        </w:rPr>
        <w:t xml:space="preserve"> , age and the number of sites as dummy variables (where applicable)</w:t>
      </w:r>
      <w:r w:rsidR="0055135C" w:rsidRPr="002B3649">
        <w:rPr>
          <w:rFonts w:asciiTheme="minorHAnsi" w:hAnsiTheme="minorHAnsi"/>
          <w:lang w:val="en-GB"/>
        </w:rPr>
        <w:t>. Shown below are</w:t>
      </w:r>
      <w:r w:rsidRPr="002B3649">
        <w:rPr>
          <w:rFonts w:asciiTheme="minorHAnsi" w:hAnsiTheme="minorHAnsi"/>
          <w:lang w:val="en-GB"/>
        </w:rPr>
        <w:t xml:space="preserve"> the estimate</w:t>
      </w:r>
      <w:r w:rsidR="0055135C" w:rsidRPr="002B3649">
        <w:rPr>
          <w:rFonts w:asciiTheme="minorHAnsi" w:hAnsiTheme="minorHAnsi"/>
          <w:lang w:val="en-GB"/>
        </w:rPr>
        <w:t>, t</w:t>
      </w:r>
      <w:r w:rsidRPr="002B3649">
        <w:rPr>
          <w:rFonts w:asciiTheme="minorHAnsi" w:hAnsiTheme="minorHAnsi"/>
          <w:lang w:val="en-GB"/>
        </w:rPr>
        <w:t>h</w:t>
      </w:r>
      <w:r w:rsidR="0055135C" w:rsidRPr="002B3649">
        <w:rPr>
          <w:rFonts w:asciiTheme="minorHAnsi" w:hAnsiTheme="minorHAnsi"/>
          <w:lang w:val="en-GB"/>
        </w:rPr>
        <w:t>e</w:t>
      </w:r>
      <w:r w:rsidRPr="002B3649">
        <w:rPr>
          <w:rFonts w:asciiTheme="minorHAnsi" w:hAnsiTheme="minorHAnsi"/>
          <w:lang w:val="en-GB"/>
        </w:rPr>
        <w:t xml:space="preserve"> standard error, p value and the confidence intervals for the meta-analytical standardized regression beta of the global </w:t>
      </w:r>
      <w:r w:rsidRPr="002B3649">
        <w:rPr>
          <w:rFonts w:asciiTheme="minorHAnsi" w:hAnsiTheme="minorHAnsi"/>
          <w:lang w:val="en-GB"/>
        </w:rPr>
        <w:lastRenderedPageBreak/>
        <w:t>SANS score</w:t>
      </w:r>
      <w:r w:rsidR="0055135C" w:rsidRPr="002B3649">
        <w:rPr>
          <w:rFonts w:asciiTheme="minorHAnsi" w:hAnsiTheme="minorHAnsi"/>
          <w:lang w:val="en-GB"/>
        </w:rPr>
        <w:t xml:space="preserve"> on left MOF</w:t>
      </w:r>
      <w:r w:rsidR="00447EBC" w:rsidRPr="002B3649">
        <w:rPr>
          <w:rFonts w:asciiTheme="minorHAnsi" w:hAnsiTheme="minorHAnsi"/>
          <w:lang w:val="en-GB"/>
        </w:rPr>
        <w:t>C</w:t>
      </w:r>
      <w:r w:rsidR="0055135C" w:rsidRPr="002B3649">
        <w:rPr>
          <w:rFonts w:asciiTheme="minorHAnsi" w:hAnsiTheme="minorHAnsi"/>
          <w:lang w:val="en-GB"/>
        </w:rPr>
        <w:t xml:space="preserve"> thickness</w:t>
      </w:r>
      <w:r w:rsidRPr="002B3649">
        <w:rPr>
          <w:rFonts w:asciiTheme="minorHAnsi" w:hAnsiTheme="minorHAnsi"/>
          <w:lang w:val="en-GB"/>
        </w:rPr>
        <w:t xml:space="preserve">. Results were based on estimates from 17 studies </w:t>
      </w:r>
      <w:r w:rsidR="0055135C" w:rsidRPr="002B3649">
        <w:rPr>
          <w:rFonts w:asciiTheme="minorHAnsi" w:hAnsiTheme="minorHAnsi"/>
          <w:lang w:val="en-GB"/>
        </w:rPr>
        <w:t>using a</w:t>
      </w:r>
      <w:r w:rsidRPr="002B3649">
        <w:rPr>
          <w:rFonts w:asciiTheme="minorHAnsi" w:hAnsiTheme="minorHAnsi"/>
          <w:lang w:val="en-GB"/>
        </w:rPr>
        <w:t xml:space="preserve"> restricted maximum likelihood (REML) approach. Also provided are estimates and significance levels for effect size heterogeneity between studies.</w:t>
      </w:r>
    </w:p>
    <w:tbl>
      <w:tblPr>
        <w:tblW w:w="8346"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46"/>
      </w:tblGrid>
      <w:tr w:rsidR="00EF43C5" w:rsidRPr="002E4455" w14:paraId="497A676D" w14:textId="77777777" w:rsidTr="00493611">
        <w:trPr>
          <w:trHeight w:val="300"/>
        </w:trPr>
        <w:tc>
          <w:tcPr>
            <w:tcW w:w="8346" w:type="dxa"/>
            <w:shd w:val="clear" w:color="auto" w:fill="auto"/>
            <w:noWrap/>
            <w:vAlign w:val="center"/>
            <w:hideMark/>
          </w:tcPr>
          <w:p w14:paraId="6BDE47EE" w14:textId="77777777" w:rsidR="00EF43C5" w:rsidRPr="002B3649" w:rsidRDefault="00EF43C5"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Random-Effects Model (k = 17; tau^2 estimator: REML)</w:t>
            </w:r>
          </w:p>
        </w:tc>
      </w:tr>
      <w:tr w:rsidR="00EF43C5" w:rsidRPr="002E4455" w14:paraId="336FB9FF" w14:textId="77777777" w:rsidTr="00493611">
        <w:trPr>
          <w:trHeight w:val="300"/>
        </w:trPr>
        <w:tc>
          <w:tcPr>
            <w:tcW w:w="8346" w:type="dxa"/>
            <w:shd w:val="clear" w:color="auto" w:fill="auto"/>
            <w:noWrap/>
            <w:vAlign w:val="center"/>
            <w:hideMark/>
          </w:tcPr>
          <w:p w14:paraId="77DEA513" w14:textId="77777777" w:rsidR="00EF43C5" w:rsidRPr="002B3649" w:rsidRDefault="00EF43C5" w:rsidP="00493611">
            <w:pPr>
              <w:rPr>
                <w:rFonts w:ascii="Calibri" w:hAnsi="Calibri"/>
                <w:color w:val="000000"/>
                <w:sz w:val="22"/>
                <w:szCs w:val="22"/>
                <w:lang w:val="en-GB" w:eastAsia="en-GB"/>
              </w:rPr>
            </w:pPr>
          </w:p>
        </w:tc>
      </w:tr>
      <w:tr w:rsidR="00EF43C5" w:rsidRPr="002E4455" w14:paraId="74D23C94" w14:textId="77777777" w:rsidTr="00493611">
        <w:trPr>
          <w:trHeight w:val="300"/>
        </w:trPr>
        <w:tc>
          <w:tcPr>
            <w:tcW w:w="8346" w:type="dxa"/>
            <w:shd w:val="clear" w:color="auto" w:fill="auto"/>
            <w:noWrap/>
            <w:vAlign w:val="center"/>
            <w:hideMark/>
          </w:tcPr>
          <w:p w14:paraId="603F3B49" w14:textId="77777777" w:rsidR="00EF43C5" w:rsidRPr="002B3649" w:rsidRDefault="00EF43C5"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tau^2 (estimated amount of total heterogeneity): 0.0067 (SE = 0.0057)</w:t>
            </w:r>
          </w:p>
        </w:tc>
      </w:tr>
      <w:tr w:rsidR="00EF43C5" w:rsidRPr="002E4455" w14:paraId="60B44B7B" w14:textId="77777777" w:rsidTr="00493611">
        <w:trPr>
          <w:trHeight w:val="300"/>
        </w:trPr>
        <w:tc>
          <w:tcPr>
            <w:tcW w:w="8346" w:type="dxa"/>
            <w:shd w:val="clear" w:color="auto" w:fill="auto"/>
            <w:noWrap/>
            <w:vAlign w:val="center"/>
            <w:hideMark/>
          </w:tcPr>
          <w:p w14:paraId="406AEA88" w14:textId="77777777" w:rsidR="00EF43C5" w:rsidRPr="002B3649" w:rsidRDefault="00EF43C5"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 (square root of estimated tau^2 value):      0.0816</w:t>
            </w:r>
          </w:p>
        </w:tc>
      </w:tr>
      <w:tr w:rsidR="00EF43C5" w:rsidRPr="002E4455" w14:paraId="19D3BD91" w14:textId="77777777" w:rsidTr="00493611">
        <w:trPr>
          <w:trHeight w:val="300"/>
        </w:trPr>
        <w:tc>
          <w:tcPr>
            <w:tcW w:w="8346" w:type="dxa"/>
            <w:shd w:val="clear" w:color="auto" w:fill="auto"/>
            <w:noWrap/>
            <w:vAlign w:val="center"/>
            <w:hideMark/>
          </w:tcPr>
          <w:p w14:paraId="7FC092FC" w14:textId="77777777" w:rsidR="00EF43C5" w:rsidRPr="002B3649" w:rsidRDefault="00EF43C5"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I^2 (total heterogeneity / total variability):   42.38%</w:t>
            </w:r>
          </w:p>
        </w:tc>
      </w:tr>
      <w:tr w:rsidR="00EF43C5" w:rsidRPr="002E4455" w14:paraId="32E1601D" w14:textId="77777777" w:rsidTr="00493611">
        <w:trPr>
          <w:trHeight w:val="300"/>
        </w:trPr>
        <w:tc>
          <w:tcPr>
            <w:tcW w:w="8346" w:type="dxa"/>
            <w:shd w:val="clear" w:color="auto" w:fill="auto"/>
            <w:noWrap/>
            <w:vAlign w:val="center"/>
            <w:hideMark/>
          </w:tcPr>
          <w:p w14:paraId="6B1C2C6E" w14:textId="77777777" w:rsidR="00EF43C5" w:rsidRPr="002B3649" w:rsidRDefault="00EF43C5"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H^2 (total variability / sampling variability):  1.74</w:t>
            </w:r>
          </w:p>
        </w:tc>
      </w:tr>
      <w:tr w:rsidR="00EF43C5" w:rsidRPr="002E4455" w14:paraId="71A3E0B0" w14:textId="77777777" w:rsidTr="00493611">
        <w:trPr>
          <w:trHeight w:val="300"/>
        </w:trPr>
        <w:tc>
          <w:tcPr>
            <w:tcW w:w="8346" w:type="dxa"/>
            <w:shd w:val="clear" w:color="auto" w:fill="auto"/>
            <w:noWrap/>
            <w:vAlign w:val="center"/>
            <w:hideMark/>
          </w:tcPr>
          <w:p w14:paraId="0B30FE99" w14:textId="77777777" w:rsidR="00EF43C5" w:rsidRPr="002B3649" w:rsidRDefault="00EF43C5" w:rsidP="00493611">
            <w:pPr>
              <w:rPr>
                <w:rFonts w:ascii="Calibri" w:hAnsi="Calibri"/>
                <w:color w:val="000000"/>
                <w:sz w:val="22"/>
                <w:szCs w:val="22"/>
                <w:lang w:val="en-GB" w:eastAsia="en-GB"/>
              </w:rPr>
            </w:pPr>
          </w:p>
        </w:tc>
      </w:tr>
      <w:tr w:rsidR="00EF43C5" w:rsidRPr="002B3649" w14:paraId="22EAE206" w14:textId="77777777" w:rsidTr="00493611">
        <w:trPr>
          <w:trHeight w:val="300"/>
        </w:trPr>
        <w:tc>
          <w:tcPr>
            <w:tcW w:w="8346" w:type="dxa"/>
            <w:shd w:val="clear" w:color="auto" w:fill="auto"/>
            <w:noWrap/>
            <w:vAlign w:val="center"/>
            <w:hideMark/>
          </w:tcPr>
          <w:p w14:paraId="36EFA71D" w14:textId="77777777" w:rsidR="00EF43C5" w:rsidRPr="002B3649" w:rsidRDefault="00EF43C5"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Test for Heterogeneity: </w:t>
            </w:r>
          </w:p>
        </w:tc>
      </w:tr>
      <w:tr w:rsidR="00EF43C5" w:rsidRPr="002B3649" w14:paraId="6559E278" w14:textId="77777777" w:rsidTr="00493611">
        <w:trPr>
          <w:trHeight w:val="300"/>
        </w:trPr>
        <w:tc>
          <w:tcPr>
            <w:tcW w:w="8346" w:type="dxa"/>
            <w:shd w:val="clear" w:color="auto" w:fill="auto"/>
            <w:noWrap/>
            <w:vAlign w:val="center"/>
            <w:hideMark/>
          </w:tcPr>
          <w:p w14:paraId="27EDB588" w14:textId="77777777" w:rsidR="00EF43C5" w:rsidRPr="002B3649" w:rsidRDefault="00EF43C5"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Q(</w:t>
            </w:r>
            <w:proofErr w:type="spellStart"/>
            <w:r w:rsidRPr="002B3649">
              <w:rPr>
                <w:rFonts w:ascii="Lucida Console" w:hAnsi="Lucida Console"/>
                <w:color w:val="000000"/>
                <w:sz w:val="20"/>
                <w:szCs w:val="20"/>
                <w:lang w:val="en-GB" w:eastAsia="en-GB"/>
              </w:rPr>
              <w:t>df</w:t>
            </w:r>
            <w:proofErr w:type="spellEnd"/>
            <w:r w:rsidRPr="002B3649">
              <w:rPr>
                <w:rFonts w:ascii="Lucida Console" w:hAnsi="Lucida Console"/>
                <w:color w:val="000000"/>
                <w:sz w:val="20"/>
                <w:szCs w:val="20"/>
                <w:lang w:val="en-GB" w:eastAsia="en-GB"/>
              </w:rPr>
              <w:t xml:space="preserve"> = 16) = 26.3994, p-</w:t>
            </w:r>
            <w:proofErr w:type="spellStart"/>
            <w:r w:rsidRPr="002B3649">
              <w:rPr>
                <w:rFonts w:ascii="Lucida Console" w:hAnsi="Lucida Console"/>
                <w:color w:val="000000"/>
                <w:sz w:val="20"/>
                <w:szCs w:val="20"/>
                <w:lang w:val="en-GB" w:eastAsia="en-GB"/>
              </w:rPr>
              <w:t>val</w:t>
            </w:r>
            <w:proofErr w:type="spellEnd"/>
            <w:r w:rsidRPr="002B3649">
              <w:rPr>
                <w:rFonts w:ascii="Lucida Console" w:hAnsi="Lucida Console"/>
                <w:color w:val="000000"/>
                <w:sz w:val="20"/>
                <w:szCs w:val="20"/>
                <w:lang w:val="en-GB" w:eastAsia="en-GB"/>
              </w:rPr>
              <w:t xml:space="preserve"> = 0.0487</w:t>
            </w:r>
          </w:p>
        </w:tc>
      </w:tr>
      <w:tr w:rsidR="00EF43C5" w:rsidRPr="002B3649" w14:paraId="1818D2F4" w14:textId="77777777" w:rsidTr="00493611">
        <w:trPr>
          <w:trHeight w:val="300"/>
        </w:trPr>
        <w:tc>
          <w:tcPr>
            <w:tcW w:w="8346" w:type="dxa"/>
            <w:shd w:val="clear" w:color="auto" w:fill="auto"/>
            <w:noWrap/>
            <w:vAlign w:val="center"/>
            <w:hideMark/>
          </w:tcPr>
          <w:p w14:paraId="4451FB0C" w14:textId="77777777" w:rsidR="00EF43C5" w:rsidRPr="002B3649" w:rsidRDefault="00EF43C5" w:rsidP="00493611">
            <w:pPr>
              <w:rPr>
                <w:rFonts w:ascii="Calibri" w:hAnsi="Calibri"/>
                <w:color w:val="000000"/>
                <w:sz w:val="22"/>
                <w:szCs w:val="22"/>
                <w:lang w:val="en-GB" w:eastAsia="en-GB"/>
              </w:rPr>
            </w:pPr>
          </w:p>
        </w:tc>
      </w:tr>
      <w:tr w:rsidR="00EF43C5" w:rsidRPr="002B3649" w14:paraId="3A873033" w14:textId="77777777" w:rsidTr="00493611">
        <w:trPr>
          <w:trHeight w:val="300"/>
        </w:trPr>
        <w:tc>
          <w:tcPr>
            <w:tcW w:w="8346" w:type="dxa"/>
            <w:shd w:val="clear" w:color="auto" w:fill="auto"/>
            <w:noWrap/>
            <w:vAlign w:val="center"/>
            <w:hideMark/>
          </w:tcPr>
          <w:p w14:paraId="0B619B15" w14:textId="77777777" w:rsidR="00EF43C5" w:rsidRPr="002B3649" w:rsidRDefault="00EF43C5"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Model Results:</w:t>
            </w:r>
          </w:p>
        </w:tc>
      </w:tr>
      <w:tr w:rsidR="00EF43C5" w:rsidRPr="002B3649" w14:paraId="0B68A545" w14:textId="77777777" w:rsidTr="00493611">
        <w:trPr>
          <w:trHeight w:val="300"/>
        </w:trPr>
        <w:tc>
          <w:tcPr>
            <w:tcW w:w="8346" w:type="dxa"/>
            <w:shd w:val="clear" w:color="auto" w:fill="auto"/>
            <w:noWrap/>
            <w:vAlign w:val="center"/>
            <w:hideMark/>
          </w:tcPr>
          <w:p w14:paraId="6F50D783" w14:textId="77777777" w:rsidR="00EF43C5" w:rsidRPr="002B3649" w:rsidRDefault="00EF43C5" w:rsidP="00493611">
            <w:pPr>
              <w:rPr>
                <w:rFonts w:ascii="Calibri" w:hAnsi="Calibri"/>
                <w:color w:val="000000"/>
                <w:sz w:val="22"/>
                <w:szCs w:val="22"/>
                <w:lang w:val="en-GB" w:eastAsia="en-GB"/>
              </w:rPr>
            </w:pPr>
          </w:p>
        </w:tc>
      </w:tr>
      <w:tr w:rsidR="00EF43C5" w:rsidRPr="002E4455" w14:paraId="2E8CA577" w14:textId="77777777" w:rsidTr="00493611">
        <w:trPr>
          <w:trHeight w:val="300"/>
        </w:trPr>
        <w:tc>
          <w:tcPr>
            <w:tcW w:w="8346" w:type="dxa"/>
            <w:shd w:val="clear" w:color="auto" w:fill="auto"/>
            <w:noWrap/>
            <w:vAlign w:val="center"/>
            <w:hideMark/>
          </w:tcPr>
          <w:p w14:paraId="4898F21A" w14:textId="77777777" w:rsidR="00EF43C5" w:rsidRPr="002B3649" w:rsidRDefault="00EF43C5"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estimate       se     </w:t>
            </w:r>
            <w:proofErr w:type="spellStart"/>
            <w:r w:rsidRPr="002B3649">
              <w:rPr>
                <w:rFonts w:ascii="Lucida Console" w:hAnsi="Lucida Console"/>
                <w:color w:val="000000"/>
                <w:sz w:val="20"/>
                <w:szCs w:val="20"/>
                <w:lang w:val="en-GB" w:eastAsia="en-GB"/>
              </w:rPr>
              <w:t>zval</w:t>
            </w:r>
            <w:proofErr w:type="spellEnd"/>
            <w:r w:rsidRPr="002B3649">
              <w:rPr>
                <w:rFonts w:ascii="Lucida Console" w:hAnsi="Lucida Console"/>
                <w:color w:val="000000"/>
                <w:sz w:val="20"/>
                <w:szCs w:val="20"/>
                <w:lang w:val="en-GB" w:eastAsia="en-GB"/>
              </w:rPr>
              <w:t xml:space="preserve">     </w:t>
            </w:r>
            <w:proofErr w:type="spellStart"/>
            <w:r w:rsidRPr="002B3649">
              <w:rPr>
                <w:rFonts w:ascii="Lucida Console" w:hAnsi="Lucida Console"/>
                <w:color w:val="000000"/>
                <w:sz w:val="20"/>
                <w:szCs w:val="20"/>
                <w:lang w:val="en-GB" w:eastAsia="en-GB"/>
              </w:rPr>
              <w:t>pval</w:t>
            </w:r>
            <w:proofErr w:type="spellEnd"/>
            <w:r w:rsidRPr="002B3649">
              <w:rPr>
                <w:rFonts w:ascii="Lucida Console" w:hAnsi="Lucida Console"/>
                <w:color w:val="000000"/>
                <w:sz w:val="20"/>
                <w:szCs w:val="20"/>
                <w:lang w:val="en-GB" w:eastAsia="en-GB"/>
              </w:rPr>
              <w:t xml:space="preserve">    ci.lb    </w:t>
            </w:r>
            <w:proofErr w:type="spellStart"/>
            <w:r w:rsidRPr="002B3649">
              <w:rPr>
                <w:rFonts w:ascii="Lucida Console" w:hAnsi="Lucida Console"/>
                <w:color w:val="000000"/>
                <w:sz w:val="20"/>
                <w:szCs w:val="20"/>
                <w:lang w:val="en-GB" w:eastAsia="en-GB"/>
              </w:rPr>
              <w:t>ci.ub</w:t>
            </w:r>
            <w:proofErr w:type="spellEnd"/>
            <w:r w:rsidRPr="002B3649">
              <w:rPr>
                <w:rFonts w:ascii="Lucida Console" w:hAnsi="Lucida Console"/>
                <w:color w:val="000000"/>
                <w:sz w:val="20"/>
                <w:szCs w:val="20"/>
                <w:lang w:val="en-GB" w:eastAsia="en-GB"/>
              </w:rPr>
              <w:t xml:space="preserve">          </w:t>
            </w:r>
          </w:p>
        </w:tc>
      </w:tr>
      <w:tr w:rsidR="00EF43C5" w:rsidRPr="002B3649" w14:paraId="7DB043C3" w14:textId="77777777" w:rsidTr="00493611">
        <w:trPr>
          <w:trHeight w:val="300"/>
        </w:trPr>
        <w:tc>
          <w:tcPr>
            <w:tcW w:w="8346" w:type="dxa"/>
            <w:shd w:val="clear" w:color="auto" w:fill="auto"/>
            <w:noWrap/>
            <w:vAlign w:val="center"/>
            <w:hideMark/>
          </w:tcPr>
          <w:p w14:paraId="64B48DC9" w14:textId="77777777" w:rsidR="00EF43C5" w:rsidRPr="002B3649" w:rsidRDefault="00EF43C5"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 -0.0752   0.0321  -2.3446   0.0190  -0.1381  -0.0123        * </w:t>
            </w:r>
          </w:p>
        </w:tc>
      </w:tr>
    </w:tbl>
    <w:p w14:paraId="708D9FCC" w14:textId="233A6DAB" w:rsidR="00FA17DA" w:rsidRPr="002B3649" w:rsidRDefault="00FA17DA" w:rsidP="00376694">
      <w:pPr>
        <w:spacing w:line="360" w:lineRule="auto"/>
        <w:rPr>
          <w:rFonts w:asciiTheme="minorHAnsi" w:hAnsiTheme="minorHAnsi"/>
          <w:i/>
          <w:lang w:val="en-GB"/>
        </w:rPr>
      </w:pPr>
    </w:p>
    <w:p w14:paraId="04383D44" w14:textId="77777777" w:rsidR="004C006E" w:rsidRPr="002B3649" w:rsidRDefault="004C006E" w:rsidP="00376694">
      <w:pPr>
        <w:spacing w:line="360" w:lineRule="auto"/>
        <w:rPr>
          <w:rFonts w:asciiTheme="minorHAnsi" w:hAnsiTheme="minorHAnsi"/>
          <w:i/>
          <w:lang w:val="en-GB"/>
        </w:rPr>
      </w:pPr>
      <w:r w:rsidRPr="002B3649">
        <w:rPr>
          <w:rFonts w:asciiTheme="minorHAnsi" w:hAnsiTheme="minorHAnsi"/>
          <w:i/>
          <w:lang w:val="en-GB"/>
        </w:rPr>
        <w:t>Funnel plot</w:t>
      </w:r>
      <w:r w:rsidR="00EF43C5" w:rsidRPr="002B3649">
        <w:rPr>
          <w:rFonts w:asciiTheme="minorHAnsi" w:hAnsiTheme="minorHAnsi"/>
          <w:i/>
          <w:lang w:val="en-GB"/>
        </w:rPr>
        <w:t xml:space="preserve"> main model</w:t>
      </w:r>
    </w:p>
    <w:p w14:paraId="7C92F965" w14:textId="77777777" w:rsidR="00A44721" w:rsidRPr="002B3649" w:rsidRDefault="00966798" w:rsidP="00376694">
      <w:pPr>
        <w:spacing w:line="360" w:lineRule="auto"/>
        <w:rPr>
          <w:rFonts w:asciiTheme="minorHAnsi" w:hAnsiTheme="minorHAnsi"/>
          <w:lang w:val="en-GB"/>
        </w:rPr>
      </w:pPr>
      <w:r w:rsidRPr="002B3649">
        <w:rPr>
          <w:rFonts w:asciiTheme="minorHAnsi" w:hAnsiTheme="minorHAnsi"/>
          <w:noProof/>
          <w:lang w:val="en-GB" w:eastAsia="en-GB"/>
        </w:rPr>
        <w:drawing>
          <wp:inline distT="0" distB="0" distL="0" distR="0" wp14:anchorId="3913075B" wp14:editId="2A0DEF79">
            <wp:extent cx="4572000" cy="45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nel_lm_SANS_IFsite_sex_age_L_MOF_thickavg_stbeta.png"/>
                    <pic:cNvPicPr/>
                  </pic:nvPicPr>
                  <pic:blipFill>
                    <a:blip r:embed="rId9">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2D769187" w14:textId="77777777" w:rsidR="004C006E" w:rsidRPr="002B3649" w:rsidRDefault="00C2417D" w:rsidP="00376694">
      <w:pPr>
        <w:spacing w:line="360" w:lineRule="auto"/>
        <w:rPr>
          <w:rFonts w:asciiTheme="minorHAnsi" w:hAnsiTheme="minorHAnsi"/>
          <w:lang w:val="en-GB"/>
        </w:rPr>
      </w:pPr>
      <w:r w:rsidRPr="002B3649">
        <w:rPr>
          <w:rFonts w:asciiTheme="minorHAnsi" w:hAnsiTheme="minorHAnsi"/>
          <w:lang w:val="en-GB"/>
        </w:rPr>
        <w:lastRenderedPageBreak/>
        <w:t>SM</w:t>
      </w:r>
      <w:r w:rsidR="00386B34" w:rsidRPr="002B3649">
        <w:rPr>
          <w:rFonts w:asciiTheme="minorHAnsi" w:hAnsiTheme="minorHAnsi"/>
          <w:lang w:val="en-GB"/>
        </w:rPr>
        <w:t xml:space="preserve"> Figure </w:t>
      </w:r>
      <w:r w:rsidR="0072169E" w:rsidRPr="002B3649">
        <w:rPr>
          <w:rFonts w:asciiTheme="minorHAnsi" w:hAnsiTheme="minorHAnsi"/>
          <w:lang w:val="en-GB"/>
        </w:rPr>
        <w:t>2</w:t>
      </w:r>
      <w:r w:rsidRPr="002B3649">
        <w:rPr>
          <w:rFonts w:asciiTheme="minorHAnsi" w:hAnsiTheme="minorHAnsi"/>
          <w:lang w:val="en-GB"/>
        </w:rPr>
        <w:t>s</w:t>
      </w:r>
      <w:r w:rsidR="004C006E" w:rsidRPr="002B3649">
        <w:rPr>
          <w:rFonts w:asciiTheme="minorHAnsi" w:hAnsiTheme="minorHAnsi"/>
          <w:lang w:val="en-GB"/>
        </w:rPr>
        <w:t xml:space="preserve">. Funnel plot. Individual study regression coefficients are plotted against sample variance (a measure of the precision of the data). </w:t>
      </w:r>
    </w:p>
    <w:p w14:paraId="38B9A902" w14:textId="77777777" w:rsidR="00EF43C5" w:rsidRPr="002B3649" w:rsidRDefault="00EF43C5" w:rsidP="00376694">
      <w:pPr>
        <w:spacing w:line="360" w:lineRule="auto"/>
        <w:rPr>
          <w:rFonts w:asciiTheme="minorHAnsi" w:hAnsiTheme="minorHAnsi"/>
          <w:lang w:val="en-GB"/>
        </w:rPr>
      </w:pPr>
    </w:p>
    <w:p w14:paraId="459577B6" w14:textId="77777777" w:rsidR="0055135C" w:rsidRPr="002B3649" w:rsidRDefault="0055135C" w:rsidP="0055135C">
      <w:pPr>
        <w:pStyle w:val="ListParagraph"/>
        <w:numPr>
          <w:ilvl w:val="0"/>
          <w:numId w:val="1"/>
        </w:numPr>
        <w:spacing w:line="360" w:lineRule="auto"/>
        <w:rPr>
          <w:rFonts w:asciiTheme="minorHAnsi" w:hAnsiTheme="minorHAnsi"/>
          <w:lang w:val="en-GB"/>
        </w:rPr>
      </w:pPr>
      <w:r w:rsidRPr="002B3649">
        <w:rPr>
          <w:rFonts w:asciiTheme="minorHAnsi" w:hAnsiTheme="minorHAnsi"/>
          <w:lang w:val="en-GB"/>
        </w:rPr>
        <w:t xml:space="preserve">Exploratory model: right </w:t>
      </w:r>
      <w:r w:rsidR="00447EBC" w:rsidRPr="002B3649">
        <w:rPr>
          <w:rFonts w:asciiTheme="minorHAnsi" w:hAnsiTheme="minorHAnsi"/>
          <w:lang w:val="en-GB"/>
        </w:rPr>
        <w:t>MOFC</w:t>
      </w:r>
      <w:r w:rsidRPr="002B3649">
        <w:rPr>
          <w:rFonts w:asciiTheme="minorHAnsi" w:hAnsiTheme="minorHAnsi"/>
          <w:lang w:val="en-GB"/>
        </w:rPr>
        <w:t xml:space="preserve"> &lt;- global SANS + </w:t>
      </w:r>
      <w:r w:rsidR="001F67E3" w:rsidRPr="002B3649">
        <w:rPr>
          <w:rFonts w:asciiTheme="minorHAnsi" w:hAnsiTheme="minorHAnsi"/>
          <w:lang w:val="en-GB"/>
        </w:rPr>
        <w:t>gender</w:t>
      </w:r>
      <w:r w:rsidRPr="002B3649">
        <w:rPr>
          <w:rFonts w:asciiTheme="minorHAnsi" w:hAnsiTheme="minorHAnsi"/>
          <w:lang w:val="en-GB"/>
        </w:rPr>
        <w:t xml:space="preserve"> + age + site (if applicable)</w:t>
      </w:r>
    </w:p>
    <w:p w14:paraId="121E4D9F" w14:textId="77777777" w:rsidR="00A9120A" w:rsidRPr="002B3649" w:rsidRDefault="00A9120A" w:rsidP="00B00AB8">
      <w:pPr>
        <w:pStyle w:val="ListParagraph"/>
        <w:spacing w:line="360" w:lineRule="auto"/>
        <w:ind w:left="360"/>
        <w:rPr>
          <w:rFonts w:asciiTheme="minorHAnsi" w:hAnsiTheme="minorHAnsi"/>
          <w:lang w:val="en-GB"/>
        </w:rPr>
      </w:pPr>
    </w:p>
    <w:p w14:paraId="2F9491B2" w14:textId="77777777" w:rsidR="0055135C" w:rsidRPr="002B3649" w:rsidRDefault="0055135C" w:rsidP="00B00AB8">
      <w:pPr>
        <w:spacing w:line="360" w:lineRule="auto"/>
        <w:ind w:left="360"/>
        <w:rPr>
          <w:rFonts w:asciiTheme="minorHAnsi" w:hAnsiTheme="minorHAnsi"/>
          <w:lang w:val="en-GB"/>
        </w:rPr>
      </w:pPr>
      <w:r w:rsidRPr="002B3649">
        <w:rPr>
          <w:rFonts w:asciiTheme="minorHAnsi" w:hAnsiTheme="minorHAnsi"/>
          <w:lang w:val="en-GB"/>
        </w:rPr>
        <w:t>Shown below are the estimate, the standard error, p value and the confidence intervals for the meta-analytical standardized regression beta of the global SANS score on right MOF</w:t>
      </w:r>
      <w:r w:rsidR="00447EBC" w:rsidRPr="002B3649">
        <w:rPr>
          <w:rFonts w:asciiTheme="minorHAnsi" w:hAnsiTheme="minorHAnsi"/>
          <w:lang w:val="en-GB"/>
        </w:rPr>
        <w:t>C</w:t>
      </w:r>
      <w:r w:rsidRPr="002B3649">
        <w:rPr>
          <w:rFonts w:asciiTheme="minorHAnsi" w:hAnsiTheme="minorHAnsi"/>
          <w:lang w:val="en-GB"/>
        </w:rPr>
        <w:t xml:space="preserve"> thickness. Results were based on estimates from 17 studies</w:t>
      </w:r>
      <w:r w:rsidR="00EA298D" w:rsidRPr="002B3649">
        <w:rPr>
          <w:rFonts w:asciiTheme="minorHAnsi" w:hAnsiTheme="minorHAnsi"/>
          <w:lang w:val="en-GB"/>
        </w:rPr>
        <w:t>.</w:t>
      </w:r>
    </w:p>
    <w:tbl>
      <w:tblPr>
        <w:tblW w:w="8346"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46"/>
      </w:tblGrid>
      <w:tr w:rsidR="0055135C" w:rsidRPr="002E4455" w14:paraId="10B3A64C" w14:textId="77777777" w:rsidTr="00B00AB8">
        <w:trPr>
          <w:trHeight w:val="300"/>
        </w:trPr>
        <w:tc>
          <w:tcPr>
            <w:tcW w:w="8346" w:type="dxa"/>
            <w:shd w:val="clear" w:color="auto" w:fill="auto"/>
            <w:noWrap/>
            <w:vAlign w:val="center"/>
            <w:hideMark/>
          </w:tcPr>
          <w:p w14:paraId="71A637B2" w14:textId="77777777" w:rsidR="0055135C" w:rsidRPr="002B3649" w:rsidRDefault="0055135C" w:rsidP="0055135C">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Random-Effects Model (k = 17; tau^2 estimator: REML)</w:t>
            </w:r>
          </w:p>
        </w:tc>
      </w:tr>
      <w:tr w:rsidR="0055135C" w:rsidRPr="002E4455" w14:paraId="1EB35038" w14:textId="77777777" w:rsidTr="00B00AB8">
        <w:trPr>
          <w:trHeight w:val="300"/>
        </w:trPr>
        <w:tc>
          <w:tcPr>
            <w:tcW w:w="8346" w:type="dxa"/>
            <w:shd w:val="clear" w:color="auto" w:fill="auto"/>
            <w:noWrap/>
            <w:vAlign w:val="center"/>
            <w:hideMark/>
          </w:tcPr>
          <w:p w14:paraId="56FF642F" w14:textId="77777777" w:rsidR="0055135C" w:rsidRPr="002B3649" w:rsidRDefault="0055135C" w:rsidP="0055135C">
            <w:pPr>
              <w:rPr>
                <w:rFonts w:ascii="Calibri" w:hAnsi="Calibri"/>
                <w:color w:val="000000"/>
                <w:sz w:val="22"/>
                <w:szCs w:val="22"/>
                <w:lang w:val="en-GB" w:eastAsia="en-GB"/>
              </w:rPr>
            </w:pPr>
          </w:p>
        </w:tc>
      </w:tr>
      <w:tr w:rsidR="0055135C" w:rsidRPr="002E4455" w14:paraId="41B1A299" w14:textId="77777777" w:rsidTr="00B00AB8">
        <w:trPr>
          <w:trHeight w:val="300"/>
        </w:trPr>
        <w:tc>
          <w:tcPr>
            <w:tcW w:w="8346" w:type="dxa"/>
            <w:shd w:val="clear" w:color="auto" w:fill="auto"/>
            <w:noWrap/>
            <w:vAlign w:val="center"/>
            <w:hideMark/>
          </w:tcPr>
          <w:p w14:paraId="60193275" w14:textId="77777777" w:rsidR="0055135C" w:rsidRPr="002B3649" w:rsidRDefault="0055135C" w:rsidP="0055135C">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tau^2 (estimated amount of total heterogeneity): 0.0080 (SE = 0.0063)</w:t>
            </w:r>
          </w:p>
        </w:tc>
      </w:tr>
      <w:tr w:rsidR="0055135C" w:rsidRPr="002E4455" w14:paraId="5C318F7E" w14:textId="77777777" w:rsidTr="00B00AB8">
        <w:trPr>
          <w:trHeight w:val="300"/>
        </w:trPr>
        <w:tc>
          <w:tcPr>
            <w:tcW w:w="8346" w:type="dxa"/>
            <w:shd w:val="clear" w:color="auto" w:fill="auto"/>
            <w:noWrap/>
            <w:vAlign w:val="center"/>
            <w:hideMark/>
          </w:tcPr>
          <w:p w14:paraId="56B7973B" w14:textId="77777777" w:rsidR="0055135C" w:rsidRPr="002B3649" w:rsidRDefault="0055135C" w:rsidP="0055135C">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 (square root of estimated tau^2 value):      0.0892</w:t>
            </w:r>
          </w:p>
        </w:tc>
      </w:tr>
      <w:tr w:rsidR="0055135C" w:rsidRPr="002E4455" w14:paraId="59592722" w14:textId="77777777" w:rsidTr="00B00AB8">
        <w:trPr>
          <w:trHeight w:val="300"/>
        </w:trPr>
        <w:tc>
          <w:tcPr>
            <w:tcW w:w="8346" w:type="dxa"/>
            <w:shd w:val="clear" w:color="auto" w:fill="auto"/>
            <w:noWrap/>
            <w:vAlign w:val="center"/>
            <w:hideMark/>
          </w:tcPr>
          <w:p w14:paraId="745AC58A" w14:textId="77777777" w:rsidR="0055135C" w:rsidRPr="002B3649" w:rsidRDefault="0055135C" w:rsidP="0055135C">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I^2 (total heterogeneity / total variability):   46.78%</w:t>
            </w:r>
          </w:p>
        </w:tc>
      </w:tr>
      <w:tr w:rsidR="0055135C" w:rsidRPr="002E4455" w14:paraId="2CFC2AB7" w14:textId="77777777" w:rsidTr="00B00AB8">
        <w:trPr>
          <w:trHeight w:val="300"/>
        </w:trPr>
        <w:tc>
          <w:tcPr>
            <w:tcW w:w="8346" w:type="dxa"/>
            <w:shd w:val="clear" w:color="auto" w:fill="auto"/>
            <w:noWrap/>
            <w:vAlign w:val="center"/>
            <w:hideMark/>
          </w:tcPr>
          <w:p w14:paraId="4C3F21B0" w14:textId="77777777" w:rsidR="0055135C" w:rsidRPr="002B3649" w:rsidRDefault="0055135C" w:rsidP="0055135C">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H^2 (total variability / sampling variability):  1.88</w:t>
            </w:r>
          </w:p>
        </w:tc>
      </w:tr>
      <w:tr w:rsidR="0055135C" w:rsidRPr="002E4455" w14:paraId="437CE1B9" w14:textId="77777777" w:rsidTr="00B00AB8">
        <w:trPr>
          <w:trHeight w:val="300"/>
        </w:trPr>
        <w:tc>
          <w:tcPr>
            <w:tcW w:w="8346" w:type="dxa"/>
            <w:shd w:val="clear" w:color="auto" w:fill="auto"/>
            <w:noWrap/>
            <w:vAlign w:val="center"/>
            <w:hideMark/>
          </w:tcPr>
          <w:p w14:paraId="60FF76C9" w14:textId="77777777" w:rsidR="0055135C" w:rsidRPr="002B3649" w:rsidRDefault="0055135C" w:rsidP="0055135C">
            <w:pPr>
              <w:rPr>
                <w:rFonts w:ascii="Calibri" w:hAnsi="Calibri"/>
                <w:color w:val="000000"/>
                <w:sz w:val="22"/>
                <w:szCs w:val="22"/>
                <w:lang w:val="en-GB" w:eastAsia="en-GB"/>
              </w:rPr>
            </w:pPr>
          </w:p>
        </w:tc>
      </w:tr>
      <w:tr w:rsidR="0055135C" w:rsidRPr="002B3649" w14:paraId="0D7FA5C2" w14:textId="77777777" w:rsidTr="00B00AB8">
        <w:trPr>
          <w:trHeight w:val="300"/>
        </w:trPr>
        <w:tc>
          <w:tcPr>
            <w:tcW w:w="8346" w:type="dxa"/>
            <w:shd w:val="clear" w:color="auto" w:fill="auto"/>
            <w:noWrap/>
            <w:vAlign w:val="center"/>
            <w:hideMark/>
          </w:tcPr>
          <w:p w14:paraId="28EC54D8" w14:textId="77777777" w:rsidR="0055135C" w:rsidRPr="002B3649" w:rsidRDefault="0055135C" w:rsidP="0055135C">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Test for Heterogeneity: </w:t>
            </w:r>
          </w:p>
        </w:tc>
      </w:tr>
      <w:tr w:rsidR="0055135C" w:rsidRPr="002B3649" w14:paraId="1E4C38D0" w14:textId="77777777" w:rsidTr="00B00AB8">
        <w:trPr>
          <w:trHeight w:val="300"/>
        </w:trPr>
        <w:tc>
          <w:tcPr>
            <w:tcW w:w="8346" w:type="dxa"/>
            <w:shd w:val="clear" w:color="auto" w:fill="auto"/>
            <w:noWrap/>
            <w:vAlign w:val="center"/>
            <w:hideMark/>
          </w:tcPr>
          <w:p w14:paraId="7506BB4C" w14:textId="77777777" w:rsidR="0055135C" w:rsidRPr="002B3649" w:rsidRDefault="0055135C" w:rsidP="0055135C">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Q(</w:t>
            </w:r>
            <w:proofErr w:type="spellStart"/>
            <w:r w:rsidRPr="002B3649">
              <w:rPr>
                <w:rFonts w:ascii="Lucida Console" w:hAnsi="Lucida Console"/>
                <w:color w:val="000000"/>
                <w:sz w:val="20"/>
                <w:szCs w:val="20"/>
                <w:lang w:val="en-GB" w:eastAsia="en-GB"/>
              </w:rPr>
              <w:t>df</w:t>
            </w:r>
            <w:proofErr w:type="spellEnd"/>
            <w:r w:rsidRPr="002B3649">
              <w:rPr>
                <w:rFonts w:ascii="Lucida Console" w:hAnsi="Lucida Console"/>
                <w:color w:val="000000"/>
                <w:sz w:val="20"/>
                <w:szCs w:val="20"/>
                <w:lang w:val="en-GB" w:eastAsia="en-GB"/>
              </w:rPr>
              <w:t xml:space="preserve"> = 16) = 28.4025, p-</w:t>
            </w:r>
            <w:proofErr w:type="spellStart"/>
            <w:r w:rsidRPr="002B3649">
              <w:rPr>
                <w:rFonts w:ascii="Lucida Console" w:hAnsi="Lucida Console"/>
                <w:color w:val="000000"/>
                <w:sz w:val="20"/>
                <w:szCs w:val="20"/>
                <w:lang w:val="en-GB" w:eastAsia="en-GB"/>
              </w:rPr>
              <w:t>val</w:t>
            </w:r>
            <w:proofErr w:type="spellEnd"/>
            <w:r w:rsidRPr="002B3649">
              <w:rPr>
                <w:rFonts w:ascii="Lucida Console" w:hAnsi="Lucida Console"/>
                <w:color w:val="000000"/>
                <w:sz w:val="20"/>
                <w:szCs w:val="20"/>
                <w:lang w:val="en-GB" w:eastAsia="en-GB"/>
              </w:rPr>
              <w:t xml:space="preserve"> = 0.0283</w:t>
            </w:r>
          </w:p>
        </w:tc>
      </w:tr>
      <w:tr w:rsidR="0055135C" w:rsidRPr="002B3649" w14:paraId="58A39A20" w14:textId="77777777" w:rsidTr="00B00AB8">
        <w:trPr>
          <w:trHeight w:val="300"/>
        </w:trPr>
        <w:tc>
          <w:tcPr>
            <w:tcW w:w="8346" w:type="dxa"/>
            <w:shd w:val="clear" w:color="auto" w:fill="auto"/>
            <w:noWrap/>
            <w:vAlign w:val="center"/>
            <w:hideMark/>
          </w:tcPr>
          <w:p w14:paraId="6D2C541C" w14:textId="77777777" w:rsidR="0055135C" w:rsidRPr="002B3649" w:rsidRDefault="0055135C" w:rsidP="0055135C">
            <w:pPr>
              <w:rPr>
                <w:rFonts w:ascii="Calibri" w:hAnsi="Calibri"/>
                <w:color w:val="000000"/>
                <w:sz w:val="22"/>
                <w:szCs w:val="22"/>
                <w:lang w:val="en-GB" w:eastAsia="en-GB"/>
              </w:rPr>
            </w:pPr>
          </w:p>
        </w:tc>
      </w:tr>
      <w:tr w:rsidR="0055135C" w:rsidRPr="002B3649" w14:paraId="57F76D36" w14:textId="77777777" w:rsidTr="00B00AB8">
        <w:trPr>
          <w:trHeight w:val="300"/>
        </w:trPr>
        <w:tc>
          <w:tcPr>
            <w:tcW w:w="8346" w:type="dxa"/>
            <w:shd w:val="clear" w:color="auto" w:fill="auto"/>
            <w:noWrap/>
            <w:vAlign w:val="center"/>
            <w:hideMark/>
          </w:tcPr>
          <w:p w14:paraId="175CA375" w14:textId="77777777" w:rsidR="0055135C" w:rsidRPr="002B3649" w:rsidRDefault="0055135C" w:rsidP="0055135C">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Model Results:</w:t>
            </w:r>
          </w:p>
        </w:tc>
      </w:tr>
      <w:tr w:rsidR="0055135C" w:rsidRPr="002B3649" w14:paraId="1C18495F" w14:textId="77777777" w:rsidTr="00B00AB8">
        <w:trPr>
          <w:trHeight w:val="300"/>
        </w:trPr>
        <w:tc>
          <w:tcPr>
            <w:tcW w:w="8346" w:type="dxa"/>
            <w:shd w:val="clear" w:color="auto" w:fill="auto"/>
            <w:noWrap/>
            <w:vAlign w:val="center"/>
            <w:hideMark/>
          </w:tcPr>
          <w:p w14:paraId="4A2582D0" w14:textId="77777777" w:rsidR="0055135C" w:rsidRPr="002B3649" w:rsidRDefault="0055135C" w:rsidP="0055135C">
            <w:pPr>
              <w:rPr>
                <w:rFonts w:ascii="Calibri" w:hAnsi="Calibri"/>
                <w:color w:val="000000"/>
                <w:sz w:val="22"/>
                <w:szCs w:val="22"/>
                <w:lang w:val="en-GB" w:eastAsia="en-GB"/>
              </w:rPr>
            </w:pPr>
          </w:p>
        </w:tc>
      </w:tr>
      <w:tr w:rsidR="0055135C" w:rsidRPr="002E4455" w14:paraId="671B6333" w14:textId="77777777" w:rsidTr="00B00AB8">
        <w:trPr>
          <w:trHeight w:val="300"/>
        </w:trPr>
        <w:tc>
          <w:tcPr>
            <w:tcW w:w="8346" w:type="dxa"/>
            <w:shd w:val="clear" w:color="auto" w:fill="auto"/>
            <w:noWrap/>
            <w:vAlign w:val="center"/>
            <w:hideMark/>
          </w:tcPr>
          <w:p w14:paraId="6AC372E3" w14:textId="77777777" w:rsidR="0055135C" w:rsidRPr="002B3649" w:rsidRDefault="0055135C" w:rsidP="0055135C">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estimate       se     </w:t>
            </w:r>
            <w:proofErr w:type="spellStart"/>
            <w:r w:rsidRPr="002B3649">
              <w:rPr>
                <w:rFonts w:ascii="Lucida Console" w:hAnsi="Lucida Console"/>
                <w:color w:val="000000"/>
                <w:sz w:val="20"/>
                <w:szCs w:val="20"/>
                <w:lang w:val="en-GB" w:eastAsia="en-GB"/>
              </w:rPr>
              <w:t>zval</w:t>
            </w:r>
            <w:proofErr w:type="spellEnd"/>
            <w:r w:rsidRPr="002B3649">
              <w:rPr>
                <w:rFonts w:ascii="Lucida Console" w:hAnsi="Lucida Console"/>
                <w:color w:val="000000"/>
                <w:sz w:val="20"/>
                <w:szCs w:val="20"/>
                <w:lang w:val="en-GB" w:eastAsia="en-GB"/>
              </w:rPr>
              <w:t xml:space="preserve">     </w:t>
            </w:r>
            <w:proofErr w:type="spellStart"/>
            <w:r w:rsidRPr="002B3649">
              <w:rPr>
                <w:rFonts w:ascii="Lucida Console" w:hAnsi="Lucida Console"/>
                <w:color w:val="000000"/>
                <w:sz w:val="20"/>
                <w:szCs w:val="20"/>
                <w:lang w:val="en-GB" w:eastAsia="en-GB"/>
              </w:rPr>
              <w:t>pval</w:t>
            </w:r>
            <w:proofErr w:type="spellEnd"/>
            <w:r w:rsidRPr="002B3649">
              <w:rPr>
                <w:rFonts w:ascii="Lucida Console" w:hAnsi="Lucida Console"/>
                <w:color w:val="000000"/>
                <w:sz w:val="20"/>
                <w:szCs w:val="20"/>
                <w:lang w:val="en-GB" w:eastAsia="en-GB"/>
              </w:rPr>
              <w:t xml:space="preserve">    ci.lb    </w:t>
            </w:r>
            <w:proofErr w:type="spellStart"/>
            <w:r w:rsidRPr="002B3649">
              <w:rPr>
                <w:rFonts w:ascii="Lucida Console" w:hAnsi="Lucida Console"/>
                <w:color w:val="000000"/>
                <w:sz w:val="20"/>
                <w:szCs w:val="20"/>
                <w:lang w:val="en-GB" w:eastAsia="en-GB"/>
              </w:rPr>
              <w:t>ci.ub</w:t>
            </w:r>
            <w:proofErr w:type="spellEnd"/>
            <w:r w:rsidRPr="002B3649">
              <w:rPr>
                <w:rFonts w:ascii="Lucida Console" w:hAnsi="Lucida Console"/>
                <w:color w:val="000000"/>
                <w:sz w:val="20"/>
                <w:szCs w:val="20"/>
                <w:lang w:val="en-GB" w:eastAsia="en-GB"/>
              </w:rPr>
              <w:t xml:space="preserve">          </w:t>
            </w:r>
          </w:p>
        </w:tc>
      </w:tr>
      <w:tr w:rsidR="0055135C" w:rsidRPr="002B3649" w14:paraId="0B9266DE" w14:textId="77777777" w:rsidTr="00B00AB8">
        <w:trPr>
          <w:trHeight w:val="300"/>
        </w:trPr>
        <w:tc>
          <w:tcPr>
            <w:tcW w:w="8346" w:type="dxa"/>
            <w:shd w:val="clear" w:color="auto" w:fill="auto"/>
            <w:noWrap/>
            <w:vAlign w:val="center"/>
            <w:hideMark/>
          </w:tcPr>
          <w:p w14:paraId="20B99B95" w14:textId="77777777" w:rsidR="0055135C" w:rsidRPr="002B3649" w:rsidRDefault="0055135C" w:rsidP="0055135C">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 -0.0643   </w:t>
            </w:r>
            <w:proofErr w:type="gramStart"/>
            <w:r w:rsidRPr="002B3649">
              <w:rPr>
                <w:rFonts w:ascii="Lucida Console" w:hAnsi="Lucida Console"/>
                <w:color w:val="000000"/>
                <w:sz w:val="20"/>
                <w:szCs w:val="20"/>
                <w:lang w:val="en-GB" w:eastAsia="en-GB"/>
              </w:rPr>
              <w:t>0.0335  -</w:t>
            </w:r>
            <w:proofErr w:type="gramEnd"/>
            <w:r w:rsidRPr="002B3649">
              <w:rPr>
                <w:rFonts w:ascii="Lucida Console" w:hAnsi="Lucida Console"/>
                <w:color w:val="000000"/>
                <w:sz w:val="20"/>
                <w:szCs w:val="20"/>
                <w:lang w:val="en-GB" w:eastAsia="en-GB"/>
              </w:rPr>
              <w:t xml:space="preserve">1.9207   0.0548  -0.1299   0.0013        . </w:t>
            </w:r>
          </w:p>
        </w:tc>
      </w:tr>
    </w:tbl>
    <w:p w14:paraId="0A810DEC" w14:textId="77777777" w:rsidR="0055135C" w:rsidRPr="002B3649" w:rsidRDefault="0055135C" w:rsidP="00B00AB8">
      <w:pPr>
        <w:spacing w:line="360" w:lineRule="auto"/>
        <w:ind w:left="360"/>
        <w:rPr>
          <w:rFonts w:asciiTheme="minorHAnsi" w:hAnsiTheme="minorHAnsi"/>
          <w:lang w:val="en-GB"/>
        </w:rPr>
      </w:pPr>
    </w:p>
    <w:p w14:paraId="13FFBDDA" w14:textId="77777777" w:rsidR="00EA298D" w:rsidRPr="002B3649" w:rsidRDefault="00EA298D" w:rsidP="00B00AB8">
      <w:pPr>
        <w:spacing w:line="360" w:lineRule="auto"/>
        <w:ind w:left="360"/>
        <w:rPr>
          <w:rFonts w:asciiTheme="minorHAnsi" w:hAnsiTheme="minorHAnsi"/>
          <w:lang w:val="en-GB"/>
        </w:rPr>
      </w:pPr>
    </w:p>
    <w:p w14:paraId="552300A0" w14:textId="77777777" w:rsidR="00EA298D" w:rsidRPr="002B3649" w:rsidRDefault="00EA298D" w:rsidP="00EA298D">
      <w:pPr>
        <w:pStyle w:val="ListParagraph"/>
        <w:numPr>
          <w:ilvl w:val="0"/>
          <w:numId w:val="1"/>
        </w:numPr>
        <w:spacing w:line="360" w:lineRule="auto"/>
        <w:rPr>
          <w:rFonts w:asciiTheme="minorHAnsi" w:hAnsiTheme="minorHAnsi"/>
          <w:lang w:val="en-GB"/>
        </w:rPr>
      </w:pPr>
      <w:r w:rsidRPr="002B3649">
        <w:rPr>
          <w:rFonts w:asciiTheme="minorHAnsi" w:hAnsiTheme="minorHAnsi"/>
          <w:lang w:val="en-GB"/>
        </w:rPr>
        <w:t xml:space="preserve">Effects of covariates: left </w:t>
      </w:r>
      <w:r w:rsidR="00447EBC" w:rsidRPr="002B3649">
        <w:rPr>
          <w:rFonts w:asciiTheme="minorHAnsi" w:hAnsiTheme="minorHAnsi"/>
          <w:lang w:val="en-GB"/>
        </w:rPr>
        <w:t>MOFC</w:t>
      </w:r>
      <w:r w:rsidRPr="002B3649">
        <w:rPr>
          <w:rFonts w:asciiTheme="minorHAnsi" w:hAnsiTheme="minorHAnsi"/>
          <w:lang w:val="en-GB"/>
        </w:rPr>
        <w:t xml:space="preserve"> &lt;- global SANS + </w:t>
      </w:r>
      <w:r w:rsidR="001F67E3" w:rsidRPr="002B3649">
        <w:rPr>
          <w:rFonts w:asciiTheme="minorHAnsi" w:hAnsiTheme="minorHAnsi"/>
          <w:lang w:val="en-GB"/>
        </w:rPr>
        <w:t>gender</w:t>
      </w:r>
      <w:r w:rsidRPr="002B3649">
        <w:rPr>
          <w:rFonts w:asciiTheme="minorHAnsi" w:hAnsiTheme="minorHAnsi"/>
          <w:lang w:val="en-GB"/>
        </w:rPr>
        <w:t xml:space="preserve"> + age + site (if applicable)</w:t>
      </w:r>
    </w:p>
    <w:p w14:paraId="3ADBEF50" w14:textId="77777777" w:rsidR="00A9120A" w:rsidRPr="002B3649" w:rsidRDefault="00A9120A" w:rsidP="00B00AB8">
      <w:pPr>
        <w:pStyle w:val="ListParagraph"/>
        <w:spacing w:line="360" w:lineRule="auto"/>
        <w:ind w:left="360"/>
        <w:rPr>
          <w:rFonts w:asciiTheme="minorHAnsi" w:hAnsiTheme="minorHAnsi"/>
          <w:lang w:val="en-GB"/>
        </w:rPr>
      </w:pPr>
    </w:p>
    <w:p w14:paraId="2278AD33" w14:textId="77777777" w:rsidR="00EA298D" w:rsidRPr="002B3649" w:rsidRDefault="00EA298D" w:rsidP="00EA298D">
      <w:pPr>
        <w:spacing w:line="360" w:lineRule="auto"/>
        <w:ind w:left="360"/>
        <w:rPr>
          <w:rFonts w:asciiTheme="minorHAnsi" w:hAnsiTheme="minorHAnsi"/>
          <w:lang w:val="en-GB"/>
        </w:rPr>
      </w:pPr>
      <w:r w:rsidRPr="002B3649">
        <w:rPr>
          <w:rFonts w:asciiTheme="minorHAnsi" w:hAnsiTheme="minorHAnsi"/>
          <w:lang w:val="en-GB"/>
        </w:rPr>
        <w:t>Shown below are the estimate, the standard error, p value and the confidence intervals for the meta-analytical standardized regression beta of age on left MOF</w:t>
      </w:r>
      <w:r w:rsidR="00447EBC" w:rsidRPr="002B3649">
        <w:rPr>
          <w:rFonts w:asciiTheme="minorHAnsi" w:hAnsiTheme="minorHAnsi"/>
          <w:lang w:val="en-GB"/>
        </w:rPr>
        <w:t>C</w:t>
      </w:r>
      <w:r w:rsidRPr="002B3649">
        <w:rPr>
          <w:rFonts w:asciiTheme="minorHAnsi" w:hAnsiTheme="minorHAnsi"/>
          <w:lang w:val="en-GB"/>
        </w:rPr>
        <w:t xml:space="preserve"> thickness. Results were based on estimates from 17 studies.</w:t>
      </w:r>
    </w:p>
    <w:tbl>
      <w:tblPr>
        <w:tblW w:w="8346"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46"/>
      </w:tblGrid>
      <w:tr w:rsidR="00EA298D" w:rsidRPr="002E4455" w14:paraId="3674B16F" w14:textId="77777777" w:rsidTr="00B00AB8">
        <w:trPr>
          <w:trHeight w:val="300"/>
        </w:trPr>
        <w:tc>
          <w:tcPr>
            <w:tcW w:w="8346" w:type="dxa"/>
            <w:shd w:val="clear" w:color="auto" w:fill="auto"/>
            <w:noWrap/>
            <w:vAlign w:val="center"/>
            <w:hideMark/>
          </w:tcPr>
          <w:p w14:paraId="0A994EE7"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Random-Effects Model (k = 17; tau^2 estimator: REML)</w:t>
            </w:r>
          </w:p>
        </w:tc>
      </w:tr>
      <w:tr w:rsidR="00EA298D" w:rsidRPr="002E4455" w14:paraId="4D37F986" w14:textId="77777777" w:rsidTr="00B00AB8">
        <w:trPr>
          <w:trHeight w:val="300"/>
        </w:trPr>
        <w:tc>
          <w:tcPr>
            <w:tcW w:w="8346" w:type="dxa"/>
            <w:shd w:val="clear" w:color="auto" w:fill="auto"/>
            <w:noWrap/>
            <w:vAlign w:val="center"/>
            <w:hideMark/>
          </w:tcPr>
          <w:p w14:paraId="35C7CE09" w14:textId="77777777" w:rsidR="00EA298D" w:rsidRPr="002B3649" w:rsidRDefault="00EA298D" w:rsidP="00EA298D">
            <w:pPr>
              <w:rPr>
                <w:rFonts w:ascii="Calibri" w:hAnsi="Calibri"/>
                <w:color w:val="000000"/>
                <w:sz w:val="22"/>
                <w:szCs w:val="22"/>
                <w:lang w:val="en-GB" w:eastAsia="en-GB"/>
              </w:rPr>
            </w:pPr>
          </w:p>
        </w:tc>
      </w:tr>
      <w:tr w:rsidR="00EA298D" w:rsidRPr="002E4455" w14:paraId="143B569A" w14:textId="77777777" w:rsidTr="00B00AB8">
        <w:trPr>
          <w:trHeight w:val="300"/>
        </w:trPr>
        <w:tc>
          <w:tcPr>
            <w:tcW w:w="8346" w:type="dxa"/>
            <w:shd w:val="clear" w:color="auto" w:fill="auto"/>
            <w:noWrap/>
            <w:vAlign w:val="center"/>
            <w:hideMark/>
          </w:tcPr>
          <w:p w14:paraId="776C63BE"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tau^2 (estimated amount of total heterogeneity): 0.0117 (SE = 0.0078)</w:t>
            </w:r>
          </w:p>
        </w:tc>
      </w:tr>
      <w:tr w:rsidR="00EA298D" w:rsidRPr="002E4455" w14:paraId="2591E5AE" w14:textId="77777777" w:rsidTr="00B00AB8">
        <w:trPr>
          <w:trHeight w:val="300"/>
        </w:trPr>
        <w:tc>
          <w:tcPr>
            <w:tcW w:w="8346" w:type="dxa"/>
            <w:shd w:val="clear" w:color="auto" w:fill="auto"/>
            <w:noWrap/>
            <w:vAlign w:val="center"/>
            <w:hideMark/>
          </w:tcPr>
          <w:p w14:paraId="43761F0C"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 (square root of estimated tau^2 value):      0.1083</w:t>
            </w:r>
          </w:p>
        </w:tc>
      </w:tr>
      <w:tr w:rsidR="00EA298D" w:rsidRPr="002E4455" w14:paraId="4BAEDC0E" w14:textId="77777777" w:rsidTr="00B00AB8">
        <w:trPr>
          <w:trHeight w:val="300"/>
        </w:trPr>
        <w:tc>
          <w:tcPr>
            <w:tcW w:w="8346" w:type="dxa"/>
            <w:shd w:val="clear" w:color="auto" w:fill="auto"/>
            <w:noWrap/>
            <w:vAlign w:val="center"/>
            <w:hideMark/>
          </w:tcPr>
          <w:p w14:paraId="69250146"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I^2 (total heterogeneity / total variability):   56.43%</w:t>
            </w:r>
          </w:p>
        </w:tc>
      </w:tr>
      <w:tr w:rsidR="00EA298D" w:rsidRPr="002E4455" w14:paraId="519FABFE" w14:textId="77777777" w:rsidTr="00B00AB8">
        <w:trPr>
          <w:trHeight w:val="300"/>
        </w:trPr>
        <w:tc>
          <w:tcPr>
            <w:tcW w:w="8346" w:type="dxa"/>
            <w:shd w:val="clear" w:color="auto" w:fill="auto"/>
            <w:noWrap/>
            <w:vAlign w:val="center"/>
            <w:hideMark/>
          </w:tcPr>
          <w:p w14:paraId="0E3CE812"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H^2 (total variability / sampling variability):  2.30</w:t>
            </w:r>
          </w:p>
        </w:tc>
      </w:tr>
      <w:tr w:rsidR="00EA298D" w:rsidRPr="002E4455" w14:paraId="173BF6F8" w14:textId="77777777" w:rsidTr="00B00AB8">
        <w:trPr>
          <w:trHeight w:val="300"/>
        </w:trPr>
        <w:tc>
          <w:tcPr>
            <w:tcW w:w="8346" w:type="dxa"/>
            <w:shd w:val="clear" w:color="auto" w:fill="auto"/>
            <w:noWrap/>
            <w:vAlign w:val="center"/>
            <w:hideMark/>
          </w:tcPr>
          <w:p w14:paraId="7596049D" w14:textId="77777777" w:rsidR="00EA298D" w:rsidRPr="002B3649" w:rsidRDefault="00EA298D" w:rsidP="00EA298D">
            <w:pPr>
              <w:rPr>
                <w:rFonts w:ascii="Calibri" w:hAnsi="Calibri"/>
                <w:color w:val="000000"/>
                <w:sz w:val="22"/>
                <w:szCs w:val="22"/>
                <w:lang w:val="en-GB" w:eastAsia="en-GB"/>
              </w:rPr>
            </w:pPr>
          </w:p>
        </w:tc>
      </w:tr>
      <w:tr w:rsidR="00EA298D" w:rsidRPr="002B3649" w14:paraId="724404BD" w14:textId="77777777" w:rsidTr="00B00AB8">
        <w:trPr>
          <w:trHeight w:val="300"/>
        </w:trPr>
        <w:tc>
          <w:tcPr>
            <w:tcW w:w="8346" w:type="dxa"/>
            <w:shd w:val="clear" w:color="auto" w:fill="auto"/>
            <w:noWrap/>
            <w:vAlign w:val="center"/>
            <w:hideMark/>
          </w:tcPr>
          <w:p w14:paraId="727E4C5A"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Test for Heterogeneity: </w:t>
            </w:r>
          </w:p>
        </w:tc>
      </w:tr>
      <w:tr w:rsidR="00EA298D" w:rsidRPr="002B3649" w14:paraId="055062B1" w14:textId="77777777" w:rsidTr="00B00AB8">
        <w:trPr>
          <w:trHeight w:val="300"/>
        </w:trPr>
        <w:tc>
          <w:tcPr>
            <w:tcW w:w="8346" w:type="dxa"/>
            <w:shd w:val="clear" w:color="auto" w:fill="auto"/>
            <w:noWrap/>
            <w:vAlign w:val="center"/>
            <w:hideMark/>
          </w:tcPr>
          <w:p w14:paraId="3676C42A"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Q(</w:t>
            </w:r>
            <w:proofErr w:type="spellStart"/>
            <w:r w:rsidRPr="002B3649">
              <w:rPr>
                <w:rFonts w:ascii="Lucida Console" w:hAnsi="Lucida Console"/>
                <w:color w:val="000000"/>
                <w:sz w:val="20"/>
                <w:szCs w:val="20"/>
                <w:lang w:val="en-GB" w:eastAsia="en-GB"/>
              </w:rPr>
              <w:t>df</w:t>
            </w:r>
            <w:proofErr w:type="spellEnd"/>
            <w:r w:rsidRPr="002B3649">
              <w:rPr>
                <w:rFonts w:ascii="Lucida Console" w:hAnsi="Lucida Console"/>
                <w:color w:val="000000"/>
                <w:sz w:val="20"/>
                <w:szCs w:val="20"/>
                <w:lang w:val="en-GB" w:eastAsia="en-GB"/>
              </w:rPr>
              <w:t xml:space="preserve"> = 16) = 36.1039, p-</w:t>
            </w:r>
            <w:proofErr w:type="spellStart"/>
            <w:r w:rsidRPr="002B3649">
              <w:rPr>
                <w:rFonts w:ascii="Lucida Console" w:hAnsi="Lucida Console"/>
                <w:color w:val="000000"/>
                <w:sz w:val="20"/>
                <w:szCs w:val="20"/>
                <w:lang w:val="en-GB" w:eastAsia="en-GB"/>
              </w:rPr>
              <w:t>val</w:t>
            </w:r>
            <w:proofErr w:type="spellEnd"/>
            <w:r w:rsidRPr="002B3649">
              <w:rPr>
                <w:rFonts w:ascii="Lucida Console" w:hAnsi="Lucida Console"/>
                <w:color w:val="000000"/>
                <w:sz w:val="20"/>
                <w:szCs w:val="20"/>
                <w:lang w:val="en-GB" w:eastAsia="en-GB"/>
              </w:rPr>
              <w:t xml:space="preserve"> = 0.0028</w:t>
            </w:r>
          </w:p>
        </w:tc>
      </w:tr>
      <w:tr w:rsidR="00EA298D" w:rsidRPr="002B3649" w14:paraId="6D8DE881" w14:textId="77777777" w:rsidTr="00B00AB8">
        <w:trPr>
          <w:trHeight w:val="300"/>
        </w:trPr>
        <w:tc>
          <w:tcPr>
            <w:tcW w:w="8346" w:type="dxa"/>
            <w:shd w:val="clear" w:color="auto" w:fill="auto"/>
            <w:noWrap/>
            <w:vAlign w:val="center"/>
            <w:hideMark/>
          </w:tcPr>
          <w:p w14:paraId="77E6D532" w14:textId="77777777" w:rsidR="00EA298D" w:rsidRPr="002B3649" w:rsidRDefault="00EA298D" w:rsidP="00EA298D">
            <w:pPr>
              <w:rPr>
                <w:rFonts w:ascii="Calibri" w:hAnsi="Calibri"/>
                <w:color w:val="000000"/>
                <w:sz w:val="22"/>
                <w:szCs w:val="22"/>
                <w:lang w:val="en-GB" w:eastAsia="en-GB"/>
              </w:rPr>
            </w:pPr>
          </w:p>
        </w:tc>
      </w:tr>
      <w:tr w:rsidR="00EA298D" w:rsidRPr="002B3649" w14:paraId="22D4AA4A" w14:textId="77777777" w:rsidTr="00B00AB8">
        <w:trPr>
          <w:trHeight w:val="300"/>
        </w:trPr>
        <w:tc>
          <w:tcPr>
            <w:tcW w:w="8346" w:type="dxa"/>
            <w:shd w:val="clear" w:color="auto" w:fill="auto"/>
            <w:noWrap/>
            <w:vAlign w:val="center"/>
            <w:hideMark/>
          </w:tcPr>
          <w:p w14:paraId="781D9B1D"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Model Results:</w:t>
            </w:r>
          </w:p>
        </w:tc>
      </w:tr>
      <w:tr w:rsidR="00EA298D" w:rsidRPr="002B3649" w14:paraId="2B02B96C" w14:textId="77777777" w:rsidTr="00B00AB8">
        <w:trPr>
          <w:trHeight w:val="300"/>
        </w:trPr>
        <w:tc>
          <w:tcPr>
            <w:tcW w:w="8346" w:type="dxa"/>
            <w:shd w:val="clear" w:color="auto" w:fill="auto"/>
            <w:noWrap/>
            <w:vAlign w:val="center"/>
            <w:hideMark/>
          </w:tcPr>
          <w:p w14:paraId="53958B02" w14:textId="77777777" w:rsidR="00EA298D" w:rsidRPr="002B3649" w:rsidRDefault="00EA298D" w:rsidP="00EA298D">
            <w:pPr>
              <w:rPr>
                <w:rFonts w:ascii="Calibri" w:hAnsi="Calibri"/>
                <w:color w:val="000000"/>
                <w:sz w:val="22"/>
                <w:szCs w:val="22"/>
                <w:lang w:val="en-GB" w:eastAsia="en-GB"/>
              </w:rPr>
            </w:pPr>
          </w:p>
        </w:tc>
      </w:tr>
      <w:tr w:rsidR="00EA298D" w:rsidRPr="002E4455" w14:paraId="123735C0" w14:textId="77777777" w:rsidTr="00B00AB8">
        <w:trPr>
          <w:trHeight w:val="300"/>
        </w:trPr>
        <w:tc>
          <w:tcPr>
            <w:tcW w:w="8346" w:type="dxa"/>
            <w:shd w:val="clear" w:color="auto" w:fill="auto"/>
            <w:noWrap/>
            <w:vAlign w:val="center"/>
            <w:hideMark/>
          </w:tcPr>
          <w:p w14:paraId="22903B14"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estimate       se     </w:t>
            </w:r>
            <w:proofErr w:type="spellStart"/>
            <w:r w:rsidRPr="002B3649">
              <w:rPr>
                <w:rFonts w:ascii="Lucida Console" w:hAnsi="Lucida Console"/>
                <w:color w:val="000000"/>
                <w:sz w:val="20"/>
                <w:szCs w:val="20"/>
                <w:lang w:val="en-GB" w:eastAsia="en-GB"/>
              </w:rPr>
              <w:t>zval</w:t>
            </w:r>
            <w:proofErr w:type="spellEnd"/>
            <w:r w:rsidRPr="002B3649">
              <w:rPr>
                <w:rFonts w:ascii="Lucida Console" w:hAnsi="Lucida Console"/>
                <w:color w:val="000000"/>
                <w:sz w:val="20"/>
                <w:szCs w:val="20"/>
                <w:lang w:val="en-GB" w:eastAsia="en-GB"/>
              </w:rPr>
              <w:t xml:space="preserve">     </w:t>
            </w:r>
            <w:proofErr w:type="spellStart"/>
            <w:r w:rsidRPr="002B3649">
              <w:rPr>
                <w:rFonts w:ascii="Lucida Console" w:hAnsi="Lucida Console"/>
                <w:color w:val="000000"/>
                <w:sz w:val="20"/>
                <w:szCs w:val="20"/>
                <w:lang w:val="en-GB" w:eastAsia="en-GB"/>
              </w:rPr>
              <w:t>pval</w:t>
            </w:r>
            <w:proofErr w:type="spellEnd"/>
            <w:r w:rsidRPr="002B3649">
              <w:rPr>
                <w:rFonts w:ascii="Lucida Console" w:hAnsi="Lucida Console"/>
                <w:color w:val="000000"/>
                <w:sz w:val="20"/>
                <w:szCs w:val="20"/>
                <w:lang w:val="en-GB" w:eastAsia="en-GB"/>
              </w:rPr>
              <w:t xml:space="preserve">    ci.lb    </w:t>
            </w:r>
            <w:proofErr w:type="spellStart"/>
            <w:r w:rsidRPr="002B3649">
              <w:rPr>
                <w:rFonts w:ascii="Lucida Console" w:hAnsi="Lucida Console"/>
                <w:color w:val="000000"/>
                <w:sz w:val="20"/>
                <w:szCs w:val="20"/>
                <w:lang w:val="en-GB" w:eastAsia="en-GB"/>
              </w:rPr>
              <w:t>ci.ub</w:t>
            </w:r>
            <w:proofErr w:type="spellEnd"/>
            <w:r w:rsidRPr="002B3649">
              <w:rPr>
                <w:rFonts w:ascii="Lucida Console" w:hAnsi="Lucida Console"/>
                <w:color w:val="000000"/>
                <w:sz w:val="20"/>
                <w:szCs w:val="20"/>
                <w:lang w:val="en-GB" w:eastAsia="en-GB"/>
              </w:rPr>
              <w:t xml:space="preserve">          </w:t>
            </w:r>
          </w:p>
        </w:tc>
      </w:tr>
      <w:tr w:rsidR="00EA298D" w:rsidRPr="002B3649" w14:paraId="3D39C1DC" w14:textId="77777777" w:rsidTr="00B00AB8">
        <w:trPr>
          <w:trHeight w:val="300"/>
        </w:trPr>
        <w:tc>
          <w:tcPr>
            <w:tcW w:w="8346" w:type="dxa"/>
            <w:shd w:val="clear" w:color="auto" w:fill="auto"/>
            <w:noWrap/>
            <w:vAlign w:val="center"/>
            <w:hideMark/>
          </w:tcPr>
          <w:p w14:paraId="6B15C52A"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 -0.2372   0.0371  -6.3925   &lt;.0001  -0.3100  -0.1645      *** </w:t>
            </w:r>
          </w:p>
        </w:tc>
      </w:tr>
    </w:tbl>
    <w:p w14:paraId="6BCEFA73" w14:textId="77777777" w:rsidR="00EA298D" w:rsidRPr="002B3649" w:rsidRDefault="00EA298D" w:rsidP="00EA298D">
      <w:pPr>
        <w:spacing w:line="360" w:lineRule="auto"/>
        <w:ind w:left="360"/>
        <w:rPr>
          <w:rFonts w:asciiTheme="minorHAnsi" w:hAnsiTheme="minorHAnsi"/>
          <w:lang w:val="en-GB"/>
        </w:rPr>
      </w:pPr>
    </w:p>
    <w:p w14:paraId="7E6AEC55" w14:textId="77777777" w:rsidR="00EA298D" w:rsidRPr="002B3649" w:rsidRDefault="00EA298D" w:rsidP="00B00AB8">
      <w:pPr>
        <w:pStyle w:val="ListParagraph"/>
        <w:numPr>
          <w:ilvl w:val="0"/>
          <w:numId w:val="1"/>
        </w:numPr>
        <w:spacing w:line="360" w:lineRule="auto"/>
        <w:rPr>
          <w:rFonts w:asciiTheme="minorHAnsi" w:hAnsiTheme="minorHAnsi"/>
          <w:lang w:val="en-GB"/>
        </w:rPr>
      </w:pPr>
      <w:r w:rsidRPr="002B3649">
        <w:rPr>
          <w:rFonts w:asciiTheme="minorHAnsi" w:hAnsiTheme="minorHAnsi"/>
          <w:lang w:val="en-GB"/>
        </w:rPr>
        <w:t xml:space="preserve">Effects of covariates: left </w:t>
      </w:r>
      <w:r w:rsidR="00447EBC" w:rsidRPr="002B3649">
        <w:rPr>
          <w:rFonts w:asciiTheme="minorHAnsi" w:hAnsiTheme="minorHAnsi"/>
          <w:lang w:val="en-GB"/>
        </w:rPr>
        <w:t>MOFC</w:t>
      </w:r>
      <w:r w:rsidRPr="002B3649">
        <w:rPr>
          <w:rFonts w:asciiTheme="minorHAnsi" w:hAnsiTheme="minorHAnsi"/>
          <w:lang w:val="en-GB"/>
        </w:rPr>
        <w:t xml:space="preserve"> &lt;- global SANS + </w:t>
      </w:r>
      <w:r w:rsidR="001F67E3" w:rsidRPr="002B3649">
        <w:rPr>
          <w:rFonts w:asciiTheme="minorHAnsi" w:hAnsiTheme="minorHAnsi"/>
          <w:lang w:val="en-GB"/>
        </w:rPr>
        <w:t>gender</w:t>
      </w:r>
      <w:r w:rsidRPr="002B3649">
        <w:rPr>
          <w:rFonts w:asciiTheme="minorHAnsi" w:hAnsiTheme="minorHAnsi"/>
          <w:lang w:val="en-GB"/>
        </w:rPr>
        <w:t xml:space="preserve"> + age + site (if applicable)</w:t>
      </w:r>
    </w:p>
    <w:p w14:paraId="66F98212" w14:textId="77777777" w:rsidR="00A9120A" w:rsidRPr="002B3649" w:rsidRDefault="00A9120A" w:rsidP="00B00AB8">
      <w:pPr>
        <w:pStyle w:val="ListParagraph"/>
        <w:spacing w:line="360" w:lineRule="auto"/>
        <w:ind w:left="360"/>
        <w:rPr>
          <w:rFonts w:asciiTheme="minorHAnsi" w:hAnsiTheme="minorHAnsi"/>
          <w:lang w:val="en-GB"/>
        </w:rPr>
      </w:pPr>
    </w:p>
    <w:p w14:paraId="0CFFDCDC" w14:textId="77777777" w:rsidR="00EA298D" w:rsidRPr="002B3649" w:rsidRDefault="00EA298D" w:rsidP="00B00AB8">
      <w:pPr>
        <w:pStyle w:val="ListParagraph"/>
        <w:spacing w:line="360" w:lineRule="auto"/>
        <w:ind w:left="360"/>
        <w:rPr>
          <w:rFonts w:asciiTheme="minorHAnsi" w:hAnsiTheme="minorHAnsi"/>
          <w:lang w:val="en-GB"/>
        </w:rPr>
      </w:pPr>
      <w:r w:rsidRPr="002B3649">
        <w:rPr>
          <w:rFonts w:asciiTheme="minorHAnsi" w:hAnsiTheme="minorHAnsi"/>
          <w:lang w:val="en-GB"/>
        </w:rPr>
        <w:t xml:space="preserve">Shown below are the estimate, the standard error, p value and the confidence intervals for the meta-analytical standardized regression beta of </w:t>
      </w:r>
      <w:r w:rsidR="001F67E3" w:rsidRPr="002B3649">
        <w:rPr>
          <w:rFonts w:asciiTheme="minorHAnsi" w:hAnsiTheme="minorHAnsi"/>
          <w:lang w:val="en-GB"/>
        </w:rPr>
        <w:t>gender</w:t>
      </w:r>
      <w:r w:rsidRPr="002B3649">
        <w:rPr>
          <w:rFonts w:asciiTheme="minorHAnsi" w:hAnsiTheme="minorHAnsi"/>
          <w:lang w:val="en-GB"/>
        </w:rPr>
        <w:t xml:space="preserve"> on left </w:t>
      </w:r>
      <w:r w:rsidR="00447EBC" w:rsidRPr="002B3649">
        <w:rPr>
          <w:rFonts w:asciiTheme="minorHAnsi" w:hAnsiTheme="minorHAnsi"/>
          <w:lang w:val="en-GB"/>
        </w:rPr>
        <w:t>MOFC</w:t>
      </w:r>
      <w:r w:rsidRPr="002B3649">
        <w:rPr>
          <w:rFonts w:asciiTheme="minorHAnsi" w:hAnsiTheme="minorHAnsi"/>
          <w:lang w:val="en-GB"/>
        </w:rPr>
        <w:t xml:space="preserve"> thickness. Results were based on estimates from 17 studies</w:t>
      </w:r>
      <w:r w:rsidR="00A9120A" w:rsidRPr="002B3649">
        <w:rPr>
          <w:rFonts w:asciiTheme="minorHAnsi" w:hAnsiTheme="minorHAnsi"/>
          <w:lang w:val="en-GB"/>
        </w:rPr>
        <w:t>.</w:t>
      </w:r>
    </w:p>
    <w:tbl>
      <w:tblPr>
        <w:tblW w:w="7743"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743"/>
      </w:tblGrid>
      <w:tr w:rsidR="00EA298D" w:rsidRPr="002E4455" w14:paraId="0200033D" w14:textId="77777777" w:rsidTr="00B00AB8">
        <w:trPr>
          <w:trHeight w:val="300"/>
        </w:trPr>
        <w:tc>
          <w:tcPr>
            <w:tcW w:w="7743" w:type="dxa"/>
            <w:shd w:val="clear" w:color="auto" w:fill="auto"/>
            <w:noWrap/>
            <w:vAlign w:val="center"/>
            <w:hideMark/>
          </w:tcPr>
          <w:p w14:paraId="4EC8A21D"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Random-Effects Model (k = 17; tau^2 estimator: REML)</w:t>
            </w:r>
          </w:p>
        </w:tc>
      </w:tr>
      <w:tr w:rsidR="00EA298D" w:rsidRPr="002E4455" w14:paraId="7F12AD96" w14:textId="77777777" w:rsidTr="00B00AB8">
        <w:trPr>
          <w:trHeight w:val="300"/>
        </w:trPr>
        <w:tc>
          <w:tcPr>
            <w:tcW w:w="7743" w:type="dxa"/>
            <w:shd w:val="clear" w:color="auto" w:fill="auto"/>
            <w:noWrap/>
            <w:vAlign w:val="center"/>
            <w:hideMark/>
          </w:tcPr>
          <w:p w14:paraId="5588E053" w14:textId="77777777" w:rsidR="00EA298D" w:rsidRPr="002B3649" w:rsidRDefault="00EA298D" w:rsidP="00EA298D">
            <w:pPr>
              <w:rPr>
                <w:rFonts w:ascii="Calibri" w:hAnsi="Calibri"/>
                <w:color w:val="000000"/>
                <w:sz w:val="22"/>
                <w:szCs w:val="22"/>
                <w:lang w:val="en-GB" w:eastAsia="en-GB"/>
              </w:rPr>
            </w:pPr>
          </w:p>
        </w:tc>
      </w:tr>
      <w:tr w:rsidR="00EA298D" w:rsidRPr="002E4455" w14:paraId="5E24DE6D" w14:textId="77777777" w:rsidTr="00B00AB8">
        <w:trPr>
          <w:trHeight w:val="300"/>
        </w:trPr>
        <w:tc>
          <w:tcPr>
            <w:tcW w:w="7743" w:type="dxa"/>
            <w:shd w:val="clear" w:color="auto" w:fill="auto"/>
            <w:noWrap/>
            <w:vAlign w:val="center"/>
            <w:hideMark/>
          </w:tcPr>
          <w:p w14:paraId="0A9A57BF"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tau^2 (estimated amount of total heterogeneity): 0 (SE = 0.0026)</w:t>
            </w:r>
          </w:p>
        </w:tc>
      </w:tr>
      <w:tr w:rsidR="00EA298D" w:rsidRPr="002E4455" w14:paraId="10A942EC" w14:textId="77777777" w:rsidTr="00B00AB8">
        <w:trPr>
          <w:trHeight w:val="300"/>
        </w:trPr>
        <w:tc>
          <w:tcPr>
            <w:tcW w:w="7743" w:type="dxa"/>
            <w:shd w:val="clear" w:color="auto" w:fill="auto"/>
            <w:noWrap/>
            <w:vAlign w:val="center"/>
            <w:hideMark/>
          </w:tcPr>
          <w:p w14:paraId="4775E399"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 (square root of estimated tau^2 value):      0</w:t>
            </w:r>
          </w:p>
        </w:tc>
      </w:tr>
      <w:tr w:rsidR="00EA298D" w:rsidRPr="002E4455" w14:paraId="64E11D1C" w14:textId="77777777" w:rsidTr="00B00AB8">
        <w:trPr>
          <w:trHeight w:val="300"/>
        </w:trPr>
        <w:tc>
          <w:tcPr>
            <w:tcW w:w="7743" w:type="dxa"/>
            <w:shd w:val="clear" w:color="auto" w:fill="auto"/>
            <w:noWrap/>
            <w:vAlign w:val="center"/>
            <w:hideMark/>
          </w:tcPr>
          <w:p w14:paraId="4878FF25"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I^2 (total heterogeneity / total variability):   0.00%</w:t>
            </w:r>
          </w:p>
        </w:tc>
      </w:tr>
      <w:tr w:rsidR="00EA298D" w:rsidRPr="002E4455" w14:paraId="03D03303" w14:textId="77777777" w:rsidTr="00B00AB8">
        <w:trPr>
          <w:trHeight w:val="300"/>
        </w:trPr>
        <w:tc>
          <w:tcPr>
            <w:tcW w:w="7743" w:type="dxa"/>
            <w:shd w:val="clear" w:color="auto" w:fill="auto"/>
            <w:noWrap/>
            <w:vAlign w:val="center"/>
            <w:hideMark/>
          </w:tcPr>
          <w:p w14:paraId="2B269FE1"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H^2 (total variability / sampling variability):  1.00</w:t>
            </w:r>
          </w:p>
        </w:tc>
      </w:tr>
      <w:tr w:rsidR="00EA298D" w:rsidRPr="002E4455" w14:paraId="260AEA10" w14:textId="77777777" w:rsidTr="00B00AB8">
        <w:trPr>
          <w:trHeight w:val="300"/>
        </w:trPr>
        <w:tc>
          <w:tcPr>
            <w:tcW w:w="7743" w:type="dxa"/>
            <w:shd w:val="clear" w:color="auto" w:fill="auto"/>
            <w:noWrap/>
            <w:vAlign w:val="center"/>
            <w:hideMark/>
          </w:tcPr>
          <w:p w14:paraId="6541BD60" w14:textId="77777777" w:rsidR="00EA298D" w:rsidRPr="002B3649" w:rsidRDefault="00EA298D" w:rsidP="00EA298D">
            <w:pPr>
              <w:rPr>
                <w:rFonts w:ascii="Calibri" w:hAnsi="Calibri"/>
                <w:color w:val="000000"/>
                <w:sz w:val="22"/>
                <w:szCs w:val="22"/>
                <w:lang w:val="en-GB" w:eastAsia="en-GB"/>
              </w:rPr>
            </w:pPr>
          </w:p>
        </w:tc>
      </w:tr>
      <w:tr w:rsidR="00EA298D" w:rsidRPr="002B3649" w14:paraId="32780238" w14:textId="77777777" w:rsidTr="00B00AB8">
        <w:trPr>
          <w:trHeight w:val="300"/>
        </w:trPr>
        <w:tc>
          <w:tcPr>
            <w:tcW w:w="7743" w:type="dxa"/>
            <w:shd w:val="clear" w:color="auto" w:fill="auto"/>
            <w:noWrap/>
            <w:vAlign w:val="center"/>
            <w:hideMark/>
          </w:tcPr>
          <w:p w14:paraId="0BC227A8"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Test for Heterogeneity: </w:t>
            </w:r>
          </w:p>
        </w:tc>
      </w:tr>
      <w:tr w:rsidR="00EA298D" w:rsidRPr="002B3649" w14:paraId="4C774580" w14:textId="77777777" w:rsidTr="00B00AB8">
        <w:trPr>
          <w:trHeight w:val="300"/>
        </w:trPr>
        <w:tc>
          <w:tcPr>
            <w:tcW w:w="7743" w:type="dxa"/>
            <w:shd w:val="clear" w:color="auto" w:fill="auto"/>
            <w:noWrap/>
            <w:vAlign w:val="center"/>
            <w:hideMark/>
          </w:tcPr>
          <w:p w14:paraId="40F9DBEF"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Q(</w:t>
            </w:r>
            <w:proofErr w:type="spellStart"/>
            <w:r w:rsidRPr="002B3649">
              <w:rPr>
                <w:rFonts w:ascii="Lucida Console" w:hAnsi="Lucida Console"/>
                <w:color w:val="000000"/>
                <w:sz w:val="20"/>
                <w:szCs w:val="20"/>
                <w:lang w:val="en-GB" w:eastAsia="en-GB"/>
              </w:rPr>
              <w:t>df</w:t>
            </w:r>
            <w:proofErr w:type="spellEnd"/>
            <w:r w:rsidRPr="002B3649">
              <w:rPr>
                <w:rFonts w:ascii="Lucida Console" w:hAnsi="Lucida Console"/>
                <w:color w:val="000000"/>
                <w:sz w:val="20"/>
                <w:szCs w:val="20"/>
                <w:lang w:val="en-GB" w:eastAsia="en-GB"/>
              </w:rPr>
              <w:t xml:space="preserve"> = 16) = 13.5923, p-</w:t>
            </w:r>
            <w:proofErr w:type="spellStart"/>
            <w:r w:rsidRPr="002B3649">
              <w:rPr>
                <w:rFonts w:ascii="Lucida Console" w:hAnsi="Lucida Console"/>
                <w:color w:val="000000"/>
                <w:sz w:val="20"/>
                <w:szCs w:val="20"/>
                <w:lang w:val="en-GB" w:eastAsia="en-GB"/>
              </w:rPr>
              <w:t>val</w:t>
            </w:r>
            <w:proofErr w:type="spellEnd"/>
            <w:r w:rsidRPr="002B3649">
              <w:rPr>
                <w:rFonts w:ascii="Lucida Console" w:hAnsi="Lucida Console"/>
                <w:color w:val="000000"/>
                <w:sz w:val="20"/>
                <w:szCs w:val="20"/>
                <w:lang w:val="en-GB" w:eastAsia="en-GB"/>
              </w:rPr>
              <w:t xml:space="preserve"> = 0.6291</w:t>
            </w:r>
          </w:p>
        </w:tc>
      </w:tr>
      <w:tr w:rsidR="00EA298D" w:rsidRPr="002B3649" w14:paraId="4C4EB013" w14:textId="77777777" w:rsidTr="00B00AB8">
        <w:trPr>
          <w:trHeight w:val="300"/>
        </w:trPr>
        <w:tc>
          <w:tcPr>
            <w:tcW w:w="7743" w:type="dxa"/>
            <w:shd w:val="clear" w:color="auto" w:fill="auto"/>
            <w:noWrap/>
            <w:vAlign w:val="center"/>
            <w:hideMark/>
          </w:tcPr>
          <w:p w14:paraId="16B22C00" w14:textId="77777777" w:rsidR="00EA298D" w:rsidRPr="002B3649" w:rsidRDefault="00EA298D" w:rsidP="00EA298D">
            <w:pPr>
              <w:rPr>
                <w:rFonts w:ascii="Calibri" w:hAnsi="Calibri"/>
                <w:color w:val="000000"/>
                <w:sz w:val="22"/>
                <w:szCs w:val="22"/>
                <w:lang w:val="en-GB" w:eastAsia="en-GB"/>
              </w:rPr>
            </w:pPr>
          </w:p>
        </w:tc>
      </w:tr>
      <w:tr w:rsidR="00EA298D" w:rsidRPr="002B3649" w14:paraId="1762B4CA" w14:textId="77777777" w:rsidTr="00B00AB8">
        <w:trPr>
          <w:trHeight w:val="300"/>
        </w:trPr>
        <w:tc>
          <w:tcPr>
            <w:tcW w:w="7743" w:type="dxa"/>
            <w:shd w:val="clear" w:color="auto" w:fill="auto"/>
            <w:noWrap/>
            <w:vAlign w:val="center"/>
            <w:hideMark/>
          </w:tcPr>
          <w:p w14:paraId="01C5ABF6"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Model Results:</w:t>
            </w:r>
          </w:p>
        </w:tc>
      </w:tr>
      <w:tr w:rsidR="00EA298D" w:rsidRPr="002B3649" w14:paraId="66727941" w14:textId="77777777" w:rsidTr="00B00AB8">
        <w:trPr>
          <w:trHeight w:val="300"/>
        </w:trPr>
        <w:tc>
          <w:tcPr>
            <w:tcW w:w="7743" w:type="dxa"/>
            <w:shd w:val="clear" w:color="auto" w:fill="auto"/>
            <w:noWrap/>
            <w:vAlign w:val="center"/>
            <w:hideMark/>
          </w:tcPr>
          <w:p w14:paraId="40BE7A9C" w14:textId="77777777" w:rsidR="00EA298D" w:rsidRPr="002B3649" w:rsidRDefault="00EA298D" w:rsidP="00EA298D">
            <w:pPr>
              <w:rPr>
                <w:rFonts w:ascii="Calibri" w:hAnsi="Calibri"/>
                <w:color w:val="000000"/>
                <w:sz w:val="22"/>
                <w:szCs w:val="22"/>
                <w:lang w:val="en-GB" w:eastAsia="en-GB"/>
              </w:rPr>
            </w:pPr>
          </w:p>
        </w:tc>
      </w:tr>
      <w:tr w:rsidR="00EA298D" w:rsidRPr="002E4455" w14:paraId="078E48D5" w14:textId="77777777" w:rsidTr="00B00AB8">
        <w:trPr>
          <w:trHeight w:val="300"/>
        </w:trPr>
        <w:tc>
          <w:tcPr>
            <w:tcW w:w="7743" w:type="dxa"/>
            <w:shd w:val="clear" w:color="auto" w:fill="auto"/>
            <w:noWrap/>
            <w:vAlign w:val="center"/>
            <w:hideMark/>
          </w:tcPr>
          <w:p w14:paraId="50A2907F"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estimate       se     </w:t>
            </w:r>
            <w:proofErr w:type="spellStart"/>
            <w:r w:rsidRPr="002B3649">
              <w:rPr>
                <w:rFonts w:ascii="Lucida Console" w:hAnsi="Lucida Console"/>
                <w:color w:val="000000"/>
                <w:sz w:val="20"/>
                <w:szCs w:val="20"/>
                <w:lang w:val="en-GB" w:eastAsia="en-GB"/>
              </w:rPr>
              <w:t>zval</w:t>
            </w:r>
            <w:proofErr w:type="spellEnd"/>
            <w:r w:rsidRPr="002B3649">
              <w:rPr>
                <w:rFonts w:ascii="Lucida Console" w:hAnsi="Lucida Console"/>
                <w:color w:val="000000"/>
                <w:sz w:val="20"/>
                <w:szCs w:val="20"/>
                <w:lang w:val="en-GB" w:eastAsia="en-GB"/>
              </w:rPr>
              <w:t xml:space="preserve">     </w:t>
            </w:r>
            <w:proofErr w:type="spellStart"/>
            <w:r w:rsidRPr="002B3649">
              <w:rPr>
                <w:rFonts w:ascii="Lucida Console" w:hAnsi="Lucida Console"/>
                <w:color w:val="000000"/>
                <w:sz w:val="20"/>
                <w:szCs w:val="20"/>
                <w:lang w:val="en-GB" w:eastAsia="en-GB"/>
              </w:rPr>
              <w:t>pval</w:t>
            </w:r>
            <w:proofErr w:type="spellEnd"/>
            <w:r w:rsidRPr="002B3649">
              <w:rPr>
                <w:rFonts w:ascii="Lucida Console" w:hAnsi="Lucida Console"/>
                <w:color w:val="000000"/>
                <w:sz w:val="20"/>
                <w:szCs w:val="20"/>
                <w:lang w:val="en-GB" w:eastAsia="en-GB"/>
              </w:rPr>
              <w:t xml:space="preserve">    ci.lb    </w:t>
            </w:r>
            <w:proofErr w:type="spellStart"/>
            <w:r w:rsidRPr="002B3649">
              <w:rPr>
                <w:rFonts w:ascii="Lucida Console" w:hAnsi="Lucida Console"/>
                <w:color w:val="000000"/>
                <w:sz w:val="20"/>
                <w:szCs w:val="20"/>
                <w:lang w:val="en-GB" w:eastAsia="en-GB"/>
              </w:rPr>
              <w:t>ci.ub</w:t>
            </w:r>
            <w:proofErr w:type="spellEnd"/>
            <w:r w:rsidRPr="002B3649">
              <w:rPr>
                <w:rFonts w:ascii="Lucida Console" w:hAnsi="Lucida Console"/>
                <w:color w:val="000000"/>
                <w:sz w:val="20"/>
                <w:szCs w:val="20"/>
                <w:lang w:val="en-GB" w:eastAsia="en-GB"/>
              </w:rPr>
              <w:t xml:space="preserve">          </w:t>
            </w:r>
          </w:p>
        </w:tc>
      </w:tr>
      <w:tr w:rsidR="00EA298D" w:rsidRPr="002B3649" w14:paraId="4CC984D1" w14:textId="77777777" w:rsidTr="00B00AB8">
        <w:trPr>
          <w:trHeight w:val="300"/>
        </w:trPr>
        <w:tc>
          <w:tcPr>
            <w:tcW w:w="7743" w:type="dxa"/>
            <w:shd w:val="clear" w:color="auto" w:fill="auto"/>
            <w:noWrap/>
            <w:vAlign w:val="center"/>
            <w:hideMark/>
          </w:tcPr>
          <w:p w14:paraId="788CCE0B" w14:textId="77777777" w:rsidR="00EA298D" w:rsidRPr="002B3649" w:rsidRDefault="00EA298D" w:rsidP="00EA298D">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 -0.0900   0.0227  -3.9592   &lt;.0001  -0.1346  -0.0455      ***</w:t>
            </w:r>
          </w:p>
        </w:tc>
      </w:tr>
    </w:tbl>
    <w:p w14:paraId="69F91379" w14:textId="77777777" w:rsidR="00EA298D" w:rsidRPr="002B3649" w:rsidRDefault="00EA298D" w:rsidP="00B00AB8">
      <w:pPr>
        <w:pStyle w:val="ListParagraph"/>
        <w:spacing w:line="360" w:lineRule="auto"/>
        <w:ind w:left="360"/>
        <w:rPr>
          <w:rFonts w:asciiTheme="minorHAnsi" w:hAnsiTheme="minorHAnsi"/>
          <w:lang w:val="en-GB"/>
        </w:rPr>
      </w:pPr>
    </w:p>
    <w:p w14:paraId="136D0916" w14:textId="77777777" w:rsidR="00EA298D" w:rsidRPr="002B3649" w:rsidRDefault="00EA298D" w:rsidP="00EA298D">
      <w:pPr>
        <w:pStyle w:val="ListParagraph"/>
        <w:numPr>
          <w:ilvl w:val="0"/>
          <w:numId w:val="1"/>
        </w:numPr>
        <w:spacing w:line="360" w:lineRule="auto"/>
        <w:rPr>
          <w:rFonts w:asciiTheme="minorHAnsi" w:hAnsiTheme="minorHAnsi"/>
          <w:lang w:val="en-GB"/>
        </w:rPr>
      </w:pPr>
      <w:r w:rsidRPr="002B3649">
        <w:rPr>
          <w:rFonts w:asciiTheme="minorHAnsi" w:hAnsiTheme="minorHAnsi"/>
          <w:lang w:val="en-GB"/>
        </w:rPr>
        <w:t xml:space="preserve">Effects of covariates: left </w:t>
      </w:r>
      <w:r w:rsidR="00447EBC" w:rsidRPr="002B3649">
        <w:rPr>
          <w:rFonts w:asciiTheme="minorHAnsi" w:hAnsiTheme="minorHAnsi"/>
          <w:lang w:val="en-GB"/>
        </w:rPr>
        <w:t>MOFC</w:t>
      </w:r>
      <w:r w:rsidRPr="002B3649">
        <w:rPr>
          <w:rFonts w:asciiTheme="minorHAnsi" w:hAnsiTheme="minorHAnsi"/>
          <w:lang w:val="en-GB"/>
        </w:rPr>
        <w:t xml:space="preserve"> &lt;- global SANS + illness severity + </w:t>
      </w:r>
      <w:r w:rsidR="001F67E3" w:rsidRPr="002B3649">
        <w:rPr>
          <w:rFonts w:asciiTheme="minorHAnsi" w:hAnsiTheme="minorHAnsi"/>
          <w:lang w:val="en-GB"/>
        </w:rPr>
        <w:t>gender</w:t>
      </w:r>
      <w:r w:rsidRPr="002B3649">
        <w:rPr>
          <w:rFonts w:asciiTheme="minorHAnsi" w:hAnsiTheme="minorHAnsi"/>
          <w:lang w:val="en-GB"/>
        </w:rPr>
        <w:t xml:space="preserve"> + age + site (if applicable)</w:t>
      </w:r>
    </w:p>
    <w:p w14:paraId="59025BB2" w14:textId="77777777" w:rsidR="00A9120A" w:rsidRPr="002B3649" w:rsidRDefault="00A9120A" w:rsidP="00B00AB8">
      <w:pPr>
        <w:pStyle w:val="ListParagraph"/>
        <w:spacing w:line="360" w:lineRule="auto"/>
        <w:ind w:left="360"/>
        <w:rPr>
          <w:rFonts w:asciiTheme="minorHAnsi" w:hAnsiTheme="minorHAnsi"/>
          <w:lang w:val="en-GB"/>
        </w:rPr>
      </w:pPr>
    </w:p>
    <w:p w14:paraId="4A84992D" w14:textId="77777777" w:rsidR="00EA298D" w:rsidRPr="002B3649" w:rsidRDefault="00EA298D" w:rsidP="00EA298D">
      <w:pPr>
        <w:pStyle w:val="ListParagraph"/>
        <w:spacing w:line="360" w:lineRule="auto"/>
        <w:ind w:left="360"/>
        <w:rPr>
          <w:rFonts w:asciiTheme="minorHAnsi" w:hAnsiTheme="minorHAnsi"/>
          <w:lang w:val="en-GB"/>
        </w:rPr>
      </w:pPr>
      <w:r w:rsidRPr="002B3649">
        <w:rPr>
          <w:rFonts w:asciiTheme="minorHAnsi" w:hAnsiTheme="minorHAnsi"/>
          <w:lang w:val="en-GB"/>
        </w:rPr>
        <w:t xml:space="preserve">Shown below are the estimate, the standard error, p value and the confidence intervals for the meta-analytical standardized regression beta of </w:t>
      </w:r>
      <w:r w:rsidR="00A9120A" w:rsidRPr="002B3649">
        <w:rPr>
          <w:rFonts w:asciiTheme="minorHAnsi" w:hAnsiTheme="minorHAnsi"/>
          <w:lang w:val="en-GB"/>
        </w:rPr>
        <w:t>illness severity</w:t>
      </w:r>
      <w:r w:rsidRPr="002B3649">
        <w:rPr>
          <w:rFonts w:asciiTheme="minorHAnsi" w:hAnsiTheme="minorHAnsi"/>
          <w:lang w:val="en-GB"/>
        </w:rPr>
        <w:t xml:space="preserve"> on left </w:t>
      </w:r>
      <w:r w:rsidR="00447EBC" w:rsidRPr="002B3649">
        <w:rPr>
          <w:rFonts w:asciiTheme="minorHAnsi" w:hAnsiTheme="minorHAnsi"/>
          <w:lang w:val="en-GB"/>
        </w:rPr>
        <w:t>MOFC</w:t>
      </w:r>
      <w:r w:rsidRPr="002B3649">
        <w:rPr>
          <w:rFonts w:asciiTheme="minorHAnsi" w:hAnsiTheme="minorHAnsi"/>
          <w:lang w:val="en-GB"/>
        </w:rPr>
        <w:t xml:space="preserve"> thickness. Results were based on </w:t>
      </w:r>
      <w:r w:rsidR="00A9120A" w:rsidRPr="002B3649">
        <w:rPr>
          <w:rFonts w:asciiTheme="minorHAnsi" w:hAnsiTheme="minorHAnsi"/>
          <w:lang w:val="en-GB"/>
        </w:rPr>
        <w:t>estimates from 9</w:t>
      </w:r>
      <w:r w:rsidRPr="002B3649">
        <w:rPr>
          <w:rFonts w:asciiTheme="minorHAnsi" w:hAnsiTheme="minorHAnsi"/>
          <w:lang w:val="en-GB"/>
        </w:rPr>
        <w:t xml:space="preserve"> studies</w:t>
      </w:r>
      <w:r w:rsidR="00A9120A" w:rsidRPr="002B3649">
        <w:rPr>
          <w:rFonts w:asciiTheme="minorHAnsi" w:hAnsiTheme="minorHAnsi"/>
          <w:lang w:val="en-GB"/>
        </w:rPr>
        <w:t>.</w:t>
      </w:r>
    </w:p>
    <w:tbl>
      <w:tblPr>
        <w:tblW w:w="8346"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46"/>
      </w:tblGrid>
      <w:tr w:rsidR="00A9120A" w:rsidRPr="002E4455" w14:paraId="660770CD" w14:textId="77777777" w:rsidTr="00B00AB8">
        <w:trPr>
          <w:trHeight w:val="300"/>
        </w:trPr>
        <w:tc>
          <w:tcPr>
            <w:tcW w:w="8346" w:type="dxa"/>
            <w:shd w:val="clear" w:color="auto" w:fill="auto"/>
            <w:noWrap/>
            <w:vAlign w:val="center"/>
            <w:hideMark/>
          </w:tcPr>
          <w:p w14:paraId="5BF52132"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Random-Effects Model (k = 9; tau^2 estimator: REML)</w:t>
            </w:r>
          </w:p>
        </w:tc>
      </w:tr>
      <w:tr w:rsidR="00A9120A" w:rsidRPr="002E4455" w14:paraId="1C227D19" w14:textId="77777777" w:rsidTr="00B00AB8">
        <w:trPr>
          <w:trHeight w:val="300"/>
        </w:trPr>
        <w:tc>
          <w:tcPr>
            <w:tcW w:w="8346" w:type="dxa"/>
            <w:shd w:val="clear" w:color="auto" w:fill="auto"/>
            <w:noWrap/>
            <w:vAlign w:val="center"/>
            <w:hideMark/>
          </w:tcPr>
          <w:p w14:paraId="467F490E" w14:textId="77777777" w:rsidR="00A9120A" w:rsidRPr="002B3649" w:rsidRDefault="00A9120A" w:rsidP="00A9120A">
            <w:pPr>
              <w:rPr>
                <w:rFonts w:ascii="Calibri" w:hAnsi="Calibri"/>
                <w:color w:val="000000"/>
                <w:sz w:val="22"/>
                <w:szCs w:val="22"/>
                <w:lang w:val="en-GB" w:eastAsia="en-GB"/>
              </w:rPr>
            </w:pPr>
          </w:p>
        </w:tc>
      </w:tr>
      <w:tr w:rsidR="00A9120A" w:rsidRPr="002E4455" w14:paraId="333C396A" w14:textId="77777777" w:rsidTr="00B00AB8">
        <w:trPr>
          <w:trHeight w:val="300"/>
        </w:trPr>
        <w:tc>
          <w:tcPr>
            <w:tcW w:w="8346" w:type="dxa"/>
            <w:shd w:val="clear" w:color="auto" w:fill="auto"/>
            <w:noWrap/>
            <w:vAlign w:val="center"/>
            <w:hideMark/>
          </w:tcPr>
          <w:p w14:paraId="7225E7D8"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tau^2 (estimated amount of total heterogeneity): 0.0387 (SE = 0.0254)</w:t>
            </w:r>
          </w:p>
        </w:tc>
      </w:tr>
      <w:tr w:rsidR="00A9120A" w:rsidRPr="002E4455" w14:paraId="6C385E63" w14:textId="77777777" w:rsidTr="00B00AB8">
        <w:trPr>
          <w:trHeight w:val="300"/>
        </w:trPr>
        <w:tc>
          <w:tcPr>
            <w:tcW w:w="8346" w:type="dxa"/>
            <w:shd w:val="clear" w:color="auto" w:fill="auto"/>
            <w:noWrap/>
            <w:vAlign w:val="center"/>
            <w:hideMark/>
          </w:tcPr>
          <w:p w14:paraId="2873595F"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 (square root of estimated tau^2 value):      0.1967</w:t>
            </w:r>
          </w:p>
        </w:tc>
      </w:tr>
      <w:tr w:rsidR="00A9120A" w:rsidRPr="002E4455" w14:paraId="49F2B987" w14:textId="77777777" w:rsidTr="00B00AB8">
        <w:trPr>
          <w:trHeight w:val="300"/>
        </w:trPr>
        <w:tc>
          <w:tcPr>
            <w:tcW w:w="8346" w:type="dxa"/>
            <w:shd w:val="clear" w:color="auto" w:fill="auto"/>
            <w:noWrap/>
            <w:vAlign w:val="center"/>
            <w:hideMark/>
          </w:tcPr>
          <w:p w14:paraId="4989E3BE"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I^2 (total heterogeneity / total variability):   81.26%</w:t>
            </w:r>
          </w:p>
        </w:tc>
      </w:tr>
      <w:tr w:rsidR="00A9120A" w:rsidRPr="002E4455" w14:paraId="296A083B" w14:textId="77777777" w:rsidTr="00B00AB8">
        <w:trPr>
          <w:trHeight w:val="300"/>
        </w:trPr>
        <w:tc>
          <w:tcPr>
            <w:tcW w:w="8346" w:type="dxa"/>
            <w:shd w:val="clear" w:color="auto" w:fill="auto"/>
            <w:noWrap/>
            <w:vAlign w:val="center"/>
            <w:hideMark/>
          </w:tcPr>
          <w:p w14:paraId="7FC45125"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H^2 (total variability / sampling variability):  5.34</w:t>
            </w:r>
          </w:p>
        </w:tc>
      </w:tr>
      <w:tr w:rsidR="00A9120A" w:rsidRPr="002E4455" w14:paraId="6BEE808D" w14:textId="77777777" w:rsidTr="00B00AB8">
        <w:trPr>
          <w:trHeight w:val="300"/>
        </w:trPr>
        <w:tc>
          <w:tcPr>
            <w:tcW w:w="8346" w:type="dxa"/>
            <w:shd w:val="clear" w:color="auto" w:fill="auto"/>
            <w:noWrap/>
            <w:vAlign w:val="center"/>
            <w:hideMark/>
          </w:tcPr>
          <w:p w14:paraId="63CA88C9" w14:textId="77777777" w:rsidR="00A9120A" w:rsidRPr="002B3649" w:rsidRDefault="00A9120A" w:rsidP="00A9120A">
            <w:pPr>
              <w:rPr>
                <w:rFonts w:ascii="Calibri" w:hAnsi="Calibri"/>
                <w:color w:val="000000"/>
                <w:sz w:val="22"/>
                <w:szCs w:val="22"/>
                <w:lang w:val="en-GB" w:eastAsia="en-GB"/>
              </w:rPr>
            </w:pPr>
          </w:p>
        </w:tc>
      </w:tr>
      <w:tr w:rsidR="00A9120A" w:rsidRPr="002B3649" w14:paraId="57FDFD6F" w14:textId="77777777" w:rsidTr="00B00AB8">
        <w:trPr>
          <w:trHeight w:val="300"/>
        </w:trPr>
        <w:tc>
          <w:tcPr>
            <w:tcW w:w="8346" w:type="dxa"/>
            <w:shd w:val="clear" w:color="auto" w:fill="auto"/>
            <w:noWrap/>
            <w:vAlign w:val="center"/>
            <w:hideMark/>
          </w:tcPr>
          <w:p w14:paraId="37C692E4"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lastRenderedPageBreak/>
              <w:t xml:space="preserve">Test for Heterogeneity: </w:t>
            </w:r>
          </w:p>
        </w:tc>
      </w:tr>
      <w:tr w:rsidR="00A9120A" w:rsidRPr="002B3649" w14:paraId="32742D49" w14:textId="77777777" w:rsidTr="00B00AB8">
        <w:trPr>
          <w:trHeight w:val="300"/>
        </w:trPr>
        <w:tc>
          <w:tcPr>
            <w:tcW w:w="8346" w:type="dxa"/>
            <w:shd w:val="clear" w:color="auto" w:fill="auto"/>
            <w:noWrap/>
            <w:vAlign w:val="center"/>
            <w:hideMark/>
          </w:tcPr>
          <w:p w14:paraId="45F0658A"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Q(</w:t>
            </w:r>
            <w:proofErr w:type="spellStart"/>
            <w:r w:rsidRPr="002B3649">
              <w:rPr>
                <w:rFonts w:ascii="Lucida Console" w:hAnsi="Lucida Console"/>
                <w:color w:val="000000"/>
                <w:sz w:val="20"/>
                <w:szCs w:val="20"/>
                <w:lang w:val="en-GB" w:eastAsia="en-GB"/>
              </w:rPr>
              <w:t>df</w:t>
            </w:r>
            <w:proofErr w:type="spellEnd"/>
            <w:r w:rsidRPr="002B3649">
              <w:rPr>
                <w:rFonts w:ascii="Lucida Console" w:hAnsi="Lucida Console"/>
                <w:color w:val="000000"/>
                <w:sz w:val="20"/>
                <w:szCs w:val="20"/>
                <w:lang w:val="en-GB" w:eastAsia="en-GB"/>
              </w:rPr>
              <w:t xml:space="preserve"> = 8) = 44.9511, p-</w:t>
            </w:r>
            <w:proofErr w:type="spellStart"/>
            <w:r w:rsidRPr="002B3649">
              <w:rPr>
                <w:rFonts w:ascii="Lucida Console" w:hAnsi="Lucida Console"/>
                <w:color w:val="000000"/>
                <w:sz w:val="20"/>
                <w:szCs w:val="20"/>
                <w:lang w:val="en-GB" w:eastAsia="en-GB"/>
              </w:rPr>
              <w:t>val</w:t>
            </w:r>
            <w:proofErr w:type="spellEnd"/>
            <w:r w:rsidRPr="002B3649">
              <w:rPr>
                <w:rFonts w:ascii="Lucida Console" w:hAnsi="Lucida Console"/>
                <w:color w:val="000000"/>
                <w:sz w:val="20"/>
                <w:szCs w:val="20"/>
                <w:lang w:val="en-GB" w:eastAsia="en-GB"/>
              </w:rPr>
              <w:t xml:space="preserve"> &lt; .0001</w:t>
            </w:r>
          </w:p>
        </w:tc>
      </w:tr>
      <w:tr w:rsidR="00A9120A" w:rsidRPr="002B3649" w14:paraId="6D03966F" w14:textId="77777777" w:rsidTr="00B00AB8">
        <w:trPr>
          <w:trHeight w:val="300"/>
        </w:trPr>
        <w:tc>
          <w:tcPr>
            <w:tcW w:w="8346" w:type="dxa"/>
            <w:shd w:val="clear" w:color="auto" w:fill="auto"/>
            <w:noWrap/>
            <w:vAlign w:val="center"/>
            <w:hideMark/>
          </w:tcPr>
          <w:p w14:paraId="2DFA0E4E" w14:textId="77777777" w:rsidR="00A9120A" w:rsidRPr="002B3649" w:rsidRDefault="00A9120A" w:rsidP="00A9120A">
            <w:pPr>
              <w:rPr>
                <w:rFonts w:ascii="Calibri" w:hAnsi="Calibri"/>
                <w:color w:val="000000"/>
                <w:sz w:val="22"/>
                <w:szCs w:val="22"/>
                <w:lang w:val="en-GB" w:eastAsia="en-GB"/>
              </w:rPr>
            </w:pPr>
          </w:p>
        </w:tc>
      </w:tr>
      <w:tr w:rsidR="00A9120A" w:rsidRPr="002B3649" w14:paraId="7DBFC36B" w14:textId="77777777" w:rsidTr="00B00AB8">
        <w:trPr>
          <w:trHeight w:val="300"/>
        </w:trPr>
        <w:tc>
          <w:tcPr>
            <w:tcW w:w="8346" w:type="dxa"/>
            <w:shd w:val="clear" w:color="auto" w:fill="auto"/>
            <w:noWrap/>
            <w:vAlign w:val="center"/>
            <w:hideMark/>
          </w:tcPr>
          <w:p w14:paraId="3DAF00D5"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Model Results:</w:t>
            </w:r>
          </w:p>
        </w:tc>
      </w:tr>
      <w:tr w:rsidR="00A9120A" w:rsidRPr="002B3649" w14:paraId="0C2ED09F" w14:textId="77777777" w:rsidTr="00B00AB8">
        <w:trPr>
          <w:trHeight w:val="300"/>
        </w:trPr>
        <w:tc>
          <w:tcPr>
            <w:tcW w:w="8346" w:type="dxa"/>
            <w:shd w:val="clear" w:color="auto" w:fill="auto"/>
            <w:noWrap/>
            <w:vAlign w:val="center"/>
            <w:hideMark/>
          </w:tcPr>
          <w:p w14:paraId="40B8CA1F" w14:textId="77777777" w:rsidR="00A9120A" w:rsidRPr="002B3649" w:rsidRDefault="00A9120A" w:rsidP="00A9120A">
            <w:pPr>
              <w:rPr>
                <w:rFonts w:ascii="Calibri" w:hAnsi="Calibri"/>
                <w:color w:val="000000"/>
                <w:sz w:val="22"/>
                <w:szCs w:val="22"/>
                <w:lang w:val="en-GB" w:eastAsia="en-GB"/>
              </w:rPr>
            </w:pPr>
          </w:p>
        </w:tc>
      </w:tr>
      <w:tr w:rsidR="00A9120A" w:rsidRPr="002E4455" w14:paraId="32B67C58" w14:textId="77777777" w:rsidTr="00B00AB8">
        <w:trPr>
          <w:trHeight w:val="300"/>
        </w:trPr>
        <w:tc>
          <w:tcPr>
            <w:tcW w:w="8346" w:type="dxa"/>
            <w:shd w:val="clear" w:color="auto" w:fill="auto"/>
            <w:noWrap/>
            <w:vAlign w:val="center"/>
            <w:hideMark/>
          </w:tcPr>
          <w:p w14:paraId="7B061091"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estimate       se     </w:t>
            </w:r>
            <w:proofErr w:type="spellStart"/>
            <w:r w:rsidRPr="002B3649">
              <w:rPr>
                <w:rFonts w:ascii="Lucida Console" w:hAnsi="Lucida Console"/>
                <w:color w:val="000000"/>
                <w:sz w:val="20"/>
                <w:szCs w:val="20"/>
                <w:lang w:val="en-GB" w:eastAsia="en-GB"/>
              </w:rPr>
              <w:t>zval</w:t>
            </w:r>
            <w:proofErr w:type="spellEnd"/>
            <w:r w:rsidRPr="002B3649">
              <w:rPr>
                <w:rFonts w:ascii="Lucida Console" w:hAnsi="Lucida Console"/>
                <w:color w:val="000000"/>
                <w:sz w:val="20"/>
                <w:szCs w:val="20"/>
                <w:lang w:val="en-GB" w:eastAsia="en-GB"/>
              </w:rPr>
              <w:t xml:space="preserve">     </w:t>
            </w:r>
            <w:proofErr w:type="spellStart"/>
            <w:r w:rsidRPr="002B3649">
              <w:rPr>
                <w:rFonts w:ascii="Lucida Console" w:hAnsi="Lucida Console"/>
                <w:color w:val="000000"/>
                <w:sz w:val="20"/>
                <w:szCs w:val="20"/>
                <w:lang w:val="en-GB" w:eastAsia="en-GB"/>
              </w:rPr>
              <w:t>pval</w:t>
            </w:r>
            <w:proofErr w:type="spellEnd"/>
            <w:r w:rsidRPr="002B3649">
              <w:rPr>
                <w:rFonts w:ascii="Lucida Console" w:hAnsi="Lucida Console"/>
                <w:color w:val="000000"/>
                <w:sz w:val="20"/>
                <w:szCs w:val="20"/>
                <w:lang w:val="en-GB" w:eastAsia="en-GB"/>
              </w:rPr>
              <w:t xml:space="preserve">    ci.lb    </w:t>
            </w:r>
            <w:proofErr w:type="spellStart"/>
            <w:r w:rsidRPr="002B3649">
              <w:rPr>
                <w:rFonts w:ascii="Lucida Console" w:hAnsi="Lucida Console"/>
                <w:color w:val="000000"/>
                <w:sz w:val="20"/>
                <w:szCs w:val="20"/>
                <w:lang w:val="en-GB" w:eastAsia="en-GB"/>
              </w:rPr>
              <w:t>ci.ub</w:t>
            </w:r>
            <w:proofErr w:type="spellEnd"/>
            <w:r w:rsidRPr="002B3649">
              <w:rPr>
                <w:rFonts w:ascii="Lucida Console" w:hAnsi="Lucida Console"/>
                <w:color w:val="000000"/>
                <w:sz w:val="20"/>
                <w:szCs w:val="20"/>
                <w:lang w:val="en-GB" w:eastAsia="en-GB"/>
              </w:rPr>
              <w:t xml:space="preserve">          </w:t>
            </w:r>
          </w:p>
        </w:tc>
      </w:tr>
      <w:tr w:rsidR="00A9120A" w:rsidRPr="002B3649" w14:paraId="5D35559D" w14:textId="77777777" w:rsidTr="00B00AB8">
        <w:trPr>
          <w:trHeight w:val="300"/>
        </w:trPr>
        <w:tc>
          <w:tcPr>
            <w:tcW w:w="8346" w:type="dxa"/>
            <w:shd w:val="clear" w:color="auto" w:fill="auto"/>
            <w:noWrap/>
            <w:vAlign w:val="center"/>
            <w:hideMark/>
          </w:tcPr>
          <w:p w14:paraId="1DCD0494"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  0.0446   0.0755   0.5908   0.5546  -0.1034   0.1927          </w:t>
            </w:r>
          </w:p>
        </w:tc>
      </w:tr>
    </w:tbl>
    <w:p w14:paraId="62225C8C" w14:textId="77777777" w:rsidR="00A9120A" w:rsidRPr="002B3649" w:rsidRDefault="00A9120A" w:rsidP="00EA298D">
      <w:pPr>
        <w:pStyle w:val="ListParagraph"/>
        <w:spacing w:line="360" w:lineRule="auto"/>
        <w:ind w:left="360"/>
        <w:rPr>
          <w:rFonts w:asciiTheme="minorHAnsi" w:hAnsiTheme="minorHAnsi"/>
          <w:lang w:val="en-GB"/>
        </w:rPr>
      </w:pPr>
    </w:p>
    <w:p w14:paraId="5B455201" w14:textId="77777777" w:rsidR="00EA298D" w:rsidRPr="002B3649" w:rsidRDefault="00EA298D" w:rsidP="00EA298D">
      <w:pPr>
        <w:pStyle w:val="ListParagraph"/>
        <w:spacing w:line="360" w:lineRule="auto"/>
        <w:ind w:left="360"/>
        <w:rPr>
          <w:rFonts w:asciiTheme="minorHAnsi" w:hAnsiTheme="minorHAnsi"/>
          <w:lang w:val="en-GB"/>
        </w:rPr>
      </w:pPr>
    </w:p>
    <w:p w14:paraId="0D67E6D4" w14:textId="77777777" w:rsidR="00A9120A" w:rsidRPr="002B3649" w:rsidRDefault="00EA298D" w:rsidP="00B00AB8">
      <w:pPr>
        <w:pStyle w:val="ListParagraph"/>
        <w:numPr>
          <w:ilvl w:val="0"/>
          <w:numId w:val="1"/>
        </w:numPr>
        <w:spacing w:line="360" w:lineRule="auto"/>
        <w:rPr>
          <w:rFonts w:asciiTheme="minorHAnsi" w:hAnsiTheme="minorHAnsi"/>
          <w:lang w:val="en-GB"/>
        </w:rPr>
      </w:pPr>
      <w:r w:rsidRPr="002B3649">
        <w:rPr>
          <w:rFonts w:asciiTheme="minorHAnsi" w:hAnsiTheme="minorHAnsi"/>
          <w:lang w:val="en-GB"/>
        </w:rPr>
        <w:t xml:space="preserve">Effects of covariates: left </w:t>
      </w:r>
      <w:r w:rsidR="00447EBC" w:rsidRPr="002B3649">
        <w:rPr>
          <w:rFonts w:asciiTheme="minorHAnsi" w:hAnsiTheme="minorHAnsi"/>
          <w:lang w:val="en-GB"/>
        </w:rPr>
        <w:t>MOFC</w:t>
      </w:r>
      <w:r w:rsidRPr="002B3649">
        <w:rPr>
          <w:rFonts w:asciiTheme="minorHAnsi" w:hAnsiTheme="minorHAnsi"/>
          <w:lang w:val="en-GB"/>
        </w:rPr>
        <w:t xml:space="preserve"> &lt;- global SANS + </w:t>
      </w:r>
      <w:r w:rsidR="00A9120A" w:rsidRPr="002B3649">
        <w:rPr>
          <w:rFonts w:asciiTheme="minorHAnsi" w:hAnsiTheme="minorHAnsi"/>
          <w:lang w:val="en-GB"/>
        </w:rPr>
        <w:t xml:space="preserve">illness severity + </w:t>
      </w:r>
      <w:r w:rsidR="00D27F68" w:rsidRPr="002B3649">
        <w:rPr>
          <w:rFonts w:asciiTheme="minorHAnsi" w:hAnsiTheme="minorHAnsi"/>
          <w:lang w:val="en-GB"/>
        </w:rPr>
        <w:t>gender</w:t>
      </w:r>
      <w:r w:rsidRPr="002B3649">
        <w:rPr>
          <w:rFonts w:asciiTheme="minorHAnsi" w:hAnsiTheme="minorHAnsi"/>
          <w:lang w:val="en-GB"/>
        </w:rPr>
        <w:t xml:space="preserve"> + age + site (if applicable)</w:t>
      </w:r>
    </w:p>
    <w:p w14:paraId="660F0D28" w14:textId="77777777" w:rsidR="00A9120A" w:rsidRPr="002B3649" w:rsidRDefault="00A9120A" w:rsidP="00A9120A">
      <w:pPr>
        <w:pStyle w:val="ListParagraph"/>
        <w:spacing w:line="360" w:lineRule="auto"/>
        <w:ind w:left="360"/>
        <w:rPr>
          <w:rFonts w:asciiTheme="minorHAnsi" w:hAnsiTheme="minorHAnsi"/>
          <w:lang w:val="en-GB"/>
        </w:rPr>
      </w:pPr>
    </w:p>
    <w:p w14:paraId="6A78B5EF" w14:textId="77777777" w:rsidR="00EA298D" w:rsidRPr="002B3649" w:rsidRDefault="00EA298D" w:rsidP="00A9120A">
      <w:pPr>
        <w:pStyle w:val="ListParagraph"/>
        <w:spacing w:line="360" w:lineRule="auto"/>
        <w:ind w:left="360"/>
        <w:rPr>
          <w:rFonts w:asciiTheme="minorHAnsi" w:hAnsiTheme="minorHAnsi"/>
          <w:lang w:val="en-GB"/>
        </w:rPr>
      </w:pPr>
      <w:r w:rsidRPr="002B3649">
        <w:rPr>
          <w:rFonts w:asciiTheme="minorHAnsi" w:hAnsiTheme="minorHAnsi"/>
          <w:lang w:val="en-GB"/>
        </w:rPr>
        <w:t xml:space="preserve">Shown below are the estimate, the standard error, p value and the confidence intervals for the meta-analytical standardized regression beta of </w:t>
      </w:r>
      <w:r w:rsidR="00A9120A" w:rsidRPr="002B3649">
        <w:rPr>
          <w:rFonts w:asciiTheme="minorHAnsi" w:hAnsiTheme="minorHAnsi"/>
          <w:lang w:val="en-GB"/>
        </w:rPr>
        <w:t>global SANS score</w:t>
      </w:r>
      <w:r w:rsidRPr="002B3649">
        <w:rPr>
          <w:rFonts w:asciiTheme="minorHAnsi" w:hAnsiTheme="minorHAnsi"/>
          <w:lang w:val="en-GB"/>
        </w:rPr>
        <w:t xml:space="preserve"> on left </w:t>
      </w:r>
      <w:r w:rsidR="00447EBC" w:rsidRPr="002B3649">
        <w:rPr>
          <w:rFonts w:asciiTheme="minorHAnsi" w:hAnsiTheme="minorHAnsi"/>
          <w:lang w:val="en-GB"/>
        </w:rPr>
        <w:t>MOFC</w:t>
      </w:r>
      <w:r w:rsidRPr="002B3649">
        <w:rPr>
          <w:rFonts w:asciiTheme="minorHAnsi" w:hAnsiTheme="minorHAnsi"/>
          <w:lang w:val="en-GB"/>
        </w:rPr>
        <w:t xml:space="preserve"> thickness. Results were based on estimates from </w:t>
      </w:r>
      <w:r w:rsidR="00A9120A" w:rsidRPr="002B3649">
        <w:rPr>
          <w:rFonts w:asciiTheme="minorHAnsi" w:hAnsiTheme="minorHAnsi"/>
          <w:lang w:val="en-GB"/>
        </w:rPr>
        <w:t>9</w:t>
      </w:r>
      <w:r w:rsidRPr="002B3649">
        <w:rPr>
          <w:rFonts w:asciiTheme="minorHAnsi" w:hAnsiTheme="minorHAnsi"/>
          <w:lang w:val="en-GB"/>
        </w:rPr>
        <w:t xml:space="preserve"> studies</w:t>
      </w:r>
      <w:r w:rsidR="00A9120A" w:rsidRPr="002B3649">
        <w:rPr>
          <w:rFonts w:asciiTheme="minorHAnsi" w:hAnsiTheme="minorHAnsi"/>
          <w:lang w:val="en-GB"/>
        </w:rPr>
        <w:t>.</w:t>
      </w:r>
    </w:p>
    <w:tbl>
      <w:tblPr>
        <w:tblW w:w="8346"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46"/>
      </w:tblGrid>
      <w:tr w:rsidR="00A9120A" w:rsidRPr="002E4455" w14:paraId="78ECAE1B" w14:textId="77777777" w:rsidTr="00B00AB8">
        <w:trPr>
          <w:trHeight w:val="300"/>
        </w:trPr>
        <w:tc>
          <w:tcPr>
            <w:tcW w:w="8346" w:type="dxa"/>
            <w:shd w:val="clear" w:color="auto" w:fill="auto"/>
            <w:noWrap/>
            <w:vAlign w:val="center"/>
            <w:hideMark/>
          </w:tcPr>
          <w:p w14:paraId="33E87C13"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Random-Effects Model (k = 9; tau^2 estimator: REML)</w:t>
            </w:r>
          </w:p>
        </w:tc>
      </w:tr>
      <w:tr w:rsidR="00A9120A" w:rsidRPr="002E4455" w14:paraId="753AC253" w14:textId="77777777" w:rsidTr="00B00AB8">
        <w:trPr>
          <w:trHeight w:val="300"/>
        </w:trPr>
        <w:tc>
          <w:tcPr>
            <w:tcW w:w="8346" w:type="dxa"/>
            <w:shd w:val="clear" w:color="auto" w:fill="auto"/>
            <w:noWrap/>
            <w:vAlign w:val="center"/>
            <w:hideMark/>
          </w:tcPr>
          <w:p w14:paraId="2AE02D68" w14:textId="77777777" w:rsidR="00A9120A" w:rsidRPr="002B3649" w:rsidRDefault="00A9120A" w:rsidP="00A9120A">
            <w:pPr>
              <w:rPr>
                <w:rFonts w:ascii="Calibri" w:hAnsi="Calibri"/>
                <w:color w:val="000000"/>
                <w:sz w:val="22"/>
                <w:szCs w:val="22"/>
                <w:lang w:val="en-GB" w:eastAsia="en-GB"/>
              </w:rPr>
            </w:pPr>
          </w:p>
        </w:tc>
      </w:tr>
      <w:tr w:rsidR="00A9120A" w:rsidRPr="002E4455" w14:paraId="619FB60C" w14:textId="77777777" w:rsidTr="00B00AB8">
        <w:trPr>
          <w:trHeight w:val="300"/>
        </w:trPr>
        <w:tc>
          <w:tcPr>
            <w:tcW w:w="8346" w:type="dxa"/>
            <w:shd w:val="clear" w:color="auto" w:fill="auto"/>
            <w:noWrap/>
            <w:vAlign w:val="center"/>
            <w:hideMark/>
          </w:tcPr>
          <w:p w14:paraId="6A3DD84B"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tau^2 (estimated amount of total heterogeneity): 0.0145 (SE = 0.0126)</w:t>
            </w:r>
          </w:p>
        </w:tc>
      </w:tr>
      <w:tr w:rsidR="00A9120A" w:rsidRPr="002E4455" w14:paraId="77303A4A" w14:textId="77777777" w:rsidTr="00B00AB8">
        <w:trPr>
          <w:trHeight w:val="300"/>
        </w:trPr>
        <w:tc>
          <w:tcPr>
            <w:tcW w:w="8346" w:type="dxa"/>
            <w:shd w:val="clear" w:color="auto" w:fill="auto"/>
            <w:noWrap/>
            <w:vAlign w:val="center"/>
            <w:hideMark/>
          </w:tcPr>
          <w:p w14:paraId="4717CD6A"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 (square root of estimated tau^2 value):      0.1205</w:t>
            </w:r>
          </w:p>
        </w:tc>
      </w:tr>
      <w:tr w:rsidR="00A9120A" w:rsidRPr="002E4455" w14:paraId="7A9F7189" w14:textId="77777777" w:rsidTr="00B00AB8">
        <w:trPr>
          <w:trHeight w:val="300"/>
        </w:trPr>
        <w:tc>
          <w:tcPr>
            <w:tcW w:w="8346" w:type="dxa"/>
            <w:shd w:val="clear" w:color="auto" w:fill="auto"/>
            <w:noWrap/>
            <w:vAlign w:val="center"/>
            <w:hideMark/>
          </w:tcPr>
          <w:p w14:paraId="10392079"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I^2 (total heterogeneity / total variability):   61.91%</w:t>
            </w:r>
          </w:p>
        </w:tc>
      </w:tr>
      <w:tr w:rsidR="00A9120A" w:rsidRPr="002E4455" w14:paraId="393E31DD" w14:textId="77777777" w:rsidTr="00B00AB8">
        <w:trPr>
          <w:trHeight w:val="300"/>
        </w:trPr>
        <w:tc>
          <w:tcPr>
            <w:tcW w:w="8346" w:type="dxa"/>
            <w:shd w:val="clear" w:color="auto" w:fill="auto"/>
            <w:noWrap/>
            <w:vAlign w:val="center"/>
            <w:hideMark/>
          </w:tcPr>
          <w:p w14:paraId="51D37BB8"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H^2 (total variability / sampling variability):  2.63</w:t>
            </w:r>
          </w:p>
        </w:tc>
      </w:tr>
      <w:tr w:rsidR="00A9120A" w:rsidRPr="002E4455" w14:paraId="3603EBEA" w14:textId="77777777" w:rsidTr="00B00AB8">
        <w:trPr>
          <w:trHeight w:val="300"/>
        </w:trPr>
        <w:tc>
          <w:tcPr>
            <w:tcW w:w="8346" w:type="dxa"/>
            <w:shd w:val="clear" w:color="auto" w:fill="auto"/>
            <w:noWrap/>
            <w:vAlign w:val="center"/>
            <w:hideMark/>
          </w:tcPr>
          <w:p w14:paraId="220BB3F8" w14:textId="77777777" w:rsidR="00A9120A" w:rsidRPr="002B3649" w:rsidRDefault="00A9120A" w:rsidP="00A9120A">
            <w:pPr>
              <w:rPr>
                <w:rFonts w:ascii="Calibri" w:hAnsi="Calibri"/>
                <w:color w:val="000000"/>
                <w:sz w:val="22"/>
                <w:szCs w:val="22"/>
                <w:lang w:val="en-GB" w:eastAsia="en-GB"/>
              </w:rPr>
            </w:pPr>
          </w:p>
        </w:tc>
      </w:tr>
      <w:tr w:rsidR="00A9120A" w:rsidRPr="002B3649" w14:paraId="388556CB" w14:textId="77777777" w:rsidTr="00B00AB8">
        <w:trPr>
          <w:trHeight w:val="300"/>
        </w:trPr>
        <w:tc>
          <w:tcPr>
            <w:tcW w:w="8346" w:type="dxa"/>
            <w:shd w:val="clear" w:color="auto" w:fill="auto"/>
            <w:noWrap/>
            <w:vAlign w:val="center"/>
            <w:hideMark/>
          </w:tcPr>
          <w:p w14:paraId="4F7E3A09"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Test for Heterogeneity: </w:t>
            </w:r>
          </w:p>
        </w:tc>
      </w:tr>
      <w:tr w:rsidR="00A9120A" w:rsidRPr="002B3649" w14:paraId="5F4B1A0E" w14:textId="77777777" w:rsidTr="00B00AB8">
        <w:trPr>
          <w:trHeight w:val="300"/>
        </w:trPr>
        <w:tc>
          <w:tcPr>
            <w:tcW w:w="8346" w:type="dxa"/>
            <w:shd w:val="clear" w:color="auto" w:fill="auto"/>
            <w:noWrap/>
            <w:vAlign w:val="center"/>
            <w:hideMark/>
          </w:tcPr>
          <w:p w14:paraId="6E5F7652"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Q(</w:t>
            </w:r>
            <w:proofErr w:type="spellStart"/>
            <w:r w:rsidRPr="002B3649">
              <w:rPr>
                <w:rFonts w:ascii="Lucida Console" w:hAnsi="Lucida Console"/>
                <w:color w:val="000000"/>
                <w:sz w:val="20"/>
                <w:szCs w:val="20"/>
                <w:lang w:val="en-GB" w:eastAsia="en-GB"/>
              </w:rPr>
              <w:t>df</w:t>
            </w:r>
            <w:proofErr w:type="spellEnd"/>
            <w:r w:rsidRPr="002B3649">
              <w:rPr>
                <w:rFonts w:ascii="Lucida Console" w:hAnsi="Lucida Console"/>
                <w:color w:val="000000"/>
                <w:sz w:val="20"/>
                <w:szCs w:val="20"/>
                <w:lang w:val="en-GB" w:eastAsia="en-GB"/>
              </w:rPr>
              <w:t xml:space="preserve"> = 8) = 21.8200, p-</w:t>
            </w:r>
            <w:proofErr w:type="spellStart"/>
            <w:r w:rsidRPr="002B3649">
              <w:rPr>
                <w:rFonts w:ascii="Lucida Console" w:hAnsi="Lucida Console"/>
                <w:color w:val="000000"/>
                <w:sz w:val="20"/>
                <w:szCs w:val="20"/>
                <w:lang w:val="en-GB" w:eastAsia="en-GB"/>
              </w:rPr>
              <w:t>val</w:t>
            </w:r>
            <w:proofErr w:type="spellEnd"/>
            <w:r w:rsidRPr="002B3649">
              <w:rPr>
                <w:rFonts w:ascii="Lucida Console" w:hAnsi="Lucida Console"/>
                <w:color w:val="000000"/>
                <w:sz w:val="20"/>
                <w:szCs w:val="20"/>
                <w:lang w:val="en-GB" w:eastAsia="en-GB"/>
              </w:rPr>
              <w:t xml:space="preserve"> = 0.0053</w:t>
            </w:r>
          </w:p>
        </w:tc>
      </w:tr>
      <w:tr w:rsidR="00A9120A" w:rsidRPr="002B3649" w14:paraId="51B96983" w14:textId="77777777" w:rsidTr="00B00AB8">
        <w:trPr>
          <w:trHeight w:val="300"/>
        </w:trPr>
        <w:tc>
          <w:tcPr>
            <w:tcW w:w="8346" w:type="dxa"/>
            <w:shd w:val="clear" w:color="auto" w:fill="auto"/>
            <w:noWrap/>
            <w:vAlign w:val="center"/>
            <w:hideMark/>
          </w:tcPr>
          <w:p w14:paraId="5F336513" w14:textId="77777777" w:rsidR="00A9120A" w:rsidRPr="002B3649" w:rsidRDefault="00A9120A" w:rsidP="00A9120A">
            <w:pPr>
              <w:rPr>
                <w:rFonts w:ascii="Calibri" w:hAnsi="Calibri"/>
                <w:color w:val="000000"/>
                <w:sz w:val="22"/>
                <w:szCs w:val="22"/>
                <w:lang w:val="en-GB" w:eastAsia="en-GB"/>
              </w:rPr>
            </w:pPr>
          </w:p>
        </w:tc>
      </w:tr>
      <w:tr w:rsidR="00A9120A" w:rsidRPr="002B3649" w14:paraId="2AF6FCA3" w14:textId="77777777" w:rsidTr="00B00AB8">
        <w:trPr>
          <w:trHeight w:val="300"/>
        </w:trPr>
        <w:tc>
          <w:tcPr>
            <w:tcW w:w="8346" w:type="dxa"/>
            <w:shd w:val="clear" w:color="auto" w:fill="auto"/>
            <w:noWrap/>
            <w:vAlign w:val="center"/>
            <w:hideMark/>
          </w:tcPr>
          <w:p w14:paraId="511197BD"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Model Results:</w:t>
            </w:r>
          </w:p>
        </w:tc>
      </w:tr>
      <w:tr w:rsidR="00A9120A" w:rsidRPr="002B3649" w14:paraId="14F0F63B" w14:textId="77777777" w:rsidTr="00B00AB8">
        <w:trPr>
          <w:trHeight w:val="300"/>
        </w:trPr>
        <w:tc>
          <w:tcPr>
            <w:tcW w:w="8346" w:type="dxa"/>
            <w:shd w:val="clear" w:color="auto" w:fill="auto"/>
            <w:noWrap/>
            <w:vAlign w:val="center"/>
            <w:hideMark/>
          </w:tcPr>
          <w:p w14:paraId="6046BDEC" w14:textId="77777777" w:rsidR="00A9120A" w:rsidRPr="002B3649" w:rsidRDefault="00A9120A" w:rsidP="00A9120A">
            <w:pPr>
              <w:rPr>
                <w:rFonts w:ascii="Calibri" w:hAnsi="Calibri"/>
                <w:color w:val="000000"/>
                <w:sz w:val="22"/>
                <w:szCs w:val="22"/>
                <w:lang w:val="en-GB" w:eastAsia="en-GB"/>
              </w:rPr>
            </w:pPr>
          </w:p>
        </w:tc>
      </w:tr>
      <w:tr w:rsidR="00A9120A" w:rsidRPr="002E4455" w14:paraId="06EBF1B3" w14:textId="77777777" w:rsidTr="00B00AB8">
        <w:trPr>
          <w:trHeight w:val="300"/>
        </w:trPr>
        <w:tc>
          <w:tcPr>
            <w:tcW w:w="8346" w:type="dxa"/>
            <w:shd w:val="clear" w:color="auto" w:fill="auto"/>
            <w:noWrap/>
            <w:vAlign w:val="center"/>
            <w:hideMark/>
          </w:tcPr>
          <w:p w14:paraId="7B22F3B2"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estimate       se     </w:t>
            </w:r>
            <w:proofErr w:type="spellStart"/>
            <w:r w:rsidRPr="002B3649">
              <w:rPr>
                <w:rFonts w:ascii="Lucida Console" w:hAnsi="Lucida Console"/>
                <w:color w:val="000000"/>
                <w:sz w:val="20"/>
                <w:szCs w:val="20"/>
                <w:lang w:val="en-GB" w:eastAsia="en-GB"/>
              </w:rPr>
              <w:t>zval</w:t>
            </w:r>
            <w:proofErr w:type="spellEnd"/>
            <w:r w:rsidRPr="002B3649">
              <w:rPr>
                <w:rFonts w:ascii="Lucida Console" w:hAnsi="Lucida Console"/>
                <w:color w:val="000000"/>
                <w:sz w:val="20"/>
                <w:szCs w:val="20"/>
                <w:lang w:val="en-GB" w:eastAsia="en-GB"/>
              </w:rPr>
              <w:t xml:space="preserve">     </w:t>
            </w:r>
            <w:proofErr w:type="spellStart"/>
            <w:r w:rsidRPr="002B3649">
              <w:rPr>
                <w:rFonts w:ascii="Lucida Console" w:hAnsi="Lucida Console"/>
                <w:color w:val="000000"/>
                <w:sz w:val="20"/>
                <w:szCs w:val="20"/>
                <w:lang w:val="en-GB" w:eastAsia="en-GB"/>
              </w:rPr>
              <w:t>pval</w:t>
            </w:r>
            <w:proofErr w:type="spellEnd"/>
            <w:r w:rsidRPr="002B3649">
              <w:rPr>
                <w:rFonts w:ascii="Lucida Console" w:hAnsi="Lucida Console"/>
                <w:color w:val="000000"/>
                <w:sz w:val="20"/>
                <w:szCs w:val="20"/>
                <w:lang w:val="en-GB" w:eastAsia="en-GB"/>
              </w:rPr>
              <w:t xml:space="preserve">    ci.lb    </w:t>
            </w:r>
            <w:proofErr w:type="spellStart"/>
            <w:r w:rsidRPr="002B3649">
              <w:rPr>
                <w:rFonts w:ascii="Lucida Console" w:hAnsi="Lucida Console"/>
                <w:color w:val="000000"/>
                <w:sz w:val="20"/>
                <w:szCs w:val="20"/>
                <w:lang w:val="en-GB" w:eastAsia="en-GB"/>
              </w:rPr>
              <w:t>ci.ub</w:t>
            </w:r>
            <w:proofErr w:type="spellEnd"/>
            <w:r w:rsidRPr="002B3649">
              <w:rPr>
                <w:rFonts w:ascii="Lucida Console" w:hAnsi="Lucida Console"/>
                <w:color w:val="000000"/>
                <w:sz w:val="20"/>
                <w:szCs w:val="20"/>
                <w:lang w:val="en-GB" w:eastAsia="en-GB"/>
              </w:rPr>
              <w:t xml:space="preserve">          </w:t>
            </w:r>
          </w:p>
        </w:tc>
      </w:tr>
      <w:tr w:rsidR="00A9120A" w:rsidRPr="002B3649" w14:paraId="42CFAD17" w14:textId="77777777" w:rsidTr="00B00AB8">
        <w:trPr>
          <w:trHeight w:val="300"/>
        </w:trPr>
        <w:tc>
          <w:tcPr>
            <w:tcW w:w="8346" w:type="dxa"/>
            <w:shd w:val="clear" w:color="auto" w:fill="auto"/>
            <w:noWrap/>
            <w:vAlign w:val="center"/>
            <w:hideMark/>
          </w:tcPr>
          <w:p w14:paraId="24A40139"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 -0.1126   0.0536  -2.0998   0.0357  -0.2177  -0.0075        * </w:t>
            </w:r>
          </w:p>
        </w:tc>
      </w:tr>
    </w:tbl>
    <w:p w14:paraId="34302CD7" w14:textId="77777777" w:rsidR="00A9120A" w:rsidRPr="002B3649" w:rsidRDefault="00A9120A" w:rsidP="00EA298D">
      <w:pPr>
        <w:pStyle w:val="ListParagraph"/>
        <w:spacing w:line="360" w:lineRule="auto"/>
        <w:ind w:left="360"/>
        <w:rPr>
          <w:rFonts w:asciiTheme="minorHAnsi" w:hAnsiTheme="minorHAnsi"/>
          <w:lang w:val="en-GB"/>
        </w:rPr>
      </w:pPr>
    </w:p>
    <w:p w14:paraId="3734F3A5" w14:textId="77777777" w:rsidR="00A9120A" w:rsidRPr="002B3649" w:rsidRDefault="00A9120A" w:rsidP="00B00AB8">
      <w:pPr>
        <w:pStyle w:val="ListParagraph"/>
        <w:numPr>
          <w:ilvl w:val="0"/>
          <w:numId w:val="1"/>
        </w:numPr>
        <w:spacing w:line="360" w:lineRule="auto"/>
        <w:rPr>
          <w:rFonts w:asciiTheme="minorHAnsi" w:hAnsiTheme="minorHAnsi"/>
          <w:lang w:val="en-GB"/>
        </w:rPr>
      </w:pPr>
      <w:r w:rsidRPr="002B3649">
        <w:rPr>
          <w:rFonts w:asciiTheme="minorHAnsi" w:hAnsiTheme="minorHAnsi"/>
          <w:lang w:val="en-GB"/>
        </w:rPr>
        <w:t xml:space="preserve">Effects of covariates: left </w:t>
      </w:r>
      <w:r w:rsidR="00447EBC" w:rsidRPr="002B3649">
        <w:rPr>
          <w:rFonts w:asciiTheme="minorHAnsi" w:hAnsiTheme="minorHAnsi"/>
          <w:lang w:val="en-GB"/>
        </w:rPr>
        <w:t>MOFC</w:t>
      </w:r>
      <w:r w:rsidRPr="002B3649">
        <w:rPr>
          <w:rFonts w:asciiTheme="minorHAnsi" w:hAnsiTheme="minorHAnsi"/>
          <w:lang w:val="en-GB"/>
        </w:rPr>
        <w:t xml:space="preserve"> &lt;- global SANS + length of illness + </w:t>
      </w:r>
      <w:r w:rsidR="00D27F68" w:rsidRPr="002B3649">
        <w:rPr>
          <w:rFonts w:asciiTheme="minorHAnsi" w:hAnsiTheme="minorHAnsi"/>
          <w:lang w:val="en-GB"/>
        </w:rPr>
        <w:t>gender</w:t>
      </w:r>
      <w:r w:rsidRPr="002B3649">
        <w:rPr>
          <w:rFonts w:asciiTheme="minorHAnsi" w:hAnsiTheme="minorHAnsi"/>
          <w:lang w:val="en-GB"/>
        </w:rPr>
        <w:t xml:space="preserve"> + age + site (if applicable)</w:t>
      </w:r>
    </w:p>
    <w:p w14:paraId="0573DBFC" w14:textId="77777777" w:rsidR="00A9120A" w:rsidRPr="002B3649" w:rsidRDefault="00A9120A" w:rsidP="00B00AB8">
      <w:pPr>
        <w:pStyle w:val="ListParagraph"/>
        <w:spacing w:line="360" w:lineRule="auto"/>
        <w:ind w:left="360"/>
        <w:rPr>
          <w:rFonts w:asciiTheme="minorHAnsi" w:hAnsiTheme="minorHAnsi"/>
          <w:lang w:val="en-GB"/>
        </w:rPr>
      </w:pPr>
    </w:p>
    <w:p w14:paraId="48CAFA42" w14:textId="77777777" w:rsidR="00EA298D" w:rsidRPr="002B3649" w:rsidRDefault="00A9120A" w:rsidP="00B00AB8">
      <w:pPr>
        <w:pStyle w:val="ListParagraph"/>
        <w:spacing w:line="360" w:lineRule="auto"/>
        <w:ind w:left="360"/>
        <w:rPr>
          <w:rFonts w:asciiTheme="minorHAnsi" w:hAnsiTheme="minorHAnsi"/>
          <w:lang w:val="en-GB"/>
        </w:rPr>
      </w:pPr>
      <w:r w:rsidRPr="002B3649">
        <w:rPr>
          <w:rFonts w:asciiTheme="minorHAnsi" w:hAnsiTheme="minorHAnsi"/>
          <w:lang w:val="en-GB"/>
        </w:rPr>
        <w:t xml:space="preserve">Shown below are the estimate, the standard error, p value and the confidence intervals for the meta-analytical standardized regression beta of length of illness estimates on left </w:t>
      </w:r>
      <w:r w:rsidR="00447EBC" w:rsidRPr="002B3649">
        <w:rPr>
          <w:rFonts w:asciiTheme="minorHAnsi" w:hAnsiTheme="minorHAnsi"/>
          <w:lang w:val="en-GB"/>
        </w:rPr>
        <w:t>MOFC</w:t>
      </w:r>
      <w:r w:rsidRPr="002B3649">
        <w:rPr>
          <w:rFonts w:asciiTheme="minorHAnsi" w:hAnsiTheme="minorHAnsi"/>
          <w:lang w:val="en-GB"/>
        </w:rPr>
        <w:t xml:space="preserve"> thickness. Results were based on estimates from 13 studies.</w:t>
      </w:r>
    </w:p>
    <w:tbl>
      <w:tblPr>
        <w:tblW w:w="8346"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46"/>
      </w:tblGrid>
      <w:tr w:rsidR="00A9120A" w:rsidRPr="002E4455" w14:paraId="5BF9C4C0" w14:textId="77777777" w:rsidTr="00B00AB8">
        <w:trPr>
          <w:trHeight w:val="300"/>
        </w:trPr>
        <w:tc>
          <w:tcPr>
            <w:tcW w:w="8346" w:type="dxa"/>
            <w:shd w:val="clear" w:color="auto" w:fill="auto"/>
            <w:noWrap/>
            <w:vAlign w:val="center"/>
            <w:hideMark/>
          </w:tcPr>
          <w:p w14:paraId="2DEF9A28"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Random-Effects Model (k = 13; tau^2 estimator: REML)</w:t>
            </w:r>
          </w:p>
        </w:tc>
      </w:tr>
      <w:tr w:rsidR="00A9120A" w:rsidRPr="002E4455" w14:paraId="009C8EAB" w14:textId="77777777" w:rsidTr="00B00AB8">
        <w:trPr>
          <w:trHeight w:val="300"/>
        </w:trPr>
        <w:tc>
          <w:tcPr>
            <w:tcW w:w="8346" w:type="dxa"/>
            <w:shd w:val="clear" w:color="auto" w:fill="auto"/>
            <w:noWrap/>
            <w:vAlign w:val="center"/>
            <w:hideMark/>
          </w:tcPr>
          <w:p w14:paraId="17FDD9E3" w14:textId="77777777" w:rsidR="00A9120A" w:rsidRPr="002B3649" w:rsidRDefault="00A9120A" w:rsidP="00A9120A">
            <w:pPr>
              <w:rPr>
                <w:rFonts w:ascii="Calibri" w:hAnsi="Calibri"/>
                <w:color w:val="000000"/>
                <w:sz w:val="22"/>
                <w:szCs w:val="22"/>
                <w:lang w:val="en-GB" w:eastAsia="en-GB"/>
              </w:rPr>
            </w:pPr>
          </w:p>
        </w:tc>
      </w:tr>
      <w:tr w:rsidR="00A9120A" w:rsidRPr="002E4455" w14:paraId="29EFA696" w14:textId="77777777" w:rsidTr="00B00AB8">
        <w:trPr>
          <w:trHeight w:val="300"/>
        </w:trPr>
        <w:tc>
          <w:tcPr>
            <w:tcW w:w="8346" w:type="dxa"/>
            <w:shd w:val="clear" w:color="auto" w:fill="auto"/>
            <w:noWrap/>
            <w:vAlign w:val="center"/>
            <w:hideMark/>
          </w:tcPr>
          <w:p w14:paraId="1119E840"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lastRenderedPageBreak/>
              <w:t>tau^2 (estimated amount of total heterogeneity): 0.0539 (SE = 0.0271)</w:t>
            </w:r>
          </w:p>
        </w:tc>
      </w:tr>
      <w:tr w:rsidR="00A9120A" w:rsidRPr="002E4455" w14:paraId="65A4EC16" w14:textId="77777777" w:rsidTr="00B00AB8">
        <w:trPr>
          <w:trHeight w:val="300"/>
        </w:trPr>
        <w:tc>
          <w:tcPr>
            <w:tcW w:w="8346" w:type="dxa"/>
            <w:shd w:val="clear" w:color="auto" w:fill="auto"/>
            <w:noWrap/>
            <w:vAlign w:val="center"/>
            <w:hideMark/>
          </w:tcPr>
          <w:p w14:paraId="69D68478"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 (square root of estimated tau^2 value):      0.2321</w:t>
            </w:r>
          </w:p>
        </w:tc>
      </w:tr>
      <w:tr w:rsidR="00A9120A" w:rsidRPr="002E4455" w14:paraId="7BF38685" w14:textId="77777777" w:rsidTr="00B00AB8">
        <w:trPr>
          <w:trHeight w:val="300"/>
        </w:trPr>
        <w:tc>
          <w:tcPr>
            <w:tcW w:w="8346" w:type="dxa"/>
            <w:shd w:val="clear" w:color="auto" w:fill="auto"/>
            <w:noWrap/>
            <w:vAlign w:val="center"/>
            <w:hideMark/>
          </w:tcPr>
          <w:p w14:paraId="0301ED26"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I^2 (total heterogeneity / total variability):   86.66%</w:t>
            </w:r>
          </w:p>
        </w:tc>
      </w:tr>
      <w:tr w:rsidR="00A9120A" w:rsidRPr="002E4455" w14:paraId="6E377274" w14:textId="77777777" w:rsidTr="00B00AB8">
        <w:trPr>
          <w:trHeight w:val="300"/>
        </w:trPr>
        <w:tc>
          <w:tcPr>
            <w:tcW w:w="8346" w:type="dxa"/>
            <w:shd w:val="clear" w:color="auto" w:fill="auto"/>
            <w:noWrap/>
            <w:vAlign w:val="center"/>
            <w:hideMark/>
          </w:tcPr>
          <w:p w14:paraId="487C939B"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H^2 (total variability / sampling variability):  7.50</w:t>
            </w:r>
          </w:p>
        </w:tc>
      </w:tr>
      <w:tr w:rsidR="00A9120A" w:rsidRPr="002E4455" w14:paraId="7CC1508A" w14:textId="77777777" w:rsidTr="00B00AB8">
        <w:trPr>
          <w:trHeight w:val="300"/>
        </w:trPr>
        <w:tc>
          <w:tcPr>
            <w:tcW w:w="8346" w:type="dxa"/>
            <w:shd w:val="clear" w:color="auto" w:fill="auto"/>
            <w:noWrap/>
            <w:vAlign w:val="center"/>
            <w:hideMark/>
          </w:tcPr>
          <w:p w14:paraId="602EC17A" w14:textId="77777777" w:rsidR="00A9120A" w:rsidRPr="002B3649" w:rsidRDefault="00A9120A" w:rsidP="00A9120A">
            <w:pPr>
              <w:rPr>
                <w:rFonts w:ascii="Calibri" w:hAnsi="Calibri"/>
                <w:color w:val="000000"/>
                <w:sz w:val="22"/>
                <w:szCs w:val="22"/>
                <w:lang w:val="en-GB" w:eastAsia="en-GB"/>
              </w:rPr>
            </w:pPr>
          </w:p>
        </w:tc>
      </w:tr>
      <w:tr w:rsidR="00A9120A" w:rsidRPr="002B3649" w14:paraId="51975FD9" w14:textId="77777777" w:rsidTr="00B00AB8">
        <w:trPr>
          <w:trHeight w:val="300"/>
        </w:trPr>
        <w:tc>
          <w:tcPr>
            <w:tcW w:w="8346" w:type="dxa"/>
            <w:shd w:val="clear" w:color="auto" w:fill="auto"/>
            <w:noWrap/>
            <w:vAlign w:val="center"/>
            <w:hideMark/>
          </w:tcPr>
          <w:p w14:paraId="1F3BBB91"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Test for Heterogeneity: </w:t>
            </w:r>
          </w:p>
        </w:tc>
      </w:tr>
      <w:tr w:rsidR="00A9120A" w:rsidRPr="002B3649" w14:paraId="6A725F8E" w14:textId="77777777" w:rsidTr="00B00AB8">
        <w:trPr>
          <w:trHeight w:val="300"/>
        </w:trPr>
        <w:tc>
          <w:tcPr>
            <w:tcW w:w="8346" w:type="dxa"/>
            <w:shd w:val="clear" w:color="auto" w:fill="auto"/>
            <w:noWrap/>
            <w:vAlign w:val="center"/>
            <w:hideMark/>
          </w:tcPr>
          <w:p w14:paraId="3744EE2F"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Q(</w:t>
            </w:r>
            <w:proofErr w:type="spellStart"/>
            <w:r w:rsidRPr="002B3649">
              <w:rPr>
                <w:rFonts w:ascii="Lucida Console" w:hAnsi="Lucida Console"/>
                <w:color w:val="000000"/>
                <w:sz w:val="20"/>
                <w:szCs w:val="20"/>
                <w:lang w:val="en-GB" w:eastAsia="en-GB"/>
              </w:rPr>
              <w:t>df</w:t>
            </w:r>
            <w:proofErr w:type="spellEnd"/>
            <w:r w:rsidRPr="002B3649">
              <w:rPr>
                <w:rFonts w:ascii="Lucida Console" w:hAnsi="Lucida Console"/>
                <w:color w:val="000000"/>
                <w:sz w:val="20"/>
                <w:szCs w:val="20"/>
                <w:lang w:val="en-GB" w:eastAsia="en-GB"/>
              </w:rPr>
              <w:t xml:space="preserve"> = 12) = 51.8783, p-</w:t>
            </w:r>
            <w:proofErr w:type="spellStart"/>
            <w:r w:rsidRPr="002B3649">
              <w:rPr>
                <w:rFonts w:ascii="Lucida Console" w:hAnsi="Lucida Console"/>
                <w:color w:val="000000"/>
                <w:sz w:val="20"/>
                <w:szCs w:val="20"/>
                <w:lang w:val="en-GB" w:eastAsia="en-GB"/>
              </w:rPr>
              <w:t>val</w:t>
            </w:r>
            <w:proofErr w:type="spellEnd"/>
            <w:r w:rsidRPr="002B3649">
              <w:rPr>
                <w:rFonts w:ascii="Lucida Console" w:hAnsi="Lucida Console"/>
                <w:color w:val="000000"/>
                <w:sz w:val="20"/>
                <w:szCs w:val="20"/>
                <w:lang w:val="en-GB" w:eastAsia="en-GB"/>
              </w:rPr>
              <w:t xml:space="preserve"> &lt; .0001</w:t>
            </w:r>
          </w:p>
        </w:tc>
      </w:tr>
      <w:tr w:rsidR="00A9120A" w:rsidRPr="002B3649" w14:paraId="726055D2" w14:textId="77777777" w:rsidTr="00B00AB8">
        <w:trPr>
          <w:trHeight w:val="300"/>
        </w:trPr>
        <w:tc>
          <w:tcPr>
            <w:tcW w:w="8346" w:type="dxa"/>
            <w:shd w:val="clear" w:color="auto" w:fill="auto"/>
            <w:noWrap/>
            <w:vAlign w:val="center"/>
            <w:hideMark/>
          </w:tcPr>
          <w:p w14:paraId="40C8CCA9" w14:textId="77777777" w:rsidR="00A9120A" w:rsidRPr="002B3649" w:rsidRDefault="00A9120A" w:rsidP="00A9120A">
            <w:pPr>
              <w:rPr>
                <w:rFonts w:ascii="Calibri" w:hAnsi="Calibri"/>
                <w:color w:val="000000"/>
                <w:sz w:val="22"/>
                <w:szCs w:val="22"/>
                <w:lang w:val="en-GB" w:eastAsia="en-GB"/>
              </w:rPr>
            </w:pPr>
          </w:p>
        </w:tc>
      </w:tr>
      <w:tr w:rsidR="00A9120A" w:rsidRPr="002B3649" w14:paraId="6778D6C3" w14:textId="77777777" w:rsidTr="00B00AB8">
        <w:trPr>
          <w:trHeight w:val="300"/>
        </w:trPr>
        <w:tc>
          <w:tcPr>
            <w:tcW w:w="8346" w:type="dxa"/>
            <w:shd w:val="clear" w:color="auto" w:fill="auto"/>
            <w:noWrap/>
            <w:vAlign w:val="center"/>
            <w:hideMark/>
          </w:tcPr>
          <w:p w14:paraId="74C93EBD"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Model Results:</w:t>
            </w:r>
          </w:p>
        </w:tc>
      </w:tr>
      <w:tr w:rsidR="00A9120A" w:rsidRPr="002B3649" w14:paraId="5A044653" w14:textId="77777777" w:rsidTr="00B00AB8">
        <w:trPr>
          <w:trHeight w:val="300"/>
        </w:trPr>
        <w:tc>
          <w:tcPr>
            <w:tcW w:w="8346" w:type="dxa"/>
            <w:shd w:val="clear" w:color="auto" w:fill="auto"/>
            <w:noWrap/>
            <w:vAlign w:val="center"/>
            <w:hideMark/>
          </w:tcPr>
          <w:p w14:paraId="21D3EBA8" w14:textId="77777777" w:rsidR="00A9120A" w:rsidRPr="002B3649" w:rsidRDefault="00A9120A" w:rsidP="00A9120A">
            <w:pPr>
              <w:rPr>
                <w:rFonts w:ascii="Calibri" w:hAnsi="Calibri"/>
                <w:color w:val="000000"/>
                <w:sz w:val="22"/>
                <w:szCs w:val="22"/>
                <w:lang w:val="en-GB" w:eastAsia="en-GB"/>
              </w:rPr>
            </w:pPr>
          </w:p>
        </w:tc>
      </w:tr>
      <w:tr w:rsidR="00A9120A" w:rsidRPr="002E4455" w14:paraId="451307FF" w14:textId="77777777" w:rsidTr="00B00AB8">
        <w:trPr>
          <w:trHeight w:val="300"/>
        </w:trPr>
        <w:tc>
          <w:tcPr>
            <w:tcW w:w="8346" w:type="dxa"/>
            <w:shd w:val="clear" w:color="auto" w:fill="auto"/>
            <w:noWrap/>
            <w:vAlign w:val="center"/>
            <w:hideMark/>
          </w:tcPr>
          <w:p w14:paraId="710AC421"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estimate       se     </w:t>
            </w:r>
            <w:proofErr w:type="spellStart"/>
            <w:r w:rsidRPr="002B3649">
              <w:rPr>
                <w:rFonts w:ascii="Lucida Console" w:hAnsi="Lucida Console"/>
                <w:color w:val="000000"/>
                <w:sz w:val="20"/>
                <w:szCs w:val="20"/>
                <w:lang w:val="en-GB" w:eastAsia="en-GB"/>
              </w:rPr>
              <w:t>zval</w:t>
            </w:r>
            <w:proofErr w:type="spellEnd"/>
            <w:r w:rsidRPr="002B3649">
              <w:rPr>
                <w:rFonts w:ascii="Lucida Console" w:hAnsi="Lucida Console"/>
                <w:color w:val="000000"/>
                <w:sz w:val="20"/>
                <w:szCs w:val="20"/>
                <w:lang w:val="en-GB" w:eastAsia="en-GB"/>
              </w:rPr>
              <w:t xml:space="preserve">     </w:t>
            </w:r>
            <w:proofErr w:type="spellStart"/>
            <w:r w:rsidRPr="002B3649">
              <w:rPr>
                <w:rFonts w:ascii="Lucida Console" w:hAnsi="Lucida Console"/>
                <w:color w:val="000000"/>
                <w:sz w:val="20"/>
                <w:szCs w:val="20"/>
                <w:lang w:val="en-GB" w:eastAsia="en-GB"/>
              </w:rPr>
              <w:t>pval</w:t>
            </w:r>
            <w:proofErr w:type="spellEnd"/>
            <w:r w:rsidRPr="002B3649">
              <w:rPr>
                <w:rFonts w:ascii="Lucida Console" w:hAnsi="Lucida Console"/>
                <w:color w:val="000000"/>
                <w:sz w:val="20"/>
                <w:szCs w:val="20"/>
                <w:lang w:val="en-GB" w:eastAsia="en-GB"/>
              </w:rPr>
              <w:t xml:space="preserve">    ci.lb    </w:t>
            </w:r>
            <w:proofErr w:type="spellStart"/>
            <w:r w:rsidRPr="002B3649">
              <w:rPr>
                <w:rFonts w:ascii="Lucida Console" w:hAnsi="Lucida Console"/>
                <w:color w:val="000000"/>
                <w:sz w:val="20"/>
                <w:szCs w:val="20"/>
                <w:lang w:val="en-GB" w:eastAsia="en-GB"/>
              </w:rPr>
              <w:t>ci.ub</w:t>
            </w:r>
            <w:proofErr w:type="spellEnd"/>
            <w:r w:rsidRPr="002B3649">
              <w:rPr>
                <w:rFonts w:ascii="Lucida Console" w:hAnsi="Lucida Console"/>
                <w:color w:val="000000"/>
                <w:sz w:val="20"/>
                <w:szCs w:val="20"/>
                <w:lang w:val="en-GB" w:eastAsia="en-GB"/>
              </w:rPr>
              <w:t xml:space="preserve">          </w:t>
            </w:r>
          </w:p>
        </w:tc>
      </w:tr>
      <w:tr w:rsidR="00A9120A" w:rsidRPr="002B3649" w14:paraId="0FC6046A" w14:textId="77777777" w:rsidTr="00B00AB8">
        <w:trPr>
          <w:trHeight w:val="300"/>
        </w:trPr>
        <w:tc>
          <w:tcPr>
            <w:tcW w:w="8346" w:type="dxa"/>
            <w:shd w:val="clear" w:color="auto" w:fill="auto"/>
            <w:noWrap/>
            <w:vAlign w:val="center"/>
            <w:hideMark/>
          </w:tcPr>
          <w:p w14:paraId="06268B98"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 -0.0922   0.0719  -1.2836   0.1993  -0.2331   0.0486 </w:t>
            </w:r>
          </w:p>
        </w:tc>
      </w:tr>
    </w:tbl>
    <w:p w14:paraId="3AA400D8" w14:textId="77777777" w:rsidR="00A9120A" w:rsidRPr="002B3649" w:rsidRDefault="00A9120A" w:rsidP="00B00AB8">
      <w:pPr>
        <w:pStyle w:val="ListParagraph"/>
        <w:spacing w:line="360" w:lineRule="auto"/>
        <w:ind w:left="360"/>
        <w:rPr>
          <w:rFonts w:asciiTheme="minorHAnsi" w:hAnsiTheme="minorHAnsi"/>
          <w:lang w:val="en-GB"/>
        </w:rPr>
      </w:pPr>
    </w:p>
    <w:p w14:paraId="40C129FF" w14:textId="77777777" w:rsidR="00A9120A" w:rsidRPr="002B3649" w:rsidRDefault="00A9120A" w:rsidP="00A9120A">
      <w:pPr>
        <w:pStyle w:val="ListParagraph"/>
        <w:numPr>
          <w:ilvl w:val="0"/>
          <w:numId w:val="1"/>
        </w:numPr>
        <w:spacing w:line="360" w:lineRule="auto"/>
        <w:rPr>
          <w:rFonts w:asciiTheme="minorHAnsi" w:hAnsiTheme="minorHAnsi"/>
          <w:lang w:val="en-GB"/>
        </w:rPr>
      </w:pPr>
      <w:r w:rsidRPr="002B3649">
        <w:rPr>
          <w:rFonts w:asciiTheme="minorHAnsi" w:hAnsiTheme="minorHAnsi"/>
          <w:lang w:val="en-GB"/>
        </w:rPr>
        <w:t xml:space="preserve">Effects of covariates: left </w:t>
      </w:r>
      <w:r w:rsidR="00447EBC" w:rsidRPr="002B3649">
        <w:rPr>
          <w:rFonts w:asciiTheme="minorHAnsi" w:hAnsiTheme="minorHAnsi"/>
          <w:lang w:val="en-GB"/>
        </w:rPr>
        <w:t>MOFC</w:t>
      </w:r>
      <w:r w:rsidRPr="002B3649">
        <w:rPr>
          <w:rFonts w:asciiTheme="minorHAnsi" w:hAnsiTheme="minorHAnsi"/>
          <w:lang w:val="en-GB"/>
        </w:rPr>
        <w:t xml:space="preserve"> &lt;- global SANS + length of illness + </w:t>
      </w:r>
      <w:r w:rsidR="00D27F68" w:rsidRPr="002B3649">
        <w:rPr>
          <w:rFonts w:asciiTheme="minorHAnsi" w:hAnsiTheme="minorHAnsi"/>
          <w:lang w:val="en-GB"/>
        </w:rPr>
        <w:t>gender</w:t>
      </w:r>
      <w:r w:rsidRPr="002B3649">
        <w:rPr>
          <w:rFonts w:asciiTheme="minorHAnsi" w:hAnsiTheme="minorHAnsi"/>
          <w:lang w:val="en-GB"/>
        </w:rPr>
        <w:t xml:space="preserve"> + age + site (if applicable)</w:t>
      </w:r>
    </w:p>
    <w:p w14:paraId="4D74F912" w14:textId="77777777" w:rsidR="00A9120A" w:rsidRPr="002B3649" w:rsidRDefault="00A9120A" w:rsidP="00A9120A">
      <w:pPr>
        <w:pStyle w:val="ListParagraph"/>
        <w:spacing w:line="360" w:lineRule="auto"/>
        <w:ind w:left="360"/>
        <w:rPr>
          <w:rFonts w:asciiTheme="minorHAnsi" w:hAnsiTheme="minorHAnsi"/>
          <w:lang w:val="en-GB"/>
        </w:rPr>
      </w:pPr>
    </w:p>
    <w:p w14:paraId="1B8414C9" w14:textId="77777777" w:rsidR="00A9120A" w:rsidRPr="002B3649" w:rsidRDefault="00A9120A" w:rsidP="00B00AB8">
      <w:pPr>
        <w:pStyle w:val="ListParagraph"/>
        <w:spacing w:line="360" w:lineRule="auto"/>
        <w:ind w:left="360"/>
        <w:rPr>
          <w:rFonts w:asciiTheme="minorHAnsi" w:hAnsiTheme="minorHAnsi"/>
          <w:lang w:val="en-GB"/>
        </w:rPr>
      </w:pPr>
      <w:r w:rsidRPr="002B3649">
        <w:rPr>
          <w:rFonts w:asciiTheme="minorHAnsi" w:hAnsiTheme="minorHAnsi"/>
          <w:lang w:val="en-GB"/>
        </w:rPr>
        <w:t xml:space="preserve">Shown below are the estimate, the standard error, p value and the confidence intervals for the meta-analytical standardized regression beta of global SANS scores on left </w:t>
      </w:r>
      <w:r w:rsidR="00447EBC" w:rsidRPr="002B3649">
        <w:rPr>
          <w:rFonts w:asciiTheme="minorHAnsi" w:hAnsiTheme="minorHAnsi"/>
          <w:lang w:val="en-GB"/>
        </w:rPr>
        <w:t>MOFC</w:t>
      </w:r>
      <w:r w:rsidRPr="002B3649">
        <w:rPr>
          <w:rFonts w:asciiTheme="minorHAnsi" w:hAnsiTheme="minorHAnsi"/>
          <w:lang w:val="en-GB"/>
        </w:rPr>
        <w:t xml:space="preserve"> thickness. Results were based on estimates from 13 studies.</w:t>
      </w:r>
    </w:p>
    <w:tbl>
      <w:tblPr>
        <w:tblW w:w="8346"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46"/>
      </w:tblGrid>
      <w:tr w:rsidR="00A9120A" w:rsidRPr="002E4455" w14:paraId="631A60B7" w14:textId="77777777" w:rsidTr="00B00AB8">
        <w:trPr>
          <w:trHeight w:val="300"/>
        </w:trPr>
        <w:tc>
          <w:tcPr>
            <w:tcW w:w="8346" w:type="dxa"/>
            <w:shd w:val="clear" w:color="auto" w:fill="auto"/>
            <w:noWrap/>
            <w:vAlign w:val="center"/>
            <w:hideMark/>
          </w:tcPr>
          <w:p w14:paraId="351E366A"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Random-Effects Model (k = 13; tau^2 estimator: REML)</w:t>
            </w:r>
          </w:p>
        </w:tc>
      </w:tr>
      <w:tr w:rsidR="00A9120A" w:rsidRPr="002E4455" w14:paraId="5D015A75" w14:textId="77777777" w:rsidTr="00B00AB8">
        <w:trPr>
          <w:trHeight w:val="300"/>
        </w:trPr>
        <w:tc>
          <w:tcPr>
            <w:tcW w:w="8346" w:type="dxa"/>
            <w:shd w:val="clear" w:color="auto" w:fill="auto"/>
            <w:noWrap/>
            <w:vAlign w:val="center"/>
            <w:hideMark/>
          </w:tcPr>
          <w:p w14:paraId="05FD2F04" w14:textId="77777777" w:rsidR="00A9120A" w:rsidRPr="002B3649" w:rsidRDefault="00A9120A" w:rsidP="00A9120A">
            <w:pPr>
              <w:rPr>
                <w:rFonts w:ascii="Calibri" w:hAnsi="Calibri"/>
                <w:color w:val="000000"/>
                <w:sz w:val="22"/>
                <w:szCs w:val="22"/>
                <w:lang w:val="en-GB" w:eastAsia="en-GB"/>
              </w:rPr>
            </w:pPr>
          </w:p>
        </w:tc>
      </w:tr>
      <w:tr w:rsidR="00A9120A" w:rsidRPr="002E4455" w14:paraId="263962B9" w14:textId="77777777" w:rsidTr="00B00AB8">
        <w:trPr>
          <w:trHeight w:val="300"/>
        </w:trPr>
        <w:tc>
          <w:tcPr>
            <w:tcW w:w="8346" w:type="dxa"/>
            <w:shd w:val="clear" w:color="auto" w:fill="auto"/>
            <w:noWrap/>
            <w:vAlign w:val="center"/>
            <w:hideMark/>
          </w:tcPr>
          <w:p w14:paraId="17F82894"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tau^2 (estimated amount of total heterogeneity): 0.0079 (SE = 0.0069)</w:t>
            </w:r>
          </w:p>
        </w:tc>
      </w:tr>
      <w:tr w:rsidR="00A9120A" w:rsidRPr="002E4455" w14:paraId="7CEEF810" w14:textId="77777777" w:rsidTr="00B00AB8">
        <w:trPr>
          <w:trHeight w:val="300"/>
        </w:trPr>
        <w:tc>
          <w:tcPr>
            <w:tcW w:w="8346" w:type="dxa"/>
            <w:shd w:val="clear" w:color="auto" w:fill="auto"/>
            <w:noWrap/>
            <w:vAlign w:val="center"/>
            <w:hideMark/>
          </w:tcPr>
          <w:p w14:paraId="028D2C73"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 (square root of estimated tau^2 value):      0.0892</w:t>
            </w:r>
          </w:p>
        </w:tc>
      </w:tr>
      <w:tr w:rsidR="00A9120A" w:rsidRPr="002E4455" w14:paraId="44A21237" w14:textId="77777777" w:rsidTr="00B00AB8">
        <w:trPr>
          <w:trHeight w:val="300"/>
        </w:trPr>
        <w:tc>
          <w:tcPr>
            <w:tcW w:w="8346" w:type="dxa"/>
            <w:shd w:val="clear" w:color="auto" w:fill="auto"/>
            <w:noWrap/>
            <w:vAlign w:val="center"/>
            <w:hideMark/>
          </w:tcPr>
          <w:p w14:paraId="76AF782B"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I^2 (total heterogeneity / total variability):   48.94%</w:t>
            </w:r>
          </w:p>
        </w:tc>
      </w:tr>
      <w:tr w:rsidR="00A9120A" w:rsidRPr="002E4455" w14:paraId="0C8D3E2C" w14:textId="77777777" w:rsidTr="00B00AB8">
        <w:trPr>
          <w:trHeight w:val="300"/>
        </w:trPr>
        <w:tc>
          <w:tcPr>
            <w:tcW w:w="8346" w:type="dxa"/>
            <w:shd w:val="clear" w:color="auto" w:fill="auto"/>
            <w:noWrap/>
            <w:vAlign w:val="center"/>
            <w:hideMark/>
          </w:tcPr>
          <w:p w14:paraId="18A1A6EB"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H^2 (total variability / sampling variability):  1.96</w:t>
            </w:r>
          </w:p>
        </w:tc>
      </w:tr>
      <w:tr w:rsidR="00A9120A" w:rsidRPr="002E4455" w14:paraId="301CC27E" w14:textId="77777777" w:rsidTr="00B00AB8">
        <w:trPr>
          <w:trHeight w:val="300"/>
        </w:trPr>
        <w:tc>
          <w:tcPr>
            <w:tcW w:w="8346" w:type="dxa"/>
            <w:shd w:val="clear" w:color="auto" w:fill="auto"/>
            <w:noWrap/>
            <w:vAlign w:val="center"/>
            <w:hideMark/>
          </w:tcPr>
          <w:p w14:paraId="2196C553" w14:textId="77777777" w:rsidR="00A9120A" w:rsidRPr="002B3649" w:rsidRDefault="00A9120A" w:rsidP="00A9120A">
            <w:pPr>
              <w:rPr>
                <w:rFonts w:ascii="Calibri" w:hAnsi="Calibri"/>
                <w:color w:val="000000"/>
                <w:sz w:val="22"/>
                <w:szCs w:val="22"/>
                <w:lang w:val="en-GB" w:eastAsia="en-GB"/>
              </w:rPr>
            </w:pPr>
          </w:p>
        </w:tc>
      </w:tr>
      <w:tr w:rsidR="00A9120A" w:rsidRPr="002B3649" w14:paraId="67BAC20E" w14:textId="77777777" w:rsidTr="00B00AB8">
        <w:trPr>
          <w:trHeight w:val="300"/>
        </w:trPr>
        <w:tc>
          <w:tcPr>
            <w:tcW w:w="8346" w:type="dxa"/>
            <w:shd w:val="clear" w:color="auto" w:fill="auto"/>
            <w:noWrap/>
            <w:vAlign w:val="center"/>
            <w:hideMark/>
          </w:tcPr>
          <w:p w14:paraId="5A5E1E3C"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Test for Heterogeneity: </w:t>
            </w:r>
          </w:p>
        </w:tc>
      </w:tr>
      <w:tr w:rsidR="00A9120A" w:rsidRPr="002B3649" w14:paraId="3B4C3067" w14:textId="77777777" w:rsidTr="00B00AB8">
        <w:trPr>
          <w:trHeight w:val="300"/>
        </w:trPr>
        <w:tc>
          <w:tcPr>
            <w:tcW w:w="8346" w:type="dxa"/>
            <w:shd w:val="clear" w:color="auto" w:fill="auto"/>
            <w:noWrap/>
            <w:vAlign w:val="center"/>
            <w:hideMark/>
          </w:tcPr>
          <w:p w14:paraId="02B38043"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Q(</w:t>
            </w:r>
            <w:proofErr w:type="spellStart"/>
            <w:r w:rsidRPr="002B3649">
              <w:rPr>
                <w:rFonts w:ascii="Lucida Console" w:hAnsi="Lucida Console"/>
                <w:color w:val="000000"/>
                <w:sz w:val="20"/>
                <w:szCs w:val="20"/>
                <w:lang w:val="en-GB" w:eastAsia="en-GB"/>
              </w:rPr>
              <w:t>df</w:t>
            </w:r>
            <w:proofErr w:type="spellEnd"/>
            <w:r w:rsidRPr="002B3649">
              <w:rPr>
                <w:rFonts w:ascii="Lucida Console" w:hAnsi="Lucida Console"/>
                <w:color w:val="000000"/>
                <w:sz w:val="20"/>
                <w:szCs w:val="20"/>
                <w:lang w:val="en-GB" w:eastAsia="en-GB"/>
              </w:rPr>
              <w:t xml:space="preserve"> = 12) = 22.8334, p-</w:t>
            </w:r>
            <w:proofErr w:type="spellStart"/>
            <w:r w:rsidRPr="002B3649">
              <w:rPr>
                <w:rFonts w:ascii="Lucida Console" w:hAnsi="Lucida Console"/>
                <w:color w:val="000000"/>
                <w:sz w:val="20"/>
                <w:szCs w:val="20"/>
                <w:lang w:val="en-GB" w:eastAsia="en-GB"/>
              </w:rPr>
              <w:t>val</w:t>
            </w:r>
            <w:proofErr w:type="spellEnd"/>
            <w:r w:rsidRPr="002B3649">
              <w:rPr>
                <w:rFonts w:ascii="Lucida Console" w:hAnsi="Lucida Console"/>
                <w:color w:val="000000"/>
                <w:sz w:val="20"/>
                <w:szCs w:val="20"/>
                <w:lang w:val="en-GB" w:eastAsia="en-GB"/>
              </w:rPr>
              <w:t xml:space="preserve"> = 0.0292</w:t>
            </w:r>
          </w:p>
        </w:tc>
      </w:tr>
      <w:tr w:rsidR="00A9120A" w:rsidRPr="002B3649" w14:paraId="47076F8C" w14:textId="77777777" w:rsidTr="00B00AB8">
        <w:trPr>
          <w:trHeight w:val="300"/>
        </w:trPr>
        <w:tc>
          <w:tcPr>
            <w:tcW w:w="8346" w:type="dxa"/>
            <w:shd w:val="clear" w:color="auto" w:fill="auto"/>
            <w:noWrap/>
            <w:vAlign w:val="center"/>
            <w:hideMark/>
          </w:tcPr>
          <w:p w14:paraId="74E9C3BF" w14:textId="77777777" w:rsidR="00A9120A" w:rsidRPr="002B3649" w:rsidRDefault="00A9120A" w:rsidP="00A9120A">
            <w:pPr>
              <w:rPr>
                <w:rFonts w:ascii="Calibri" w:hAnsi="Calibri"/>
                <w:color w:val="000000"/>
                <w:sz w:val="22"/>
                <w:szCs w:val="22"/>
                <w:lang w:val="en-GB" w:eastAsia="en-GB"/>
              </w:rPr>
            </w:pPr>
          </w:p>
        </w:tc>
      </w:tr>
      <w:tr w:rsidR="00A9120A" w:rsidRPr="002B3649" w14:paraId="0D0F2296" w14:textId="77777777" w:rsidTr="00B00AB8">
        <w:trPr>
          <w:trHeight w:val="300"/>
        </w:trPr>
        <w:tc>
          <w:tcPr>
            <w:tcW w:w="8346" w:type="dxa"/>
            <w:shd w:val="clear" w:color="auto" w:fill="auto"/>
            <w:noWrap/>
            <w:vAlign w:val="center"/>
            <w:hideMark/>
          </w:tcPr>
          <w:p w14:paraId="034F1CC3"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Model Results:</w:t>
            </w:r>
          </w:p>
        </w:tc>
      </w:tr>
      <w:tr w:rsidR="00A9120A" w:rsidRPr="002B3649" w14:paraId="78C0337C" w14:textId="77777777" w:rsidTr="00B00AB8">
        <w:trPr>
          <w:trHeight w:val="300"/>
        </w:trPr>
        <w:tc>
          <w:tcPr>
            <w:tcW w:w="8346" w:type="dxa"/>
            <w:shd w:val="clear" w:color="auto" w:fill="auto"/>
            <w:noWrap/>
            <w:vAlign w:val="center"/>
            <w:hideMark/>
          </w:tcPr>
          <w:p w14:paraId="18AE7B63" w14:textId="77777777" w:rsidR="00A9120A" w:rsidRPr="002B3649" w:rsidRDefault="00A9120A" w:rsidP="00A9120A">
            <w:pPr>
              <w:rPr>
                <w:rFonts w:ascii="Calibri" w:hAnsi="Calibri"/>
                <w:color w:val="000000"/>
                <w:sz w:val="22"/>
                <w:szCs w:val="22"/>
                <w:lang w:val="en-GB" w:eastAsia="en-GB"/>
              </w:rPr>
            </w:pPr>
          </w:p>
        </w:tc>
      </w:tr>
      <w:tr w:rsidR="00A9120A" w:rsidRPr="002E4455" w14:paraId="63CB8CAC" w14:textId="77777777" w:rsidTr="00B00AB8">
        <w:trPr>
          <w:trHeight w:val="300"/>
        </w:trPr>
        <w:tc>
          <w:tcPr>
            <w:tcW w:w="8346" w:type="dxa"/>
            <w:shd w:val="clear" w:color="auto" w:fill="auto"/>
            <w:noWrap/>
            <w:vAlign w:val="center"/>
            <w:hideMark/>
          </w:tcPr>
          <w:p w14:paraId="0084054A"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estimate       se     </w:t>
            </w:r>
            <w:proofErr w:type="spellStart"/>
            <w:r w:rsidRPr="002B3649">
              <w:rPr>
                <w:rFonts w:ascii="Lucida Console" w:hAnsi="Lucida Console"/>
                <w:color w:val="000000"/>
                <w:sz w:val="20"/>
                <w:szCs w:val="20"/>
                <w:lang w:val="en-GB" w:eastAsia="en-GB"/>
              </w:rPr>
              <w:t>zval</w:t>
            </w:r>
            <w:proofErr w:type="spellEnd"/>
            <w:r w:rsidRPr="002B3649">
              <w:rPr>
                <w:rFonts w:ascii="Lucida Console" w:hAnsi="Lucida Console"/>
                <w:color w:val="000000"/>
                <w:sz w:val="20"/>
                <w:szCs w:val="20"/>
                <w:lang w:val="en-GB" w:eastAsia="en-GB"/>
              </w:rPr>
              <w:t xml:space="preserve">     </w:t>
            </w:r>
            <w:proofErr w:type="spellStart"/>
            <w:r w:rsidRPr="002B3649">
              <w:rPr>
                <w:rFonts w:ascii="Lucida Console" w:hAnsi="Lucida Console"/>
                <w:color w:val="000000"/>
                <w:sz w:val="20"/>
                <w:szCs w:val="20"/>
                <w:lang w:val="en-GB" w:eastAsia="en-GB"/>
              </w:rPr>
              <w:t>pval</w:t>
            </w:r>
            <w:proofErr w:type="spellEnd"/>
            <w:r w:rsidRPr="002B3649">
              <w:rPr>
                <w:rFonts w:ascii="Lucida Console" w:hAnsi="Lucida Console"/>
                <w:color w:val="000000"/>
                <w:sz w:val="20"/>
                <w:szCs w:val="20"/>
                <w:lang w:val="en-GB" w:eastAsia="en-GB"/>
              </w:rPr>
              <w:t xml:space="preserve">    ci.lb    </w:t>
            </w:r>
            <w:proofErr w:type="spellStart"/>
            <w:r w:rsidRPr="002B3649">
              <w:rPr>
                <w:rFonts w:ascii="Lucida Console" w:hAnsi="Lucida Console"/>
                <w:color w:val="000000"/>
                <w:sz w:val="20"/>
                <w:szCs w:val="20"/>
                <w:lang w:val="en-GB" w:eastAsia="en-GB"/>
              </w:rPr>
              <w:t>ci.ub</w:t>
            </w:r>
            <w:proofErr w:type="spellEnd"/>
            <w:r w:rsidRPr="002B3649">
              <w:rPr>
                <w:rFonts w:ascii="Lucida Console" w:hAnsi="Lucida Console"/>
                <w:color w:val="000000"/>
                <w:sz w:val="20"/>
                <w:szCs w:val="20"/>
                <w:lang w:val="en-GB" w:eastAsia="en-GB"/>
              </w:rPr>
              <w:t xml:space="preserve">          </w:t>
            </w:r>
          </w:p>
        </w:tc>
      </w:tr>
      <w:tr w:rsidR="00A9120A" w:rsidRPr="002B3649" w14:paraId="4A1F6D01" w14:textId="77777777" w:rsidTr="00B00AB8">
        <w:trPr>
          <w:trHeight w:val="300"/>
        </w:trPr>
        <w:tc>
          <w:tcPr>
            <w:tcW w:w="8346" w:type="dxa"/>
            <w:shd w:val="clear" w:color="auto" w:fill="auto"/>
            <w:noWrap/>
            <w:vAlign w:val="center"/>
            <w:hideMark/>
          </w:tcPr>
          <w:p w14:paraId="12E08372" w14:textId="77777777" w:rsidR="00A9120A" w:rsidRPr="002B3649" w:rsidRDefault="00A9120A" w:rsidP="00A9120A">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 -0.0681   </w:t>
            </w:r>
            <w:proofErr w:type="gramStart"/>
            <w:r w:rsidRPr="002B3649">
              <w:rPr>
                <w:rFonts w:ascii="Lucida Console" w:hAnsi="Lucida Console"/>
                <w:color w:val="000000"/>
                <w:sz w:val="20"/>
                <w:szCs w:val="20"/>
                <w:lang w:val="en-GB" w:eastAsia="en-GB"/>
              </w:rPr>
              <w:t>0.0373  -</w:t>
            </w:r>
            <w:proofErr w:type="gramEnd"/>
            <w:r w:rsidRPr="002B3649">
              <w:rPr>
                <w:rFonts w:ascii="Lucida Console" w:hAnsi="Lucida Console"/>
                <w:color w:val="000000"/>
                <w:sz w:val="20"/>
                <w:szCs w:val="20"/>
                <w:lang w:val="en-GB" w:eastAsia="en-GB"/>
              </w:rPr>
              <w:t xml:space="preserve">1.8240   0.0682  -0.1413   0.0051        . </w:t>
            </w:r>
          </w:p>
        </w:tc>
      </w:tr>
    </w:tbl>
    <w:p w14:paraId="32A588DE" w14:textId="77777777" w:rsidR="002A46DC" w:rsidRPr="002B3649" w:rsidRDefault="002A46DC" w:rsidP="00A9120A">
      <w:pPr>
        <w:pStyle w:val="ListParagraph"/>
        <w:spacing w:line="360" w:lineRule="auto"/>
        <w:ind w:left="360"/>
        <w:rPr>
          <w:rFonts w:asciiTheme="minorHAnsi" w:hAnsiTheme="minorHAnsi"/>
          <w:lang w:val="en-GB"/>
        </w:rPr>
      </w:pPr>
    </w:p>
    <w:p w14:paraId="13808DC2" w14:textId="77777777" w:rsidR="002A46DC" w:rsidRPr="002B3649" w:rsidRDefault="002A46DC" w:rsidP="002A46DC">
      <w:pPr>
        <w:rPr>
          <w:lang w:val="en-GB"/>
        </w:rPr>
      </w:pPr>
    </w:p>
    <w:p w14:paraId="45CB0E8A" w14:textId="77777777" w:rsidR="008C7A58" w:rsidRPr="002B3649" w:rsidRDefault="008C7A58" w:rsidP="008C7A58">
      <w:pPr>
        <w:pStyle w:val="ListParagraph"/>
        <w:numPr>
          <w:ilvl w:val="0"/>
          <w:numId w:val="1"/>
        </w:numPr>
        <w:spacing w:line="360" w:lineRule="auto"/>
        <w:rPr>
          <w:rFonts w:asciiTheme="minorHAnsi" w:hAnsiTheme="minorHAnsi"/>
          <w:lang w:val="en-GB"/>
        </w:rPr>
      </w:pPr>
      <w:r w:rsidRPr="002B3649">
        <w:rPr>
          <w:rFonts w:asciiTheme="minorHAnsi" w:hAnsiTheme="minorHAnsi"/>
          <w:lang w:val="en-GB"/>
        </w:rPr>
        <w:t>Moderation analysis of age of onset on the association between global SANS scores and left MOFC thickness</w:t>
      </w:r>
    </w:p>
    <w:p w14:paraId="19F98D6A" w14:textId="77777777" w:rsidR="008C7A58" w:rsidRPr="002B3649" w:rsidRDefault="008C7A58" w:rsidP="00C23C61">
      <w:pPr>
        <w:spacing w:line="360" w:lineRule="auto"/>
        <w:rPr>
          <w:rFonts w:asciiTheme="minorHAnsi" w:hAnsiTheme="minorHAnsi"/>
          <w:lang w:val="en-GB"/>
        </w:rPr>
      </w:pPr>
    </w:p>
    <w:p w14:paraId="15B2E7B6" w14:textId="77777777" w:rsidR="008C7A58" w:rsidRPr="002B3649" w:rsidRDefault="008C7A58" w:rsidP="008C7A58">
      <w:pPr>
        <w:pStyle w:val="ListParagraph"/>
        <w:spacing w:line="360" w:lineRule="auto"/>
        <w:ind w:left="360"/>
        <w:rPr>
          <w:rFonts w:asciiTheme="minorHAnsi" w:hAnsiTheme="minorHAnsi"/>
          <w:lang w:val="en-GB"/>
        </w:rPr>
      </w:pPr>
      <w:r w:rsidRPr="002B3649">
        <w:rPr>
          <w:rFonts w:asciiTheme="minorHAnsi" w:hAnsiTheme="minorHAnsi"/>
          <w:lang w:val="en-GB"/>
        </w:rPr>
        <w:t xml:space="preserve">Shown below are the estimate, the standard error, p value and the confidence intervals for the moderating effects of age of onset on the meta-analytical standardized </w:t>
      </w:r>
      <w:r w:rsidRPr="002B3649">
        <w:rPr>
          <w:rFonts w:asciiTheme="minorHAnsi" w:hAnsiTheme="minorHAnsi"/>
          <w:lang w:val="en-GB"/>
        </w:rPr>
        <w:lastRenderedPageBreak/>
        <w:t>regression beta of global SANS scores on left MOFC thickness. Results were based on estimates from 13 studies.</w:t>
      </w:r>
    </w:p>
    <w:p w14:paraId="69E1D94A"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r w:rsidRPr="004346A9">
        <w:rPr>
          <w:rFonts w:asciiTheme="minorHAnsi" w:hAnsiTheme="minorHAnsi"/>
          <w:lang w:val="en-GB"/>
        </w:rPr>
        <w:t>Mixed-Effects Model (k = 13; tau^2 estimator: REML)</w:t>
      </w:r>
    </w:p>
    <w:p w14:paraId="1859E904"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p>
    <w:p w14:paraId="4C4CFEF7"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r w:rsidRPr="004346A9">
        <w:rPr>
          <w:rFonts w:asciiTheme="minorHAnsi" w:hAnsiTheme="minorHAnsi"/>
          <w:lang w:val="en-GB"/>
        </w:rPr>
        <w:t>tau^2 (estimated amount of residual heterogeneity):     0.0077 (SE = 0.0072)</w:t>
      </w:r>
    </w:p>
    <w:p w14:paraId="40DE32A1"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r w:rsidRPr="004346A9">
        <w:rPr>
          <w:rFonts w:asciiTheme="minorHAnsi" w:hAnsiTheme="minorHAnsi"/>
          <w:lang w:val="en-GB"/>
        </w:rPr>
        <w:t>tau (square root of estimated tau^2 value):             0.0875</w:t>
      </w:r>
    </w:p>
    <w:p w14:paraId="27492FB8"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r w:rsidRPr="004346A9">
        <w:rPr>
          <w:rFonts w:asciiTheme="minorHAnsi" w:hAnsiTheme="minorHAnsi"/>
          <w:lang w:val="en-GB"/>
        </w:rPr>
        <w:t>I^2 (residual heterogeneity / unaccounted variability): 46.82%</w:t>
      </w:r>
    </w:p>
    <w:p w14:paraId="3DB86888"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r w:rsidRPr="004346A9">
        <w:rPr>
          <w:rFonts w:asciiTheme="minorHAnsi" w:hAnsiTheme="minorHAnsi"/>
          <w:lang w:val="en-GB"/>
        </w:rPr>
        <w:t>H^2 (unaccounted variability / sampling variability):   1.88</w:t>
      </w:r>
    </w:p>
    <w:p w14:paraId="668EF635"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r w:rsidRPr="004346A9">
        <w:rPr>
          <w:rFonts w:asciiTheme="minorHAnsi" w:hAnsiTheme="minorHAnsi"/>
          <w:lang w:val="en-GB"/>
        </w:rPr>
        <w:t>R^2 (amount of heterogeneity accounted for):            0.00%</w:t>
      </w:r>
    </w:p>
    <w:p w14:paraId="15883010"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p>
    <w:p w14:paraId="24A8A35E"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r w:rsidRPr="004346A9">
        <w:rPr>
          <w:rFonts w:asciiTheme="minorHAnsi" w:hAnsiTheme="minorHAnsi"/>
          <w:lang w:val="en-GB"/>
        </w:rPr>
        <w:t xml:space="preserve">Test for Residual Heterogeneity: </w:t>
      </w:r>
    </w:p>
    <w:p w14:paraId="7490008C"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proofErr w:type="gramStart"/>
      <w:r w:rsidRPr="004346A9">
        <w:rPr>
          <w:rFonts w:asciiTheme="minorHAnsi" w:hAnsiTheme="minorHAnsi"/>
          <w:lang w:val="en-GB"/>
        </w:rPr>
        <w:t>QE(</w:t>
      </w:r>
      <w:proofErr w:type="spellStart"/>
      <w:proofErr w:type="gramEnd"/>
      <w:r w:rsidRPr="004346A9">
        <w:rPr>
          <w:rFonts w:asciiTheme="minorHAnsi" w:hAnsiTheme="minorHAnsi"/>
          <w:lang w:val="en-GB"/>
        </w:rPr>
        <w:t>df</w:t>
      </w:r>
      <w:proofErr w:type="spellEnd"/>
      <w:r w:rsidRPr="004346A9">
        <w:rPr>
          <w:rFonts w:asciiTheme="minorHAnsi" w:hAnsiTheme="minorHAnsi"/>
          <w:lang w:val="en-GB"/>
        </w:rPr>
        <w:t xml:space="preserve"> = 11) = 20.0562, p-</w:t>
      </w:r>
      <w:proofErr w:type="spellStart"/>
      <w:r w:rsidRPr="004346A9">
        <w:rPr>
          <w:rFonts w:asciiTheme="minorHAnsi" w:hAnsiTheme="minorHAnsi"/>
          <w:lang w:val="en-GB"/>
        </w:rPr>
        <w:t>val</w:t>
      </w:r>
      <w:proofErr w:type="spellEnd"/>
      <w:r w:rsidRPr="004346A9">
        <w:rPr>
          <w:rFonts w:asciiTheme="minorHAnsi" w:hAnsiTheme="minorHAnsi"/>
          <w:lang w:val="en-GB"/>
        </w:rPr>
        <w:t xml:space="preserve"> = 0.0446</w:t>
      </w:r>
    </w:p>
    <w:p w14:paraId="5371EBED"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p>
    <w:p w14:paraId="5474C0AF"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r w:rsidRPr="004346A9">
        <w:rPr>
          <w:rFonts w:asciiTheme="minorHAnsi" w:hAnsiTheme="minorHAnsi"/>
          <w:lang w:val="en-GB"/>
        </w:rPr>
        <w:t xml:space="preserve">Test of Moderators (coefficient(s) 2): </w:t>
      </w:r>
    </w:p>
    <w:p w14:paraId="1E10CE65"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proofErr w:type="gramStart"/>
      <w:r w:rsidRPr="004346A9">
        <w:rPr>
          <w:rFonts w:asciiTheme="minorHAnsi" w:hAnsiTheme="minorHAnsi"/>
          <w:lang w:val="en-GB"/>
        </w:rPr>
        <w:t>QM(</w:t>
      </w:r>
      <w:proofErr w:type="spellStart"/>
      <w:proofErr w:type="gramEnd"/>
      <w:r w:rsidRPr="004346A9">
        <w:rPr>
          <w:rFonts w:asciiTheme="minorHAnsi" w:hAnsiTheme="minorHAnsi"/>
          <w:lang w:val="en-GB"/>
        </w:rPr>
        <w:t>df</w:t>
      </w:r>
      <w:proofErr w:type="spellEnd"/>
      <w:r w:rsidRPr="004346A9">
        <w:rPr>
          <w:rFonts w:asciiTheme="minorHAnsi" w:hAnsiTheme="minorHAnsi"/>
          <w:lang w:val="en-GB"/>
        </w:rPr>
        <w:t xml:space="preserve"> = 1) = 0.1133, p-</w:t>
      </w:r>
      <w:proofErr w:type="spellStart"/>
      <w:r w:rsidRPr="004346A9">
        <w:rPr>
          <w:rFonts w:asciiTheme="minorHAnsi" w:hAnsiTheme="minorHAnsi"/>
          <w:lang w:val="en-GB"/>
        </w:rPr>
        <w:t>val</w:t>
      </w:r>
      <w:proofErr w:type="spellEnd"/>
      <w:r w:rsidRPr="004346A9">
        <w:rPr>
          <w:rFonts w:asciiTheme="minorHAnsi" w:hAnsiTheme="minorHAnsi"/>
          <w:lang w:val="en-GB"/>
        </w:rPr>
        <w:t xml:space="preserve"> = 0.7365</w:t>
      </w:r>
    </w:p>
    <w:p w14:paraId="05CAC3D9"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p>
    <w:p w14:paraId="4EC8166D"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r w:rsidRPr="004346A9">
        <w:rPr>
          <w:rFonts w:asciiTheme="minorHAnsi" w:hAnsiTheme="minorHAnsi"/>
          <w:lang w:val="en-GB"/>
        </w:rPr>
        <w:t>Model Results:</w:t>
      </w:r>
    </w:p>
    <w:p w14:paraId="6D112F15"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p>
    <w:p w14:paraId="47483084"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r w:rsidRPr="004346A9">
        <w:rPr>
          <w:rFonts w:asciiTheme="minorHAnsi" w:hAnsiTheme="minorHAnsi"/>
          <w:lang w:val="en-GB"/>
        </w:rPr>
        <w:t xml:space="preserve">                                 se     </w:t>
      </w:r>
      <w:proofErr w:type="spellStart"/>
      <w:r w:rsidRPr="004346A9">
        <w:rPr>
          <w:rFonts w:asciiTheme="minorHAnsi" w:hAnsiTheme="minorHAnsi"/>
          <w:lang w:val="en-GB"/>
        </w:rPr>
        <w:t>zval</w:t>
      </w:r>
      <w:proofErr w:type="spellEnd"/>
      <w:r w:rsidRPr="004346A9">
        <w:rPr>
          <w:rFonts w:asciiTheme="minorHAnsi" w:hAnsiTheme="minorHAnsi"/>
          <w:lang w:val="en-GB"/>
        </w:rPr>
        <w:t xml:space="preserve">    </w:t>
      </w:r>
      <w:proofErr w:type="spellStart"/>
      <w:r w:rsidRPr="004346A9">
        <w:rPr>
          <w:rFonts w:asciiTheme="minorHAnsi" w:hAnsiTheme="minorHAnsi"/>
          <w:lang w:val="en-GB"/>
        </w:rPr>
        <w:t>pval</w:t>
      </w:r>
      <w:proofErr w:type="spellEnd"/>
      <w:r w:rsidRPr="004346A9">
        <w:rPr>
          <w:rFonts w:asciiTheme="minorHAnsi" w:hAnsiTheme="minorHAnsi"/>
          <w:lang w:val="en-GB"/>
        </w:rPr>
        <w:t xml:space="preserve">    ci.lb   </w:t>
      </w:r>
      <w:proofErr w:type="spellStart"/>
      <w:r w:rsidRPr="004346A9">
        <w:rPr>
          <w:rFonts w:asciiTheme="minorHAnsi" w:hAnsiTheme="minorHAnsi"/>
          <w:lang w:val="en-GB"/>
        </w:rPr>
        <w:t>ci.ub</w:t>
      </w:r>
      <w:proofErr w:type="spellEnd"/>
      <w:r w:rsidRPr="004346A9">
        <w:rPr>
          <w:rFonts w:asciiTheme="minorHAnsi" w:hAnsiTheme="minorHAnsi"/>
          <w:lang w:val="en-GB"/>
        </w:rPr>
        <w:t xml:space="preserve">   </w:t>
      </w:r>
    </w:p>
    <w:p w14:paraId="377A0368" w14:textId="77777777" w:rsidR="004346A9" w:rsidRPr="004346A9"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proofErr w:type="spellStart"/>
      <w:r w:rsidRPr="004346A9">
        <w:rPr>
          <w:rFonts w:asciiTheme="minorHAnsi" w:hAnsiTheme="minorHAnsi"/>
          <w:lang w:val="en-GB"/>
        </w:rPr>
        <w:t>intrcpt</w:t>
      </w:r>
      <w:proofErr w:type="spellEnd"/>
      <w:r w:rsidRPr="004346A9">
        <w:rPr>
          <w:rFonts w:asciiTheme="minorHAnsi" w:hAnsiTheme="minorHAnsi"/>
          <w:lang w:val="en-GB"/>
        </w:rPr>
        <w:t xml:space="preserve">             -0.</w:t>
      </w:r>
      <w:proofErr w:type="gramStart"/>
      <w:r w:rsidRPr="004346A9">
        <w:rPr>
          <w:rFonts w:asciiTheme="minorHAnsi" w:hAnsiTheme="minorHAnsi"/>
          <w:lang w:val="en-GB"/>
        </w:rPr>
        <w:t>0651  0.0370</w:t>
      </w:r>
      <w:proofErr w:type="gramEnd"/>
      <w:r w:rsidRPr="004346A9">
        <w:rPr>
          <w:rFonts w:asciiTheme="minorHAnsi" w:hAnsiTheme="minorHAnsi"/>
          <w:lang w:val="en-GB"/>
        </w:rPr>
        <w:t xml:space="preserve">  -1.7578  0.0788  -0.1377  0.0075  .</w:t>
      </w:r>
    </w:p>
    <w:p w14:paraId="0B70008B" w14:textId="75EE6925" w:rsidR="008C7A58" w:rsidRDefault="004346A9" w:rsidP="004346A9">
      <w:pPr>
        <w:pBdr>
          <w:top w:val="single" w:sz="4" w:space="1" w:color="auto"/>
          <w:left w:val="single" w:sz="4" w:space="4" w:color="auto"/>
          <w:bottom w:val="single" w:sz="4" w:space="1" w:color="auto"/>
          <w:right w:val="single" w:sz="4" w:space="4" w:color="auto"/>
        </w:pBdr>
        <w:rPr>
          <w:rFonts w:asciiTheme="minorHAnsi" w:hAnsiTheme="minorHAnsi"/>
          <w:lang w:val="en-GB"/>
        </w:rPr>
      </w:pPr>
      <w:proofErr w:type="gramStart"/>
      <w:r w:rsidRPr="004346A9">
        <w:rPr>
          <w:rFonts w:asciiTheme="minorHAnsi" w:hAnsiTheme="minorHAnsi"/>
          <w:lang w:val="en-GB"/>
        </w:rPr>
        <w:t>I(</w:t>
      </w:r>
      <w:proofErr w:type="spellStart"/>
      <w:proofErr w:type="gramEnd"/>
      <w:r w:rsidRPr="004346A9">
        <w:rPr>
          <w:rFonts w:asciiTheme="minorHAnsi" w:hAnsiTheme="minorHAnsi"/>
          <w:lang w:val="en-GB"/>
        </w:rPr>
        <w:t>AO_mean</w:t>
      </w:r>
      <w:proofErr w:type="spellEnd"/>
      <w:r w:rsidRPr="004346A9">
        <w:rPr>
          <w:rFonts w:asciiTheme="minorHAnsi" w:hAnsiTheme="minorHAnsi"/>
          <w:lang w:val="en-GB"/>
        </w:rPr>
        <w:t xml:space="preserve"> - 23.83)   0.0050  0.0149   0.3365  0.7365  -0.0242  0.0342</w:t>
      </w:r>
    </w:p>
    <w:p w14:paraId="71128080" w14:textId="29DEA1BB" w:rsidR="004346A9" w:rsidRDefault="004346A9" w:rsidP="004346A9">
      <w:pPr>
        <w:spacing w:line="360" w:lineRule="auto"/>
        <w:rPr>
          <w:rFonts w:asciiTheme="minorHAnsi" w:hAnsiTheme="minorHAnsi"/>
          <w:lang w:val="en-GB"/>
        </w:rPr>
      </w:pPr>
    </w:p>
    <w:p w14:paraId="48126C04" w14:textId="77777777" w:rsidR="008C7A58" w:rsidRPr="002B3649" w:rsidRDefault="008C7A58" w:rsidP="00C23C61">
      <w:pPr>
        <w:pStyle w:val="ListParagraph"/>
        <w:spacing w:line="360" w:lineRule="auto"/>
        <w:ind w:left="360"/>
        <w:rPr>
          <w:rFonts w:asciiTheme="minorHAnsi" w:hAnsiTheme="minorHAnsi"/>
          <w:lang w:val="en-GB"/>
        </w:rPr>
      </w:pPr>
    </w:p>
    <w:p w14:paraId="05C6AF25" w14:textId="77777777" w:rsidR="002A46DC" w:rsidRPr="002B3649" w:rsidRDefault="002A46DC" w:rsidP="002A46DC">
      <w:pPr>
        <w:pStyle w:val="ListParagraph"/>
        <w:numPr>
          <w:ilvl w:val="0"/>
          <w:numId w:val="1"/>
        </w:numPr>
        <w:spacing w:line="360" w:lineRule="auto"/>
        <w:rPr>
          <w:rFonts w:asciiTheme="minorHAnsi" w:hAnsiTheme="minorHAnsi"/>
          <w:lang w:val="en-GB"/>
        </w:rPr>
      </w:pPr>
      <w:r w:rsidRPr="002B3649">
        <w:rPr>
          <w:rFonts w:asciiTheme="minorHAnsi" w:hAnsiTheme="minorHAnsi"/>
          <w:lang w:val="en-GB"/>
        </w:rPr>
        <w:t xml:space="preserve">Moderation analysis of </w:t>
      </w:r>
      <w:r w:rsidR="002E69FD" w:rsidRPr="002B3649">
        <w:rPr>
          <w:rFonts w:asciiTheme="minorHAnsi" w:hAnsiTheme="minorHAnsi"/>
          <w:lang w:val="en-GB"/>
        </w:rPr>
        <w:t>antipsychotic medication</w:t>
      </w:r>
      <w:r w:rsidRPr="002B3649">
        <w:rPr>
          <w:rFonts w:asciiTheme="minorHAnsi" w:hAnsiTheme="minorHAnsi"/>
          <w:lang w:val="en-GB"/>
        </w:rPr>
        <w:t xml:space="preserve"> on the association between global SANS scores and left </w:t>
      </w:r>
      <w:r w:rsidR="00447EBC" w:rsidRPr="002B3649">
        <w:rPr>
          <w:rFonts w:asciiTheme="minorHAnsi" w:hAnsiTheme="minorHAnsi"/>
          <w:lang w:val="en-GB"/>
        </w:rPr>
        <w:t>MOFC</w:t>
      </w:r>
      <w:r w:rsidRPr="002B3649">
        <w:rPr>
          <w:rFonts w:asciiTheme="minorHAnsi" w:hAnsiTheme="minorHAnsi"/>
          <w:lang w:val="en-GB"/>
        </w:rPr>
        <w:t xml:space="preserve"> thickness</w:t>
      </w:r>
    </w:p>
    <w:p w14:paraId="3239E22E" w14:textId="77777777" w:rsidR="002A46DC" w:rsidRPr="002B3649" w:rsidRDefault="002A46DC" w:rsidP="002A46DC">
      <w:pPr>
        <w:pStyle w:val="ListParagraph"/>
        <w:spacing w:line="360" w:lineRule="auto"/>
        <w:ind w:left="360"/>
        <w:rPr>
          <w:rFonts w:asciiTheme="minorHAnsi" w:hAnsiTheme="minorHAnsi"/>
          <w:lang w:val="en-GB"/>
        </w:rPr>
      </w:pPr>
    </w:p>
    <w:p w14:paraId="71A6B9FA" w14:textId="77777777" w:rsidR="00493611" w:rsidRPr="002B3649" w:rsidRDefault="00493611" w:rsidP="00493611">
      <w:pPr>
        <w:pStyle w:val="ListParagraph"/>
        <w:spacing w:line="360" w:lineRule="auto"/>
        <w:ind w:left="360"/>
        <w:rPr>
          <w:rFonts w:asciiTheme="minorHAnsi" w:hAnsiTheme="minorHAnsi"/>
          <w:lang w:val="en-GB"/>
        </w:rPr>
      </w:pPr>
      <w:r w:rsidRPr="002B3649">
        <w:rPr>
          <w:rFonts w:asciiTheme="minorHAnsi" w:hAnsiTheme="minorHAnsi"/>
          <w:lang w:val="en-GB"/>
        </w:rPr>
        <w:t xml:space="preserve">To investigate potentially moderating effects of </w:t>
      </w:r>
      <w:r w:rsidR="002E69FD" w:rsidRPr="002B3649">
        <w:rPr>
          <w:rFonts w:asciiTheme="minorHAnsi" w:hAnsiTheme="minorHAnsi"/>
          <w:lang w:val="en-GB"/>
        </w:rPr>
        <w:t>antipsychotic medication</w:t>
      </w:r>
      <w:r w:rsidRPr="002B3649">
        <w:rPr>
          <w:rFonts w:asciiTheme="minorHAnsi" w:hAnsiTheme="minorHAnsi"/>
          <w:lang w:val="en-GB"/>
        </w:rPr>
        <w:t xml:space="preserve">, we derived the percentages of patients treated with typical or atypical antipsychotics, both </w:t>
      </w:r>
      <w:r w:rsidR="002E69FD" w:rsidRPr="002B3649">
        <w:rPr>
          <w:rFonts w:asciiTheme="minorHAnsi" w:hAnsiTheme="minorHAnsi"/>
          <w:lang w:val="en-GB"/>
        </w:rPr>
        <w:t>antipsychotic medication</w:t>
      </w:r>
      <w:r w:rsidRPr="002B3649">
        <w:rPr>
          <w:rFonts w:asciiTheme="minorHAnsi" w:hAnsiTheme="minorHAnsi"/>
          <w:lang w:val="en-GB"/>
        </w:rPr>
        <w:t xml:space="preserve"> types and the percentage of </w:t>
      </w:r>
      <w:proofErr w:type="spellStart"/>
      <w:r w:rsidRPr="002B3649">
        <w:rPr>
          <w:rFonts w:asciiTheme="minorHAnsi" w:hAnsiTheme="minorHAnsi"/>
          <w:lang w:val="en-GB"/>
        </w:rPr>
        <w:t>unmedicated</w:t>
      </w:r>
      <w:proofErr w:type="spellEnd"/>
      <w:r w:rsidRPr="002B3649">
        <w:rPr>
          <w:rFonts w:asciiTheme="minorHAnsi" w:hAnsiTheme="minorHAnsi"/>
          <w:lang w:val="en-GB"/>
        </w:rPr>
        <w:t xml:space="preserve"> patients</w:t>
      </w:r>
      <w:r w:rsidR="00582A31" w:rsidRPr="002B3649">
        <w:rPr>
          <w:rFonts w:asciiTheme="minorHAnsi" w:hAnsiTheme="minorHAnsi"/>
          <w:lang w:val="en-GB"/>
        </w:rPr>
        <w:t xml:space="preserve"> in each sample</w:t>
      </w:r>
      <w:r w:rsidRPr="002B3649">
        <w:rPr>
          <w:rFonts w:asciiTheme="minorHAnsi" w:hAnsiTheme="minorHAnsi"/>
          <w:lang w:val="en-GB"/>
        </w:rPr>
        <w:t xml:space="preserve">. Shown below are the estimate, the standard error, p value and the confidence intervals for the moderating effects of </w:t>
      </w:r>
      <w:r w:rsidR="002E69FD" w:rsidRPr="002B3649">
        <w:rPr>
          <w:rFonts w:asciiTheme="minorHAnsi" w:hAnsiTheme="minorHAnsi"/>
          <w:lang w:val="en-GB"/>
        </w:rPr>
        <w:t>antipsychotic medication</w:t>
      </w:r>
      <w:r w:rsidRPr="002B3649">
        <w:rPr>
          <w:rFonts w:asciiTheme="minorHAnsi" w:hAnsiTheme="minorHAnsi"/>
          <w:lang w:val="en-GB"/>
        </w:rPr>
        <w:t xml:space="preserve"> on the meta-analytical standardized regression beta of global SANS scores on left </w:t>
      </w:r>
      <w:r w:rsidR="00447EBC" w:rsidRPr="002B3649">
        <w:rPr>
          <w:rFonts w:asciiTheme="minorHAnsi" w:hAnsiTheme="minorHAnsi"/>
          <w:lang w:val="en-GB"/>
        </w:rPr>
        <w:t>MOFC</w:t>
      </w:r>
      <w:r w:rsidRPr="002B3649">
        <w:rPr>
          <w:rFonts w:asciiTheme="minorHAnsi" w:hAnsiTheme="minorHAnsi"/>
          <w:lang w:val="en-GB"/>
        </w:rPr>
        <w:t xml:space="preserve"> thickness. Percentages of participants on typical, atypical and combined </w:t>
      </w:r>
      <w:r w:rsidR="002E69FD" w:rsidRPr="002B3649">
        <w:rPr>
          <w:rFonts w:asciiTheme="minorHAnsi" w:hAnsiTheme="minorHAnsi"/>
          <w:lang w:val="en-GB"/>
        </w:rPr>
        <w:t>antipsychotic medication</w:t>
      </w:r>
      <w:r w:rsidRPr="002B3649">
        <w:rPr>
          <w:rFonts w:asciiTheme="minorHAnsi" w:hAnsiTheme="minorHAnsi"/>
          <w:lang w:val="en-GB"/>
        </w:rPr>
        <w:t xml:space="preserve"> were mean </w:t>
      </w:r>
      <w:proofErr w:type="spellStart"/>
      <w:r w:rsidRPr="002B3649">
        <w:rPr>
          <w:rFonts w:asciiTheme="minorHAnsi" w:hAnsiTheme="minorHAnsi"/>
          <w:lang w:val="en-GB"/>
        </w:rPr>
        <w:t>centered</w:t>
      </w:r>
      <w:proofErr w:type="spellEnd"/>
      <w:r w:rsidRPr="002B3649">
        <w:rPr>
          <w:rFonts w:asciiTheme="minorHAnsi" w:hAnsiTheme="minorHAnsi"/>
          <w:lang w:val="en-GB"/>
        </w:rPr>
        <w:t xml:space="preserve"> and compared to the percentage of </w:t>
      </w:r>
      <w:proofErr w:type="spellStart"/>
      <w:r w:rsidRPr="002B3649">
        <w:rPr>
          <w:rFonts w:asciiTheme="minorHAnsi" w:hAnsiTheme="minorHAnsi"/>
          <w:lang w:val="en-GB"/>
        </w:rPr>
        <w:t>unmedicated</w:t>
      </w:r>
      <w:proofErr w:type="spellEnd"/>
      <w:r w:rsidRPr="002B3649">
        <w:rPr>
          <w:rFonts w:asciiTheme="minorHAnsi" w:hAnsiTheme="minorHAnsi"/>
          <w:lang w:val="en-GB"/>
        </w:rPr>
        <w:t xml:space="preserve"> patients (baseline). The intercept refers to the effect of global SANS score on left </w:t>
      </w:r>
      <w:r w:rsidR="00447EBC" w:rsidRPr="002B3649">
        <w:rPr>
          <w:rFonts w:asciiTheme="minorHAnsi" w:hAnsiTheme="minorHAnsi"/>
          <w:lang w:val="en-GB"/>
        </w:rPr>
        <w:t>MOFC</w:t>
      </w:r>
      <w:r w:rsidRPr="002B3649">
        <w:rPr>
          <w:rFonts w:asciiTheme="minorHAnsi" w:hAnsiTheme="minorHAnsi"/>
          <w:lang w:val="en-GB"/>
        </w:rPr>
        <w:t xml:space="preserve"> thickness after accounting for </w:t>
      </w:r>
      <w:r w:rsidR="002E69FD" w:rsidRPr="002B3649">
        <w:rPr>
          <w:rFonts w:asciiTheme="minorHAnsi" w:hAnsiTheme="minorHAnsi"/>
          <w:lang w:val="en-GB"/>
        </w:rPr>
        <w:t>antipsychotic medication</w:t>
      </w:r>
      <w:r w:rsidRPr="002B3649">
        <w:rPr>
          <w:rFonts w:asciiTheme="minorHAnsi" w:hAnsiTheme="minorHAnsi"/>
          <w:lang w:val="en-GB"/>
        </w:rPr>
        <w:t>. Results were based on estimates from 13 studies.</w:t>
      </w:r>
    </w:p>
    <w:p w14:paraId="24399FA9" w14:textId="77777777" w:rsidR="002A46DC" w:rsidRPr="002B3649" w:rsidRDefault="002A46DC" w:rsidP="002A46DC">
      <w:pPr>
        <w:pStyle w:val="ListParagraph"/>
        <w:spacing w:line="360" w:lineRule="auto"/>
        <w:ind w:left="360"/>
        <w:rPr>
          <w:rFonts w:asciiTheme="minorHAnsi" w:hAnsiTheme="minorHAnsi"/>
          <w:lang w:val="en-GB"/>
        </w:rPr>
      </w:pPr>
    </w:p>
    <w:tbl>
      <w:tblPr>
        <w:tblW w:w="9405"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05"/>
      </w:tblGrid>
      <w:tr w:rsidR="00F119A4" w:rsidRPr="002B3649" w14:paraId="7877C2B7" w14:textId="77777777" w:rsidTr="00B00AB8">
        <w:trPr>
          <w:trHeight w:val="300"/>
        </w:trPr>
        <w:tc>
          <w:tcPr>
            <w:tcW w:w="9405" w:type="dxa"/>
            <w:shd w:val="clear" w:color="auto" w:fill="auto"/>
            <w:noWrap/>
            <w:vAlign w:val="center"/>
          </w:tcPr>
          <w:tbl>
            <w:tblPr>
              <w:tblW w:w="9189" w:type="dxa"/>
              <w:tblLook w:val="04A0" w:firstRow="1" w:lastRow="0" w:firstColumn="1" w:lastColumn="0" w:noHBand="0" w:noVBand="1"/>
            </w:tblPr>
            <w:tblGrid>
              <w:gridCol w:w="9189"/>
            </w:tblGrid>
            <w:tr w:rsidR="00493611" w:rsidRPr="002E4455" w14:paraId="3E3A8B5E" w14:textId="77777777" w:rsidTr="00493611">
              <w:trPr>
                <w:trHeight w:val="300"/>
              </w:trPr>
              <w:tc>
                <w:tcPr>
                  <w:tcW w:w="9189" w:type="dxa"/>
                  <w:tcBorders>
                    <w:top w:val="nil"/>
                    <w:left w:val="nil"/>
                    <w:bottom w:val="nil"/>
                    <w:right w:val="nil"/>
                  </w:tcBorders>
                  <w:shd w:val="clear" w:color="auto" w:fill="auto"/>
                  <w:noWrap/>
                  <w:vAlign w:val="center"/>
                  <w:hideMark/>
                </w:tcPr>
                <w:p w14:paraId="51AEE957" w14:textId="77777777" w:rsidR="00493611" w:rsidRPr="002B3649" w:rsidRDefault="00493611"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lastRenderedPageBreak/>
                    <w:t>Mixed-Effects Model (k = 13; tau^2 estimator: REML)</w:t>
                  </w:r>
                </w:p>
              </w:tc>
            </w:tr>
            <w:tr w:rsidR="00493611" w:rsidRPr="002E4455" w14:paraId="3C4DFA1E" w14:textId="77777777" w:rsidTr="00493611">
              <w:trPr>
                <w:trHeight w:val="300"/>
              </w:trPr>
              <w:tc>
                <w:tcPr>
                  <w:tcW w:w="9189" w:type="dxa"/>
                  <w:tcBorders>
                    <w:top w:val="nil"/>
                    <w:left w:val="nil"/>
                    <w:bottom w:val="nil"/>
                    <w:right w:val="nil"/>
                  </w:tcBorders>
                  <w:shd w:val="clear" w:color="auto" w:fill="auto"/>
                  <w:noWrap/>
                  <w:vAlign w:val="center"/>
                  <w:hideMark/>
                </w:tcPr>
                <w:p w14:paraId="67016A0A" w14:textId="77777777" w:rsidR="00493611" w:rsidRPr="002B3649" w:rsidRDefault="00493611" w:rsidP="00493611">
                  <w:pPr>
                    <w:rPr>
                      <w:rFonts w:ascii="Calibri" w:hAnsi="Calibri"/>
                      <w:color w:val="000000"/>
                      <w:sz w:val="22"/>
                      <w:szCs w:val="22"/>
                      <w:lang w:val="en-GB" w:eastAsia="en-GB"/>
                    </w:rPr>
                  </w:pPr>
                </w:p>
              </w:tc>
            </w:tr>
            <w:tr w:rsidR="00493611" w:rsidRPr="002E4455" w14:paraId="74C46128" w14:textId="77777777" w:rsidTr="00493611">
              <w:trPr>
                <w:trHeight w:val="300"/>
              </w:trPr>
              <w:tc>
                <w:tcPr>
                  <w:tcW w:w="9189" w:type="dxa"/>
                  <w:tcBorders>
                    <w:top w:val="nil"/>
                    <w:left w:val="nil"/>
                    <w:bottom w:val="nil"/>
                    <w:right w:val="nil"/>
                  </w:tcBorders>
                  <w:shd w:val="clear" w:color="auto" w:fill="auto"/>
                  <w:noWrap/>
                  <w:vAlign w:val="center"/>
                  <w:hideMark/>
                </w:tcPr>
                <w:p w14:paraId="16812DBD" w14:textId="77777777" w:rsidR="00493611" w:rsidRPr="002B3649" w:rsidRDefault="00493611"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tau^2 (estimated amount of residual heterogeneity):     0.0039 (SE = 0.0056)</w:t>
                  </w:r>
                </w:p>
              </w:tc>
            </w:tr>
            <w:tr w:rsidR="00493611" w:rsidRPr="002E4455" w14:paraId="49CA417A" w14:textId="77777777" w:rsidTr="00493611">
              <w:trPr>
                <w:trHeight w:val="300"/>
              </w:trPr>
              <w:tc>
                <w:tcPr>
                  <w:tcW w:w="9189" w:type="dxa"/>
                  <w:tcBorders>
                    <w:top w:val="nil"/>
                    <w:left w:val="nil"/>
                    <w:bottom w:val="nil"/>
                    <w:right w:val="nil"/>
                  </w:tcBorders>
                  <w:shd w:val="clear" w:color="auto" w:fill="auto"/>
                  <w:noWrap/>
                  <w:vAlign w:val="center"/>
                  <w:hideMark/>
                </w:tcPr>
                <w:p w14:paraId="2CD02FE5" w14:textId="77777777" w:rsidR="00493611" w:rsidRPr="002B3649" w:rsidRDefault="00493611"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 (square root of estimated tau^2 value):             0.0621</w:t>
                  </w:r>
                </w:p>
              </w:tc>
            </w:tr>
            <w:tr w:rsidR="00493611" w:rsidRPr="002E4455" w14:paraId="560A3020" w14:textId="77777777" w:rsidTr="00493611">
              <w:trPr>
                <w:trHeight w:val="300"/>
              </w:trPr>
              <w:tc>
                <w:tcPr>
                  <w:tcW w:w="9189" w:type="dxa"/>
                  <w:tcBorders>
                    <w:top w:val="nil"/>
                    <w:left w:val="nil"/>
                    <w:bottom w:val="nil"/>
                    <w:right w:val="nil"/>
                  </w:tcBorders>
                  <w:shd w:val="clear" w:color="auto" w:fill="auto"/>
                  <w:noWrap/>
                  <w:vAlign w:val="center"/>
                  <w:hideMark/>
                </w:tcPr>
                <w:p w14:paraId="6F3EC4A0" w14:textId="77777777" w:rsidR="00493611" w:rsidRPr="002B3649" w:rsidRDefault="00493611"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I^2 (residual heterogeneity / unaccounted variability): 32.04%</w:t>
                  </w:r>
                </w:p>
              </w:tc>
            </w:tr>
            <w:tr w:rsidR="00493611" w:rsidRPr="002E4455" w14:paraId="734FBE12" w14:textId="77777777" w:rsidTr="00493611">
              <w:trPr>
                <w:trHeight w:val="300"/>
              </w:trPr>
              <w:tc>
                <w:tcPr>
                  <w:tcW w:w="9189" w:type="dxa"/>
                  <w:tcBorders>
                    <w:top w:val="nil"/>
                    <w:left w:val="nil"/>
                    <w:bottom w:val="nil"/>
                    <w:right w:val="nil"/>
                  </w:tcBorders>
                  <w:shd w:val="clear" w:color="auto" w:fill="auto"/>
                  <w:noWrap/>
                  <w:vAlign w:val="center"/>
                  <w:hideMark/>
                </w:tcPr>
                <w:p w14:paraId="5FE51B28" w14:textId="77777777" w:rsidR="00493611" w:rsidRPr="002B3649" w:rsidRDefault="00493611"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H^2 (unaccounted variability / sampling variability):   1.47</w:t>
                  </w:r>
                </w:p>
              </w:tc>
            </w:tr>
            <w:tr w:rsidR="00493611" w:rsidRPr="002E4455" w14:paraId="6E286E68" w14:textId="77777777" w:rsidTr="00493611">
              <w:trPr>
                <w:trHeight w:val="300"/>
              </w:trPr>
              <w:tc>
                <w:tcPr>
                  <w:tcW w:w="9189" w:type="dxa"/>
                  <w:tcBorders>
                    <w:top w:val="nil"/>
                    <w:left w:val="nil"/>
                    <w:bottom w:val="nil"/>
                    <w:right w:val="nil"/>
                  </w:tcBorders>
                  <w:shd w:val="clear" w:color="auto" w:fill="auto"/>
                  <w:noWrap/>
                  <w:vAlign w:val="center"/>
                  <w:hideMark/>
                </w:tcPr>
                <w:p w14:paraId="553BB1FF" w14:textId="77777777" w:rsidR="00493611" w:rsidRPr="002B3649" w:rsidRDefault="00493611"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R^2 (amount of heterogeneity accounted for):            0.00%</w:t>
                  </w:r>
                </w:p>
              </w:tc>
            </w:tr>
            <w:tr w:rsidR="00493611" w:rsidRPr="002E4455" w14:paraId="1AB87EF5" w14:textId="77777777" w:rsidTr="00493611">
              <w:trPr>
                <w:trHeight w:val="300"/>
              </w:trPr>
              <w:tc>
                <w:tcPr>
                  <w:tcW w:w="9189" w:type="dxa"/>
                  <w:tcBorders>
                    <w:top w:val="nil"/>
                    <w:left w:val="nil"/>
                    <w:bottom w:val="nil"/>
                    <w:right w:val="nil"/>
                  </w:tcBorders>
                  <w:shd w:val="clear" w:color="auto" w:fill="auto"/>
                  <w:noWrap/>
                  <w:vAlign w:val="center"/>
                  <w:hideMark/>
                </w:tcPr>
                <w:p w14:paraId="202085C4" w14:textId="77777777" w:rsidR="00493611" w:rsidRPr="002B3649" w:rsidRDefault="00493611" w:rsidP="00493611">
                  <w:pPr>
                    <w:rPr>
                      <w:rFonts w:ascii="Calibri" w:hAnsi="Calibri"/>
                      <w:color w:val="000000"/>
                      <w:sz w:val="22"/>
                      <w:szCs w:val="22"/>
                      <w:lang w:val="en-GB" w:eastAsia="en-GB"/>
                    </w:rPr>
                  </w:pPr>
                </w:p>
              </w:tc>
            </w:tr>
            <w:tr w:rsidR="00493611" w:rsidRPr="002B3649" w14:paraId="0322D6B2" w14:textId="77777777" w:rsidTr="00493611">
              <w:trPr>
                <w:trHeight w:val="300"/>
              </w:trPr>
              <w:tc>
                <w:tcPr>
                  <w:tcW w:w="9189" w:type="dxa"/>
                  <w:tcBorders>
                    <w:top w:val="nil"/>
                    <w:left w:val="nil"/>
                    <w:bottom w:val="nil"/>
                    <w:right w:val="nil"/>
                  </w:tcBorders>
                  <w:shd w:val="clear" w:color="auto" w:fill="auto"/>
                  <w:noWrap/>
                  <w:vAlign w:val="center"/>
                  <w:hideMark/>
                </w:tcPr>
                <w:p w14:paraId="32EB2CCF" w14:textId="77777777" w:rsidR="00493611" w:rsidRPr="002B3649" w:rsidRDefault="00493611"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Test for Residual Heterogeneity: </w:t>
                  </w:r>
                </w:p>
              </w:tc>
            </w:tr>
            <w:tr w:rsidR="00493611" w:rsidRPr="002B3649" w14:paraId="2A6AEC12" w14:textId="77777777" w:rsidTr="00493611">
              <w:trPr>
                <w:trHeight w:val="300"/>
              </w:trPr>
              <w:tc>
                <w:tcPr>
                  <w:tcW w:w="9189" w:type="dxa"/>
                  <w:tcBorders>
                    <w:top w:val="nil"/>
                    <w:left w:val="nil"/>
                    <w:bottom w:val="nil"/>
                    <w:right w:val="nil"/>
                  </w:tcBorders>
                  <w:shd w:val="clear" w:color="auto" w:fill="auto"/>
                  <w:noWrap/>
                  <w:vAlign w:val="center"/>
                  <w:hideMark/>
                </w:tcPr>
                <w:p w14:paraId="6A9327CE" w14:textId="77777777" w:rsidR="00493611" w:rsidRPr="002B3649" w:rsidRDefault="00493611"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QE(</w:t>
                  </w:r>
                  <w:proofErr w:type="spellStart"/>
                  <w:r w:rsidRPr="002B3649">
                    <w:rPr>
                      <w:rFonts w:ascii="Lucida Console" w:hAnsi="Lucida Console"/>
                      <w:color w:val="000000"/>
                      <w:sz w:val="20"/>
                      <w:szCs w:val="20"/>
                      <w:lang w:val="en-GB" w:eastAsia="en-GB"/>
                    </w:rPr>
                    <w:t>df</w:t>
                  </w:r>
                  <w:proofErr w:type="spellEnd"/>
                  <w:r w:rsidRPr="002B3649">
                    <w:rPr>
                      <w:rFonts w:ascii="Lucida Console" w:hAnsi="Lucida Console"/>
                      <w:color w:val="000000"/>
                      <w:sz w:val="20"/>
                      <w:szCs w:val="20"/>
                      <w:lang w:val="en-GB" w:eastAsia="en-GB"/>
                    </w:rPr>
                    <w:t xml:space="preserve"> = 9) = 11.9256, p-</w:t>
                  </w:r>
                  <w:proofErr w:type="spellStart"/>
                  <w:r w:rsidRPr="002B3649">
                    <w:rPr>
                      <w:rFonts w:ascii="Lucida Console" w:hAnsi="Lucida Console"/>
                      <w:color w:val="000000"/>
                      <w:sz w:val="20"/>
                      <w:szCs w:val="20"/>
                      <w:lang w:val="en-GB" w:eastAsia="en-GB"/>
                    </w:rPr>
                    <w:t>val</w:t>
                  </w:r>
                  <w:proofErr w:type="spellEnd"/>
                  <w:r w:rsidRPr="002B3649">
                    <w:rPr>
                      <w:rFonts w:ascii="Lucida Console" w:hAnsi="Lucida Console"/>
                      <w:color w:val="000000"/>
                      <w:sz w:val="20"/>
                      <w:szCs w:val="20"/>
                      <w:lang w:val="en-GB" w:eastAsia="en-GB"/>
                    </w:rPr>
                    <w:t xml:space="preserve"> = 0.2175</w:t>
                  </w:r>
                </w:p>
              </w:tc>
            </w:tr>
            <w:tr w:rsidR="00493611" w:rsidRPr="002B3649" w14:paraId="0F2BD4C3" w14:textId="77777777" w:rsidTr="00493611">
              <w:trPr>
                <w:trHeight w:val="300"/>
              </w:trPr>
              <w:tc>
                <w:tcPr>
                  <w:tcW w:w="9189" w:type="dxa"/>
                  <w:tcBorders>
                    <w:top w:val="nil"/>
                    <w:left w:val="nil"/>
                    <w:bottom w:val="nil"/>
                    <w:right w:val="nil"/>
                  </w:tcBorders>
                  <w:shd w:val="clear" w:color="auto" w:fill="auto"/>
                  <w:noWrap/>
                  <w:vAlign w:val="center"/>
                  <w:hideMark/>
                </w:tcPr>
                <w:p w14:paraId="62EF3E09" w14:textId="77777777" w:rsidR="00493611" w:rsidRPr="002B3649" w:rsidRDefault="00493611" w:rsidP="00493611">
                  <w:pPr>
                    <w:rPr>
                      <w:rFonts w:ascii="Calibri" w:hAnsi="Calibri"/>
                      <w:color w:val="000000"/>
                      <w:sz w:val="22"/>
                      <w:szCs w:val="22"/>
                      <w:lang w:val="en-GB" w:eastAsia="en-GB"/>
                    </w:rPr>
                  </w:pPr>
                </w:p>
              </w:tc>
            </w:tr>
            <w:tr w:rsidR="00493611" w:rsidRPr="002E4455" w14:paraId="22353184" w14:textId="77777777" w:rsidTr="00493611">
              <w:trPr>
                <w:trHeight w:val="300"/>
              </w:trPr>
              <w:tc>
                <w:tcPr>
                  <w:tcW w:w="9189" w:type="dxa"/>
                  <w:tcBorders>
                    <w:top w:val="nil"/>
                    <w:left w:val="nil"/>
                    <w:bottom w:val="nil"/>
                    <w:right w:val="nil"/>
                  </w:tcBorders>
                  <w:shd w:val="clear" w:color="auto" w:fill="auto"/>
                  <w:noWrap/>
                  <w:vAlign w:val="center"/>
                  <w:hideMark/>
                </w:tcPr>
                <w:p w14:paraId="1F8DE920" w14:textId="77777777" w:rsidR="00493611" w:rsidRPr="002B3649" w:rsidRDefault="00493611"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Test of Moderators (coefficient(s) 2,3,4): </w:t>
                  </w:r>
                </w:p>
              </w:tc>
            </w:tr>
            <w:tr w:rsidR="00493611" w:rsidRPr="002B3649" w14:paraId="79D721B7" w14:textId="77777777" w:rsidTr="00493611">
              <w:trPr>
                <w:trHeight w:val="300"/>
              </w:trPr>
              <w:tc>
                <w:tcPr>
                  <w:tcW w:w="9189" w:type="dxa"/>
                  <w:tcBorders>
                    <w:top w:val="nil"/>
                    <w:left w:val="nil"/>
                    <w:bottom w:val="nil"/>
                    <w:right w:val="nil"/>
                  </w:tcBorders>
                  <w:shd w:val="clear" w:color="auto" w:fill="auto"/>
                  <w:noWrap/>
                  <w:vAlign w:val="center"/>
                  <w:hideMark/>
                </w:tcPr>
                <w:p w14:paraId="6DB953F7" w14:textId="77777777" w:rsidR="00493611" w:rsidRPr="002B3649" w:rsidRDefault="00493611"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QM(</w:t>
                  </w:r>
                  <w:proofErr w:type="spellStart"/>
                  <w:r w:rsidRPr="002B3649">
                    <w:rPr>
                      <w:rFonts w:ascii="Lucida Console" w:hAnsi="Lucida Console"/>
                      <w:color w:val="000000"/>
                      <w:sz w:val="20"/>
                      <w:szCs w:val="20"/>
                      <w:lang w:val="en-GB" w:eastAsia="en-GB"/>
                    </w:rPr>
                    <w:t>df</w:t>
                  </w:r>
                  <w:proofErr w:type="spellEnd"/>
                  <w:r w:rsidRPr="002B3649">
                    <w:rPr>
                      <w:rFonts w:ascii="Lucida Console" w:hAnsi="Lucida Console"/>
                      <w:color w:val="000000"/>
                      <w:sz w:val="20"/>
                      <w:szCs w:val="20"/>
                      <w:lang w:val="en-GB" w:eastAsia="en-GB"/>
                    </w:rPr>
                    <w:t xml:space="preserve"> = 3) = 2.6632, p-</w:t>
                  </w:r>
                  <w:proofErr w:type="spellStart"/>
                  <w:r w:rsidRPr="002B3649">
                    <w:rPr>
                      <w:rFonts w:ascii="Lucida Console" w:hAnsi="Lucida Console"/>
                      <w:color w:val="000000"/>
                      <w:sz w:val="20"/>
                      <w:szCs w:val="20"/>
                      <w:lang w:val="en-GB" w:eastAsia="en-GB"/>
                    </w:rPr>
                    <w:t>val</w:t>
                  </w:r>
                  <w:proofErr w:type="spellEnd"/>
                  <w:r w:rsidRPr="002B3649">
                    <w:rPr>
                      <w:rFonts w:ascii="Lucida Console" w:hAnsi="Lucida Console"/>
                      <w:color w:val="000000"/>
                      <w:sz w:val="20"/>
                      <w:szCs w:val="20"/>
                      <w:lang w:val="en-GB" w:eastAsia="en-GB"/>
                    </w:rPr>
                    <w:t xml:space="preserve"> = 0.4465</w:t>
                  </w:r>
                </w:p>
              </w:tc>
            </w:tr>
            <w:tr w:rsidR="00493611" w:rsidRPr="002B3649" w14:paraId="11F3D50D" w14:textId="77777777" w:rsidTr="00493611">
              <w:trPr>
                <w:trHeight w:val="300"/>
              </w:trPr>
              <w:tc>
                <w:tcPr>
                  <w:tcW w:w="9189" w:type="dxa"/>
                  <w:tcBorders>
                    <w:top w:val="nil"/>
                    <w:left w:val="nil"/>
                    <w:bottom w:val="nil"/>
                    <w:right w:val="nil"/>
                  </w:tcBorders>
                  <w:shd w:val="clear" w:color="auto" w:fill="auto"/>
                  <w:noWrap/>
                  <w:vAlign w:val="center"/>
                  <w:hideMark/>
                </w:tcPr>
                <w:p w14:paraId="4D355467" w14:textId="77777777" w:rsidR="00493611" w:rsidRPr="002B3649" w:rsidRDefault="00493611" w:rsidP="00493611">
                  <w:pPr>
                    <w:rPr>
                      <w:rFonts w:ascii="Calibri" w:hAnsi="Calibri"/>
                      <w:color w:val="000000"/>
                      <w:sz w:val="22"/>
                      <w:szCs w:val="22"/>
                      <w:lang w:val="en-GB" w:eastAsia="en-GB"/>
                    </w:rPr>
                  </w:pPr>
                </w:p>
              </w:tc>
            </w:tr>
            <w:tr w:rsidR="00493611" w:rsidRPr="002B3649" w14:paraId="27A37453" w14:textId="77777777" w:rsidTr="00493611">
              <w:trPr>
                <w:trHeight w:val="300"/>
              </w:trPr>
              <w:tc>
                <w:tcPr>
                  <w:tcW w:w="9189" w:type="dxa"/>
                  <w:tcBorders>
                    <w:top w:val="nil"/>
                    <w:left w:val="nil"/>
                    <w:bottom w:val="nil"/>
                    <w:right w:val="nil"/>
                  </w:tcBorders>
                  <w:shd w:val="clear" w:color="auto" w:fill="auto"/>
                  <w:noWrap/>
                  <w:vAlign w:val="center"/>
                  <w:hideMark/>
                </w:tcPr>
                <w:p w14:paraId="52412133" w14:textId="77777777" w:rsidR="00493611" w:rsidRPr="002B3649" w:rsidRDefault="00493611"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Model Results:</w:t>
                  </w:r>
                </w:p>
              </w:tc>
            </w:tr>
            <w:tr w:rsidR="00493611" w:rsidRPr="002B3649" w14:paraId="0A8BEDF6" w14:textId="77777777" w:rsidTr="00493611">
              <w:trPr>
                <w:trHeight w:val="300"/>
              </w:trPr>
              <w:tc>
                <w:tcPr>
                  <w:tcW w:w="9189" w:type="dxa"/>
                  <w:tcBorders>
                    <w:top w:val="nil"/>
                    <w:left w:val="nil"/>
                    <w:bottom w:val="nil"/>
                    <w:right w:val="nil"/>
                  </w:tcBorders>
                  <w:shd w:val="clear" w:color="auto" w:fill="auto"/>
                  <w:noWrap/>
                  <w:vAlign w:val="center"/>
                  <w:hideMark/>
                </w:tcPr>
                <w:p w14:paraId="44B262FA" w14:textId="77777777" w:rsidR="00493611" w:rsidRPr="002B3649" w:rsidRDefault="00493611" w:rsidP="00493611">
                  <w:pPr>
                    <w:rPr>
                      <w:rFonts w:ascii="Calibri" w:hAnsi="Calibri"/>
                      <w:color w:val="000000"/>
                      <w:sz w:val="22"/>
                      <w:szCs w:val="22"/>
                      <w:lang w:val="en-GB" w:eastAsia="en-GB"/>
                    </w:rPr>
                  </w:pPr>
                </w:p>
              </w:tc>
            </w:tr>
            <w:tr w:rsidR="00493611" w:rsidRPr="002E4455" w14:paraId="3F1FC3C1" w14:textId="77777777" w:rsidTr="00493611">
              <w:trPr>
                <w:trHeight w:val="300"/>
              </w:trPr>
              <w:tc>
                <w:tcPr>
                  <w:tcW w:w="9189" w:type="dxa"/>
                  <w:tcBorders>
                    <w:top w:val="nil"/>
                    <w:left w:val="nil"/>
                    <w:bottom w:val="nil"/>
                    <w:right w:val="nil"/>
                  </w:tcBorders>
                  <w:shd w:val="clear" w:color="auto" w:fill="auto"/>
                  <w:noWrap/>
                  <w:vAlign w:val="center"/>
                  <w:hideMark/>
                </w:tcPr>
                <w:p w14:paraId="3534A161" w14:textId="77777777" w:rsidR="00493611" w:rsidRPr="002B3649" w:rsidRDefault="00274979" w:rsidP="00274979">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                    </w:t>
                  </w:r>
                  <w:r w:rsidR="00493611" w:rsidRPr="002B3649">
                    <w:rPr>
                      <w:rFonts w:ascii="Lucida Console" w:hAnsi="Lucida Console"/>
                      <w:color w:val="000000"/>
                      <w:sz w:val="20"/>
                      <w:szCs w:val="20"/>
                      <w:lang w:val="en-GB" w:eastAsia="en-GB"/>
                    </w:rPr>
                    <w:t xml:space="preserve">  </w:t>
                  </w:r>
                  <w:r w:rsidRPr="002B3649">
                    <w:rPr>
                      <w:rFonts w:ascii="Lucida Console" w:hAnsi="Lucida Console"/>
                      <w:color w:val="000000"/>
                      <w:sz w:val="20"/>
                      <w:szCs w:val="20"/>
                      <w:lang w:val="en-GB" w:eastAsia="en-GB"/>
                    </w:rPr>
                    <w:t>estimate</w:t>
                  </w:r>
                  <w:r w:rsidR="00493611" w:rsidRPr="002B3649">
                    <w:rPr>
                      <w:rFonts w:ascii="Lucida Console" w:hAnsi="Lucida Console"/>
                      <w:color w:val="000000"/>
                      <w:sz w:val="20"/>
                      <w:szCs w:val="20"/>
                      <w:lang w:val="en-GB" w:eastAsia="en-GB"/>
                    </w:rPr>
                    <w:t xml:space="preserve"> </w:t>
                  </w:r>
                  <w:r w:rsidRPr="002B3649">
                    <w:rPr>
                      <w:rFonts w:ascii="Lucida Console" w:hAnsi="Lucida Console"/>
                      <w:color w:val="000000"/>
                      <w:sz w:val="20"/>
                      <w:szCs w:val="20"/>
                      <w:lang w:val="en-GB" w:eastAsia="en-GB"/>
                    </w:rPr>
                    <w:t xml:space="preserve">     </w:t>
                  </w:r>
                  <w:r w:rsidR="00493611" w:rsidRPr="002B3649">
                    <w:rPr>
                      <w:rFonts w:ascii="Lucida Console" w:hAnsi="Lucida Console"/>
                      <w:color w:val="000000"/>
                      <w:sz w:val="20"/>
                      <w:szCs w:val="20"/>
                      <w:lang w:val="en-GB" w:eastAsia="en-GB"/>
                    </w:rPr>
                    <w:t xml:space="preserve">se     </w:t>
                  </w:r>
                  <w:proofErr w:type="spellStart"/>
                  <w:r w:rsidR="00493611" w:rsidRPr="002B3649">
                    <w:rPr>
                      <w:rFonts w:ascii="Lucida Console" w:hAnsi="Lucida Console"/>
                      <w:color w:val="000000"/>
                      <w:sz w:val="20"/>
                      <w:szCs w:val="20"/>
                      <w:lang w:val="en-GB" w:eastAsia="en-GB"/>
                    </w:rPr>
                    <w:t>zval</w:t>
                  </w:r>
                  <w:proofErr w:type="spellEnd"/>
                  <w:r w:rsidR="00493611" w:rsidRPr="002B3649">
                    <w:rPr>
                      <w:rFonts w:ascii="Lucida Console" w:hAnsi="Lucida Console"/>
                      <w:color w:val="000000"/>
                      <w:sz w:val="20"/>
                      <w:szCs w:val="20"/>
                      <w:lang w:val="en-GB" w:eastAsia="en-GB"/>
                    </w:rPr>
                    <w:t xml:space="preserve">    </w:t>
                  </w:r>
                  <w:proofErr w:type="spellStart"/>
                  <w:r w:rsidR="00493611" w:rsidRPr="002B3649">
                    <w:rPr>
                      <w:rFonts w:ascii="Lucida Console" w:hAnsi="Lucida Console"/>
                      <w:color w:val="000000"/>
                      <w:sz w:val="20"/>
                      <w:szCs w:val="20"/>
                      <w:lang w:val="en-GB" w:eastAsia="en-GB"/>
                    </w:rPr>
                    <w:t>pval</w:t>
                  </w:r>
                  <w:proofErr w:type="spellEnd"/>
                  <w:r w:rsidR="00493611" w:rsidRPr="002B3649">
                    <w:rPr>
                      <w:rFonts w:ascii="Lucida Console" w:hAnsi="Lucida Console"/>
                      <w:color w:val="000000"/>
                      <w:sz w:val="20"/>
                      <w:szCs w:val="20"/>
                      <w:lang w:val="en-GB" w:eastAsia="en-GB"/>
                    </w:rPr>
                    <w:t xml:space="preserve">    ci.lb   </w:t>
                  </w:r>
                  <w:proofErr w:type="spellStart"/>
                  <w:r w:rsidR="00493611" w:rsidRPr="002B3649">
                    <w:rPr>
                      <w:rFonts w:ascii="Lucida Console" w:hAnsi="Lucida Console"/>
                      <w:color w:val="000000"/>
                      <w:sz w:val="20"/>
                      <w:szCs w:val="20"/>
                      <w:lang w:val="en-GB" w:eastAsia="en-GB"/>
                    </w:rPr>
                    <w:t>ci.ub</w:t>
                  </w:r>
                  <w:proofErr w:type="spellEnd"/>
                  <w:r w:rsidR="00493611" w:rsidRPr="002B3649">
                    <w:rPr>
                      <w:rFonts w:ascii="Lucida Console" w:hAnsi="Lucida Console"/>
                      <w:color w:val="000000"/>
                      <w:sz w:val="20"/>
                      <w:szCs w:val="20"/>
                      <w:lang w:val="en-GB" w:eastAsia="en-GB"/>
                    </w:rPr>
                    <w:t xml:space="preserve">   </w:t>
                  </w:r>
                </w:p>
              </w:tc>
            </w:tr>
            <w:tr w:rsidR="00493611" w:rsidRPr="002B3649" w14:paraId="2D3DE5E8" w14:textId="77777777" w:rsidTr="00493611">
              <w:trPr>
                <w:trHeight w:val="300"/>
              </w:trPr>
              <w:tc>
                <w:tcPr>
                  <w:tcW w:w="9189" w:type="dxa"/>
                  <w:tcBorders>
                    <w:top w:val="nil"/>
                    <w:left w:val="nil"/>
                    <w:bottom w:val="nil"/>
                    <w:right w:val="nil"/>
                  </w:tcBorders>
                  <w:shd w:val="clear" w:color="auto" w:fill="auto"/>
                  <w:noWrap/>
                  <w:vAlign w:val="center"/>
                  <w:hideMark/>
                </w:tcPr>
                <w:p w14:paraId="40A5A1D3" w14:textId="77777777" w:rsidR="00493611" w:rsidRPr="002B3649" w:rsidRDefault="00493611" w:rsidP="00493611">
                  <w:pPr>
                    <w:rPr>
                      <w:rFonts w:ascii="Lucida Console" w:hAnsi="Lucida Console"/>
                      <w:color w:val="000000"/>
                      <w:sz w:val="20"/>
                      <w:szCs w:val="20"/>
                      <w:lang w:val="en-GB" w:eastAsia="en-GB"/>
                    </w:rPr>
                  </w:pPr>
                  <w:proofErr w:type="spellStart"/>
                  <w:r w:rsidRPr="002B3649">
                    <w:rPr>
                      <w:rFonts w:ascii="Lucida Console" w:hAnsi="Lucida Console"/>
                      <w:color w:val="000000"/>
                      <w:sz w:val="20"/>
                      <w:szCs w:val="20"/>
                      <w:lang w:val="en-GB" w:eastAsia="en-GB"/>
                    </w:rPr>
                    <w:t>intrcpt</w:t>
                  </w:r>
                  <w:proofErr w:type="spellEnd"/>
                  <w:r w:rsidRPr="002B3649">
                    <w:rPr>
                      <w:rFonts w:ascii="Lucida Console" w:hAnsi="Lucida Console"/>
                      <w:color w:val="000000"/>
                      <w:sz w:val="20"/>
                      <w:szCs w:val="20"/>
                      <w:lang w:val="en-GB" w:eastAsia="en-GB"/>
                    </w:rPr>
                    <w:t xml:space="preserve">                -0.0489  0.0318  -1.5375  0.1242  -0.1112  0.0134   </w:t>
                  </w:r>
                </w:p>
              </w:tc>
            </w:tr>
            <w:tr w:rsidR="00493611" w:rsidRPr="002B3649" w14:paraId="1F84498C" w14:textId="77777777" w:rsidTr="00493611">
              <w:trPr>
                <w:trHeight w:val="300"/>
              </w:trPr>
              <w:tc>
                <w:tcPr>
                  <w:tcW w:w="9189" w:type="dxa"/>
                  <w:tcBorders>
                    <w:top w:val="nil"/>
                    <w:left w:val="nil"/>
                    <w:bottom w:val="nil"/>
                    <w:right w:val="nil"/>
                  </w:tcBorders>
                  <w:shd w:val="clear" w:color="auto" w:fill="auto"/>
                  <w:noWrap/>
                  <w:vAlign w:val="center"/>
                  <w:hideMark/>
                </w:tcPr>
                <w:p w14:paraId="3AA9CF59" w14:textId="77777777" w:rsidR="00493611" w:rsidRPr="002B3649" w:rsidRDefault="00493611"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I(</w:t>
                  </w:r>
                  <w:proofErr w:type="spellStart"/>
                  <w:r w:rsidRPr="002B3649">
                    <w:rPr>
                      <w:rFonts w:ascii="Lucida Console" w:hAnsi="Lucida Console"/>
                      <w:color w:val="000000"/>
                      <w:sz w:val="20"/>
                      <w:szCs w:val="20"/>
                      <w:lang w:val="en-GB" w:eastAsia="en-GB"/>
                    </w:rPr>
                    <w:t>MED_a_perc</w:t>
                  </w:r>
                  <w:proofErr w:type="spellEnd"/>
                  <w:r w:rsidRPr="002B3649">
                    <w:rPr>
                      <w:rFonts w:ascii="Lucida Console" w:hAnsi="Lucida Console"/>
                      <w:color w:val="000000"/>
                      <w:sz w:val="20"/>
                      <w:szCs w:val="20"/>
                      <w:lang w:val="en-GB" w:eastAsia="en-GB"/>
                    </w:rPr>
                    <w:t xml:space="preserve"> - 68.72)   0.0042  0.0031   1.3557  0.1752  -0.0019  0.0103   </w:t>
                  </w:r>
                </w:p>
              </w:tc>
            </w:tr>
            <w:tr w:rsidR="00493611" w:rsidRPr="002B3649" w14:paraId="59C06FD0" w14:textId="77777777" w:rsidTr="00493611">
              <w:trPr>
                <w:trHeight w:val="300"/>
              </w:trPr>
              <w:tc>
                <w:tcPr>
                  <w:tcW w:w="9189" w:type="dxa"/>
                  <w:tcBorders>
                    <w:top w:val="nil"/>
                    <w:left w:val="nil"/>
                    <w:bottom w:val="nil"/>
                    <w:right w:val="nil"/>
                  </w:tcBorders>
                  <w:shd w:val="clear" w:color="auto" w:fill="auto"/>
                  <w:noWrap/>
                  <w:vAlign w:val="center"/>
                  <w:hideMark/>
                </w:tcPr>
                <w:p w14:paraId="31064CE3" w14:textId="77777777" w:rsidR="00493611" w:rsidRPr="002B3649" w:rsidRDefault="00493611"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I(</w:t>
                  </w:r>
                  <w:proofErr w:type="spellStart"/>
                  <w:r w:rsidRPr="002B3649">
                    <w:rPr>
                      <w:rFonts w:ascii="Lucida Console" w:hAnsi="Lucida Console"/>
                      <w:color w:val="000000"/>
                      <w:sz w:val="20"/>
                      <w:szCs w:val="20"/>
                      <w:lang w:val="en-GB" w:eastAsia="en-GB"/>
                    </w:rPr>
                    <w:t>MED_b_perc</w:t>
                  </w:r>
                  <w:proofErr w:type="spellEnd"/>
                  <w:r w:rsidRPr="002B3649">
                    <w:rPr>
                      <w:rFonts w:ascii="Lucida Console" w:hAnsi="Lucida Console"/>
                      <w:color w:val="000000"/>
                      <w:sz w:val="20"/>
                      <w:szCs w:val="20"/>
                      <w:lang w:val="en-GB" w:eastAsia="en-GB"/>
                    </w:rPr>
                    <w:t xml:space="preserve"> - 8.536)   0.0009  0.0048   0.1812  0.8562  -0.0086  0.0103   </w:t>
                  </w:r>
                </w:p>
              </w:tc>
            </w:tr>
            <w:tr w:rsidR="00493611" w:rsidRPr="002B3649" w14:paraId="5FF0416C" w14:textId="77777777" w:rsidTr="00493611">
              <w:trPr>
                <w:trHeight w:val="300"/>
              </w:trPr>
              <w:tc>
                <w:tcPr>
                  <w:tcW w:w="9189" w:type="dxa"/>
                  <w:tcBorders>
                    <w:top w:val="nil"/>
                    <w:left w:val="nil"/>
                    <w:bottom w:val="nil"/>
                    <w:right w:val="nil"/>
                  </w:tcBorders>
                  <w:shd w:val="clear" w:color="auto" w:fill="auto"/>
                  <w:noWrap/>
                  <w:vAlign w:val="center"/>
                  <w:hideMark/>
                </w:tcPr>
                <w:p w14:paraId="468E661D" w14:textId="77777777" w:rsidR="00493611" w:rsidRPr="002B3649" w:rsidRDefault="00493611" w:rsidP="00493611">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I(</w:t>
                  </w:r>
                  <w:proofErr w:type="spellStart"/>
                  <w:r w:rsidRPr="002B3649">
                    <w:rPr>
                      <w:rFonts w:ascii="Lucida Console" w:hAnsi="Lucida Console"/>
                      <w:color w:val="000000"/>
                      <w:sz w:val="20"/>
                      <w:szCs w:val="20"/>
                      <w:lang w:val="en-GB" w:eastAsia="en-GB"/>
                    </w:rPr>
                    <w:t>MED_t_perc</w:t>
                  </w:r>
                  <w:proofErr w:type="spellEnd"/>
                  <w:r w:rsidRPr="002B3649">
                    <w:rPr>
                      <w:rFonts w:ascii="Lucida Console" w:hAnsi="Lucida Console"/>
                      <w:color w:val="000000"/>
                      <w:sz w:val="20"/>
                      <w:szCs w:val="20"/>
                      <w:lang w:val="en-GB" w:eastAsia="en-GB"/>
                    </w:rPr>
                    <w:t xml:space="preserve"> - 11.1)    0.0022  0.0038   0.5879  0.5566  -0.0052  0.0097   </w:t>
                  </w:r>
                </w:p>
              </w:tc>
            </w:tr>
          </w:tbl>
          <w:p w14:paraId="1F0AB2BD" w14:textId="77777777" w:rsidR="00F119A4" w:rsidRPr="002B3649" w:rsidRDefault="00F119A4" w:rsidP="00F119A4">
            <w:pPr>
              <w:rPr>
                <w:rFonts w:ascii="Lucida Console" w:hAnsi="Lucida Console"/>
                <w:color w:val="000000"/>
                <w:sz w:val="20"/>
                <w:szCs w:val="20"/>
                <w:lang w:val="en-GB" w:eastAsia="en-GB"/>
              </w:rPr>
            </w:pPr>
          </w:p>
        </w:tc>
      </w:tr>
    </w:tbl>
    <w:p w14:paraId="2575E051" w14:textId="77777777" w:rsidR="006F73F7" w:rsidRPr="002B3649" w:rsidRDefault="00582A31" w:rsidP="00B00AB8">
      <w:pPr>
        <w:spacing w:line="360" w:lineRule="auto"/>
        <w:rPr>
          <w:rFonts w:asciiTheme="minorHAnsi" w:hAnsiTheme="minorHAnsi"/>
          <w:lang w:val="en-GB"/>
        </w:rPr>
      </w:pPr>
      <w:r w:rsidRPr="002B3649">
        <w:rPr>
          <w:rFonts w:asciiTheme="minorHAnsi" w:hAnsiTheme="minorHAnsi"/>
          <w:lang w:val="en-GB"/>
        </w:rPr>
        <w:t>N.B.:</w:t>
      </w:r>
      <w:r w:rsidR="00274979" w:rsidRPr="002B3649">
        <w:rPr>
          <w:rFonts w:asciiTheme="minorHAnsi" w:hAnsiTheme="minorHAnsi"/>
          <w:lang w:val="en-GB"/>
        </w:rPr>
        <w:t xml:space="preserve"> predictor abbreviations</w:t>
      </w:r>
      <w:r w:rsidRPr="002B3649">
        <w:rPr>
          <w:rFonts w:asciiTheme="minorHAnsi" w:hAnsiTheme="minorHAnsi"/>
          <w:lang w:val="en-GB"/>
        </w:rPr>
        <w:t xml:space="preserve"> refer to percentage of patients treated with atypical (</w:t>
      </w:r>
      <w:proofErr w:type="spellStart"/>
      <w:r w:rsidRPr="002B3649">
        <w:rPr>
          <w:rFonts w:asciiTheme="minorHAnsi" w:hAnsiTheme="minorHAnsi"/>
          <w:lang w:val="en-GB"/>
        </w:rPr>
        <w:t>MED_a_perc</w:t>
      </w:r>
      <w:proofErr w:type="spellEnd"/>
      <w:r w:rsidRPr="002B3649">
        <w:rPr>
          <w:rFonts w:asciiTheme="minorHAnsi" w:hAnsiTheme="minorHAnsi"/>
          <w:lang w:val="en-GB"/>
        </w:rPr>
        <w:t>) or typical (</w:t>
      </w:r>
      <w:proofErr w:type="spellStart"/>
      <w:r w:rsidRPr="002B3649">
        <w:rPr>
          <w:rFonts w:asciiTheme="minorHAnsi" w:hAnsiTheme="minorHAnsi"/>
          <w:lang w:val="en-GB"/>
        </w:rPr>
        <w:t>MED_t_perc</w:t>
      </w:r>
      <w:proofErr w:type="spellEnd"/>
      <w:r w:rsidRPr="002B3649">
        <w:rPr>
          <w:rFonts w:asciiTheme="minorHAnsi" w:hAnsiTheme="minorHAnsi"/>
          <w:lang w:val="en-GB"/>
        </w:rPr>
        <w:t>) antipsychotics, both antipsychotic medication types (</w:t>
      </w:r>
      <w:proofErr w:type="spellStart"/>
      <w:r w:rsidRPr="002B3649">
        <w:rPr>
          <w:rFonts w:asciiTheme="minorHAnsi" w:hAnsiTheme="minorHAnsi"/>
          <w:lang w:val="en-GB"/>
        </w:rPr>
        <w:t>MED_b_perc</w:t>
      </w:r>
      <w:proofErr w:type="spellEnd"/>
      <w:r w:rsidRPr="002B3649">
        <w:rPr>
          <w:rFonts w:asciiTheme="minorHAnsi" w:hAnsiTheme="minorHAnsi"/>
          <w:lang w:val="en-GB"/>
        </w:rPr>
        <w:t xml:space="preserve">) and the percentage of </w:t>
      </w:r>
      <w:proofErr w:type="spellStart"/>
      <w:r w:rsidRPr="002B3649">
        <w:rPr>
          <w:rFonts w:asciiTheme="minorHAnsi" w:hAnsiTheme="minorHAnsi"/>
          <w:lang w:val="en-GB"/>
        </w:rPr>
        <w:t>unmedicated</w:t>
      </w:r>
      <w:proofErr w:type="spellEnd"/>
      <w:r w:rsidRPr="002B3649">
        <w:rPr>
          <w:rFonts w:asciiTheme="minorHAnsi" w:hAnsiTheme="minorHAnsi"/>
          <w:lang w:val="en-GB"/>
        </w:rPr>
        <w:t xml:space="preserve"> patients (</w:t>
      </w:r>
      <w:proofErr w:type="spellStart"/>
      <w:r w:rsidRPr="002B3649">
        <w:rPr>
          <w:rFonts w:asciiTheme="minorHAnsi" w:hAnsiTheme="minorHAnsi"/>
          <w:lang w:val="en-GB"/>
        </w:rPr>
        <w:t>intrcpt</w:t>
      </w:r>
      <w:proofErr w:type="spellEnd"/>
      <w:r w:rsidRPr="002B3649">
        <w:rPr>
          <w:rFonts w:asciiTheme="minorHAnsi" w:hAnsiTheme="minorHAnsi"/>
          <w:lang w:val="en-GB"/>
        </w:rPr>
        <w:t>, i.e. baseline).</w:t>
      </w:r>
    </w:p>
    <w:p w14:paraId="362B4464" w14:textId="77777777" w:rsidR="007E7FB2" w:rsidRPr="002B3649" w:rsidRDefault="007E7FB2" w:rsidP="00B00AB8">
      <w:pPr>
        <w:pStyle w:val="ListParagraph"/>
        <w:spacing w:line="360" w:lineRule="auto"/>
        <w:ind w:left="360"/>
        <w:rPr>
          <w:rFonts w:asciiTheme="minorHAnsi" w:hAnsiTheme="minorHAnsi"/>
          <w:lang w:val="en-GB"/>
        </w:rPr>
      </w:pPr>
    </w:p>
    <w:p w14:paraId="34EB7650" w14:textId="77777777" w:rsidR="004B510D" w:rsidRPr="002B3649" w:rsidRDefault="004B510D" w:rsidP="004B510D">
      <w:pPr>
        <w:pStyle w:val="ListParagraph"/>
        <w:numPr>
          <w:ilvl w:val="0"/>
          <w:numId w:val="1"/>
        </w:numPr>
        <w:spacing w:line="360" w:lineRule="auto"/>
        <w:rPr>
          <w:rFonts w:asciiTheme="minorHAnsi" w:hAnsiTheme="minorHAnsi"/>
          <w:lang w:val="en-GB"/>
        </w:rPr>
      </w:pPr>
      <w:r w:rsidRPr="002B3649">
        <w:rPr>
          <w:rFonts w:asciiTheme="minorHAnsi" w:hAnsiTheme="minorHAnsi"/>
          <w:lang w:val="en-GB"/>
        </w:rPr>
        <w:t xml:space="preserve">Moderation analysis of handedness on the association between global SANS scores and left </w:t>
      </w:r>
      <w:r w:rsidR="00447EBC" w:rsidRPr="002B3649">
        <w:rPr>
          <w:rFonts w:asciiTheme="minorHAnsi" w:hAnsiTheme="minorHAnsi"/>
          <w:lang w:val="en-GB"/>
        </w:rPr>
        <w:t>MOFC</w:t>
      </w:r>
      <w:r w:rsidRPr="002B3649">
        <w:rPr>
          <w:rFonts w:asciiTheme="minorHAnsi" w:hAnsiTheme="minorHAnsi"/>
          <w:lang w:val="en-GB"/>
        </w:rPr>
        <w:t xml:space="preserve"> thickness</w:t>
      </w:r>
    </w:p>
    <w:p w14:paraId="4826A790" w14:textId="77777777" w:rsidR="00A9120A" w:rsidRPr="002B3649" w:rsidRDefault="00A9120A" w:rsidP="004B510D">
      <w:pPr>
        <w:spacing w:line="360" w:lineRule="auto"/>
        <w:rPr>
          <w:rFonts w:asciiTheme="minorHAnsi" w:hAnsiTheme="minorHAnsi"/>
          <w:lang w:val="en-GB"/>
        </w:rPr>
      </w:pPr>
    </w:p>
    <w:p w14:paraId="0DF72A9D" w14:textId="77777777" w:rsidR="004B510D" w:rsidRDefault="004B510D" w:rsidP="004B510D">
      <w:pPr>
        <w:pStyle w:val="ListParagraph"/>
        <w:spacing w:line="360" w:lineRule="auto"/>
        <w:ind w:left="360"/>
        <w:rPr>
          <w:rFonts w:asciiTheme="minorHAnsi" w:hAnsiTheme="minorHAnsi"/>
          <w:lang w:val="en-GB"/>
        </w:rPr>
      </w:pPr>
      <w:r w:rsidRPr="002B3649">
        <w:rPr>
          <w:rFonts w:asciiTheme="minorHAnsi" w:hAnsiTheme="minorHAnsi"/>
          <w:lang w:val="en-GB"/>
        </w:rPr>
        <w:t xml:space="preserve">To investigate potentially moderating effects of handedness, we derived the percentage of ambidextrous, left- and right-handed participants. Shown below are the estimate, the standard error, p value and the confidence intervals for the moderating effects of handedness on the meta-analytical standardized regression beta of global SANS scores on left </w:t>
      </w:r>
      <w:r w:rsidR="00447EBC" w:rsidRPr="002B3649">
        <w:rPr>
          <w:rFonts w:asciiTheme="minorHAnsi" w:hAnsiTheme="minorHAnsi"/>
          <w:lang w:val="en-GB"/>
        </w:rPr>
        <w:t>MOFC</w:t>
      </w:r>
      <w:r w:rsidRPr="002B3649">
        <w:rPr>
          <w:rFonts w:asciiTheme="minorHAnsi" w:hAnsiTheme="minorHAnsi"/>
          <w:lang w:val="en-GB"/>
        </w:rPr>
        <w:t xml:space="preserve"> thickness. Percentages of </w:t>
      </w:r>
      <w:proofErr w:type="spellStart"/>
      <w:r w:rsidRPr="002B3649">
        <w:rPr>
          <w:rFonts w:asciiTheme="minorHAnsi" w:hAnsiTheme="minorHAnsi"/>
          <w:lang w:val="en-GB"/>
        </w:rPr>
        <w:t>ambidextriuos</w:t>
      </w:r>
      <w:proofErr w:type="spellEnd"/>
      <w:r w:rsidRPr="002B3649">
        <w:rPr>
          <w:rFonts w:asciiTheme="minorHAnsi" w:hAnsiTheme="minorHAnsi"/>
          <w:lang w:val="en-GB"/>
        </w:rPr>
        <w:t xml:space="preserve"> and left-handed </w:t>
      </w:r>
      <w:proofErr w:type="spellStart"/>
      <w:r w:rsidRPr="002B3649">
        <w:rPr>
          <w:rFonts w:asciiTheme="minorHAnsi" w:hAnsiTheme="minorHAnsi"/>
          <w:lang w:val="en-GB"/>
        </w:rPr>
        <w:t>partipicants</w:t>
      </w:r>
      <w:proofErr w:type="spellEnd"/>
      <w:r w:rsidRPr="002B3649">
        <w:rPr>
          <w:rFonts w:asciiTheme="minorHAnsi" w:hAnsiTheme="minorHAnsi"/>
          <w:lang w:val="en-GB"/>
        </w:rPr>
        <w:t xml:space="preserve"> were mean </w:t>
      </w:r>
      <w:proofErr w:type="spellStart"/>
      <w:r w:rsidRPr="002B3649">
        <w:rPr>
          <w:rFonts w:asciiTheme="minorHAnsi" w:hAnsiTheme="minorHAnsi"/>
          <w:lang w:val="en-GB"/>
        </w:rPr>
        <w:t>centered</w:t>
      </w:r>
      <w:proofErr w:type="spellEnd"/>
      <w:r w:rsidRPr="002B3649">
        <w:rPr>
          <w:rFonts w:asciiTheme="minorHAnsi" w:hAnsiTheme="minorHAnsi"/>
          <w:lang w:val="en-GB"/>
        </w:rPr>
        <w:t xml:space="preserve"> and compared to the right-handed group (baseline). The intercept refers to the effect of global SANS score on left </w:t>
      </w:r>
      <w:r w:rsidR="00447EBC" w:rsidRPr="002B3649">
        <w:rPr>
          <w:rFonts w:asciiTheme="minorHAnsi" w:hAnsiTheme="minorHAnsi"/>
          <w:lang w:val="en-GB"/>
        </w:rPr>
        <w:t>MOFC</w:t>
      </w:r>
      <w:r w:rsidRPr="002B3649">
        <w:rPr>
          <w:rFonts w:asciiTheme="minorHAnsi" w:hAnsiTheme="minorHAnsi"/>
          <w:lang w:val="en-GB"/>
        </w:rPr>
        <w:t xml:space="preserve"> thickness after accounting for handedness. Results w</w:t>
      </w:r>
      <w:r w:rsidRPr="003E3FC7">
        <w:rPr>
          <w:rFonts w:asciiTheme="minorHAnsi" w:hAnsiTheme="minorHAnsi"/>
          <w:lang w:val="en-GB"/>
        </w:rPr>
        <w:t xml:space="preserve">ere based on estimates from </w:t>
      </w:r>
      <w:r>
        <w:rPr>
          <w:rFonts w:asciiTheme="minorHAnsi" w:hAnsiTheme="minorHAnsi"/>
          <w:lang w:val="en-GB"/>
        </w:rPr>
        <w:t>14</w:t>
      </w:r>
      <w:r w:rsidRPr="003E3FC7">
        <w:rPr>
          <w:rFonts w:asciiTheme="minorHAnsi" w:hAnsiTheme="minorHAnsi"/>
          <w:lang w:val="en-GB"/>
        </w:rPr>
        <w:t xml:space="preserve"> studies.</w:t>
      </w:r>
    </w:p>
    <w:tbl>
      <w:tblPr>
        <w:tblW w:w="9189"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9"/>
      </w:tblGrid>
      <w:tr w:rsidR="004B510D" w:rsidRPr="002E4455" w14:paraId="1F987806" w14:textId="77777777" w:rsidTr="00B00AB8">
        <w:trPr>
          <w:trHeight w:val="300"/>
        </w:trPr>
        <w:tc>
          <w:tcPr>
            <w:tcW w:w="9189" w:type="dxa"/>
            <w:shd w:val="clear" w:color="auto" w:fill="auto"/>
            <w:noWrap/>
            <w:vAlign w:val="center"/>
            <w:hideMark/>
          </w:tcPr>
          <w:p w14:paraId="5E2A80B5" w14:textId="77777777" w:rsidR="004B510D" w:rsidRPr="004B510D" w:rsidRDefault="004B510D" w:rsidP="004B510D">
            <w:pPr>
              <w:rPr>
                <w:rFonts w:ascii="Lucida Console" w:hAnsi="Lucida Console"/>
                <w:color w:val="000000"/>
                <w:sz w:val="20"/>
                <w:szCs w:val="20"/>
                <w:lang w:val="en-GB" w:eastAsia="en-GB"/>
              </w:rPr>
            </w:pPr>
            <w:r w:rsidRPr="004B510D">
              <w:rPr>
                <w:rFonts w:ascii="Lucida Console" w:hAnsi="Lucida Console"/>
                <w:color w:val="000000"/>
                <w:sz w:val="20"/>
                <w:szCs w:val="20"/>
                <w:lang w:val="en-GB" w:eastAsia="en-GB"/>
              </w:rPr>
              <w:t>Mixed-Effects Model (k = 14; tau^2 estimator: REML)</w:t>
            </w:r>
          </w:p>
        </w:tc>
      </w:tr>
      <w:tr w:rsidR="004B510D" w:rsidRPr="002E4455" w14:paraId="5AF28D83" w14:textId="77777777" w:rsidTr="00B00AB8">
        <w:trPr>
          <w:trHeight w:val="300"/>
        </w:trPr>
        <w:tc>
          <w:tcPr>
            <w:tcW w:w="9189" w:type="dxa"/>
            <w:shd w:val="clear" w:color="auto" w:fill="auto"/>
            <w:noWrap/>
            <w:vAlign w:val="center"/>
            <w:hideMark/>
          </w:tcPr>
          <w:p w14:paraId="3741309B" w14:textId="77777777" w:rsidR="004B510D" w:rsidRPr="004B510D" w:rsidRDefault="004B510D" w:rsidP="004B510D">
            <w:pPr>
              <w:rPr>
                <w:rFonts w:ascii="Calibri" w:hAnsi="Calibri"/>
                <w:color w:val="000000"/>
                <w:sz w:val="22"/>
                <w:szCs w:val="22"/>
                <w:lang w:val="en-GB" w:eastAsia="en-GB"/>
              </w:rPr>
            </w:pPr>
          </w:p>
        </w:tc>
      </w:tr>
      <w:tr w:rsidR="004B510D" w:rsidRPr="002E4455" w14:paraId="788A110A" w14:textId="77777777" w:rsidTr="00B00AB8">
        <w:trPr>
          <w:trHeight w:val="300"/>
        </w:trPr>
        <w:tc>
          <w:tcPr>
            <w:tcW w:w="9189" w:type="dxa"/>
            <w:shd w:val="clear" w:color="auto" w:fill="auto"/>
            <w:noWrap/>
            <w:vAlign w:val="center"/>
            <w:hideMark/>
          </w:tcPr>
          <w:p w14:paraId="262BC750" w14:textId="77777777" w:rsidR="004B510D" w:rsidRPr="004B510D" w:rsidRDefault="004B510D" w:rsidP="004B510D">
            <w:pPr>
              <w:rPr>
                <w:rFonts w:ascii="Lucida Console" w:hAnsi="Lucida Console"/>
                <w:color w:val="000000"/>
                <w:sz w:val="20"/>
                <w:szCs w:val="20"/>
                <w:lang w:val="en-GB" w:eastAsia="en-GB"/>
              </w:rPr>
            </w:pPr>
            <w:r w:rsidRPr="004B510D">
              <w:rPr>
                <w:rFonts w:ascii="Lucida Console" w:hAnsi="Lucida Console"/>
                <w:color w:val="000000"/>
                <w:sz w:val="20"/>
                <w:szCs w:val="20"/>
                <w:lang w:val="en-GB" w:eastAsia="en-GB"/>
              </w:rPr>
              <w:lastRenderedPageBreak/>
              <w:t>tau^2 (estimated amount of residual heterogeneity):     0.0061 (SE = 0.0059)</w:t>
            </w:r>
          </w:p>
        </w:tc>
      </w:tr>
      <w:tr w:rsidR="004B510D" w:rsidRPr="002E4455" w14:paraId="57C6A4EB" w14:textId="77777777" w:rsidTr="00B00AB8">
        <w:trPr>
          <w:trHeight w:val="300"/>
        </w:trPr>
        <w:tc>
          <w:tcPr>
            <w:tcW w:w="9189" w:type="dxa"/>
            <w:shd w:val="clear" w:color="auto" w:fill="auto"/>
            <w:noWrap/>
            <w:vAlign w:val="center"/>
            <w:hideMark/>
          </w:tcPr>
          <w:p w14:paraId="63BCA9B0" w14:textId="77777777" w:rsidR="004B510D" w:rsidRPr="004B510D" w:rsidRDefault="004B510D" w:rsidP="004B510D">
            <w:pPr>
              <w:rPr>
                <w:rFonts w:ascii="Lucida Console" w:hAnsi="Lucida Console"/>
                <w:color w:val="000000"/>
                <w:sz w:val="20"/>
                <w:szCs w:val="20"/>
                <w:lang w:val="en-GB" w:eastAsia="en-GB"/>
              </w:rPr>
            </w:pPr>
            <w:r w:rsidRPr="004B510D">
              <w:rPr>
                <w:rFonts w:ascii="Lucida Console" w:hAnsi="Lucida Console"/>
                <w:color w:val="000000"/>
                <w:sz w:val="20"/>
                <w:szCs w:val="20"/>
                <w:lang w:val="en-GB" w:eastAsia="en-GB"/>
              </w:rPr>
              <w:t>tau (square root of estimated tau^2 value):             0.0780</w:t>
            </w:r>
          </w:p>
        </w:tc>
      </w:tr>
      <w:tr w:rsidR="004B510D" w:rsidRPr="002E4455" w14:paraId="10070D28" w14:textId="77777777" w:rsidTr="00B00AB8">
        <w:trPr>
          <w:trHeight w:val="300"/>
        </w:trPr>
        <w:tc>
          <w:tcPr>
            <w:tcW w:w="9189" w:type="dxa"/>
            <w:shd w:val="clear" w:color="auto" w:fill="auto"/>
            <w:noWrap/>
            <w:vAlign w:val="center"/>
            <w:hideMark/>
          </w:tcPr>
          <w:p w14:paraId="7AB1BF5B" w14:textId="77777777" w:rsidR="004B510D" w:rsidRPr="004B510D" w:rsidRDefault="004B510D" w:rsidP="004B510D">
            <w:pPr>
              <w:rPr>
                <w:rFonts w:ascii="Lucida Console" w:hAnsi="Lucida Console"/>
                <w:color w:val="000000"/>
                <w:sz w:val="20"/>
                <w:szCs w:val="20"/>
                <w:lang w:val="en-GB" w:eastAsia="en-GB"/>
              </w:rPr>
            </w:pPr>
            <w:r w:rsidRPr="004B510D">
              <w:rPr>
                <w:rFonts w:ascii="Lucida Console" w:hAnsi="Lucida Console"/>
                <w:color w:val="000000"/>
                <w:sz w:val="20"/>
                <w:szCs w:val="20"/>
                <w:lang w:val="en-GB" w:eastAsia="en-GB"/>
              </w:rPr>
              <w:t>I^2 (residual heterogeneity / unaccounted variability): 44.65%</w:t>
            </w:r>
          </w:p>
        </w:tc>
      </w:tr>
      <w:tr w:rsidR="004B510D" w:rsidRPr="002E4455" w14:paraId="3745DC4B" w14:textId="77777777" w:rsidTr="00B00AB8">
        <w:trPr>
          <w:trHeight w:val="300"/>
        </w:trPr>
        <w:tc>
          <w:tcPr>
            <w:tcW w:w="9189" w:type="dxa"/>
            <w:shd w:val="clear" w:color="auto" w:fill="auto"/>
            <w:noWrap/>
            <w:vAlign w:val="center"/>
            <w:hideMark/>
          </w:tcPr>
          <w:p w14:paraId="79907E2F" w14:textId="77777777" w:rsidR="004B510D" w:rsidRPr="004B510D" w:rsidRDefault="004B510D" w:rsidP="004B510D">
            <w:pPr>
              <w:rPr>
                <w:rFonts w:ascii="Lucida Console" w:hAnsi="Lucida Console"/>
                <w:color w:val="000000"/>
                <w:sz w:val="20"/>
                <w:szCs w:val="20"/>
                <w:lang w:val="en-GB" w:eastAsia="en-GB"/>
              </w:rPr>
            </w:pPr>
            <w:r w:rsidRPr="004B510D">
              <w:rPr>
                <w:rFonts w:ascii="Lucida Console" w:hAnsi="Lucida Console"/>
                <w:color w:val="000000"/>
                <w:sz w:val="20"/>
                <w:szCs w:val="20"/>
                <w:lang w:val="en-GB" w:eastAsia="en-GB"/>
              </w:rPr>
              <w:t>H^2 (unaccounted variability / sampling variability):   1.81</w:t>
            </w:r>
          </w:p>
        </w:tc>
      </w:tr>
      <w:tr w:rsidR="004B510D" w:rsidRPr="002E4455" w14:paraId="2094D64A" w14:textId="77777777" w:rsidTr="00B00AB8">
        <w:trPr>
          <w:trHeight w:val="300"/>
        </w:trPr>
        <w:tc>
          <w:tcPr>
            <w:tcW w:w="9189" w:type="dxa"/>
            <w:shd w:val="clear" w:color="auto" w:fill="auto"/>
            <w:noWrap/>
            <w:vAlign w:val="center"/>
            <w:hideMark/>
          </w:tcPr>
          <w:p w14:paraId="0E20EF9B" w14:textId="77777777" w:rsidR="004B510D" w:rsidRPr="004B510D" w:rsidRDefault="004B510D" w:rsidP="004B510D">
            <w:pPr>
              <w:rPr>
                <w:rFonts w:ascii="Lucida Console" w:hAnsi="Lucida Console"/>
                <w:color w:val="000000"/>
                <w:sz w:val="20"/>
                <w:szCs w:val="20"/>
                <w:lang w:val="en-GB" w:eastAsia="en-GB"/>
              </w:rPr>
            </w:pPr>
            <w:r w:rsidRPr="004B510D">
              <w:rPr>
                <w:rFonts w:ascii="Lucida Console" w:hAnsi="Lucida Console"/>
                <w:color w:val="000000"/>
                <w:sz w:val="20"/>
                <w:szCs w:val="20"/>
                <w:lang w:val="en-GB" w:eastAsia="en-GB"/>
              </w:rPr>
              <w:t>R^2 (amount of heterogeneity accounted for):            0.00%</w:t>
            </w:r>
          </w:p>
        </w:tc>
      </w:tr>
      <w:tr w:rsidR="004B510D" w:rsidRPr="002E4455" w14:paraId="20DC0650" w14:textId="77777777" w:rsidTr="00B00AB8">
        <w:trPr>
          <w:trHeight w:val="300"/>
        </w:trPr>
        <w:tc>
          <w:tcPr>
            <w:tcW w:w="9189" w:type="dxa"/>
            <w:shd w:val="clear" w:color="auto" w:fill="auto"/>
            <w:noWrap/>
            <w:vAlign w:val="center"/>
            <w:hideMark/>
          </w:tcPr>
          <w:p w14:paraId="08EDAB94" w14:textId="77777777" w:rsidR="004B510D" w:rsidRPr="004B510D" w:rsidRDefault="004B510D" w:rsidP="004B510D">
            <w:pPr>
              <w:rPr>
                <w:rFonts w:ascii="Calibri" w:hAnsi="Calibri"/>
                <w:color w:val="000000"/>
                <w:sz w:val="22"/>
                <w:szCs w:val="22"/>
                <w:lang w:val="en-GB" w:eastAsia="en-GB"/>
              </w:rPr>
            </w:pPr>
          </w:p>
        </w:tc>
      </w:tr>
      <w:tr w:rsidR="004B510D" w:rsidRPr="004B510D" w14:paraId="574804B2" w14:textId="77777777" w:rsidTr="00B00AB8">
        <w:trPr>
          <w:trHeight w:val="300"/>
        </w:trPr>
        <w:tc>
          <w:tcPr>
            <w:tcW w:w="9189" w:type="dxa"/>
            <w:shd w:val="clear" w:color="auto" w:fill="auto"/>
            <w:noWrap/>
            <w:vAlign w:val="center"/>
            <w:hideMark/>
          </w:tcPr>
          <w:p w14:paraId="33EAF1B9" w14:textId="77777777" w:rsidR="004B510D" w:rsidRPr="004B510D" w:rsidRDefault="004B510D" w:rsidP="004B510D">
            <w:pPr>
              <w:rPr>
                <w:rFonts w:ascii="Lucida Console" w:hAnsi="Lucida Console"/>
                <w:color w:val="000000"/>
                <w:sz w:val="20"/>
                <w:szCs w:val="20"/>
                <w:lang w:val="en-GB" w:eastAsia="en-GB"/>
              </w:rPr>
            </w:pPr>
            <w:r w:rsidRPr="004B510D">
              <w:rPr>
                <w:rFonts w:ascii="Lucida Console" w:hAnsi="Lucida Console"/>
                <w:color w:val="000000"/>
                <w:sz w:val="20"/>
                <w:szCs w:val="20"/>
                <w:lang w:val="en-GB" w:eastAsia="en-GB"/>
              </w:rPr>
              <w:t xml:space="preserve">Test for Residual Heterogeneity: </w:t>
            </w:r>
          </w:p>
        </w:tc>
      </w:tr>
      <w:tr w:rsidR="004B510D" w:rsidRPr="004B510D" w14:paraId="07AD9835" w14:textId="77777777" w:rsidTr="00B00AB8">
        <w:trPr>
          <w:trHeight w:val="300"/>
        </w:trPr>
        <w:tc>
          <w:tcPr>
            <w:tcW w:w="9189" w:type="dxa"/>
            <w:shd w:val="clear" w:color="auto" w:fill="auto"/>
            <w:noWrap/>
            <w:vAlign w:val="center"/>
            <w:hideMark/>
          </w:tcPr>
          <w:p w14:paraId="00E90D3D" w14:textId="77777777" w:rsidR="004B510D" w:rsidRPr="004B510D" w:rsidRDefault="004B510D" w:rsidP="004B510D">
            <w:pPr>
              <w:rPr>
                <w:rFonts w:ascii="Lucida Console" w:hAnsi="Lucida Console"/>
                <w:color w:val="000000"/>
                <w:sz w:val="20"/>
                <w:szCs w:val="20"/>
                <w:lang w:val="en-GB" w:eastAsia="en-GB"/>
              </w:rPr>
            </w:pPr>
            <w:r w:rsidRPr="004B510D">
              <w:rPr>
                <w:rFonts w:ascii="Lucida Console" w:hAnsi="Lucida Console"/>
                <w:color w:val="000000"/>
                <w:sz w:val="20"/>
                <w:szCs w:val="20"/>
                <w:lang w:val="en-GB" w:eastAsia="en-GB"/>
              </w:rPr>
              <w:t>QE(</w:t>
            </w:r>
            <w:proofErr w:type="spellStart"/>
            <w:r w:rsidRPr="004B510D">
              <w:rPr>
                <w:rFonts w:ascii="Lucida Console" w:hAnsi="Lucida Console"/>
                <w:color w:val="000000"/>
                <w:sz w:val="20"/>
                <w:szCs w:val="20"/>
                <w:lang w:val="en-GB" w:eastAsia="en-GB"/>
              </w:rPr>
              <w:t>df</w:t>
            </w:r>
            <w:proofErr w:type="spellEnd"/>
            <w:r w:rsidRPr="004B510D">
              <w:rPr>
                <w:rFonts w:ascii="Lucida Console" w:hAnsi="Lucida Console"/>
                <w:color w:val="000000"/>
                <w:sz w:val="20"/>
                <w:szCs w:val="20"/>
                <w:lang w:val="en-GB" w:eastAsia="en-GB"/>
              </w:rPr>
              <w:t xml:space="preserve"> = 11) = 19.0779, p-</w:t>
            </w:r>
            <w:proofErr w:type="spellStart"/>
            <w:r w:rsidRPr="004B510D">
              <w:rPr>
                <w:rFonts w:ascii="Lucida Console" w:hAnsi="Lucida Console"/>
                <w:color w:val="000000"/>
                <w:sz w:val="20"/>
                <w:szCs w:val="20"/>
                <w:lang w:val="en-GB" w:eastAsia="en-GB"/>
              </w:rPr>
              <w:t>val</w:t>
            </w:r>
            <w:proofErr w:type="spellEnd"/>
            <w:r w:rsidRPr="004B510D">
              <w:rPr>
                <w:rFonts w:ascii="Lucida Console" w:hAnsi="Lucida Console"/>
                <w:color w:val="000000"/>
                <w:sz w:val="20"/>
                <w:szCs w:val="20"/>
                <w:lang w:val="en-GB" w:eastAsia="en-GB"/>
              </w:rPr>
              <w:t xml:space="preserve"> = 0.0597</w:t>
            </w:r>
          </w:p>
        </w:tc>
      </w:tr>
      <w:tr w:rsidR="004B510D" w:rsidRPr="004B510D" w14:paraId="1B484651" w14:textId="77777777" w:rsidTr="00B00AB8">
        <w:trPr>
          <w:trHeight w:val="300"/>
        </w:trPr>
        <w:tc>
          <w:tcPr>
            <w:tcW w:w="9189" w:type="dxa"/>
            <w:shd w:val="clear" w:color="auto" w:fill="auto"/>
            <w:noWrap/>
            <w:vAlign w:val="center"/>
            <w:hideMark/>
          </w:tcPr>
          <w:p w14:paraId="29B4E1D4" w14:textId="77777777" w:rsidR="004B510D" w:rsidRPr="004B510D" w:rsidRDefault="004B510D" w:rsidP="004B510D">
            <w:pPr>
              <w:rPr>
                <w:rFonts w:ascii="Calibri" w:hAnsi="Calibri"/>
                <w:color w:val="000000"/>
                <w:sz w:val="22"/>
                <w:szCs w:val="22"/>
                <w:lang w:val="en-GB" w:eastAsia="en-GB"/>
              </w:rPr>
            </w:pPr>
          </w:p>
        </w:tc>
      </w:tr>
      <w:tr w:rsidR="004B510D" w:rsidRPr="002E4455" w14:paraId="24C66F42" w14:textId="77777777" w:rsidTr="00B00AB8">
        <w:trPr>
          <w:trHeight w:val="300"/>
        </w:trPr>
        <w:tc>
          <w:tcPr>
            <w:tcW w:w="9189" w:type="dxa"/>
            <w:shd w:val="clear" w:color="auto" w:fill="auto"/>
            <w:noWrap/>
            <w:vAlign w:val="center"/>
            <w:hideMark/>
          </w:tcPr>
          <w:p w14:paraId="3EBE4769" w14:textId="77777777" w:rsidR="004B510D" w:rsidRPr="004B510D" w:rsidRDefault="004B510D" w:rsidP="004B510D">
            <w:pPr>
              <w:rPr>
                <w:rFonts w:ascii="Lucida Console" w:hAnsi="Lucida Console"/>
                <w:color w:val="000000"/>
                <w:sz w:val="20"/>
                <w:szCs w:val="20"/>
                <w:lang w:val="en-GB" w:eastAsia="en-GB"/>
              </w:rPr>
            </w:pPr>
            <w:r w:rsidRPr="004B510D">
              <w:rPr>
                <w:rFonts w:ascii="Lucida Console" w:hAnsi="Lucida Console"/>
                <w:color w:val="000000"/>
                <w:sz w:val="20"/>
                <w:szCs w:val="20"/>
                <w:lang w:val="en-GB" w:eastAsia="en-GB"/>
              </w:rPr>
              <w:t xml:space="preserve">Test of Moderators (coefficient(s) 2,3): </w:t>
            </w:r>
          </w:p>
        </w:tc>
      </w:tr>
      <w:tr w:rsidR="004B510D" w:rsidRPr="004B510D" w14:paraId="02991AF9" w14:textId="77777777" w:rsidTr="00B00AB8">
        <w:trPr>
          <w:trHeight w:val="300"/>
        </w:trPr>
        <w:tc>
          <w:tcPr>
            <w:tcW w:w="9189" w:type="dxa"/>
            <w:shd w:val="clear" w:color="auto" w:fill="auto"/>
            <w:noWrap/>
            <w:vAlign w:val="center"/>
            <w:hideMark/>
          </w:tcPr>
          <w:p w14:paraId="6BA70C8B" w14:textId="77777777" w:rsidR="004B510D" w:rsidRPr="004B510D" w:rsidRDefault="004B510D" w:rsidP="004B510D">
            <w:pPr>
              <w:rPr>
                <w:rFonts w:ascii="Lucida Console" w:hAnsi="Lucida Console"/>
                <w:color w:val="000000"/>
                <w:sz w:val="20"/>
                <w:szCs w:val="20"/>
                <w:lang w:val="en-GB" w:eastAsia="en-GB"/>
              </w:rPr>
            </w:pPr>
            <w:r w:rsidRPr="004B510D">
              <w:rPr>
                <w:rFonts w:ascii="Lucida Console" w:hAnsi="Lucida Console"/>
                <w:color w:val="000000"/>
                <w:sz w:val="20"/>
                <w:szCs w:val="20"/>
                <w:lang w:val="en-GB" w:eastAsia="en-GB"/>
              </w:rPr>
              <w:t>QM(</w:t>
            </w:r>
            <w:proofErr w:type="spellStart"/>
            <w:r w:rsidRPr="004B510D">
              <w:rPr>
                <w:rFonts w:ascii="Lucida Console" w:hAnsi="Lucida Console"/>
                <w:color w:val="000000"/>
                <w:sz w:val="20"/>
                <w:szCs w:val="20"/>
                <w:lang w:val="en-GB" w:eastAsia="en-GB"/>
              </w:rPr>
              <w:t>df</w:t>
            </w:r>
            <w:proofErr w:type="spellEnd"/>
            <w:r w:rsidRPr="004B510D">
              <w:rPr>
                <w:rFonts w:ascii="Lucida Console" w:hAnsi="Lucida Console"/>
                <w:color w:val="000000"/>
                <w:sz w:val="20"/>
                <w:szCs w:val="20"/>
                <w:lang w:val="en-GB" w:eastAsia="en-GB"/>
              </w:rPr>
              <w:t xml:space="preserve"> = 2) = 1.0884, p-</w:t>
            </w:r>
            <w:proofErr w:type="spellStart"/>
            <w:r w:rsidRPr="004B510D">
              <w:rPr>
                <w:rFonts w:ascii="Lucida Console" w:hAnsi="Lucida Console"/>
                <w:color w:val="000000"/>
                <w:sz w:val="20"/>
                <w:szCs w:val="20"/>
                <w:lang w:val="en-GB" w:eastAsia="en-GB"/>
              </w:rPr>
              <w:t>val</w:t>
            </w:r>
            <w:proofErr w:type="spellEnd"/>
            <w:r w:rsidRPr="004B510D">
              <w:rPr>
                <w:rFonts w:ascii="Lucida Console" w:hAnsi="Lucida Console"/>
                <w:color w:val="000000"/>
                <w:sz w:val="20"/>
                <w:szCs w:val="20"/>
                <w:lang w:val="en-GB" w:eastAsia="en-GB"/>
              </w:rPr>
              <w:t xml:space="preserve"> = 0.5803</w:t>
            </w:r>
          </w:p>
        </w:tc>
      </w:tr>
      <w:tr w:rsidR="004B510D" w:rsidRPr="004B510D" w14:paraId="61DBDBFF" w14:textId="77777777" w:rsidTr="00B00AB8">
        <w:trPr>
          <w:trHeight w:val="300"/>
        </w:trPr>
        <w:tc>
          <w:tcPr>
            <w:tcW w:w="9189" w:type="dxa"/>
            <w:shd w:val="clear" w:color="auto" w:fill="auto"/>
            <w:noWrap/>
            <w:vAlign w:val="center"/>
            <w:hideMark/>
          </w:tcPr>
          <w:p w14:paraId="46AC7A47" w14:textId="77777777" w:rsidR="004B510D" w:rsidRPr="004B510D" w:rsidRDefault="004B510D" w:rsidP="004B510D">
            <w:pPr>
              <w:rPr>
                <w:rFonts w:ascii="Calibri" w:hAnsi="Calibri"/>
                <w:color w:val="000000"/>
                <w:sz w:val="22"/>
                <w:szCs w:val="22"/>
                <w:lang w:val="en-GB" w:eastAsia="en-GB"/>
              </w:rPr>
            </w:pPr>
          </w:p>
        </w:tc>
      </w:tr>
      <w:tr w:rsidR="004B510D" w:rsidRPr="004B510D" w14:paraId="1E67E554" w14:textId="77777777" w:rsidTr="00B00AB8">
        <w:trPr>
          <w:trHeight w:val="300"/>
        </w:trPr>
        <w:tc>
          <w:tcPr>
            <w:tcW w:w="9189" w:type="dxa"/>
            <w:shd w:val="clear" w:color="auto" w:fill="auto"/>
            <w:noWrap/>
            <w:vAlign w:val="center"/>
            <w:hideMark/>
          </w:tcPr>
          <w:p w14:paraId="4A93AD30" w14:textId="77777777" w:rsidR="004B510D" w:rsidRPr="004B510D" w:rsidRDefault="004B510D" w:rsidP="004B510D">
            <w:pPr>
              <w:rPr>
                <w:rFonts w:ascii="Lucida Console" w:hAnsi="Lucida Console"/>
                <w:color w:val="000000"/>
                <w:sz w:val="20"/>
                <w:szCs w:val="20"/>
                <w:lang w:val="en-GB" w:eastAsia="en-GB"/>
              </w:rPr>
            </w:pPr>
            <w:r w:rsidRPr="004B510D">
              <w:rPr>
                <w:rFonts w:ascii="Lucida Console" w:hAnsi="Lucida Console"/>
                <w:color w:val="000000"/>
                <w:sz w:val="20"/>
                <w:szCs w:val="20"/>
                <w:lang w:val="en-GB" w:eastAsia="en-GB"/>
              </w:rPr>
              <w:t>Model Results:</w:t>
            </w:r>
          </w:p>
        </w:tc>
      </w:tr>
      <w:tr w:rsidR="004B510D" w:rsidRPr="004B510D" w14:paraId="24C1FE17" w14:textId="77777777" w:rsidTr="00B00AB8">
        <w:trPr>
          <w:trHeight w:val="300"/>
        </w:trPr>
        <w:tc>
          <w:tcPr>
            <w:tcW w:w="9189" w:type="dxa"/>
            <w:shd w:val="clear" w:color="auto" w:fill="auto"/>
            <w:noWrap/>
            <w:vAlign w:val="center"/>
            <w:hideMark/>
          </w:tcPr>
          <w:p w14:paraId="12D587A8" w14:textId="77777777" w:rsidR="004B510D" w:rsidRPr="004B510D" w:rsidRDefault="004B510D" w:rsidP="004B510D">
            <w:pPr>
              <w:rPr>
                <w:rFonts w:ascii="Calibri" w:hAnsi="Calibri"/>
                <w:color w:val="000000"/>
                <w:sz w:val="22"/>
                <w:szCs w:val="22"/>
                <w:lang w:val="en-GB" w:eastAsia="en-GB"/>
              </w:rPr>
            </w:pPr>
          </w:p>
        </w:tc>
      </w:tr>
      <w:tr w:rsidR="004B510D" w:rsidRPr="002E4455" w14:paraId="712A04D3" w14:textId="77777777" w:rsidTr="00B00AB8">
        <w:trPr>
          <w:trHeight w:val="300"/>
        </w:trPr>
        <w:tc>
          <w:tcPr>
            <w:tcW w:w="9189" w:type="dxa"/>
            <w:shd w:val="clear" w:color="auto" w:fill="auto"/>
            <w:noWrap/>
            <w:vAlign w:val="center"/>
            <w:hideMark/>
          </w:tcPr>
          <w:p w14:paraId="413D8BD3" w14:textId="77777777" w:rsidR="004B510D" w:rsidRPr="004B510D" w:rsidRDefault="00274979" w:rsidP="004B510D">
            <w:pPr>
              <w:rPr>
                <w:rFonts w:ascii="Lucida Console" w:hAnsi="Lucida Console"/>
                <w:color w:val="000000"/>
                <w:sz w:val="20"/>
                <w:szCs w:val="20"/>
                <w:lang w:val="en-GB" w:eastAsia="en-GB"/>
              </w:rPr>
            </w:pPr>
            <w:r w:rsidRPr="00493611">
              <w:rPr>
                <w:rFonts w:ascii="Lucida Console" w:hAnsi="Lucida Console"/>
                <w:color w:val="000000"/>
                <w:sz w:val="20"/>
                <w:szCs w:val="20"/>
                <w:lang w:val="en-GB" w:eastAsia="en-GB"/>
              </w:rPr>
              <w:t xml:space="preserve">  </w:t>
            </w:r>
            <w:r>
              <w:rPr>
                <w:rFonts w:ascii="Lucida Console" w:hAnsi="Lucida Console"/>
                <w:color w:val="000000"/>
                <w:sz w:val="20"/>
                <w:szCs w:val="20"/>
                <w:lang w:val="en-GB" w:eastAsia="en-GB"/>
              </w:rPr>
              <w:t xml:space="preserve">                    </w:t>
            </w:r>
            <w:r w:rsidRPr="00493611">
              <w:rPr>
                <w:rFonts w:ascii="Lucida Console" w:hAnsi="Lucida Console"/>
                <w:color w:val="000000"/>
                <w:sz w:val="20"/>
                <w:szCs w:val="20"/>
                <w:lang w:val="en-GB" w:eastAsia="en-GB"/>
              </w:rPr>
              <w:t xml:space="preserve"> </w:t>
            </w:r>
            <w:r w:rsidRPr="00EA298D">
              <w:rPr>
                <w:rFonts w:ascii="Lucida Console" w:hAnsi="Lucida Console"/>
                <w:color w:val="000000"/>
                <w:sz w:val="20"/>
                <w:szCs w:val="20"/>
                <w:lang w:val="en-GB" w:eastAsia="en-GB"/>
              </w:rPr>
              <w:t>estimat</w:t>
            </w:r>
            <w:r>
              <w:rPr>
                <w:rFonts w:ascii="Lucida Console" w:hAnsi="Lucida Console"/>
                <w:color w:val="000000"/>
                <w:sz w:val="20"/>
                <w:szCs w:val="20"/>
                <w:lang w:val="en-GB" w:eastAsia="en-GB"/>
              </w:rPr>
              <w:t xml:space="preserve">e  </w:t>
            </w:r>
            <w:r w:rsidRPr="00493611">
              <w:rPr>
                <w:rFonts w:ascii="Lucida Console" w:hAnsi="Lucida Console"/>
                <w:color w:val="000000"/>
                <w:sz w:val="20"/>
                <w:szCs w:val="20"/>
                <w:lang w:val="en-GB" w:eastAsia="en-GB"/>
              </w:rPr>
              <w:t xml:space="preserve"> </w:t>
            </w:r>
            <w:r>
              <w:rPr>
                <w:rFonts w:ascii="Lucida Console" w:hAnsi="Lucida Console"/>
                <w:color w:val="000000"/>
                <w:sz w:val="20"/>
                <w:szCs w:val="20"/>
                <w:lang w:val="en-GB" w:eastAsia="en-GB"/>
              </w:rPr>
              <w:t xml:space="preserve">   </w:t>
            </w:r>
            <w:r w:rsidRPr="00493611">
              <w:rPr>
                <w:rFonts w:ascii="Lucida Console" w:hAnsi="Lucida Console"/>
                <w:color w:val="000000"/>
                <w:sz w:val="20"/>
                <w:szCs w:val="20"/>
                <w:lang w:val="en-GB" w:eastAsia="en-GB"/>
              </w:rPr>
              <w:t xml:space="preserve">se     </w:t>
            </w:r>
            <w:proofErr w:type="spellStart"/>
            <w:r w:rsidRPr="00493611">
              <w:rPr>
                <w:rFonts w:ascii="Lucida Console" w:hAnsi="Lucida Console"/>
                <w:color w:val="000000"/>
                <w:sz w:val="20"/>
                <w:szCs w:val="20"/>
                <w:lang w:val="en-GB" w:eastAsia="en-GB"/>
              </w:rPr>
              <w:t>zval</w:t>
            </w:r>
            <w:proofErr w:type="spellEnd"/>
            <w:r w:rsidRPr="00493611">
              <w:rPr>
                <w:rFonts w:ascii="Lucida Console" w:hAnsi="Lucida Console"/>
                <w:color w:val="000000"/>
                <w:sz w:val="20"/>
                <w:szCs w:val="20"/>
                <w:lang w:val="en-GB" w:eastAsia="en-GB"/>
              </w:rPr>
              <w:t xml:space="preserve">    </w:t>
            </w:r>
            <w:proofErr w:type="spellStart"/>
            <w:r w:rsidRPr="00493611">
              <w:rPr>
                <w:rFonts w:ascii="Lucida Console" w:hAnsi="Lucida Console"/>
                <w:color w:val="000000"/>
                <w:sz w:val="20"/>
                <w:szCs w:val="20"/>
                <w:lang w:val="en-GB" w:eastAsia="en-GB"/>
              </w:rPr>
              <w:t>pval</w:t>
            </w:r>
            <w:proofErr w:type="spellEnd"/>
            <w:r w:rsidRPr="00493611">
              <w:rPr>
                <w:rFonts w:ascii="Lucida Console" w:hAnsi="Lucida Console"/>
                <w:color w:val="000000"/>
                <w:sz w:val="20"/>
                <w:szCs w:val="20"/>
                <w:lang w:val="en-GB" w:eastAsia="en-GB"/>
              </w:rPr>
              <w:t xml:space="preserve">    ci.lb   </w:t>
            </w:r>
            <w:proofErr w:type="spellStart"/>
            <w:r w:rsidRPr="00493611">
              <w:rPr>
                <w:rFonts w:ascii="Lucida Console" w:hAnsi="Lucida Console"/>
                <w:color w:val="000000"/>
                <w:sz w:val="20"/>
                <w:szCs w:val="20"/>
                <w:lang w:val="en-GB" w:eastAsia="en-GB"/>
              </w:rPr>
              <w:t>ci.ub</w:t>
            </w:r>
            <w:proofErr w:type="spellEnd"/>
            <w:r w:rsidRPr="00493611">
              <w:rPr>
                <w:rFonts w:ascii="Lucida Console" w:hAnsi="Lucida Console"/>
                <w:color w:val="000000"/>
                <w:sz w:val="20"/>
                <w:szCs w:val="20"/>
                <w:lang w:val="en-GB" w:eastAsia="en-GB"/>
              </w:rPr>
              <w:t xml:space="preserve">   </w:t>
            </w:r>
          </w:p>
        </w:tc>
      </w:tr>
      <w:tr w:rsidR="004B510D" w:rsidRPr="004B510D" w14:paraId="75778557" w14:textId="77777777" w:rsidTr="00B00AB8">
        <w:trPr>
          <w:trHeight w:val="300"/>
        </w:trPr>
        <w:tc>
          <w:tcPr>
            <w:tcW w:w="9189" w:type="dxa"/>
            <w:shd w:val="clear" w:color="auto" w:fill="auto"/>
            <w:noWrap/>
            <w:vAlign w:val="center"/>
            <w:hideMark/>
          </w:tcPr>
          <w:p w14:paraId="7408176C" w14:textId="77777777" w:rsidR="004B510D" w:rsidRPr="004B510D" w:rsidRDefault="004B510D" w:rsidP="004B510D">
            <w:pPr>
              <w:rPr>
                <w:rFonts w:ascii="Lucida Console" w:hAnsi="Lucida Console"/>
                <w:color w:val="000000"/>
                <w:sz w:val="20"/>
                <w:szCs w:val="20"/>
                <w:lang w:val="en-GB" w:eastAsia="en-GB"/>
              </w:rPr>
            </w:pPr>
            <w:proofErr w:type="spellStart"/>
            <w:r w:rsidRPr="004B510D">
              <w:rPr>
                <w:rFonts w:ascii="Lucida Console" w:hAnsi="Lucida Console"/>
                <w:color w:val="000000"/>
                <w:sz w:val="20"/>
                <w:szCs w:val="20"/>
                <w:lang w:val="en-GB" w:eastAsia="en-GB"/>
              </w:rPr>
              <w:t>intrcpt</w:t>
            </w:r>
            <w:proofErr w:type="spellEnd"/>
            <w:r w:rsidRPr="004B510D">
              <w:rPr>
                <w:rFonts w:ascii="Lucida Console" w:hAnsi="Lucida Console"/>
                <w:color w:val="000000"/>
                <w:sz w:val="20"/>
                <w:szCs w:val="20"/>
                <w:lang w:val="en-GB" w:eastAsia="en-GB"/>
              </w:rPr>
              <w:t xml:space="preserve">                 -0.</w:t>
            </w:r>
            <w:proofErr w:type="gramStart"/>
            <w:r w:rsidRPr="004B510D">
              <w:rPr>
                <w:rFonts w:ascii="Lucida Console" w:hAnsi="Lucida Console"/>
                <w:color w:val="000000"/>
                <w:sz w:val="20"/>
                <w:szCs w:val="20"/>
                <w:lang w:val="en-GB" w:eastAsia="en-GB"/>
              </w:rPr>
              <w:t>0603  0.0342</w:t>
            </w:r>
            <w:proofErr w:type="gramEnd"/>
            <w:r w:rsidRPr="004B510D">
              <w:rPr>
                <w:rFonts w:ascii="Lucida Console" w:hAnsi="Lucida Console"/>
                <w:color w:val="000000"/>
                <w:sz w:val="20"/>
                <w:szCs w:val="20"/>
                <w:lang w:val="en-GB" w:eastAsia="en-GB"/>
              </w:rPr>
              <w:t xml:space="preserve">  -1.7634  0.0778  -0.1273  0.0067  .</w:t>
            </w:r>
          </w:p>
        </w:tc>
      </w:tr>
      <w:tr w:rsidR="004B510D" w:rsidRPr="004B510D" w14:paraId="00C3AE32" w14:textId="77777777" w:rsidTr="00B00AB8">
        <w:trPr>
          <w:trHeight w:val="300"/>
        </w:trPr>
        <w:tc>
          <w:tcPr>
            <w:tcW w:w="9189" w:type="dxa"/>
            <w:shd w:val="clear" w:color="auto" w:fill="auto"/>
            <w:noWrap/>
            <w:vAlign w:val="center"/>
            <w:hideMark/>
          </w:tcPr>
          <w:p w14:paraId="0543453B" w14:textId="77777777" w:rsidR="004B510D" w:rsidRPr="004B510D" w:rsidRDefault="004B510D" w:rsidP="004B510D">
            <w:pPr>
              <w:rPr>
                <w:rFonts w:ascii="Lucida Console" w:hAnsi="Lucida Console"/>
                <w:color w:val="000000"/>
                <w:sz w:val="20"/>
                <w:szCs w:val="20"/>
                <w:lang w:val="en-GB" w:eastAsia="en-GB"/>
              </w:rPr>
            </w:pPr>
            <w:r w:rsidRPr="004B510D">
              <w:rPr>
                <w:rFonts w:ascii="Lucida Console" w:hAnsi="Lucida Console"/>
                <w:color w:val="000000"/>
                <w:sz w:val="20"/>
                <w:szCs w:val="20"/>
                <w:lang w:val="en-GB" w:eastAsia="en-GB"/>
              </w:rPr>
              <w:t>I(</w:t>
            </w:r>
            <w:proofErr w:type="spellStart"/>
            <w:r w:rsidRPr="004B510D">
              <w:rPr>
                <w:rFonts w:ascii="Lucida Console" w:hAnsi="Lucida Console"/>
                <w:color w:val="000000"/>
                <w:sz w:val="20"/>
                <w:szCs w:val="20"/>
                <w:lang w:val="en-GB" w:eastAsia="en-GB"/>
              </w:rPr>
              <w:t>HAND_a_perc</w:t>
            </w:r>
            <w:proofErr w:type="spellEnd"/>
            <w:r w:rsidRPr="004B510D">
              <w:rPr>
                <w:rFonts w:ascii="Lucida Console" w:hAnsi="Lucida Console"/>
                <w:color w:val="000000"/>
                <w:sz w:val="20"/>
                <w:szCs w:val="20"/>
                <w:lang w:val="en-GB" w:eastAsia="en-GB"/>
              </w:rPr>
              <w:t xml:space="preserve"> - 3.591)   0.0010  0.0074   0.1399  0.8888  -0.0134  0.0154   </w:t>
            </w:r>
          </w:p>
        </w:tc>
      </w:tr>
      <w:tr w:rsidR="004B510D" w:rsidRPr="004B510D" w14:paraId="5478E923" w14:textId="77777777" w:rsidTr="00B00AB8">
        <w:trPr>
          <w:trHeight w:val="300"/>
        </w:trPr>
        <w:tc>
          <w:tcPr>
            <w:tcW w:w="9189" w:type="dxa"/>
            <w:shd w:val="clear" w:color="auto" w:fill="auto"/>
            <w:noWrap/>
            <w:vAlign w:val="center"/>
            <w:hideMark/>
          </w:tcPr>
          <w:p w14:paraId="6DFE6BC2" w14:textId="77777777" w:rsidR="004B510D" w:rsidRPr="004B510D" w:rsidRDefault="004B510D" w:rsidP="004B510D">
            <w:pPr>
              <w:rPr>
                <w:rFonts w:ascii="Lucida Console" w:hAnsi="Lucida Console"/>
                <w:color w:val="000000"/>
                <w:sz w:val="20"/>
                <w:szCs w:val="20"/>
                <w:lang w:val="en-GB" w:eastAsia="en-GB"/>
              </w:rPr>
            </w:pPr>
            <w:r w:rsidRPr="004B510D">
              <w:rPr>
                <w:rFonts w:ascii="Lucida Console" w:hAnsi="Lucida Console"/>
                <w:color w:val="000000"/>
                <w:sz w:val="20"/>
                <w:szCs w:val="20"/>
                <w:lang w:val="en-GB" w:eastAsia="en-GB"/>
              </w:rPr>
              <w:t>I(</w:t>
            </w:r>
            <w:proofErr w:type="spellStart"/>
            <w:r w:rsidRPr="004B510D">
              <w:rPr>
                <w:rFonts w:ascii="Lucida Console" w:hAnsi="Lucida Console"/>
                <w:color w:val="000000"/>
                <w:sz w:val="20"/>
                <w:szCs w:val="20"/>
                <w:lang w:val="en-GB" w:eastAsia="en-GB"/>
              </w:rPr>
              <w:t>HAND_l_perc</w:t>
            </w:r>
            <w:proofErr w:type="spellEnd"/>
            <w:r w:rsidRPr="004B510D">
              <w:rPr>
                <w:rFonts w:ascii="Lucida Console" w:hAnsi="Lucida Console"/>
                <w:color w:val="000000"/>
                <w:sz w:val="20"/>
                <w:szCs w:val="20"/>
                <w:lang w:val="en-GB" w:eastAsia="en-GB"/>
              </w:rPr>
              <w:t xml:space="preserve"> - 8.688)  -0.0113  0.0116  -0.9744  0.3299  -0.0341  0.0115   </w:t>
            </w:r>
          </w:p>
        </w:tc>
      </w:tr>
    </w:tbl>
    <w:p w14:paraId="3D94CC3E" w14:textId="77777777" w:rsidR="00274979" w:rsidRPr="00B00AB8" w:rsidRDefault="00274979" w:rsidP="00274979">
      <w:pPr>
        <w:spacing w:line="360" w:lineRule="auto"/>
        <w:rPr>
          <w:rFonts w:asciiTheme="minorHAnsi" w:hAnsiTheme="minorHAnsi"/>
          <w:lang w:val="en-GB"/>
        </w:rPr>
      </w:pPr>
      <w:r>
        <w:rPr>
          <w:rFonts w:asciiTheme="minorHAnsi" w:hAnsiTheme="minorHAnsi"/>
          <w:lang w:val="en-GB"/>
        </w:rPr>
        <w:t>N.B.: predictor abbreviations refer to the percentage of ambidextrous (</w:t>
      </w:r>
      <w:proofErr w:type="spellStart"/>
      <w:r>
        <w:rPr>
          <w:rFonts w:asciiTheme="minorHAnsi" w:hAnsiTheme="minorHAnsi"/>
          <w:lang w:val="en-GB"/>
        </w:rPr>
        <w:t>HAND_a_perc</w:t>
      </w:r>
      <w:proofErr w:type="spellEnd"/>
      <w:r>
        <w:rPr>
          <w:rFonts w:asciiTheme="minorHAnsi" w:hAnsiTheme="minorHAnsi"/>
          <w:lang w:val="en-GB"/>
        </w:rPr>
        <w:t>), left-handed (</w:t>
      </w:r>
      <w:proofErr w:type="spellStart"/>
      <w:r>
        <w:rPr>
          <w:rFonts w:asciiTheme="minorHAnsi" w:hAnsiTheme="minorHAnsi"/>
          <w:lang w:val="en-GB"/>
        </w:rPr>
        <w:t>HAND_l_perc</w:t>
      </w:r>
      <w:proofErr w:type="spellEnd"/>
      <w:r>
        <w:rPr>
          <w:rFonts w:asciiTheme="minorHAnsi" w:hAnsiTheme="minorHAnsi"/>
          <w:lang w:val="en-GB"/>
        </w:rPr>
        <w:t>) and right-handed patients (</w:t>
      </w:r>
      <w:proofErr w:type="spellStart"/>
      <w:r>
        <w:rPr>
          <w:rFonts w:asciiTheme="minorHAnsi" w:hAnsiTheme="minorHAnsi"/>
          <w:lang w:val="en-GB"/>
        </w:rPr>
        <w:t>intrcpt</w:t>
      </w:r>
      <w:proofErr w:type="spellEnd"/>
      <w:r>
        <w:rPr>
          <w:rFonts w:asciiTheme="minorHAnsi" w:hAnsiTheme="minorHAnsi"/>
          <w:lang w:val="en-GB"/>
        </w:rPr>
        <w:t>, i.e. baseline).</w:t>
      </w:r>
    </w:p>
    <w:p w14:paraId="106C28EA" w14:textId="77777777" w:rsidR="004B510D" w:rsidRDefault="004B510D" w:rsidP="00B00AB8">
      <w:pPr>
        <w:spacing w:line="360" w:lineRule="auto"/>
        <w:ind w:left="360"/>
        <w:rPr>
          <w:lang w:val="en-GB"/>
        </w:rPr>
      </w:pPr>
    </w:p>
    <w:p w14:paraId="206A49F0" w14:textId="77777777" w:rsidR="006F73F7" w:rsidRDefault="006F73F7" w:rsidP="006F73F7">
      <w:pPr>
        <w:pStyle w:val="ListParagraph"/>
        <w:numPr>
          <w:ilvl w:val="0"/>
          <w:numId w:val="1"/>
        </w:numPr>
        <w:spacing w:line="360" w:lineRule="auto"/>
        <w:rPr>
          <w:rFonts w:asciiTheme="minorHAnsi" w:hAnsiTheme="minorHAnsi"/>
          <w:lang w:val="en-GB"/>
        </w:rPr>
      </w:pPr>
      <w:r>
        <w:rPr>
          <w:rFonts w:asciiTheme="minorHAnsi" w:hAnsiTheme="minorHAnsi"/>
          <w:lang w:val="en-GB"/>
        </w:rPr>
        <w:t xml:space="preserve">Left </w:t>
      </w:r>
      <w:r w:rsidR="00447EBC">
        <w:rPr>
          <w:rFonts w:asciiTheme="minorHAnsi" w:hAnsiTheme="minorHAnsi"/>
          <w:lang w:val="en-GB"/>
        </w:rPr>
        <w:t>MOFC</w:t>
      </w:r>
      <w:r>
        <w:rPr>
          <w:rFonts w:asciiTheme="minorHAnsi" w:hAnsiTheme="minorHAnsi"/>
          <w:lang w:val="en-GB"/>
        </w:rPr>
        <w:t xml:space="preserve"> thickness differences by </w:t>
      </w:r>
      <w:r w:rsidR="00B857B6">
        <w:rPr>
          <w:rFonts w:asciiTheme="minorHAnsi" w:hAnsiTheme="minorHAnsi"/>
          <w:lang w:val="en-GB"/>
        </w:rPr>
        <w:t xml:space="preserve">antipsychotic </w:t>
      </w:r>
      <w:r>
        <w:rPr>
          <w:rFonts w:asciiTheme="minorHAnsi" w:hAnsiTheme="minorHAnsi"/>
          <w:lang w:val="en-GB"/>
        </w:rPr>
        <w:t>medication type percentages</w:t>
      </w:r>
    </w:p>
    <w:p w14:paraId="28A3471E" w14:textId="77777777" w:rsidR="006F73F7" w:rsidRDefault="006F73F7" w:rsidP="006F73F7">
      <w:pPr>
        <w:pStyle w:val="ListParagraph"/>
        <w:spacing w:line="360" w:lineRule="auto"/>
        <w:ind w:left="360"/>
        <w:rPr>
          <w:rFonts w:asciiTheme="minorHAnsi" w:hAnsiTheme="minorHAnsi"/>
          <w:lang w:val="en-GB"/>
        </w:rPr>
      </w:pPr>
    </w:p>
    <w:p w14:paraId="1AEC15F4" w14:textId="77777777" w:rsidR="006F73F7" w:rsidRDefault="006F73F7" w:rsidP="006F73F7">
      <w:pPr>
        <w:pStyle w:val="ListParagraph"/>
        <w:spacing w:line="360" w:lineRule="auto"/>
        <w:ind w:left="360"/>
        <w:rPr>
          <w:rFonts w:asciiTheme="minorHAnsi" w:hAnsiTheme="minorHAnsi"/>
          <w:lang w:val="en-GB"/>
        </w:rPr>
      </w:pPr>
      <w:r>
        <w:rPr>
          <w:rFonts w:asciiTheme="minorHAnsi" w:hAnsiTheme="minorHAnsi"/>
          <w:lang w:val="en-GB"/>
        </w:rPr>
        <w:t>We also investigated</w:t>
      </w:r>
      <w:r w:rsidRPr="003E3FC7">
        <w:rPr>
          <w:rFonts w:asciiTheme="minorHAnsi" w:hAnsiTheme="minorHAnsi"/>
          <w:lang w:val="en-GB"/>
        </w:rPr>
        <w:t xml:space="preserve"> </w:t>
      </w:r>
      <w:r>
        <w:rPr>
          <w:rFonts w:asciiTheme="minorHAnsi" w:hAnsiTheme="minorHAnsi"/>
          <w:lang w:val="en-GB"/>
        </w:rPr>
        <w:t xml:space="preserve">whether left </w:t>
      </w:r>
      <w:r w:rsidR="00447EBC">
        <w:rPr>
          <w:rFonts w:asciiTheme="minorHAnsi" w:hAnsiTheme="minorHAnsi"/>
          <w:lang w:val="en-GB"/>
        </w:rPr>
        <w:t>MOFC</w:t>
      </w:r>
      <w:r>
        <w:rPr>
          <w:rFonts w:asciiTheme="minorHAnsi" w:hAnsiTheme="minorHAnsi"/>
          <w:lang w:val="en-GB"/>
        </w:rPr>
        <w:t xml:space="preserve"> thickness differed by the percentage of patients treated with typical or atypical antipsychotics, both </w:t>
      </w:r>
      <w:r w:rsidR="002E69FD">
        <w:rPr>
          <w:rFonts w:asciiTheme="minorHAnsi" w:hAnsiTheme="minorHAnsi"/>
          <w:lang w:val="en-GB"/>
        </w:rPr>
        <w:t>antipsychotic medication</w:t>
      </w:r>
      <w:r>
        <w:rPr>
          <w:rFonts w:asciiTheme="minorHAnsi" w:hAnsiTheme="minorHAnsi"/>
          <w:lang w:val="en-GB"/>
        </w:rPr>
        <w:t xml:space="preserve"> types and the percentage of </w:t>
      </w:r>
      <w:proofErr w:type="spellStart"/>
      <w:r>
        <w:rPr>
          <w:rFonts w:asciiTheme="minorHAnsi" w:hAnsiTheme="minorHAnsi"/>
          <w:lang w:val="en-GB"/>
        </w:rPr>
        <w:t>unmedicated</w:t>
      </w:r>
      <w:proofErr w:type="spellEnd"/>
      <w:r>
        <w:rPr>
          <w:rFonts w:asciiTheme="minorHAnsi" w:hAnsiTheme="minorHAnsi"/>
          <w:lang w:val="en-GB"/>
        </w:rPr>
        <w:t xml:space="preserve"> patients</w:t>
      </w:r>
      <w:r w:rsidRPr="003E3FC7">
        <w:rPr>
          <w:rFonts w:asciiTheme="minorHAnsi" w:hAnsiTheme="minorHAnsi"/>
          <w:lang w:val="en-GB"/>
        </w:rPr>
        <w:t xml:space="preserve">. Shown below are the estimate, the standard error, p value and the confidence intervals </w:t>
      </w:r>
      <w:r>
        <w:rPr>
          <w:rFonts w:asciiTheme="minorHAnsi" w:hAnsiTheme="minorHAnsi"/>
          <w:lang w:val="en-GB"/>
        </w:rPr>
        <w:t xml:space="preserve">of mean left </w:t>
      </w:r>
      <w:r w:rsidR="00447EBC">
        <w:rPr>
          <w:rFonts w:asciiTheme="minorHAnsi" w:hAnsiTheme="minorHAnsi"/>
          <w:lang w:val="en-GB"/>
        </w:rPr>
        <w:t>MOFC</w:t>
      </w:r>
      <w:r>
        <w:rPr>
          <w:rFonts w:asciiTheme="minorHAnsi" w:hAnsiTheme="minorHAnsi"/>
          <w:lang w:val="en-GB"/>
        </w:rPr>
        <w:t xml:space="preserve"> thickness </w:t>
      </w:r>
      <w:r w:rsidRPr="003E3FC7">
        <w:rPr>
          <w:rFonts w:asciiTheme="minorHAnsi" w:hAnsiTheme="minorHAnsi"/>
          <w:lang w:val="en-GB"/>
        </w:rPr>
        <w:t xml:space="preserve">for </w:t>
      </w:r>
      <w:r>
        <w:rPr>
          <w:rFonts w:asciiTheme="minorHAnsi" w:hAnsiTheme="minorHAnsi"/>
          <w:lang w:val="en-GB"/>
        </w:rPr>
        <w:t xml:space="preserve">each </w:t>
      </w:r>
      <w:r w:rsidR="002E69FD">
        <w:rPr>
          <w:rFonts w:asciiTheme="minorHAnsi" w:hAnsiTheme="minorHAnsi"/>
          <w:lang w:val="en-GB"/>
        </w:rPr>
        <w:t>antipsychotic medication</w:t>
      </w:r>
      <w:r>
        <w:rPr>
          <w:rFonts w:asciiTheme="minorHAnsi" w:hAnsiTheme="minorHAnsi"/>
          <w:lang w:val="en-GB"/>
        </w:rPr>
        <w:t xml:space="preserve"> group</w:t>
      </w:r>
      <w:r w:rsidRPr="003E3FC7">
        <w:rPr>
          <w:rFonts w:asciiTheme="minorHAnsi" w:hAnsiTheme="minorHAnsi"/>
          <w:lang w:val="en-GB"/>
        </w:rPr>
        <w:t xml:space="preserve">. Percentages were mean </w:t>
      </w:r>
      <w:proofErr w:type="spellStart"/>
      <w:r w:rsidRPr="003E3FC7">
        <w:rPr>
          <w:rFonts w:asciiTheme="minorHAnsi" w:hAnsiTheme="minorHAnsi"/>
          <w:lang w:val="en-GB"/>
        </w:rPr>
        <w:t>centered</w:t>
      </w:r>
      <w:proofErr w:type="spellEnd"/>
      <w:r w:rsidRPr="003E3FC7">
        <w:rPr>
          <w:rFonts w:asciiTheme="minorHAnsi" w:hAnsiTheme="minorHAnsi"/>
          <w:lang w:val="en-GB"/>
        </w:rPr>
        <w:t xml:space="preserve"> and compared to </w:t>
      </w:r>
      <w:proofErr w:type="spellStart"/>
      <w:r>
        <w:rPr>
          <w:rFonts w:asciiTheme="minorHAnsi" w:hAnsiTheme="minorHAnsi"/>
          <w:lang w:val="en-GB"/>
        </w:rPr>
        <w:t>unmedicated</w:t>
      </w:r>
      <w:proofErr w:type="spellEnd"/>
      <w:r>
        <w:rPr>
          <w:rFonts w:asciiTheme="minorHAnsi" w:hAnsiTheme="minorHAnsi"/>
          <w:lang w:val="en-GB"/>
        </w:rPr>
        <w:t xml:space="preserve"> patients</w:t>
      </w:r>
      <w:r w:rsidRPr="003E3FC7">
        <w:rPr>
          <w:rFonts w:asciiTheme="minorHAnsi" w:hAnsiTheme="minorHAnsi"/>
          <w:lang w:val="en-GB"/>
        </w:rPr>
        <w:t xml:space="preserve"> (baseline). Results were based on estimates from 1</w:t>
      </w:r>
      <w:r>
        <w:rPr>
          <w:rFonts w:asciiTheme="minorHAnsi" w:hAnsiTheme="minorHAnsi"/>
          <w:lang w:val="en-GB"/>
        </w:rPr>
        <w:t>3</w:t>
      </w:r>
      <w:r w:rsidRPr="003E3FC7">
        <w:rPr>
          <w:rFonts w:asciiTheme="minorHAnsi" w:hAnsiTheme="minorHAnsi"/>
          <w:lang w:val="en-GB"/>
        </w:rPr>
        <w:t xml:space="preserve"> studies.</w:t>
      </w:r>
    </w:p>
    <w:tbl>
      <w:tblPr>
        <w:tblW w:w="939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90"/>
      </w:tblGrid>
      <w:tr w:rsidR="006F73F7" w:rsidRPr="002E4455" w14:paraId="68060962" w14:textId="77777777" w:rsidTr="00B00AB8">
        <w:trPr>
          <w:trHeight w:val="300"/>
        </w:trPr>
        <w:tc>
          <w:tcPr>
            <w:tcW w:w="9390" w:type="dxa"/>
            <w:shd w:val="clear" w:color="auto" w:fill="auto"/>
            <w:noWrap/>
            <w:vAlign w:val="center"/>
            <w:hideMark/>
          </w:tcPr>
          <w:p w14:paraId="6E12F320"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Mixed-Effects Model (k = 13; tau^2 estimator: REML)</w:t>
            </w:r>
          </w:p>
        </w:tc>
      </w:tr>
      <w:tr w:rsidR="006F73F7" w:rsidRPr="002E4455" w14:paraId="68069AF9" w14:textId="77777777" w:rsidTr="00B00AB8">
        <w:trPr>
          <w:trHeight w:val="300"/>
        </w:trPr>
        <w:tc>
          <w:tcPr>
            <w:tcW w:w="9390" w:type="dxa"/>
            <w:shd w:val="clear" w:color="auto" w:fill="auto"/>
            <w:noWrap/>
            <w:vAlign w:val="center"/>
            <w:hideMark/>
          </w:tcPr>
          <w:p w14:paraId="4AA2F10F" w14:textId="77777777" w:rsidR="006F73F7" w:rsidRPr="006F73F7" w:rsidRDefault="006F73F7" w:rsidP="00B00AB8">
            <w:pPr>
              <w:rPr>
                <w:rFonts w:ascii="Calibri" w:hAnsi="Calibri"/>
                <w:color w:val="000000"/>
                <w:sz w:val="22"/>
                <w:szCs w:val="22"/>
                <w:lang w:val="en-GB" w:eastAsia="en-GB"/>
              </w:rPr>
            </w:pPr>
          </w:p>
        </w:tc>
      </w:tr>
      <w:tr w:rsidR="006F73F7" w:rsidRPr="002E4455" w14:paraId="637F497C" w14:textId="77777777" w:rsidTr="00B00AB8">
        <w:trPr>
          <w:trHeight w:val="300"/>
        </w:trPr>
        <w:tc>
          <w:tcPr>
            <w:tcW w:w="9390" w:type="dxa"/>
            <w:shd w:val="clear" w:color="auto" w:fill="auto"/>
            <w:noWrap/>
            <w:vAlign w:val="center"/>
            <w:hideMark/>
          </w:tcPr>
          <w:p w14:paraId="60742A15"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tau^2 (estimated amount of residual heterogeneity):     0.0060 (SE = 0.0030)</w:t>
            </w:r>
          </w:p>
        </w:tc>
      </w:tr>
      <w:tr w:rsidR="006F73F7" w:rsidRPr="002E4455" w14:paraId="300ACE65" w14:textId="77777777" w:rsidTr="00B00AB8">
        <w:trPr>
          <w:trHeight w:val="300"/>
        </w:trPr>
        <w:tc>
          <w:tcPr>
            <w:tcW w:w="9390" w:type="dxa"/>
            <w:shd w:val="clear" w:color="auto" w:fill="auto"/>
            <w:noWrap/>
            <w:vAlign w:val="center"/>
            <w:hideMark/>
          </w:tcPr>
          <w:p w14:paraId="2532FC6E"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tau (square root of estimated tau^2 value):             0.0777</w:t>
            </w:r>
          </w:p>
        </w:tc>
      </w:tr>
      <w:tr w:rsidR="006F73F7" w:rsidRPr="002E4455" w14:paraId="7ECA0E25" w14:textId="77777777" w:rsidTr="00B00AB8">
        <w:trPr>
          <w:trHeight w:val="300"/>
        </w:trPr>
        <w:tc>
          <w:tcPr>
            <w:tcW w:w="9390" w:type="dxa"/>
            <w:shd w:val="clear" w:color="auto" w:fill="auto"/>
            <w:noWrap/>
            <w:vAlign w:val="center"/>
            <w:hideMark/>
          </w:tcPr>
          <w:p w14:paraId="299CC8A4"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I^2 (residual heterogeneity / unaccounted variability): 95.96%</w:t>
            </w:r>
          </w:p>
        </w:tc>
      </w:tr>
      <w:tr w:rsidR="006F73F7" w:rsidRPr="002E4455" w14:paraId="5D763D91" w14:textId="77777777" w:rsidTr="00B00AB8">
        <w:trPr>
          <w:trHeight w:val="300"/>
        </w:trPr>
        <w:tc>
          <w:tcPr>
            <w:tcW w:w="9390" w:type="dxa"/>
            <w:shd w:val="clear" w:color="auto" w:fill="auto"/>
            <w:noWrap/>
            <w:vAlign w:val="center"/>
            <w:hideMark/>
          </w:tcPr>
          <w:p w14:paraId="288DA817"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H^2 (unaccounted variability / sampling variability):   24.73</w:t>
            </w:r>
          </w:p>
        </w:tc>
      </w:tr>
      <w:tr w:rsidR="006F73F7" w:rsidRPr="002E4455" w14:paraId="4822A727" w14:textId="77777777" w:rsidTr="00B00AB8">
        <w:trPr>
          <w:trHeight w:val="300"/>
        </w:trPr>
        <w:tc>
          <w:tcPr>
            <w:tcW w:w="9390" w:type="dxa"/>
            <w:shd w:val="clear" w:color="auto" w:fill="auto"/>
            <w:noWrap/>
            <w:vAlign w:val="center"/>
            <w:hideMark/>
          </w:tcPr>
          <w:p w14:paraId="1C24BAE5"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R^2 (amount of heterogeneity accounted for):            44.87%</w:t>
            </w:r>
          </w:p>
        </w:tc>
      </w:tr>
      <w:tr w:rsidR="006F73F7" w:rsidRPr="002E4455" w14:paraId="07511816" w14:textId="77777777" w:rsidTr="00B00AB8">
        <w:trPr>
          <w:trHeight w:val="300"/>
        </w:trPr>
        <w:tc>
          <w:tcPr>
            <w:tcW w:w="9390" w:type="dxa"/>
            <w:shd w:val="clear" w:color="auto" w:fill="auto"/>
            <w:noWrap/>
            <w:vAlign w:val="center"/>
            <w:hideMark/>
          </w:tcPr>
          <w:p w14:paraId="74735357" w14:textId="77777777" w:rsidR="006F73F7" w:rsidRPr="006F73F7" w:rsidRDefault="006F73F7" w:rsidP="00B00AB8">
            <w:pPr>
              <w:rPr>
                <w:rFonts w:ascii="Calibri" w:hAnsi="Calibri"/>
                <w:color w:val="000000"/>
                <w:sz w:val="22"/>
                <w:szCs w:val="22"/>
                <w:lang w:val="en-GB" w:eastAsia="en-GB"/>
              </w:rPr>
            </w:pPr>
          </w:p>
        </w:tc>
      </w:tr>
      <w:tr w:rsidR="006F73F7" w:rsidRPr="006F73F7" w14:paraId="544C125A" w14:textId="77777777" w:rsidTr="00B00AB8">
        <w:trPr>
          <w:trHeight w:val="300"/>
        </w:trPr>
        <w:tc>
          <w:tcPr>
            <w:tcW w:w="9390" w:type="dxa"/>
            <w:shd w:val="clear" w:color="auto" w:fill="auto"/>
            <w:noWrap/>
            <w:vAlign w:val="center"/>
            <w:hideMark/>
          </w:tcPr>
          <w:p w14:paraId="4D15B1A0"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 xml:space="preserve">Test for Residual Heterogeneity: </w:t>
            </w:r>
          </w:p>
        </w:tc>
      </w:tr>
      <w:tr w:rsidR="006F73F7" w:rsidRPr="006F73F7" w14:paraId="25972121" w14:textId="77777777" w:rsidTr="00B00AB8">
        <w:trPr>
          <w:trHeight w:val="300"/>
        </w:trPr>
        <w:tc>
          <w:tcPr>
            <w:tcW w:w="9390" w:type="dxa"/>
            <w:shd w:val="clear" w:color="auto" w:fill="auto"/>
            <w:noWrap/>
            <w:vAlign w:val="center"/>
            <w:hideMark/>
          </w:tcPr>
          <w:p w14:paraId="0568EEA0"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QE(</w:t>
            </w:r>
            <w:proofErr w:type="spellStart"/>
            <w:r w:rsidRPr="006F73F7">
              <w:rPr>
                <w:rFonts w:ascii="Lucida Console" w:hAnsi="Lucida Console"/>
                <w:color w:val="000000"/>
                <w:sz w:val="20"/>
                <w:szCs w:val="20"/>
                <w:lang w:val="en-GB" w:eastAsia="en-GB"/>
              </w:rPr>
              <w:t>df</w:t>
            </w:r>
            <w:proofErr w:type="spellEnd"/>
            <w:r w:rsidRPr="006F73F7">
              <w:rPr>
                <w:rFonts w:ascii="Lucida Console" w:hAnsi="Lucida Console"/>
                <w:color w:val="000000"/>
                <w:sz w:val="20"/>
                <w:szCs w:val="20"/>
                <w:lang w:val="en-GB" w:eastAsia="en-GB"/>
              </w:rPr>
              <w:t xml:space="preserve"> = 9) = 249.4885, p-</w:t>
            </w:r>
            <w:proofErr w:type="spellStart"/>
            <w:r w:rsidRPr="006F73F7">
              <w:rPr>
                <w:rFonts w:ascii="Lucida Console" w:hAnsi="Lucida Console"/>
                <w:color w:val="000000"/>
                <w:sz w:val="20"/>
                <w:szCs w:val="20"/>
                <w:lang w:val="en-GB" w:eastAsia="en-GB"/>
              </w:rPr>
              <w:t>val</w:t>
            </w:r>
            <w:proofErr w:type="spellEnd"/>
            <w:r w:rsidRPr="006F73F7">
              <w:rPr>
                <w:rFonts w:ascii="Lucida Console" w:hAnsi="Lucida Console"/>
                <w:color w:val="000000"/>
                <w:sz w:val="20"/>
                <w:szCs w:val="20"/>
                <w:lang w:val="en-GB" w:eastAsia="en-GB"/>
              </w:rPr>
              <w:t xml:space="preserve"> &lt; .0001</w:t>
            </w:r>
          </w:p>
        </w:tc>
      </w:tr>
      <w:tr w:rsidR="006F73F7" w:rsidRPr="006F73F7" w14:paraId="499A8C65" w14:textId="77777777" w:rsidTr="00B00AB8">
        <w:trPr>
          <w:trHeight w:val="300"/>
        </w:trPr>
        <w:tc>
          <w:tcPr>
            <w:tcW w:w="9390" w:type="dxa"/>
            <w:shd w:val="clear" w:color="auto" w:fill="auto"/>
            <w:noWrap/>
            <w:vAlign w:val="center"/>
            <w:hideMark/>
          </w:tcPr>
          <w:p w14:paraId="31DEC0E3" w14:textId="77777777" w:rsidR="006F73F7" w:rsidRPr="006F73F7" w:rsidRDefault="006F73F7" w:rsidP="00B00AB8">
            <w:pPr>
              <w:rPr>
                <w:rFonts w:ascii="Calibri" w:hAnsi="Calibri"/>
                <w:color w:val="000000"/>
                <w:sz w:val="22"/>
                <w:szCs w:val="22"/>
                <w:lang w:val="en-GB" w:eastAsia="en-GB"/>
              </w:rPr>
            </w:pPr>
          </w:p>
        </w:tc>
      </w:tr>
      <w:tr w:rsidR="006F73F7" w:rsidRPr="002E4455" w14:paraId="758F923F" w14:textId="77777777" w:rsidTr="00B00AB8">
        <w:trPr>
          <w:trHeight w:val="300"/>
        </w:trPr>
        <w:tc>
          <w:tcPr>
            <w:tcW w:w="9390" w:type="dxa"/>
            <w:shd w:val="clear" w:color="auto" w:fill="auto"/>
            <w:noWrap/>
            <w:vAlign w:val="center"/>
            <w:hideMark/>
          </w:tcPr>
          <w:p w14:paraId="4908E6EB"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lastRenderedPageBreak/>
              <w:t xml:space="preserve">Test of Moderators (coefficient(s) 2,3,4): </w:t>
            </w:r>
          </w:p>
        </w:tc>
      </w:tr>
      <w:tr w:rsidR="006F73F7" w:rsidRPr="006F73F7" w14:paraId="7DD7DD42" w14:textId="77777777" w:rsidTr="00B00AB8">
        <w:trPr>
          <w:trHeight w:val="300"/>
        </w:trPr>
        <w:tc>
          <w:tcPr>
            <w:tcW w:w="9390" w:type="dxa"/>
            <w:shd w:val="clear" w:color="auto" w:fill="auto"/>
            <w:noWrap/>
            <w:vAlign w:val="center"/>
            <w:hideMark/>
          </w:tcPr>
          <w:p w14:paraId="1FEA62AA"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QM(</w:t>
            </w:r>
            <w:proofErr w:type="spellStart"/>
            <w:r w:rsidRPr="006F73F7">
              <w:rPr>
                <w:rFonts w:ascii="Lucida Console" w:hAnsi="Lucida Console"/>
                <w:color w:val="000000"/>
                <w:sz w:val="20"/>
                <w:szCs w:val="20"/>
                <w:lang w:val="en-GB" w:eastAsia="en-GB"/>
              </w:rPr>
              <w:t>df</w:t>
            </w:r>
            <w:proofErr w:type="spellEnd"/>
            <w:r w:rsidRPr="006F73F7">
              <w:rPr>
                <w:rFonts w:ascii="Lucida Console" w:hAnsi="Lucida Console"/>
                <w:color w:val="000000"/>
                <w:sz w:val="20"/>
                <w:szCs w:val="20"/>
                <w:lang w:val="en-GB" w:eastAsia="en-GB"/>
              </w:rPr>
              <w:t xml:space="preserve"> = 3) = 12.2740, p-</w:t>
            </w:r>
            <w:proofErr w:type="spellStart"/>
            <w:r w:rsidRPr="006F73F7">
              <w:rPr>
                <w:rFonts w:ascii="Lucida Console" w:hAnsi="Lucida Console"/>
                <w:color w:val="000000"/>
                <w:sz w:val="20"/>
                <w:szCs w:val="20"/>
                <w:lang w:val="en-GB" w:eastAsia="en-GB"/>
              </w:rPr>
              <w:t>val</w:t>
            </w:r>
            <w:proofErr w:type="spellEnd"/>
            <w:r w:rsidRPr="006F73F7">
              <w:rPr>
                <w:rFonts w:ascii="Lucida Console" w:hAnsi="Lucida Console"/>
                <w:color w:val="000000"/>
                <w:sz w:val="20"/>
                <w:szCs w:val="20"/>
                <w:lang w:val="en-GB" w:eastAsia="en-GB"/>
              </w:rPr>
              <w:t xml:space="preserve"> = 0.0065</w:t>
            </w:r>
          </w:p>
        </w:tc>
      </w:tr>
      <w:tr w:rsidR="006F73F7" w:rsidRPr="006F73F7" w14:paraId="68F8E2D6" w14:textId="77777777" w:rsidTr="00B00AB8">
        <w:trPr>
          <w:trHeight w:val="300"/>
        </w:trPr>
        <w:tc>
          <w:tcPr>
            <w:tcW w:w="9390" w:type="dxa"/>
            <w:shd w:val="clear" w:color="auto" w:fill="auto"/>
            <w:noWrap/>
            <w:vAlign w:val="center"/>
            <w:hideMark/>
          </w:tcPr>
          <w:p w14:paraId="5D503472" w14:textId="77777777" w:rsidR="006F73F7" w:rsidRPr="006F73F7" w:rsidRDefault="006F73F7" w:rsidP="00B00AB8">
            <w:pPr>
              <w:rPr>
                <w:rFonts w:ascii="Calibri" w:hAnsi="Calibri"/>
                <w:color w:val="000000"/>
                <w:sz w:val="22"/>
                <w:szCs w:val="22"/>
                <w:lang w:val="en-GB" w:eastAsia="en-GB"/>
              </w:rPr>
            </w:pPr>
          </w:p>
        </w:tc>
      </w:tr>
      <w:tr w:rsidR="006F73F7" w:rsidRPr="006F73F7" w14:paraId="70DE712A" w14:textId="77777777" w:rsidTr="00B00AB8">
        <w:trPr>
          <w:trHeight w:val="300"/>
        </w:trPr>
        <w:tc>
          <w:tcPr>
            <w:tcW w:w="9390" w:type="dxa"/>
            <w:shd w:val="clear" w:color="auto" w:fill="auto"/>
            <w:noWrap/>
            <w:vAlign w:val="center"/>
            <w:hideMark/>
          </w:tcPr>
          <w:p w14:paraId="2F231B63"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Model Results:</w:t>
            </w:r>
          </w:p>
        </w:tc>
      </w:tr>
      <w:tr w:rsidR="006F73F7" w:rsidRPr="006F73F7" w14:paraId="73C6EA83" w14:textId="77777777" w:rsidTr="00B00AB8">
        <w:trPr>
          <w:trHeight w:val="300"/>
        </w:trPr>
        <w:tc>
          <w:tcPr>
            <w:tcW w:w="9390" w:type="dxa"/>
            <w:shd w:val="clear" w:color="auto" w:fill="auto"/>
            <w:noWrap/>
            <w:vAlign w:val="center"/>
            <w:hideMark/>
          </w:tcPr>
          <w:p w14:paraId="20A84E0C" w14:textId="77777777" w:rsidR="006F73F7" w:rsidRPr="006F73F7" w:rsidRDefault="006F73F7" w:rsidP="00B00AB8">
            <w:pPr>
              <w:rPr>
                <w:rFonts w:ascii="Calibri" w:hAnsi="Calibri"/>
                <w:color w:val="000000"/>
                <w:sz w:val="22"/>
                <w:szCs w:val="22"/>
                <w:lang w:val="en-GB" w:eastAsia="en-GB"/>
              </w:rPr>
            </w:pPr>
          </w:p>
        </w:tc>
      </w:tr>
      <w:tr w:rsidR="006F73F7" w:rsidRPr="002E4455" w14:paraId="256599DF" w14:textId="77777777" w:rsidTr="00B00AB8">
        <w:trPr>
          <w:trHeight w:val="300"/>
        </w:trPr>
        <w:tc>
          <w:tcPr>
            <w:tcW w:w="9390" w:type="dxa"/>
            <w:shd w:val="clear" w:color="auto" w:fill="auto"/>
            <w:noWrap/>
            <w:vAlign w:val="center"/>
            <w:hideMark/>
          </w:tcPr>
          <w:p w14:paraId="311FA0B9" w14:textId="77777777" w:rsidR="006F73F7" w:rsidRPr="006F73F7" w:rsidRDefault="00274979" w:rsidP="00B00AB8">
            <w:pPr>
              <w:rPr>
                <w:rFonts w:ascii="Lucida Console" w:hAnsi="Lucida Console"/>
                <w:color w:val="000000"/>
                <w:sz w:val="20"/>
                <w:szCs w:val="20"/>
                <w:lang w:val="en-GB" w:eastAsia="en-GB"/>
              </w:rPr>
            </w:pPr>
            <w:r>
              <w:rPr>
                <w:rFonts w:ascii="Lucida Console" w:hAnsi="Lucida Console"/>
                <w:color w:val="000000"/>
                <w:sz w:val="20"/>
                <w:szCs w:val="20"/>
                <w:lang w:val="en-GB" w:eastAsia="en-GB"/>
              </w:rPr>
              <w:t xml:space="preserve">                      </w:t>
            </w:r>
            <w:r w:rsidRPr="00EA298D">
              <w:rPr>
                <w:rFonts w:ascii="Lucida Console" w:hAnsi="Lucida Console"/>
                <w:color w:val="000000"/>
                <w:sz w:val="20"/>
                <w:szCs w:val="20"/>
                <w:lang w:val="en-GB" w:eastAsia="en-GB"/>
              </w:rPr>
              <w:t>estimat</w:t>
            </w:r>
            <w:r>
              <w:rPr>
                <w:rFonts w:ascii="Lucida Console" w:hAnsi="Lucida Console"/>
                <w:color w:val="000000"/>
                <w:sz w:val="20"/>
                <w:szCs w:val="20"/>
                <w:lang w:val="en-GB" w:eastAsia="en-GB"/>
              </w:rPr>
              <w:t xml:space="preserve">e    </w:t>
            </w:r>
            <w:r w:rsidRPr="00493611">
              <w:rPr>
                <w:rFonts w:ascii="Lucida Console" w:hAnsi="Lucida Console"/>
                <w:color w:val="000000"/>
                <w:sz w:val="20"/>
                <w:szCs w:val="20"/>
                <w:lang w:val="en-GB" w:eastAsia="en-GB"/>
              </w:rPr>
              <w:t xml:space="preserve"> </w:t>
            </w:r>
            <w:r>
              <w:rPr>
                <w:rFonts w:ascii="Lucida Console" w:hAnsi="Lucida Console"/>
                <w:color w:val="000000"/>
                <w:sz w:val="20"/>
                <w:szCs w:val="20"/>
                <w:lang w:val="en-GB" w:eastAsia="en-GB"/>
              </w:rPr>
              <w:t xml:space="preserve">   </w:t>
            </w:r>
            <w:r w:rsidRPr="00493611">
              <w:rPr>
                <w:rFonts w:ascii="Lucida Console" w:hAnsi="Lucida Console"/>
                <w:color w:val="000000"/>
                <w:sz w:val="20"/>
                <w:szCs w:val="20"/>
                <w:lang w:val="en-GB" w:eastAsia="en-GB"/>
              </w:rPr>
              <w:t xml:space="preserve">se     </w:t>
            </w:r>
            <w:proofErr w:type="spellStart"/>
            <w:r w:rsidRPr="00493611">
              <w:rPr>
                <w:rFonts w:ascii="Lucida Console" w:hAnsi="Lucida Console"/>
                <w:color w:val="000000"/>
                <w:sz w:val="20"/>
                <w:szCs w:val="20"/>
                <w:lang w:val="en-GB" w:eastAsia="en-GB"/>
              </w:rPr>
              <w:t>zval</w:t>
            </w:r>
            <w:proofErr w:type="spellEnd"/>
            <w:r w:rsidRPr="00493611">
              <w:rPr>
                <w:rFonts w:ascii="Lucida Console" w:hAnsi="Lucida Console"/>
                <w:color w:val="000000"/>
                <w:sz w:val="20"/>
                <w:szCs w:val="20"/>
                <w:lang w:val="en-GB" w:eastAsia="en-GB"/>
              </w:rPr>
              <w:t xml:space="preserve">    </w:t>
            </w:r>
            <w:proofErr w:type="spellStart"/>
            <w:r w:rsidRPr="00493611">
              <w:rPr>
                <w:rFonts w:ascii="Lucida Console" w:hAnsi="Lucida Console"/>
                <w:color w:val="000000"/>
                <w:sz w:val="20"/>
                <w:szCs w:val="20"/>
                <w:lang w:val="en-GB" w:eastAsia="en-GB"/>
              </w:rPr>
              <w:t>pval</w:t>
            </w:r>
            <w:proofErr w:type="spellEnd"/>
            <w:r w:rsidRPr="00493611">
              <w:rPr>
                <w:rFonts w:ascii="Lucida Console" w:hAnsi="Lucida Console"/>
                <w:color w:val="000000"/>
                <w:sz w:val="20"/>
                <w:szCs w:val="20"/>
                <w:lang w:val="en-GB" w:eastAsia="en-GB"/>
              </w:rPr>
              <w:t xml:space="preserve">    ci.lb   </w:t>
            </w:r>
            <w:proofErr w:type="spellStart"/>
            <w:r w:rsidRPr="00493611">
              <w:rPr>
                <w:rFonts w:ascii="Lucida Console" w:hAnsi="Lucida Console"/>
                <w:color w:val="000000"/>
                <w:sz w:val="20"/>
                <w:szCs w:val="20"/>
                <w:lang w:val="en-GB" w:eastAsia="en-GB"/>
              </w:rPr>
              <w:t>ci.ub</w:t>
            </w:r>
            <w:proofErr w:type="spellEnd"/>
            <w:r w:rsidRPr="00493611">
              <w:rPr>
                <w:rFonts w:ascii="Lucida Console" w:hAnsi="Lucida Console"/>
                <w:color w:val="000000"/>
                <w:sz w:val="20"/>
                <w:szCs w:val="20"/>
                <w:lang w:val="en-GB" w:eastAsia="en-GB"/>
              </w:rPr>
              <w:t xml:space="preserve">   </w:t>
            </w:r>
          </w:p>
        </w:tc>
      </w:tr>
      <w:tr w:rsidR="006F73F7" w:rsidRPr="006F73F7" w14:paraId="5D670208" w14:textId="77777777" w:rsidTr="00B00AB8">
        <w:trPr>
          <w:trHeight w:val="300"/>
        </w:trPr>
        <w:tc>
          <w:tcPr>
            <w:tcW w:w="9390" w:type="dxa"/>
            <w:shd w:val="clear" w:color="auto" w:fill="auto"/>
            <w:noWrap/>
            <w:vAlign w:val="center"/>
            <w:hideMark/>
          </w:tcPr>
          <w:p w14:paraId="45CCD07C" w14:textId="77777777" w:rsidR="006F73F7" w:rsidRPr="006F73F7" w:rsidRDefault="006F73F7" w:rsidP="00B00AB8">
            <w:pPr>
              <w:rPr>
                <w:rFonts w:ascii="Lucida Console" w:hAnsi="Lucida Console"/>
                <w:color w:val="000000"/>
                <w:sz w:val="20"/>
                <w:szCs w:val="20"/>
                <w:lang w:val="en-GB" w:eastAsia="en-GB"/>
              </w:rPr>
            </w:pPr>
            <w:proofErr w:type="spellStart"/>
            <w:r w:rsidRPr="006F73F7">
              <w:rPr>
                <w:rFonts w:ascii="Lucida Console" w:hAnsi="Lucida Console"/>
                <w:color w:val="000000"/>
                <w:sz w:val="20"/>
                <w:szCs w:val="20"/>
                <w:lang w:val="en-GB" w:eastAsia="en-GB"/>
              </w:rPr>
              <w:t>intrcpt</w:t>
            </w:r>
            <w:proofErr w:type="spellEnd"/>
            <w:r w:rsidRPr="006F73F7">
              <w:rPr>
                <w:rFonts w:ascii="Lucida Console" w:hAnsi="Lucida Console"/>
                <w:color w:val="000000"/>
                <w:sz w:val="20"/>
                <w:szCs w:val="20"/>
                <w:lang w:val="en-GB" w:eastAsia="en-GB"/>
              </w:rPr>
              <w:t xml:space="preserve">                 2.4841  0.0222  111.8192  &lt;.0001   2.4405   2.5276  ***</w:t>
            </w:r>
          </w:p>
        </w:tc>
      </w:tr>
      <w:tr w:rsidR="006F73F7" w:rsidRPr="006F73F7" w14:paraId="67CAA383" w14:textId="77777777" w:rsidTr="00B00AB8">
        <w:trPr>
          <w:trHeight w:val="300"/>
        </w:trPr>
        <w:tc>
          <w:tcPr>
            <w:tcW w:w="9390" w:type="dxa"/>
            <w:shd w:val="clear" w:color="auto" w:fill="auto"/>
            <w:noWrap/>
            <w:vAlign w:val="center"/>
            <w:hideMark/>
          </w:tcPr>
          <w:p w14:paraId="53C5D6B4"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I(</w:t>
            </w:r>
            <w:proofErr w:type="spellStart"/>
            <w:r w:rsidRPr="006F73F7">
              <w:rPr>
                <w:rFonts w:ascii="Lucida Console" w:hAnsi="Lucida Console"/>
                <w:color w:val="000000"/>
                <w:sz w:val="20"/>
                <w:szCs w:val="20"/>
                <w:lang w:val="en-GB" w:eastAsia="en-GB"/>
              </w:rPr>
              <w:t>MED_a_perc</w:t>
            </w:r>
            <w:proofErr w:type="spellEnd"/>
            <w:r w:rsidRPr="006F73F7">
              <w:rPr>
                <w:rFonts w:ascii="Lucida Console" w:hAnsi="Lucida Console"/>
                <w:color w:val="000000"/>
                <w:sz w:val="20"/>
                <w:szCs w:val="20"/>
                <w:lang w:val="en-GB" w:eastAsia="en-GB"/>
              </w:rPr>
              <w:t xml:space="preserve"> - 68.72)  -0.0058  0.0019   -3.1327  0.0017  -0.0094  -0.0022   **</w:t>
            </w:r>
          </w:p>
        </w:tc>
      </w:tr>
      <w:tr w:rsidR="006F73F7" w:rsidRPr="006F73F7" w14:paraId="7E3B1084" w14:textId="77777777" w:rsidTr="00B00AB8">
        <w:trPr>
          <w:trHeight w:val="300"/>
        </w:trPr>
        <w:tc>
          <w:tcPr>
            <w:tcW w:w="9390" w:type="dxa"/>
            <w:shd w:val="clear" w:color="auto" w:fill="auto"/>
            <w:noWrap/>
            <w:vAlign w:val="center"/>
            <w:hideMark/>
          </w:tcPr>
          <w:p w14:paraId="63EFB68C"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I(</w:t>
            </w:r>
            <w:proofErr w:type="spellStart"/>
            <w:r w:rsidRPr="006F73F7">
              <w:rPr>
                <w:rFonts w:ascii="Lucida Console" w:hAnsi="Lucida Console"/>
                <w:color w:val="000000"/>
                <w:sz w:val="20"/>
                <w:szCs w:val="20"/>
                <w:lang w:val="en-GB" w:eastAsia="en-GB"/>
              </w:rPr>
              <w:t>MED_b_perc</w:t>
            </w:r>
            <w:proofErr w:type="spellEnd"/>
            <w:r w:rsidRPr="006F73F7">
              <w:rPr>
                <w:rFonts w:ascii="Lucida Console" w:hAnsi="Lucida Console"/>
                <w:color w:val="000000"/>
                <w:sz w:val="20"/>
                <w:szCs w:val="20"/>
                <w:lang w:val="en-GB" w:eastAsia="en-GB"/>
              </w:rPr>
              <w:t xml:space="preserve"> - 8.536)  -0.0026  0.0033   -0.7653  0.4441  -0.0091   0.0040     </w:t>
            </w:r>
          </w:p>
        </w:tc>
      </w:tr>
      <w:tr w:rsidR="006F73F7" w:rsidRPr="006F73F7" w14:paraId="7B50E2E6" w14:textId="77777777" w:rsidTr="00B00AB8">
        <w:trPr>
          <w:trHeight w:val="300"/>
        </w:trPr>
        <w:tc>
          <w:tcPr>
            <w:tcW w:w="9390" w:type="dxa"/>
            <w:shd w:val="clear" w:color="auto" w:fill="auto"/>
            <w:noWrap/>
            <w:vAlign w:val="center"/>
            <w:hideMark/>
          </w:tcPr>
          <w:p w14:paraId="3AF59B3A"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I(</w:t>
            </w:r>
            <w:proofErr w:type="spellStart"/>
            <w:r w:rsidRPr="006F73F7">
              <w:rPr>
                <w:rFonts w:ascii="Lucida Console" w:hAnsi="Lucida Console"/>
                <w:color w:val="000000"/>
                <w:sz w:val="20"/>
                <w:szCs w:val="20"/>
                <w:lang w:val="en-GB" w:eastAsia="en-GB"/>
              </w:rPr>
              <w:t>MED_t_perc</w:t>
            </w:r>
            <w:proofErr w:type="spellEnd"/>
            <w:r w:rsidRPr="006F73F7">
              <w:rPr>
                <w:rFonts w:ascii="Lucida Console" w:hAnsi="Lucida Console"/>
                <w:color w:val="000000"/>
                <w:sz w:val="20"/>
                <w:szCs w:val="20"/>
                <w:lang w:val="en-GB" w:eastAsia="en-GB"/>
              </w:rPr>
              <w:t xml:space="preserve"> - 11.1)   -0.0065  0.0022   -2.9253  0.0034  -0.0109  -0.0021   **</w:t>
            </w:r>
          </w:p>
        </w:tc>
      </w:tr>
    </w:tbl>
    <w:p w14:paraId="691D81CC" w14:textId="77777777" w:rsidR="00274979" w:rsidRPr="00B00AB8" w:rsidRDefault="00274979" w:rsidP="00274979">
      <w:pPr>
        <w:spacing w:line="360" w:lineRule="auto"/>
        <w:rPr>
          <w:rFonts w:asciiTheme="minorHAnsi" w:hAnsiTheme="minorHAnsi"/>
          <w:lang w:val="en-GB"/>
        </w:rPr>
      </w:pPr>
      <w:r>
        <w:rPr>
          <w:rFonts w:asciiTheme="minorHAnsi" w:hAnsiTheme="minorHAnsi"/>
          <w:lang w:val="en-GB"/>
        </w:rPr>
        <w:t>N.B.: predictor abbreviations refer to percentage of patients treated with atypical (</w:t>
      </w:r>
      <w:proofErr w:type="spellStart"/>
      <w:r>
        <w:rPr>
          <w:rFonts w:asciiTheme="minorHAnsi" w:hAnsiTheme="minorHAnsi"/>
          <w:lang w:val="en-GB"/>
        </w:rPr>
        <w:t>MED_a_perc</w:t>
      </w:r>
      <w:proofErr w:type="spellEnd"/>
      <w:r>
        <w:rPr>
          <w:rFonts w:asciiTheme="minorHAnsi" w:hAnsiTheme="minorHAnsi"/>
          <w:lang w:val="en-GB"/>
        </w:rPr>
        <w:t>) or typical (</w:t>
      </w:r>
      <w:proofErr w:type="spellStart"/>
      <w:r>
        <w:rPr>
          <w:rFonts w:asciiTheme="minorHAnsi" w:hAnsiTheme="minorHAnsi"/>
          <w:lang w:val="en-GB"/>
        </w:rPr>
        <w:t>MED_t_perc</w:t>
      </w:r>
      <w:proofErr w:type="spellEnd"/>
      <w:r>
        <w:rPr>
          <w:rFonts w:asciiTheme="minorHAnsi" w:hAnsiTheme="minorHAnsi"/>
          <w:lang w:val="en-GB"/>
        </w:rPr>
        <w:t>) antipsychotics, both antipsychotic medication types (</w:t>
      </w:r>
      <w:proofErr w:type="spellStart"/>
      <w:r>
        <w:rPr>
          <w:rFonts w:asciiTheme="minorHAnsi" w:hAnsiTheme="minorHAnsi"/>
          <w:lang w:val="en-GB"/>
        </w:rPr>
        <w:t>MED_b_perc</w:t>
      </w:r>
      <w:proofErr w:type="spellEnd"/>
      <w:r>
        <w:rPr>
          <w:rFonts w:asciiTheme="minorHAnsi" w:hAnsiTheme="minorHAnsi"/>
          <w:lang w:val="en-GB"/>
        </w:rPr>
        <w:t xml:space="preserve">) and the percentage of </w:t>
      </w:r>
      <w:proofErr w:type="spellStart"/>
      <w:r>
        <w:rPr>
          <w:rFonts w:asciiTheme="minorHAnsi" w:hAnsiTheme="minorHAnsi"/>
          <w:lang w:val="en-GB"/>
        </w:rPr>
        <w:t>unmedicated</w:t>
      </w:r>
      <w:proofErr w:type="spellEnd"/>
      <w:r>
        <w:rPr>
          <w:rFonts w:asciiTheme="minorHAnsi" w:hAnsiTheme="minorHAnsi"/>
          <w:lang w:val="en-GB"/>
        </w:rPr>
        <w:t xml:space="preserve"> patients (</w:t>
      </w:r>
      <w:proofErr w:type="spellStart"/>
      <w:r>
        <w:rPr>
          <w:rFonts w:asciiTheme="minorHAnsi" w:hAnsiTheme="minorHAnsi"/>
          <w:lang w:val="en-GB"/>
        </w:rPr>
        <w:t>intrcpt</w:t>
      </w:r>
      <w:proofErr w:type="spellEnd"/>
      <w:r>
        <w:rPr>
          <w:rFonts w:asciiTheme="minorHAnsi" w:hAnsiTheme="minorHAnsi"/>
          <w:lang w:val="en-GB"/>
        </w:rPr>
        <w:t>, i.e. baseline).</w:t>
      </w:r>
    </w:p>
    <w:p w14:paraId="2C094CD9" w14:textId="77777777" w:rsidR="006F73F7" w:rsidRDefault="006F73F7" w:rsidP="00B00AB8">
      <w:pPr>
        <w:pStyle w:val="ListParagraph"/>
        <w:spacing w:line="360" w:lineRule="auto"/>
        <w:ind w:left="360"/>
        <w:rPr>
          <w:rFonts w:asciiTheme="minorHAnsi" w:hAnsiTheme="minorHAnsi"/>
          <w:lang w:val="en-GB"/>
        </w:rPr>
      </w:pPr>
    </w:p>
    <w:p w14:paraId="7BD5DD39" w14:textId="77777777" w:rsidR="006F73F7" w:rsidRDefault="006F73F7" w:rsidP="006F73F7">
      <w:pPr>
        <w:pStyle w:val="ListParagraph"/>
        <w:numPr>
          <w:ilvl w:val="0"/>
          <w:numId w:val="1"/>
        </w:numPr>
        <w:spacing w:line="360" w:lineRule="auto"/>
        <w:rPr>
          <w:rFonts w:asciiTheme="minorHAnsi" w:hAnsiTheme="minorHAnsi"/>
          <w:lang w:val="en-GB"/>
        </w:rPr>
      </w:pPr>
      <w:r>
        <w:rPr>
          <w:rFonts w:asciiTheme="minorHAnsi" w:hAnsiTheme="minorHAnsi"/>
          <w:lang w:val="en-GB"/>
        </w:rPr>
        <w:t xml:space="preserve">Global SANS score differences by </w:t>
      </w:r>
      <w:r w:rsidR="00B857B6">
        <w:rPr>
          <w:rFonts w:asciiTheme="minorHAnsi" w:hAnsiTheme="minorHAnsi"/>
          <w:lang w:val="en-GB"/>
        </w:rPr>
        <w:t xml:space="preserve">antipsychotic </w:t>
      </w:r>
      <w:r>
        <w:rPr>
          <w:rFonts w:asciiTheme="minorHAnsi" w:hAnsiTheme="minorHAnsi"/>
          <w:lang w:val="en-GB"/>
        </w:rPr>
        <w:t>medication type percentages</w:t>
      </w:r>
    </w:p>
    <w:p w14:paraId="48D12333" w14:textId="77777777" w:rsidR="004D506E" w:rsidRDefault="004D506E" w:rsidP="006F73F7">
      <w:pPr>
        <w:pStyle w:val="ListParagraph"/>
        <w:spacing w:line="360" w:lineRule="auto"/>
        <w:ind w:left="360"/>
        <w:rPr>
          <w:rFonts w:asciiTheme="minorHAnsi" w:hAnsiTheme="minorHAnsi"/>
          <w:lang w:val="en-GB"/>
        </w:rPr>
      </w:pPr>
    </w:p>
    <w:p w14:paraId="5694BCFB" w14:textId="138DFA89" w:rsidR="006F73F7" w:rsidRDefault="006F73F7" w:rsidP="006F73F7">
      <w:pPr>
        <w:pStyle w:val="ListParagraph"/>
        <w:spacing w:line="360" w:lineRule="auto"/>
        <w:ind w:left="360"/>
        <w:rPr>
          <w:rFonts w:asciiTheme="minorHAnsi" w:hAnsiTheme="minorHAnsi"/>
          <w:lang w:val="en-GB"/>
        </w:rPr>
      </w:pPr>
      <w:r>
        <w:rPr>
          <w:rFonts w:asciiTheme="minorHAnsi" w:hAnsiTheme="minorHAnsi"/>
          <w:lang w:val="en-GB"/>
        </w:rPr>
        <w:t xml:space="preserve">Furthermore, </w:t>
      </w:r>
      <w:proofErr w:type="gramStart"/>
      <w:r w:rsidRPr="003E3FC7">
        <w:rPr>
          <w:rFonts w:asciiTheme="minorHAnsi" w:hAnsiTheme="minorHAnsi"/>
          <w:lang w:val="en-GB"/>
        </w:rPr>
        <w:t>We</w:t>
      </w:r>
      <w:proofErr w:type="gramEnd"/>
      <w:r w:rsidRPr="003E3FC7">
        <w:rPr>
          <w:rFonts w:asciiTheme="minorHAnsi" w:hAnsiTheme="minorHAnsi"/>
          <w:lang w:val="en-GB"/>
        </w:rPr>
        <w:t xml:space="preserve"> also investigated whether </w:t>
      </w:r>
      <w:r>
        <w:rPr>
          <w:rFonts w:asciiTheme="minorHAnsi" w:hAnsiTheme="minorHAnsi"/>
          <w:lang w:val="en-GB"/>
        </w:rPr>
        <w:t>global SANS scores</w:t>
      </w:r>
      <w:r w:rsidRPr="003E3FC7">
        <w:rPr>
          <w:rFonts w:asciiTheme="minorHAnsi" w:hAnsiTheme="minorHAnsi"/>
          <w:lang w:val="en-GB"/>
        </w:rPr>
        <w:t xml:space="preserve"> differed by the percentage of patients treated with typical or atypical antipsychotics, both </w:t>
      </w:r>
      <w:r w:rsidR="00B857B6">
        <w:rPr>
          <w:rFonts w:asciiTheme="minorHAnsi" w:hAnsiTheme="minorHAnsi"/>
          <w:lang w:val="en-GB"/>
        </w:rPr>
        <w:t xml:space="preserve">antipsychotic </w:t>
      </w:r>
      <w:r w:rsidRPr="003E3FC7">
        <w:rPr>
          <w:rFonts w:asciiTheme="minorHAnsi" w:hAnsiTheme="minorHAnsi"/>
          <w:lang w:val="en-GB"/>
        </w:rPr>
        <w:t xml:space="preserve">medication types and the percentage of </w:t>
      </w:r>
      <w:proofErr w:type="spellStart"/>
      <w:r w:rsidRPr="003E3FC7">
        <w:rPr>
          <w:rFonts w:asciiTheme="minorHAnsi" w:hAnsiTheme="minorHAnsi"/>
          <w:lang w:val="en-GB"/>
        </w:rPr>
        <w:t>unmedicated</w:t>
      </w:r>
      <w:proofErr w:type="spellEnd"/>
      <w:r w:rsidRPr="003E3FC7">
        <w:rPr>
          <w:rFonts w:asciiTheme="minorHAnsi" w:hAnsiTheme="minorHAnsi"/>
          <w:lang w:val="en-GB"/>
        </w:rPr>
        <w:t xml:space="preserve"> patients. Shown below are the estimate, the standard error, p value and the confidence intervals of mean </w:t>
      </w:r>
      <w:r>
        <w:rPr>
          <w:rFonts w:asciiTheme="minorHAnsi" w:hAnsiTheme="minorHAnsi"/>
          <w:lang w:val="en-GB"/>
        </w:rPr>
        <w:t>global SANS scores</w:t>
      </w:r>
      <w:r w:rsidRPr="003E3FC7">
        <w:rPr>
          <w:rFonts w:asciiTheme="minorHAnsi" w:hAnsiTheme="minorHAnsi"/>
          <w:lang w:val="en-GB"/>
        </w:rPr>
        <w:t xml:space="preserve"> for each </w:t>
      </w:r>
      <w:r w:rsidR="00B857B6">
        <w:rPr>
          <w:rFonts w:asciiTheme="minorHAnsi" w:hAnsiTheme="minorHAnsi"/>
          <w:lang w:val="en-GB"/>
        </w:rPr>
        <w:t xml:space="preserve">antipsychotic </w:t>
      </w:r>
      <w:r w:rsidRPr="003E3FC7">
        <w:rPr>
          <w:rFonts w:asciiTheme="minorHAnsi" w:hAnsiTheme="minorHAnsi"/>
          <w:lang w:val="en-GB"/>
        </w:rPr>
        <w:t xml:space="preserve">medication group. Percentages were mean </w:t>
      </w:r>
      <w:proofErr w:type="spellStart"/>
      <w:r w:rsidRPr="003E3FC7">
        <w:rPr>
          <w:rFonts w:asciiTheme="minorHAnsi" w:hAnsiTheme="minorHAnsi"/>
          <w:lang w:val="en-GB"/>
        </w:rPr>
        <w:t>centered</w:t>
      </w:r>
      <w:proofErr w:type="spellEnd"/>
      <w:r w:rsidRPr="003E3FC7">
        <w:rPr>
          <w:rFonts w:asciiTheme="minorHAnsi" w:hAnsiTheme="minorHAnsi"/>
          <w:lang w:val="en-GB"/>
        </w:rPr>
        <w:t xml:space="preserve"> and compared to </w:t>
      </w:r>
      <w:proofErr w:type="spellStart"/>
      <w:r w:rsidRPr="003E3FC7">
        <w:rPr>
          <w:rFonts w:asciiTheme="minorHAnsi" w:hAnsiTheme="minorHAnsi"/>
          <w:lang w:val="en-GB"/>
        </w:rPr>
        <w:t>unmedicated</w:t>
      </w:r>
      <w:proofErr w:type="spellEnd"/>
      <w:r w:rsidRPr="003E3FC7">
        <w:rPr>
          <w:rFonts w:asciiTheme="minorHAnsi" w:hAnsiTheme="minorHAnsi"/>
          <w:lang w:val="en-GB"/>
        </w:rPr>
        <w:t xml:space="preserve"> patients (baseline). Results were based on estimates from 13 studies</w:t>
      </w:r>
      <w:r>
        <w:rPr>
          <w:rFonts w:asciiTheme="minorHAnsi" w:hAnsiTheme="minorHAnsi"/>
          <w:lang w:val="en-GB"/>
        </w:rPr>
        <w:t>.</w:t>
      </w:r>
    </w:p>
    <w:tbl>
      <w:tblPr>
        <w:tblW w:w="939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90"/>
      </w:tblGrid>
      <w:tr w:rsidR="006F73F7" w:rsidRPr="002E4455" w14:paraId="08D14126" w14:textId="77777777" w:rsidTr="00B00AB8">
        <w:trPr>
          <w:trHeight w:val="300"/>
        </w:trPr>
        <w:tc>
          <w:tcPr>
            <w:tcW w:w="9390" w:type="dxa"/>
            <w:shd w:val="clear" w:color="auto" w:fill="auto"/>
            <w:noWrap/>
            <w:vAlign w:val="center"/>
            <w:hideMark/>
          </w:tcPr>
          <w:p w14:paraId="2322CAF8"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Mixed-Effects Model (k = 13; tau^2 estimator: REML)</w:t>
            </w:r>
          </w:p>
        </w:tc>
      </w:tr>
      <w:tr w:rsidR="006F73F7" w:rsidRPr="002E4455" w14:paraId="11C2F037" w14:textId="77777777" w:rsidTr="00B00AB8">
        <w:trPr>
          <w:trHeight w:val="300"/>
        </w:trPr>
        <w:tc>
          <w:tcPr>
            <w:tcW w:w="9390" w:type="dxa"/>
            <w:shd w:val="clear" w:color="auto" w:fill="auto"/>
            <w:noWrap/>
            <w:vAlign w:val="center"/>
            <w:hideMark/>
          </w:tcPr>
          <w:p w14:paraId="5EBCF2FE" w14:textId="77777777" w:rsidR="006F73F7" w:rsidRPr="006F73F7" w:rsidRDefault="006F73F7" w:rsidP="00B00AB8">
            <w:pPr>
              <w:rPr>
                <w:rFonts w:ascii="Calibri" w:hAnsi="Calibri"/>
                <w:color w:val="000000"/>
                <w:sz w:val="22"/>
                <w:szCs w:val="22"/>
                <w:lang w:val="en-GB" w:eastAsia="en-GB"/>
              </w:rPr>
            </w:pPr>
          </w:p>
        </w:tc>
      </w:tr>
      <w:tr w:rsidR="006F73F7" w:rsidRPr="002E4455" w14:paraId="7A2E9DA4" w14:textId="77777777" w:rsidTr="00B00AB8">
        <w:trPr>
          <w:trHeight w:val="300"/>
        </w:trPr>
        <w:tc>
          <w:tcPr>
            <w:tcW w:w="9390" w:type="dxa"/>
            <w:shd w:val="clear" w:color="auto" w:fill="auto"/>
            <w:noWrap/>
            <w:vAlign w:val="center"/>
            <w:hideMark/>
          </w:tcPr>
          <w:p w14:paraId="7E861DB5"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tau^2 (estimated amount of residual heterogeneity):     7.3158 (SE = 3.5444)</w:t>
            </w:r>
          </w:p>
        </w:tc>
      </w:tr>
      <w:tr w:rsidR="006F73F7" w:rsidRPr="002E4455" w14:paraId="0376A0D3" w14:textId="77777777" w:rsidTr="00B00AB8">
        <w:trPr>
          <w:trHeight w:val="300"/>
        </w:trPr>
        <w:tc>
          <w:tcPr>
            <w:tcW w:w="9390" w:type="dxa"/>
            <w:shd w:val="clear" w:color="auto" w:fill="auto"/>
            <w:noWrap/>
            <w:vAlign w:val="center"/>
            <w:hideMark/>
          </w:tcPr>
          <w:p w14:paraId="69628434"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tau (square root of estimated tau^2 value):             2.7048</w:t>
            </w:r>
          </w:p>
        </w:tc>
      </w:tr>
      <w:tr w:rsidR="006F73F7" w:rsidRPr="002E4455" w14:paraId="3CEE32E4" w14:textId="77777777" w:rsidTr="00B00AB8">
        <w:trPr>
          <w:trHeight w:val="300"/>
        </w:trPr>
        <w:tc>
          <w:tcPr>
            <w:tcW w:w="9390" w:type="dxa"/>
            <w:shd w:val="clear" w:color="auto" w:fill="auto"/>
            <w:noWrap/>
            <w:vAlign w:val="center"/>
            <w:hideMark/>
          </w:tcPr>
          <w:p w14:paraId="790481A3"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I^2 (residual heterogeneity / unaccounted variability): 98.34%</w:t>
            </w:r>
          </w:p>
        </w:tc>
      </w:tr>
      <w:tr w:rsidR="006F73F7" w:rsidRPr="002E4455" w14:paraId="7457F816" w14:textId="77777777" w:rsidTr="00B00AB8">
        <w:trPr>
          <w:trHeight w:val="300"/>
        </w:trPr>
        <w:tc>
          <w:tcPr>
            <w:tcW w:w="9390" w:type="dxa"/>
            <w:shd w:val="clear" w:color="auto" w:fill="auto"/>
            <w:noWrap/>
            <w:vAlign w:val="center"/>
            <w:hideMark/>
          </w:tcPr>
          <w:p w14:paraId="1923253B"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H^2 (unaccounted variability / sampling variability):   60.25</w:t>
            </w:r>
          </w:p>
        </w:tc>
      </w:tr>
      <w:tr w:rsidR="006F73F7" w:rsidRPr="002E4455" w14:paraId="2BB44378" w14:textId="77777777" w:rsidTr="00B00AB8">
        <w:trPr>
          <w:trHeight w:val="300"/>
        </w:trPr>
        <w:tc>
          <w:tcPr>
            <w:tcW w:w="9390" w:type="dxa"/>
            <w:shd w:val="clear" w:color="auto" w:fill="auto"/>
            <w:noWrap/>
            <w:vAlign w:val="center"/>
            <w:hideMark/>
          </w:tcPr>
          <w:p w14:paraId="6DD551E9"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R^2 (amount of heterogeneity accounted for):            0.00%</w:t>
            </w:r>
          </w:p>
        </w:tc>
      </w:tr>
      <w:tr w:rsidR="006F73F7" w:rsidRPr="002E4455" w14:paraId="686218DC" w14:textId="77777777" w:rsidTr="00B00AB8">
        <w:trPr>
          <w:trHeight w:val="300"/>
        </w:trPr>
        <w:tc>
          <w:tcPr>
            <w:tcW w:w="9390" w:type="dxa"/>
            <w:shd w:val="clear" w:color="auto" w:fill="auto"/>
            <w:noWrap/>
            <w:vAlign w:val="center"/>
            <w:hideMark/>
          </w:tcPr>
          <w:p w14:paraId="3D8D14C2" w14:textId="77777777" w:rsidR="006F73F7" w:rsidRPr="006F73F7" w:rsidRDefault="006F73F7" w:rsidP="00B00AB8">
            <w:pPr>
              <w:rPr>
                <w:rFonts w:ascii="Calibri" w:hAnsi="Calibri"/>
                <w:color w:val="000000"/>
                <w:sz w:val="22"/>
                <w:szCs w:val="22"/>
                <w:lang w:val="en-GB" w:eastAsia="en-GB"/>
              </w:rPr>
            </w:pPr>
          </w:p>
        </w:tc>
      </w:tr>
      <w:tr w:rsidR="006F73F7" w:rsidRPr="006F73F7" w14:paraId="15EFD1B2" w14:textId="77777777" w:rsidTr="00B00AB8">
        <w:trPr>
          <w:trHeight w:val="300"/>
        </w:trPr>
        <w:tc>
          <w:tcPr>
            <w:tcW w:w="9390" w:type="dxa"/>
            <w:shd w:val="clear" w:color="auto" w:fill="auto"/>
            <w:noWrap/>
            <w:vAlign w:val="center"/>
            <w:hideMark/>
          </w:tcPr>
          <w:p w14:paraId="1660AD94"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 xml:space="preserve">Test for Residual Heterogeneity: </w:t>
            </w:r>
          </w:p>
        </w:tc>
      </w:tr>
      <w:tr w:rsidR="006F73F7" w:rsidRPr="006F73F7" w14:paraId="09E70556" w14:textId="77777777" w:rsidTr="00B00AB8">
        <w:trPr>
          <w:trHeight w:val="300"/>
        </w:trPr>
        <w:tc>
          <w:tcPr>
            <w:tcW w:w="9390" w:type="dxa"/>
            <w:shd w:val="clear" w:color="auto" w:fill="auto"/>
            <w:noWrap/>
            <w:vAlign w:val="center"/>
            <w:hideMark/>
          </w:tcPr>
          <w:p w14:paraId="2C4C65B8"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QE(</w:t>
            </w:r>
            <w:proofErr w:type="spellStart"/>
            <w:r w:rsidRPr="006F73F7">
              <w:rPr>
                <w:rFonts w:ascii="Lucida Console" w:hAnsi="Lucida Console"/>
                <w:color w:val="000000"/>
                <w:sz w:val="20"/>
                <w:szCs w:val="20"/>
                <w:lang w:val="en-GB" w:eastAsia="en-GB"/>
              </w:rPr>
              <w:t>df</w:t>
            </w:r>
            <w:proofErr w:type="spellEnd"/>
            <w:r w:rsidRPr="006F73F7">
              <w:rPr>
                <w:rFonts w:ascii="Lucida Console" w:hAnsi="Lucida Console"/>
                <w:color w:val="000000"/>
                <w:sz w:val="20"/>
                <w:szCs w:val="20"/>
                <w:lang w:val="en-GB" w:eastAsia="en-GB"/>
              </w:rPr>
              <w:t xml:space="preserve"> = 9) = 483.0582, p-</w:t>
            </w:r>
            <w:proofErr w:type="spellStart"/>
            <w:r w:rsidRPr="006F73F7">
              <w:rPr>
                <w:rFonts w:ascii="Lucida Console" w:hAnsi="Lucida Console"/>
                <w:color w:val="000000"/>
                <w:sz w:val="20"/>
                <w:szCs w:val="20"/>
                <w:lang w:val="en-GB" w:eastAsia="en-GB"/>
              </w:rPr>
              <w:t>val</w:t>
            </w:r>
            <w:proofErr w:type="spellEnd"/>
            <w:r w:rsidRPr="006F73F7">
              <w:rPr>
                <w:rFonts w:ascii="Lucida Console" w:hAnsi="Lucida Console"/>
                <w:color w:val="000000"/>
                <w:sz w:val="20"/>
                <w:szCs w:val="20"/>
                <w:lang w:val="en-GB" w:eastAsia="en-GB"/>
              </w:rPr>
              <w:t xml:space="preserve"> &lt; .0001</w:t>
            </w:r>
          </w:p>
        </w:tc>
      </w:tr>
      <w:tr w:rsidR="006F73F7" w:rsidRPr="006F73F7" w14:paraId="4E619FCF" w14:textId="77777777" w:rsidTr="00B00AB8">
        <w:trPr>
          <w:trHeight w:val="300"/>
        </w:trPr>
        <w:tc>
          <w:tcPr>
            <w:tcW w:w="9390" w:type="dxa"/>
            <w:shd w:val="clear" w:color="auto" w:fill="auto"/>
            <w:noWrap/>
            <w:vAlign w:val="center"/>
            <w:hideMark/>
          </w:tcPr>
          <w:p w14:paraId="7EC45E46" w14:textId="77777777" w:rsidR="006F73F7" w:rsidRPr="006F73F7" w:rsidRDefault="006F73F7" w:rsidP="00B00AB8">
            <w:pPr>
              <w:rPr>
                <w:rFonts w:ascii="Calibri" w:hAnsi="Calibri"/>
                <w:color w:val="000000"/>
                <w:sz w:val="22"/>
                <w:szCs w:val="22"/>
                <w:lang w:val="en-GB" w:eastAsia="en-GB"/>
              </w:rPr>
            </w:pPr>
          </w:p>
        </w:tc>
      </w:tr>
      <w:tr w:rsidR="006F73F7" w:rsidRPr="002E4455" w14:paraId="3E2388A5" w14:textId="77777777" w:rsidTr="00B00AB8">
        <w:trPr>
          <w:trHeight w:val="300"/>
        </w:trPr>
        <w:tc>
          <w:tcPr>
            <w:tcW w:w="9390" w:type="dxa"/>
            <w:shd w:val="clear" w:color="auto" w:fill="auto"/>
            <w:noWrap/>
            <w:vAlign w:val="center"/>
            <w:hideMark/>
          </w:tcPr>
          <w:p w14:paraId="123CB61F"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 xml:space="preserve">Test of Moderators (coefficient(s) 2,3,4): </w:t>
            </w:r>
          </w:p>
        </w:tc>
      </w:tr>
      <w:tr w:rsidR="006F73F7" w:rsidRPr="006F73F7" w14:paraId="0A162C24" w14:textId="77777777" w:rsidTr="00B00AB8">
        <w:trPr>
          <w:trHeight w:val="300"/>
        </w:trPr>
        <w:tc>
          <w:tcPr>
            <w:tcW w:w="9390" w:type="dxa"/>
            <w:shd w:val="clear" w:color="auto" w:fill="auto"/>
            <w:noWrap/>
            <w:vAlign w:val="center"/>
            <w:hideMark/>
          </w:tcPr>
          <w:p w14:paraId="743E036C"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QM(</w:t>
            </w:r>
            <w:proofErr w:type="spellStart"/>
            <w:r w:rsidRPr="006F73F7">
              <w:rPr>
                <w:rFonts w:ascii="Lucida Console" w:hAnsi="Lucida Console"/>
                <w:color w:val="000000"/>
                <w:sz w:val="20"/>
                <w:szCs w:val="20"/>
                <w:lang w:val="en-GB" w:eastAsia="en-GB"/>
              </w:rPr>
              <w:t>df</w:t>
            </w:r>
            <w:proofErr w:type="spellEnd"/>
            <w:r w:rsidRPr="006F73F7">
              <w:rPr>
                <w:rFonts w:ascii="Lucida Console" w:hAnsi="Lucida Console"/>
                <w:color w:val="000000"/>
                <w:sz w:val="20"/>
                <w:szCs w:val="20"/>
                <w:lang w:val="en-GB" w:eastAsia="en-GB"/>
              </w:rPr>
              <w:t xml:space="preserve"> = 3) = 2.6231, p-</w:t>
            </w:r>
            <w:proofErr w:type="spellStart"/>
            <w:r w:rsidRPr="006F73F7">
              <w:rPr>
                <w:rFonts w:ascii="Lucida Console" w:hAnsi="Lucida Console"/>
                <w:color w:val="000000"/>
                <w:sz w:val="20"/>
                <w:szCs w:val="20"/>
                <w:lang w:val="en-GB" w:eastAsia="en-GB"/>
              </w:rPr>
              <w:t>val</w:t>
            </w:r>
            <w:proofErr w:type="spellEnd"/>
            <w:r w:rsidRPr="006F73F7">
              <w:rPr>
                <w:rFonts w:ascii="Lucida Console" w:hAnsi="Lucida Console"/>
                <w:color w:val="000000"/>
                <w:sz w:val="20"/>
                <w:szCs w:val="20"/>
                <w:lang w:val="en-GB" w:eastAsia="en-GB"/>
              </w:rPr>
              <w:t xml:space="preserve"> = 0.4535</w:t>
            </w:r>
          </w:p>
        </w:tc>
      </w:tr>
      <w:tr w:rsidR="006F73F7" w:rsidRPr="006F73F7" w14:paraId="3E575B30" w14:textId="77777777" w:rsidTr="00B00AB8">
        <w:trPr>
          <w:trHeight w:val="300"/>
        </w:trPr>
        <w:tc>
          <w:tcPr>
            <w:tcW w:w="9390" w:type="dxa"/>
            <w:shd w:val="clear" w:color="auto" w:fill="auto"/>
            <w:noWrap/>
            <w:vAlign w:val="center"/>
            <w:hideMark/>
          </w:tcPr>
          <w:p w14:paraId="0FA815C2" w14:textId="77777777" w:rsidR="006F73F7" w:rsidRPr="006F73F7" w:rsidRDefault="006F73F7" w:rsidP="00B00AB8">
            <w:pPr>
              <w:rPr>
                <w:rFonts w:ascii="Calibri" w:hAnsi="Calibri"/>
                <w:color w:val="000000"/>
                <w:sz w:val="22"/>
                <w:szCs w:val="22"/>
                <w:lang w:val="en-GB" w:eastAsia="en-GB"/>
              </w:rPr>
            </w:pPr>
          </w:p>
        </w:tc>
      </w:tr>
      <w:tr w:rsidR="006F73F7" w:rsidRPr="006F73F7" w14:paraId="4253959E" w14:textId="77777777" w:rsidTr="00B00AB8">
        <w:trPr>
          <w:trHeight w:val="300"/>
        </w:trPr>
        <w:tc>
          <w:tcPr>
            <w:tcW w:w="9390" w:type="dxa"/>
            <w:shd w:val="clear" w:color="auto" w:fill="auto"/>
            <w:noWrap/>
            <w:vAlign w:val="center"/>
            <w:hideMark/>
          </w:tcPr>
          <w:p w14:paraId="3852249E"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Model Results:</w:t>
            </w:r>
          </w:p>
        </w:tc>
      </w:tr>
      <w:tr w:rsidR="006F73F7" w:rsidRPr="006F73F7" w14:paraId="57F772F8" w14:textId="77777777" w:rsidTr="00B00AB8">
        <w:trPr>
          <w:trHeight w:val="300"/>
        </w:trPr>
        <w:tc>
          <w:tcPr>
            <w:tcW w:w="9390" w:type="dxa"/>
            <w:shd w:val="clear" w:color="auto" w:fill="auto"/>
            <w:noWrap/>
            <w:vAlign w:val="center"/>
            <w:hideMark/>
          </w:tcPr>
          <w:p w14:paraId="1B9FAE89" w14:textId="77777777" w:rsidR="006F73F7" w:rsidRPr="006F73F7" w:rsidRDefault="006F73F7" w:rsidP="00B00AB8">
            <w:pPr>
              <w:rPr>
                <w:rFonts w:ascii="Calibri" w:hAnsi="Calibri"/>
                <w:color w:val="000000"/>
                <w:sz w:val="22"/>
                <w:szCs w:val="22"/>
                <w:lang w:val="en-GB" w:eastAsia="en-GB"/>
              </w:rPr>
            </w:pPr>
          </w:p>
        </w:tc>
      </w:tr>
      <w:tr w:rsidR="006F73F7" w:rsidRPr="002E4455" w14:paraId="370C7DD3" w14:textId="77777777" w:rsidTr="00B00AB8">
        <w:trPr>
          <w:trHeight w:val="300"/>
        </w:trPr>
        <w:tc>
          <w:tcPr>
            <w:tcW w:w="9390" w:type="dxa"/>
            <w:shd w:val="clear" w:color="auto" w:fill="auto"/>
            <w:noWrap/>
            <w:vAlign w:val="center"/>
            <w:hideMark/>
          </w:tcPr>
          <w:p w14:paraId="4B026C95" w14:textId="77777777" w:rsidR="006F73F7" w:rsidRPr="006F73F7" w:rsidRDefault="00274979" w:rsidP="00B00AB8">
            <w:pPr>
              <w:rPr>
                <w:rFonts w:ascii="Lucida Console" w:hAnsi="Lucida Console"/>
                <w:color w:val="000000"/>
                <w:sz w:val="20"/>
                <w:szCs w:val="20"/>
                <w:lang w:val="en-GB" w:eastAsia="en-GB"/>
              </w:rPr>
            </w:pPr>
            <w:r>
              <w:rPr>
                <w:rFonts w:ascii="Lucida Console" w:hAnsi="Lucida Console"/>
                <w:color w:val="000000"/>
                <w:sz w:val="20"/>
                <w:szCs w:val="20"/>
                <w:lang w:val="en-GB" w:eastAsia="en-GB"/>
              </w:rPr>
              <w:lastRenderedPageBreak/>
              <w:t xml:space="preserve">                      </w:t>
            </w:r>
            <w:r w:rsidRPr="00EA298D">
              <w:rPr>
                <w:rFonts w:ascii="Lucida Console" w:hAnsi="Lucida Console"/>
                <w:color w:val="000000"/>
                <w:sz w:val="20"/>
                <w:szCs w:val="20"/>
                <w:lang w:val="en-GB" w:eastAsia="en-GB"/>
              </w:rPr>
              <w:t>estimat</w:t>
            </w:r>
            <w:r>
              <w:rPr>
                <w:rFonts w:ascii="Lucida Console" w:hAnsi="Lucida Console"/>
                <w:color w:val="000000"/>
                <w:sz w:val="20"/>
                <w:szCs w:val="20"/>
                <w:lang w:val="en-GB" w:eastAsia="en-GB"/>
              </w:rPr>
              <w:t xml:space="preserve">e      </w:t>
            </w:r>
            <w:r w:rsidR="006F73F7" w:rsidRPr="006F73F7">
              <w:rPr>
                <w:rFonts w:ascii="Lucida Console" w:hAnsi="Lucida Console"/>
                <w:color w:val="000000"/>
                <w:sz w:val="20"/>
                <w:szCs w:val="20"/>
                <w:lang w:val="en-GB" w:eastAsia="en-GB"/>
              </w:rPr>
              <w:t xml:space="preserve">se     </w:t>
            </w:r>
            <w:proofErr w:type="spellStart"/>
            <w:r w:rsidR="006F73F7" w:rsidRPr="006F73F7">
              <w:rPr>
                <w:rFonts w:ascii="Lucida Console" w:hAnsi="Lucida Console"/>
                <w:color w:val="000000"/>
                <w:sz w:val="20"/>
                <w:szCs w:val="20"/>
                <w:lang w:val="en-GB" w:eastAsia="en-GB"/>
              </w:rPr>
              <w:t>zval</w:t>
            </w:r>
            <w:proofErr w:type="spellEnd"/>
            <w:r w:rsidR="006F73F7" w:rsidRPr="006F73F7">
              <w:rPr>
                <w:rFonts w:ascii="Lucida Console" w:hAnsi="Lucida Console"/>
                <w:color w:val="000000"/>
                <w:sz w:val="20"/>
                <w:szCs w:val="20"/>
                <w:lang w:val="en-GB" w:eastAsia="en-GB"/>
              </w:rPr>
              <w:t xml:space="preserve">    </w:t>
            </w:r>
            <w:proofErr w:type="spellStart"/>
            <w:r w:rsidR="006F73F7" w:rsidRPr="006F73F7">
              <w:rPr>
                <w:rFonts w:ascii="Lucida Console" w:hAnsi="Lucida Console"/>
                <w:color w:val="000000"/>
                <w:sz w:val="20"/>
                <w:szCs w:val="20"/>
                <w:lang w:val="en-GB" w:eastAsia="en-GB"/>
              </w:rPr>
              <w:t>pval</w:t>
            </w:r>
            <w:proofErr w:type="spellEnd"/>
            <w:r w:rsidR="006F73F7" w:rsidRPr="006F73F7">
              <w:rPr>
                <w:rFonts w:ascii="Lucida Console" w:hAnsi="Lucida Console"/>
                <w:color w:val="000000"/>
                <w:sz w:val="20"/>
                <w:szCs w:val="20"/>
                <w:lang w:val="en-GB" w:eastAsia="en-GB"/>
              </w:rPr>
              <w:t xml:space="preserve">    ci.lb    </w:t>
            </w:r>
            <w:proofErr w:type="spellStart"/>
            <w:r w:rsidR="006F73F7" w:rsidRPr="006F73F7">
              <w:rPr>
                <w:rFonts w:ascii="Lucida Console" w:hAnsi="Lucida Console"/>
                <w:color w:val="000000"/>
                <w:sz w:val="20"/>
                <w:szCs w:val="20"/>
                <w:lang w:val="en-GB" w:eastAsia="en-GB"/>
              </w:rPr>
              <w:t>ci.ub</w:t>
            </w:r>
            <w:proofErr w:type="spellEnd"/>
            <w:r w:rsidR="006F73F7" w:rsidRPr="006F73F7">
              <w:rPr>
                <w:rFonts w:ascii="Lucida Console" w:hAnsi="Lucida Console"/>
                <w:color w:val="000000"/>
                <w:sz w:val="20"/>
                <w:szCs w:val="20"/>
                <w:lang w:val="en-GB" w:eastAsia="en-GB"/>
              </w:rPr>
              <w:t xml:space="preserve">     </w:t>
            </w:r>
          </w:p>
        </w:tc>
      </w:tr>
      <w:tr w:rsidR="006F73F7" w:rsidRPr="006F73F7" w14:paraId="47BB759E" w14:textId="77777777" w:rsidTr="00B00AB8">
        <w:trPr>
          <w:trHeight w:val="300"/>
        </w:trPr>
        <w:tc>
          <w:tcPr>
            <w:tcW w:w="9390" w:type="dxa"/>
            <w:shd w:val="clear" w:color="auto" w:fill="auto"/>
            <w:noWrap/>
            <w:vAlign w:val="center"/>
            <w:hideMark/>
          </w:tcPr>
          <w:p w14:paraId="7543DE7E" w14:textId="77777777" w:rsidR="006F73F7" w:rsidRPr="006F73F7" w:rsidRDefault="006F73F7" w:rsidP="00B00AB8">
            <w:pPr>
              <w:rPr>
                <w:rFonts w:ascii="Lucida Console" w:hAnsi="Lucida Console"/>
                <w:color w:val="000000"/>
                <w:sz w:val="20"/>
                <w:szCs w:val="20"/>
                <w:lang w:val="en-GB" w:eastAsia="en-GB"/>
              </w:rPr>
            </w:pPr>
            <w:proofErr w:type="spellStart"/>
            <w:r w:rsidRPr="006F73F7">
              <w:rPr>
                <w:rFonts w:ascii="Lucida Console" w:hAnsi="Lucida Console"/>
                <w:color w:val="000000"/>
                <w:sz w:val="20"/>
                <w:szCs w:val="20"/>
                <w:lang w:val="en-GB" w:eastAsia="en-GB"/>
              </w:rPr>
              <w:t>intrcpt</w:t>
            </w:r>
            <w:proofErr w:type="spellEnd"/>
            <w:r w:rsidRPr="006F73F7">
              <w:rPr>
                <w:rFonts w:ascii="Lucida Console" w:hAnsi="Lucida Console"/>
                <w:color w:val="000000"/>
                <w:sz w:val="20"/>
                <w:szCs w:val="20"/>
                <w:lang w:val="en-GB" w:eastAsia="en-GB"/>
              </w:rPr>
              <w:t xml:space="preserve">                 8.7936  0.7616  11.5460  &lt;.0001   7.3009  10.2863  ***</w:t>
            </w:r>
          </w:p>
        </w:tc>
      </w:tr>
      <w:tr w:rsidR="006F73F7" w:rsidRPr="006F73F7" w14:paraId="679E4AB1" w14:textId="77777777" w:rsidTr="00B00AB8">
        <w:trPr>
          <w:trHeight w:val="300"/>
        </w:trPr>
        <w:tc>
          <w:tcPr>
            <w:tcW w:w="9390" w:type="dxa"/>
            <w:shd w:val="clear" w:color="auto" w:fill="auto"/>
            <w:noWrap/>
            <w:vAlign w:val="center"/>
            <w:hideMark/>
          </w:tcPr>
          <w:p w14:paraId="7D9C1353"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I(</w:t>
            </w:r>
            <w:proofErr w:type="spellStart"/>
            <w:r w:rsidRPr="006F73F7">
              <w:rPr>
                <w:rFonts w:ascii="Lucida Console" w:hAnsi="Lucida Console"/>
                <w:color w:val="000000"/>
                <w:sz w:val="20"/>
                <w:szCs w:val="20"/>
                <w:lang w:val="en-GB" w:eastAsia="en-GB"/>
              </w:rPr>
              <w:t>MED_a_perc</w:t>
            </w:r>
            <w:proofErr w:type="spellEnd"/>
            <w:r w:rsidRPr="006F73F7">
              <w:rPr>
                <w:rFonts w:ascii="Lucida Console" w:hAnsi="Lucida Console"/>
                <w:color w:val="000000"/>
                <w:sz w:val="20"/>
                <w:szCs w:val="20"/>
                <w:lang w:val="en-GB" w:eastAsia="en-GB"/>
              </w:rPr>
              <w:t xml:space="preserve"> - 68.72)  -0.0229  0.0627  -0.3648  0.7153  -0.1457   0.1000     </w:t>
            </w:r>
          </w:p>
        </w:tc>
      </w:tr>
      <w:tr w:rsidR="006F73F7" w:rsidRPr="006F73F7" w14:paraId="3F142A8B" w14:textId="77777777" w:rsidTr="00B00AB8">
        <w:trPr>
          <w:trHeight w:val="300"/>
        </w:trPr>
        <w:tc>
          <w:tcPr>
            <w:tcW w:w="9390" w:type="dxa"/>
            <w:shd w:val="clear" w:color="auto" w:fill="auto"/>
            <w:noWrap/>
            <w:vAlign w:val="center"/>
            <w:hideMark/>
          </w:tcPr>
          <w:p w14:paraId="3EA445BD"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I(</w:t>
            </w:r>
            <w:proofErr w:type="spellStart"/>
            <w:r w:rsidRPr="006F73F7">
              <w:rPr>
                <w:rFonts w:ascii="Lucida Console" w:hAnsi="Lucida Console"/>
                <w:color w:val="000000"/>
                <w:sz w:val="20"/>
                <w:szCs w:val="20"/>
                <w:lang w:val="en-GB" w:eastAsia="en-GB"/>
              </w:rPr>
              <w:t>MED_b_perc</w:t>
            </w:r>
            <w:proofErr w:type="spellEnd"/>
            <w:r w:rsidRPr="006F73F7">
              <w:rPr>
                <w:rFonts w:ascii="Lucida Console" w:hAnsi="Lucida Console"/>
                <w:color w:val="000000"/>
                <w:sz w:val="20"/>
                <w:szCs w:val="20"/>
                <w:lang w:val="en-GB" w:eastAsia="en-GB"/>
              </w:rPr>
              <w:t xml:space="preserve"> - 8.536)   0.1342  0.1142   1.1748  0.2401  -0.0897   0.3581     </w:t>
            </w:r>
          </w:p>
        </w:tc>
      </w:tr>
      <w:tr w:rsidR="006F73F7" w:rsidRPr="006F73F7" w14:paraId="3509B009" w14:textId="77777777" w:rsidTr="00B00AB8">
        <w:trPr>
          <w:trHeight w:val="300"/>
        </w:trPr>
        <w:tc>
          <w:tcPr>
            <w:tcW w:w="9390" w:type="dxa"/>
            <w:shd w:val="clear" w:color="auto" w:fill="auto"/>
            <w:noWrap/>
            <w:vAlign w:val="center"/>
            <w:hideMark/>
          </w:tcPr>
          <w:p w14:paraId="03B0E9E5" w14:textId="77777777" w:rsidR="006F73F7" w:rsidRPr="006F73F7" w:rsidRDefault="006F73F7" w:rsidP="00B00AB8">
            <w:pPr>
              <w:rPr>
                <w:rFonts w:ascii="Lucida Console" w:hAnsi="Lucida Console"/>
                <w:color w:val="000000"/>
                <w:sz w:val="20"/>
                <w:szCs w:val="20"/>
                <w:lang w:val="en-GB" w:eastAsia="en-GB"/>
              </w:rPr>
            </w:pPr>
            <w:r w:rsidRPr="006F73F7">
              <w:rPr>
                <w:rFonts w:ascii="Lucida Console" w:hAnsi="Lucida Console"/>
                <w:color w:val="000000"/>
                <w:sz w:val="20"/>
                <w:szCs w:val="20"/>
                <w:lang w:val="en-GB" w:eastAsia="en-GB"/>
              </w:rPr>
              <w:t>I(</w:t>
            </w:r>
            <w:proofErr w:type="spellStart"/>
            <w:r w:rsidRPr="006F73F7">
              <w:rPr>
                <w:rFonts w:ascii="Lucida Console" w:hAnsi="Lucida Console"/>
                <w:color w:val="000000"/>
                <w:sz w:val="20"/>
                <w:szCs w:val="20"/>
                <w:lang w:val="en-GB" w:eastAsia="en-GB"/>
              </w:rPr>
              <w:t>MED_t_perc</w:t>
            </w:r>
            <w:proofErr w:type="spellEnd"/>
            <w:r w:rsidRPr="006F73F7">
              <w:rPr>
                <w:rFonts w:ascii="Lucida Console" w:hAnsi="Lucida Console"/>
                <w:color w:val="000000"/>
                <w:sz w:val="20"/>
                <w:szCs w:val="20"/>
                <w:lang w:val="en-GB" w:eastAsia="en-GB"/>
              </w:rPr>
              <w:t xml:space="preserve"> - 11.1)   -0.0591  0.0758  -0.7793  0.4358  -0.2078   0.0895     </w:t>
            </w:r>
          </w:p>
        </w:tc>
      </w:tr>
    </w:tbl>
    <w:p w14:paraId="4FB32BCD" w14:textId="77777777" w:rsidR="00274979" w:rsidRPr="00B00AB8" w:rsidRDefault="00274979" w:rsidP="00274979">
      <w:pPr>
        <w:spacing w:line="360" w:lineRule="auto"/>
        <w:rPr>
          <w:rFonts w:asciiTheme="minorHAnsi" w:hAnsiTheme="minorHAnsi"/>
          <w:lang w:val="en-GB"/>
        </w:rPr>
      </w:pPr>
      <w:r>
        <w:rPr>
          <w:rFonts w:asciiTheme="minorHAnsi" w:hAnsiTheme="minorHAnsi"/>
          <w:lang w:val="en-GB"/>
        </w:rPr>
        <w:t>N.B.: predictor abbreviations refer to percentage of patients treated with atypical (</w:t>
      </w:r>
      <w:proofErr w:type="spellStart"/>
      <w:r>
        <w:rPr>
          <w:rFonts w:asciiTheme="minorHAnsi" w:hAnsiTheme="minorHAnsi"/>
          <w:lang w:val="en-GB"/>
        </w:rPr>
        <w:t>MED_a_perc</w:t>
      </w:r>
      <w:proofErr w:type="spellEnd"/>
      <w:r>
        <w:rPr>
          <w:rFonts w:asciiTheme="minorHAnsi" w:hAnsiTheme="minorHAnsi"/>
          <w:lang w:val="en-GB"/>
        </w:rPr>
        <w:t>) or typical (</w:t>
      </w:r>
      <w:proofErr w:type="spellStart"/>
      <w:r>
        <w:rPr>
          <w:rFonts w:asciiTheme="minorHAnsi" w:hAnsiTheme="minorHAnsi"/>
          <w:lang w:val="en-GB"/>
        </w:rPr>
        <w:t>MED_t_perc</w:t>
      </w:r>
      <w:proofErr w:type="spellEnd"/>
      <w:r>
        <w:rPr>
          <w:rFonts w:asciiTheme="minorHAnsi" w:hAnsiTheme="minorHAnsi"/>
          <w:lang w:val="en-GB"/>
        </w:rPr>
        <w:t>) antipsychotics, both antipsychotic medication types (</w:t>
      </w:r>
      <w:proofErr w:type="spellStart"/>
      <w:r>
        <w:rPr>
          <w:rFonts w:asciiTheme="minorHAnsi" w:hAnsiTheme="minorHAnsi"/>
          <w:lang w:val="en-GB"/>
        </w:rPr>
        <w:t>MED_b_perc</w:t>
      </w:r>
      <w:proofErr w:type="spellEnd"/>
      <w:r>
        <w:rPr>
          <w:rFonts w:asciiTheme="minorHAnsi" w:hAnsiTheme="minorHAnsi"/>
          <w:lang w:val="en-GB"/>
        </w:rPr>
        <w:t xml:space="preserve">) and the percentage of </w:t>
      </w:r>
      <w:proofErr w:type="spellStart"/>
      <w:r>
        <w:rPr>
          <w:rFonts w:asciiTheme="minorHAnsi" w:hAnsiTheme="minorHAnsi"/>
          <w:lang w:val="en-GB"/>
        </w:rPr>
        <w:t>unmedicated</w:t>
      </w:r>
      <w:proofErr w:type="spellEnd"/>
      <w:r>
        <w:rPr>
          <w:rFonts w:asciiTheme="minorHAnsi" w:hAnsiTheme="minorHAnsi"/>
          <w:lang w:val="en-GB"/>
        </w:rPr>
        <w:t xml:space="preserve"> patients (</w:t>
      </w:r>
      <w:proofErr w:type="spellStart"/>
      <w:r>
        <w:rPr>
          <w:rFonts w:asciiTheme="minorHAnsi" w:hAnsiTheme="minorHAnsi"/>
          <w:lang w:val="en-GB"/>
        </w:rPr>
        <w:t>intrcpt</w:t>
      </w:r>
      <w:proofErr w:type="spellEnd"/>
      <w:r>
        <w:rPr>
          <w:rFonts w:asciiTheme="minorHAnsi" w:hAnsiTheme="minorHAnsi"/>
          <w:lang w:val="en-GB"/>
        </w:rPr>
        <w:t>, i.e. baseline).</w:t>
      </w:r>
    </w:p>
    <w:p w14:paraId="27A42BD8" w14:textId="77777777" w:rsidR="00597E8C" w:rsidRPr="00B00AB8" w:rsidRDefault="00597E8C" w:rsidP="00B00AB8">
      <w:pPr>
        <w:spacing w:line="360" w:lineRule="auto"/>
        <w:rPr>
          <w:rFonts w:asciiTheme="minorHAnsi" w:hAnsiTheme="minorHAnsi"/>
          <w:lang w:val="en-GB"/>
        </w:rPr>
      </w:pPr>
    </w:p>
    <w:p w14:paraId="6032C52C" w14:textId="77777777" w:rsidR="00597E8C" w:rsidRDefault="00597E8C" w:rsidP="00597E8C">
      <w:pPr>
        <w:pStyle w:val="ListParagraph"/>
        <w:numPr>
          <w:ilvl w:val="0"/>
          <w:numId w:val="1"/>
        </w:numPr>
        <w:spacing w:line="360" w:lineRule="auto"/>
        <w:rPr>
          <w:rFonts w:asciiTheme="minorHAnsi" w:hAnsiTheme="minorHAnsi"/>
          <w:lang w:val="en-GB"/>
        </w:rPr>
      </w:pPr>
      <w:r>
        <w:rPr>
          <w:rFonts w:asciiTheme="minorHAnsi" w:hAnsiTheme="minorHAnsi"/>
          <w:lang w:val="en-GB"/>
        </w:rPr>
        <w:t xml:space="preserve">Left </w:t>
      </w:r>
      <w:r w:rsidR="00447EBC">
        <w:rPr>
          <w:rFonts w:asciiTheme="minorHAnsi" w:hAnsiTheme="minorHAnsi"/>
          <w:lang w:val="en-GB"/>
        </w:rPr>
        <w:t>MOFC</w:t>
      </w:r>
      <w:r>
        <w:rPr>
          <w:rFonts w:asciiTheme="minorHAnsi" w:hAnsiTheme="minorHAnsi"/>
          <w:lang w:val="en-GB"/>
        </w:rPr>
        <w:t xml:space="preserve"> thickness differences by </w:t>
      </w:r>
      <w:r w:rsidR="00B857B6">
        <w:rPr>
          <w:rFonts w:asciiTheme="minorHAnsi" w:hAnsiTheme="minorHAnsi"/>
          <w:lang w:val="en-GB"/>
        </w:rPr>
        <w:t xml:space="preserve">antipsychotic </w:t>
      </w:r>
      <w:r>
        <w:rPr>
          <w:rFonts w:asciiTheme="minorHAnsi" w:hAnsiTheme="minorHAnsi"/>
          <w:lang w:val="en-GB"/>
        </w:rPr>
        <w:t xml:space="preserve">medication type percentages, covarying for </w:t>
      </w:r>
      <w:r w:rsidR="00D27F68">
        <w:rPr>
          <w:rFonts w:asciiTheme="minorHAnsi" w:hAnsiTheme="minorHAnsi"/>
          <w:lang w:val="en-GB"/>
        </w:rPr>
        <w:t>gender</w:t>
      </w:r>
      <w:r>
        <w:rPr>
          <w:rFonts w:asciiTheme="minorHAnsi" w:hAnsiTheme="minorHAnsi"/>
          <w:lang w:val="en-GB"/>
        </w:rPr>
        <w:t xml:space="preserve"> and age</w:t>
      </w:r>
    </w:p>
    <w:p w14:paraId="16C322AC" w14:textId="77777777" w:rsidR="00597E8C" w:rsidRDefault="00597E8C" w:rsidP="00597E8C">
      <w:pPr>
        <w:pStyle w:val="ListParagraph"/>
        <w:spacing w:line="360" w:lineRule="auto"/>
        <w:ind w:left="360"/>
        <w:rPr>
          <w:rFonts w:asciiTheme="minorHAnsi" w:hAnsiTheme="minorHAnsi"/>
          <w:lang w:val="en-GB"/>
        </w:rPr>
      </w:pPr>
    </w:p>
    <w:p w14:paraId="5715D35C" w14:textId="77777777" w:rsidR="00597E8C" w:rsidRDefault="00597E8C" w:rsidP="00597E8C">
      <w:pPr>
        <w:pStyle w:val="ListParagraph"/>
        <w:spacing w:line="360" w:lineRule="auto"/>
        <w:ind w:left="360"/>
        <w:rPr>
          <w:rFonts w:asciiTheme="minorHAnsi" w:hAnsiTheme="minorHAnsi"/>
          <w:lang w:val="en-GB"/>
        </w:rPr>
      </w:pPr>
      <w:r>
        <w:rPr>
          <w:rFonts w:asciiTheme="minorHAnsi" w:hAnsiTheme="minorHAnsi"/>
          <w:lang w:val="en-GB"/>
        </w:rPr>
        <w:t>We also investigated</w:t>
      </w:r>
      <w:r w:rsidRPr="003E3FC7">
        <w:rPr>
          <w:rFonts w:asciiTheme="minorHAnsi" w:hAnsiTheme="minorHAnsi"/>
          <w:lang w:val="en-GB"/>
        </w:rPr>
        <w:t xml:space="preserve"> </w:t>
      </w:r>
      <w:r>
        <w:rPr>
          <w:rFonts w:asciiTheme="minorHAnsi" w:hAnsiTheme="minorHAnsi"/>
          <w:lang w:val="en-GB"/>
        </w:rPr>
        <w:t xml:space="preserve">whether left </w:t>
      </w:r>
      <w:r w:rsidR="00447EBC">
        <w:rPr>
          <w:rFonts w:asciiTheme="minorHAnsi" w:hAnsiTheme="minorHAnsi"/>
          <w:lang w:val="en-GB"/>
        </w:rPr>
        <w:t>MOFC</w:t>
      </w:r>
      <w:r>
        <w:rPr>
          <w:rFonts w:asciiTheme="minorHAnsi" w:hAnsiTheme="minorHAnsi"/>
          <w:lang w:val="en-GB"/>
        </w:rPr>
        <w:t xml:space="preserve"> thickness differed by the percentage of patients treated with typical or atypical antipsychotics, both </w:t>
      </w:r>
      <w:r w:rsidR="00B857B6">
        <w:rPr>
          <w:rFonts w:asciiTheme="minorHAnsi" w:hAnsiTheme="minorHAnsi"/>
          <w:lang w:val="en-GB"/>
        </w:rPr>
        <w:t xml:space="preserve">antipsychotic </w:t>
      </w:r>
      <w:r>
        <w:rPr>
          <w:rFonts w:asciiTheme="minorHAnsi" w:hAnsiTheme="minorHAnsi"/>
          <w:lang w:val="en-GB"/>
        </w:rPr>
        <w:t xml:space="preserve">medication types and the percentage of </w:t>
      </w:r>
      <w:proofErr w:type="spellStart"/>
      <w:r>
        <w:rPr>
          <w:rFonts w:asciiTheme="minorHAnsi" w:hAnsiTheme="minorHAnsi"/>
          <w:lang w:val="en-GB"/>
        </w:rPr>
        <w:t>unmedicated</w:t>
      </w:r>
      <w:proofErr w:type="spellEnd"/>
      <w:r>
        <w:rPr>
          <w:rFonts w:asciiTheme="minorHAnsi" w:hAnsiTheme="minorHAnsi"/>
          <w:lang w:val="en-GB"/>
        </w:rPr>
        <w:t xml:space="preserve"> patients, when additionally controlling for </w:t>
      </w:r>
      <w:r w:rsidR="00D27F68">
        <w:rPr>
          <w:rFonts w:asciiTheme="minorHAnsi" w:hAnsiTheme="minorHAnsi"/>
          <w:lang w:val="en-GB"/>
        </w:rPr>
        <w:t>gender</w:t>
      </w:r>
      <w:r>
        <w:rPr>
          <w:rFonts w:asciiTheme="minorHAnsi" w:hAnsiTheme="minorHAnsi"/>
          <w:lang w:val="en-GB"/>
        </w:rPr>
        <w:t xml:space="preserve"> and age</w:t>
      </w:r>
      <w:r w:rsidRPr="003E3FC7">
        <w:rPr>
          <w:rFonts w:asciiTheme="minorHAnsi" w:hAnsiTheme="minorHAnsi"/>
          <w:lang w:val="en-GB"/>
        </w:rPr>
        <w:t xml:space="preserve">. Shown below are the estimate, the standard error, p value and the confidence intervals </w:t>
      </w:r>
      <w:r>
        <w:rPr>
          <w:rFonts w:asciiTheme="minorHAnsi" w:hAnsiTheme="minorHAnsi"/>
          <w:lang w:val="en-GB"/>
        </w:rPr>
        <w:t xml:space="preserve">of mean left </w:t>
      </w:r>
      <w:r w:rsidR="00447EBC">
        <w:rPr>
          <w:rFonts w:asciiTheme="minorHAnsi" w:hAnsiTheme="minorHAnsi"/>
          <w:lang w:val="en-GB"/>
        </w:rPr>
        <w:t>MOFC</w:t>
      </w:r>
      <w:r>
        <w:rPr>
          <w:rFonts w:asciiTheme="minorHAnsi" w:hAnsiTheme="minorHAnsi"/>
          <w:lang w:val="en-GB"/>
        </w:rPr>
        <w:t xml:space="preserve"> thickness </w:t>
      </w:r>
      <w:r w:rsidRPr="003E3FC7">
        <w:rPr>
          <w:rFonts w:asciiTheme="minorHAnsi" w:hAnsiTheme="minorHAnsi"/>
          <w:lang w:val="en-GB"/>
        </w:rPr>
        <w:t xml:space="preserve">for </w:t>
      </w:r>
      <w:r>
        <w:rPr>
          <w:rFonts w:asciiTheme="minorHAnsi" w:hAnsiTheme="minorHAnsi"/>
          <w:lang w:val="en-GB"/>
        </w:rPr>
        <w:t xml:space="preserve">each </w:t>
      </w:r>
      <w:r w:rsidR="00B857B6">
        <w:rPr>
          <w:rFonts w:asciiTheme="minorHAnsi" w:hAnsiTheme="minorHAnsi"/>
          <w:lang w:val="en-GB"/>
        </w:rPr>
        <w:t xml:space="preserve">antipsychotic </w:t>
      </w:r>
      <w:r>
        <w:rPr>
          <w:rFonts w:asciiTheme="minorHAnsi" w:hAnsiTheme="minorHAnsi"/>
          <w:lang w:val="en-GB"/>
        </w:rPr>
        <w:t>medication group</w:t>
      </w:r>
      <w:r w:rsidRPr="003E3FC7">
        <w:rPr>
          <w:rFonts w:asciiTheme="minorHAnsi" w:hAnsiTheme="minorHAnsi"/>
          <w:lang w:val="en-GB"/>
        </w:rPr>
        <w:t xml:space="preserve">. Percentages were mean </w:t>
      </w:r>
      <w:proofErr w:type="spellStart"/>
      <w:r w:rsidRPr="003E3FC7">
        <w:rPr>
          <w:rFonts w:asciiTheme="minorHAnsi" w:hAnsiTheme="minorHAnsi"/>
          <w:lang w:val="en-GB"/>
        </w:rPr>
        <w:t>centered</w:t>
      </w:r>
      <w:proofErr w:type="spellEnd"/>
      <w:r w:rsidRPr="003E3FC7">
        <w:rPr>
          <w:rFonts w:asciiTheme="minorHAnsi" w:hAnsiTheme="minorHAnsi"/>
          <w:lang w:val="en-GB"/>
        </w:rPr>
        <w:t xml:space="preserve"> and compared to </w:t>
      </w:r>
      <w:proofErr w:type="spellStart"/>
      <w:r>
        <w:rPr>
          <w:rFonts w:asciiTheme="minorHAnsi" w:hAnsiTheme="minorHAnsi"/>
          <w:lang w:val="en-GB"/>
        </w:rPr>
        <w:t>unmedicated</w:t>
      </w:r>
      <w:proofErr w:type="spellEnd"/>
      <w:r>
        <w:rPr>
          <w:rFonts w:asciiTheme="minorHAnsi" w:hAnsiTheme="minorHAnsi"/>
          <w:lang w:val="en-GB"/>
        </w:rPr>
        <w:t xml:space="preserve"> patients</w:t>
      </w:r>
      <w:r w:rsidRPr="003E3FC7">
        <w:rPr>
          <w:rFonts w:asciiTheme="minorHAnsi" w:hAnsiTheme="minorHAnsi"/>
          <w:lang w:val="en-GB"/>
        </w:rPr>
        <w:t xml:space="preserve"> (baseline). Results were based on estimates from 1</w:t>
      </w:r>
      <w:r>
        <w:rPr>
          <w:rFonts w:asciiTheme="minorHAnsi" w:hAnsiTheme="minorHAnsi"/>
          <w:lang w:val="en-GB"/>
        </w:rPr>
        <w:t>3</w:t>
      </w:r>
      <w:r w:rsidRPr="003E3FC7">
        <w:rPr>
          <w:rFonts w:asciiTheme="minorHAnsi" w:hAnsiTheme="minorHAnsi"/>
          <w:lang w:val="en-GB"/>
        </w:rPr>
        <w:t xml:space="preserve"> studies.</w:t>
      </w:r>
    </w:p>
    <w:p w14:paraId="7B5A5712" w14:textId="77777777" w:rsidR="00597E8C" w:rsidRDefault="00597E8C" w:rsidP="00B00AB8">
      <w:pPr>
        <w:pStyle w:val="ListParagraph"/>
        <w:spacing w:line="360" w:lineRule="auto"/>
        <w:ind w:left="360"/>
        <w:rPr>
          <w:rFonts w:asciiTheme="minorHAnsi" w:hAnsiTheme="minorHAnsi"/>
          <w:lang w:val="en-GB"/>
        </w:rPr>
      </w:pPr>
    </w:p>
    <w:tbl>
      <w:tblPr>
        <w:tblW w:w="939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90"/>
      </w:tblGrid>
      <w:tr w:rsidR="00597E8C" w:rsidRPr="002E4455" w14:paraId="38920DDC" w14:textId="77777777" w:rsidTr="00B00AB8">
        <w:trPr>
          <w:trHeight w:val="300"/>
        </w:trPr>
        <w:tc>
          <w:tcPr>
            <w:tcW w:w="9390" w:type="dxa"/>
            <w:shd w:val="clear" w:color="auto" w:fill="auto"/>
            <w:noWrap/>
            <w:vAlign w:val="center"/>
            <w:hideMark/>
          </w:tcPr>
          <w:p w14:paraId="53CB47E5"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Mixed-Effects Model (k = 13; tau^2 estimator: REML)</w:t>
            </w:r>
          </w:p>
        </w:tc>
      </w:tr>
      <w:tr w:rsidR="00597E8C" w:rsidRPr="002E4455" w14:paraId="36822A63" w14:textId="77777777" w:rsidTr="00B00AB8">
        <w:trPr>
          <w:trHeight w:val="300"/>
        </w:trPr>
        <w:tc>
          <w:tcPr>
            <w:tcW w:w="9390" w:type="dxa"/>
            <w:shd w:val="clear" w:color="auto" w:fill="auto"/>
            <w:noWrap/>
            <w:vAlign w:val="center"/>
            <w:hideMark/>
          </w:tcPr>
          <w:p w14:paraId="562A7974" w14:textId="77777777" w:rsidR="00597E8C" w:rsidRPr="00597E8C" w:rsidRDefault="00597E8C" w:rsidP="00597E8C">
            <w:pPr>
              <w:rPr>
                <w:rFonts w:ascii="Calibri" w:hAnsi="Calibri"/>
                <w:color w:val="000000"/>
                <w:sz w:val="22"/>
                <w:szCs w:val="22"/>
                <w:lang w:val="en-GB" w:eastAsia="en-GB"/>
              </w:rPr>
            </w:pPr>
          </w:p>
        </w:tc>
      </w:tr>
      <w:tr w:rsidR="00597E8C" w:rsidRPr="002E4455" w14:paraId="4A46EA92" w14:textId="77777777" w:rsidTr="00B00AB8">
        <w:trPr>
          <w:trHeight w:val="300"/>
        </w:trPr>
        <w:tc>
          <w:tcPr>
            <w:tcW w:w="9390" w:type="dxa"/>
            <w:shd w:val="clear" w:color="auto" w:fill="auto"/>
            <w:noWrap/>
            <w:vAlign w:val="center"/>
            <w:hideMark/>
          </w:tcPr>
          <w:p w14:paraId="3AA0EA3D"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tau^2 (estimated amount of residual heterogeneity):     0.0076 (SE = 0.0043)</w:t>
            </w:r>
          </w:p>
        </w:tc>
      </w:tr>
      <w:tr w:rsidR="00597E8C" w:rsidRPr="002E4455" w14:paraId="5FE94024" w14:textId="77777777" w:rsidTr="00B00AB8">
        <w:trPr>
          <w:trHeight w:val="300"/>
        </w:trPr>
        <w:tc>
          <w:tcPr>
            <w:tcW w:w="9390" w:type="dxa"/>
            <w:shd w:val="clear" w:color="auto" w:fill="auto"/>
            <w:noWrap/>
            <w:vAlign w:val="center"/>
            <w:hideMark/>
          </w:tcPr>
          <w:p w14:paraId="1DA1B6A9"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tau (square root of estimated tau^2 value):             0.0873</w:t>
            </w:r>
          </w:p>
        </w:tc>
      </w:tr>
      <w:tr w:rsidR="00597E8C" w:rsidRPr="002E4455" w14:paraId="6D9AB32A" w14:textId="77777777" w:rsidTr="00B00AB8">
        <w:trPr>
          <w:trHeight w:val="300"/>
        </w:trPr>
        <w:tc>
          <w:tcPr>
            <w:tcW w:w="9390" w:type="dxa"/>
            <w:shd w:val="clear" w:color="auto" w:fill="auto"/>
            <w:noWrap/>
            <w:vAlign w:val="center"/>
            <w:hideMark/>
          </w:tcPr>
          <w:p w14:paraId="124EA19D"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I^2 (residual heterogeneity / unaccounted variability): 96.44%</w:t>
            </w:r>
          </w:p>
        </w:tc>
      </w:tr>
      <w:tr w:rsidR="00597E8C" w:rsidRPr="002E4455" w14:paraId="1B935C13" w14:textId="77777777" w:rsidTr="00B00AB8">
        <w:trPr>
          <w:trHeight w:val="300"/>
        </w:trPr>
        <w:tc>
          <w:tcPr>
            <w:tcW w:w="9390" w:type="dxa"/>
            <w:shd w:val="clear" w:color="auto" w:fill="auto"/>
            <w:noWrap/>
            <w:vAlign w:val="center"/>
            <w:hideMark/>
          </w:tcPr>
          <w:p w14:paraId="62D835C3"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H^2 (unaccounted variability / sampling variability):   28.06</w:t>
            </w:r>
          </w:p>
        </w:tc>
      </w:tr>
      <w:tr w:rsidR="00597E8C" w:rsidRPr="002E4455" w14:paraId="54E90A3F" w14:textId="77777777" w:rsidTr="00B00AB8">
        <w:trPr>
          <w:trHeight w:val="300"/>
        </w:trPr>
        <w:tc>
          <w:tcPr>
            <w:tcW w:w="9390" w:type="dxa"/>
            <w:shd w:val="clear" w:color="auto" w:fill="auto"/>
            <w:noWrap/>
            <w:vAlign w:val="center"/>
            <w:hideMark/>
          </w:tcPr>
          <w:p w14:paraId="7F3FFD65"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R^2 (amount of heterogeneity accounted for):            30.46%</w:t>
            </w:r>
          </w:p>
        </w:tc>
      </w:tr>
      <w:tr w:rsidR="00597E8C" w:rsidRPr="002E4455" w14:paraId="6D67BAF3" w14:textId="77777777" w:rsidTr="00B00AB8">
        <w:trPr>
          <w:trHeight w:val="300"/>
        </w:trPr>
        <w:tc>
          <w:tcPr>
            <w:tcW w:w="9390" w:type="dxa"/>
            <w:shd w:val="clear" w:color="auto" w:fill="auto"/>
            <w:noWrap/>
            <w:vAlign w:val="center"/>
            <w:hideMark/>
          </w:tcPr>
          <w:p w14:paraId="0B3AE4C9" w14:textId="77777777" w:rsidR="00597E8C" w:rsidRPr="00597E8C" w:rsidRDefault="00597E8C" w:rsidP="00597E8C">
            <w:pPr>
              <w:rPr>
                <w:rFonts w:ascii="Calibri" w:hAnsi="Calibri"/>
                <w:color w:val="000000"/>
                <w:sz w:val="22"/>
                <w:szCs w:val="22"/>
                <w:lang w:val="en-GB" w:eastAsia="en-GB"/>
              </w:rPr>
            </w:pPr>
          </w:p>
        </w:tc>
      </w:tr>
      <w:tr w:rsidR="00597E8C" w:rsidRPr="00597E8C" w14:paraId="0EF9F5D1" w14:textId="77777777" w:rsidTr="00B00AB8">
        <w:trPr>
          <w:trHeight w:val="300"/>
        </w:trPr>
        <w:tc>
          <w:tcPr>
            <w:tcW w:w="9390" w:type="dxa"/>
            <w:shd w:val="clear" w:color="auto" w:fill="auto"/>
            <w:noWrap/>
            <w:vAlign w:val="center"/>
            <w:hideMark/>
          </w:tcPr>
          <w:p w14:paraId="3F7BE481"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 xml:space="preserve">Test for Residual Heterogeneity: </w:t>
            </w:r>
          </w:p>
        </w:tc>
      </w:tr>
      <w:tr w:rsidR="00597E8C" w:rsidRPr="00597E8C" w14:paraId="1D1C6B03" w14:textId="77777777" w:rsidTr="00B00AB8">
        <w:trPr>
          <w:trHeight w:val="300"/>
        </w:trPr>
        <w:tc>
          <w:tcPr>
            <w:tcW w:w="9390" w:type="dxa"/>
            <w:shd w:val="clear" w:color="auto" w:fill="auto"/>
            <w:noWrap/>
            <w:vAlign w:val="center"/>
            <w:hideMark/>
          </w:tcPr>
          <w:p w14:paraId="26581B4F"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QE(</w:t>
            </w:r>
            <w:proofErr w:type="spellStart"/>
            <w:r w:rsidRPr="00597E8C">
              <w:rPr>
                <w:rFonts w:ascii="Lucida Console" w:hAnsi="Lucida Console"/>
                <w:color w:val="000000"/>
                <w:sz w:val="20"/>
                <w:szCs w:val="20"/>
                <w:lang w:val="en-GB" w:eastAsia="en-GB"/>
              </w:rPr>
              <w:t>df</w:t>
            </w:r>
            <w:proofErr w:type="spellEnd"/>
            <w:r w:rsidRPr="00597E8C">
              <w:rPr>
                <w:rFonts w:ascii="Lucida Console" w:hAnsi="Lucida Console"/>
                <w:color w:val="000000"/>
                <w:sz w:val="20"/>
                <w:szCs w:val="20"/>
                <w:lang w:val="en-GB" w:eastAsia="en-GB"/>
              </w:rPr>
              <w:t xml:space="preserve"> = 7) = 235.2282, p-</w:t>
            </w:r>
            <w:proofErr w:type="spellStart"/>
            <w:r w:rsidRPr="00597E8C">
              <w:rPr>
                <w:rFonts w:ascii="Lucida Console" w:hAnsi="Lucida Console"/>
                <w:color w:val="000000"/>
                <w:sz w:val="20"/>
                <w:szCs w:val="20"/>
                <w:lang w:val="en-GB" w:eastAsia="en-GB"/>
              </w:rPr>
              <w:t>val</w:t>
            </w:r>
            <w:proofErr w:type="spellEnd"/>
            <w:r w:rsidRPr="00597E8C">
              <w:rPr>
                <w:rFonts w:ascii="Lucida Console" w:hAnsi="Lucida Console"/>
                <w:color w:val="000000"/>
                <w:sz w:val="20"/>
                <w:szCs w:val="20"/>
                <w:lang w:val="en-GB" w:eastAsia="en-GB"/>
              </w:rPr>
              <w:t xml:space="preserve"> &lt; .0001</w:t>
            </w:r>
          </w:p>
        </w:tc>
      </w:tr>
      <w:tr w:rsidR="00597E8C" w:rsidRPr="00597E8C" w14:paraId="0DF63C30" w14:textId="77777777" w:rsidTr="00B00AB8">
        <w:trPr>
          <w:trHeight w:val="300"/>
        </w:trPr>
        <w:tc>
          <w:tcPr>
            <w:tcW w:w="9390" w:type="dxa"/>
            <w:shd w:val="clear" w:color="auto" w:fill="auto"/>
            <w:noWrap/>
            <w:vAlign w:val="center"/>
            <w:hideMark/>
          </w:tcPr>
          <w:p w14:paraId="6642063D" w14:textId="77777777" w:rsidR="00597E8C" w:rsidRPr="00597E8C" w:rsidRDefault="00597E8C" w:rsidP="00597E8C">
            <w:pPr>
              <w:rPr>
                <w:rFonts w:ascii="Calibri" w:hAnsi="Calibri"/>
                <w:color w:val="000000"/>
                <w:sz w:val="22"/>
                <w:szCs w:val="22"/>
                <w:lang w:val="en-GB" w:eastAsia="en-GB"/>
              </w:rPr>
            </w:pPr>
          </w:p>
        </w:tc>
      </w:tr>
      <w:tr w:rsidR="00597E8C" w:rsidRPr="002E4455" w14:paraId="6A027141" w14:textId="77777777" w:rsidTr="00B00AB8">
        <w:trPr>
          <w:trHeight w:val="300"/>
        </w:trPr>
        <w:tc>
          <w:tcPr>
            <w:tcW w:w="9390" w:type="dxa"/>
            <w:shd w:val="clear" w:color="auto" w:fill="auto"/>
            <w:noWrap/>
            <w:vAlign w:val="center"/>
            <w:hideMark/>
          </w:tcPr>
          <w:p w14:paraId="3A6FB1BD"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 xml:space="preserve">Test of Moderators (coefficient(s) 2,3,4,5,6): </w:t>
            </w:r>
          </w:p>
        </w:tc>
      </w:tr>
      <w:tr w:rsidR="00597E8C" w:rsidRPr="00597E8C" w14:paraId="29B7F267" w14:textId="77777777" w:rsidTr="00B00AB8">
        <w:trPr>
          <w:trHeight w:val="300"/>
        </w:trPr>
        <w:tc>
          <w:tcPr>
            <w:tcW w:w="9390" w:type="dxa"/>
            <w:shd w:val="clear" w:color="auto" w:fill="auto"/>
            <w:noWrap/>
            <w:vAlign w:val="center"/>
            <w:hideMark/>
          </w:tcPr>
          <w:p w14:paraId="7ABFC365"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QM(</w:t>
            </w:r>
            <w:proofErr w:type="spellStart"/>
            <w:r w:rsidRPr="00597E8C">
              <w:rPr>
                <w:rFonts w:ascii="Lucida Console" w:hAnsi="Lucida Console"/>
                <w:color w:val="000000"/>
                <w:sz w:val="20"/>
                <w:szCs w:val="20"/>
                <w:lang w:val="en-GB" w:eastAsia="en-GB"/>
              </w:rPr>
              <w:t>df</w:t>
            </w:r>
            <w:proofErr w:type="spellEnd"/>
            <w:r w:rsidRPr="00597E8C">
              <w:rPr>
                <w:rFonts w:ascii="Lucida Console" w:hAnsi="Lucida Console"/>
                <w:color w:val="000000"/>
                <w:sz w:val="20"/>
                <w:szCs w:val="20"/>
                <w:lang w:val="en-GB" w:eastAsia="en-GB"/>
              </w:rPr>
              <w:t xml:space="preserve"> = 5) = 10.1896, p-</w:t>
            </w:r>
            <w:proofErr w:type="spellStart"/>
            <w:r w:rsidRPr="00597E8C">
              <w:rPr>
                <w:rFonts w:ascii="Lucida Console" w:hAnsi="Lucida Console"/>
                <w:color w:val="000000"/>
                <w:sz w:val="20"/>
                <w:szCs w:val="20"/>
                <w:lang w:val="en-GB" w:eastAsia="en-GB"/>
              </w:rPr>
              <w:t>val</w:t>
            </w:r>
            <w:proofErr w:type="spellEnd"/>
            <w:r w:rsidRPr="00597E8C">
              <w:rPr>
                <w:rFonts w:ascii="Lucida Console" w:hAnsi="Lucida Console"/>
                <w:color w:val="000000"/>
                <w:sz w:val="20"/>
                <w:szCs w:val="20"/>
                <w:lang w:val="en-GB" w:eastAsia="en-GB"/>
              </w:rPr>
              <w:t xml:space="preserve"> = 0.0700</w:t>
            </w:r>
          </w:p>
        </w:tc>
      </w:tr>
      <w:tr w:rsidR="00597E8C" w:rsidRPr="00597E8C" w14:paraId="4222557B" w14:textId="77777777" w:rsidTr="00B00AB8">
        <w:trPr>
          <w:trHeight w:val="300"/>
        </w:trPr>
        <w:tc>
          <w:tcPr>
            <w:tcW w:w="9390" w:type="dxa"/>
            <w:shd w:val="clear" w:color="auto" w:fill="auto"/>
            <w:noWrap/>
            <w:vAlign w:val="center"/>
            <w:hideMark/>
          </w:tcPr>
          <w:p w14:paraId="10DB24E0" w14:textId="77777777" w:rsidR="00597E8C" w:rsidRPr="00597E8C" w:rsidRDefault="00597E8C" w:rsidP="00597E8C">
            <w:pPr>
              <w:rPr>
                <w:rFonts w:ascii="Calibri" w:hAnsi="Calibri"/>
                <w:color w:val="000000"/>
                <w:sz w:val="22"/>
                <w:szCs w:val="22"/>
                <w:lang w:val="en-GB" w:eastAsia="en-GB"/>
              </w:rPr>
            </w:pPr>
          </w:p>
        </w:tc>
      </w:tr>
      <w:tr w:rsidR="00597E8C" w:rsidRPr="00597E8C" w14:paraId="48AAA4F5" w14:textId="77777777" w:rsidTr="00B00AB8">
        <w:trPr>
          <w:trHeight w:val="300"/>
        </w:trPr>
        <w:tc>
          <w:tcPr>
            <w:tcW w:w="9390" w:type="dxa"/>
            <w:shd w:val="clear" w:color="auto" w:fill="auto"/>
            <w:noWrap/>
            <w:vAlign w:val="center"/>
            <w:hideMark/>
          </w:tcPr>
          <w:p w14:paraId="3A361AB0"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Model Results:</w:t>
            </w:r>
          </w:p>
        </w:tc>
      </w:tr>
      <w:tr w:rsidR="00597E8C" w:rsidRPr="00597E8C" w14:paraId="3E18B312" w14:textId="77777777" w:rsidTr="00B00AB8">
        <w:trPr>
          <w:trHeight w:val="300"/>
        </w:trPr>
        <w:tc>
          <w:tcPr>
            <w:tcW w:w="9390" w:type="dxa"/>
            <w:shd w:val="clear" w:color="auto" w:fill="auto"/>
            <w:noWrap/>
            <w:vAlign w:val="center"/>
            <w:hideMark/>
          </w:tcPr>
          <w:p w14:paraId="55872EBC" w14:textId="77777777" w:rsidR="00597E8C" w:rsidRPr="00597E8C" w:rsidRDefault="00597E8C" w:rsidP="00597E8C">
            <w:pPr>
              <w:rPr>
                <w:rFonts w:ascii="Calibri" w:hAnsi="Calibri"/>
                <w:color w:val="000000"/>
                <w:sz w:val="22"/>
                <w:szCs w:val="22"/>
                <w:lang w:val="en-GB" w:eastAsia="en-GB"/>
              </w:rPr>
            </w:pPr>
          </w:p>
        </w:tc>
      </w:tr>
      <w:tr w:rsidR="00597E8C" w:rsidRPr="002E4455" w14:paraId="47FB0E95" w14:textId="77777777" w:rsidTr="00B00AB8">
        <w:trPr>
          <w:trHeight w:val="300"/>
        </w:trPr>
        <w:tc>
          <w:tcPr>
            <w:tcW w:w="9390" w:type="dxa"/>
            <w:shd w:val="clear" w:color="auto" w:fill="auto"/>
            <w:noWrap/>
            <w:vAlign w:val="center"/>
            <w:hideMark/>
          </w:tcPr>
          <w:p w14:paraId="549A8C09" w14:textId="77777777" w:rsidR="00597E8C" w:rsidRPr="00597E8C" w:rsidRDefault="00274979" w:rsidP="00274979">
            <w:pPr>
              <w:rPr>
                <w:rFonts w:ascii="Lucida Console" w:hAnsi="Lucida Console"/>
                <w:color w:val="000000"/>
                <w:sz w:val="20"/>
                <w:szCs w:val="20"/>
                <w:lang w:val="en-GB" w:eastAsia="en-GB"/>
              </w:rPr>
            </w:pPr>
            <w:r>
              <w:rPr>
                <w:rFonts w:ascii="Lucida Console" w:hAnsi="Lucida Console"/>
                <w:color w:val="000000"/>
                <w:sz w:val="20"/>
                <w:szCs w:val="20"/>
                <w:lang w:val="en-GB" w:eastAsia="en-GB"/>
              </w:rPr>
              <w:t xml:space="preserve">                      </w:t>
            </w:r>
            <w:r w:rsidRPr="00EA298D">
              <w:rPr>
                <w:rFonts w:ascii="Lucida Console" w:hAnsi="Lucida Console"/>
                <w:color w:val="000000"/>
                <w:sz w:val="20"/>
                <w:szCs w:val="20"/>
                <w:lang w:val="en-GB" w:eastAsia="en-GB"/>
              </w:rPr>
              <w:t>estimat</w:t>
            </w:r>
            <w:r>
              <w:rPr>
                <w:rFonts w:ascii="Lucida Console" w:hAnsi="Lucida Console"/>
                <w:color w:val="000000"/>
                <w:sz w:val="20"/>
                <w:szCs w:val="20"/>
                <w:lang w:val="en-GB" w:eastAsia="en-GB"/>
              </w:rPr>
              <w:t xml:space="preserve">e     </w:t>
            </w:r>
            <w:r w:rsidR="00597E8C" w:rsidRPr="00597E8C">
              <w:rPr>
                <w:rFonts w:ascii="Lucida Console" w:hAnsi="Lucida Console"/>
                <w:color w:val="000000"/>
                <w:sz w:val="20"/>
                <w:szCs w:val="20"/>
                <w:lang w:val="en-GB" w:eastAsia="en-GB"/>
              </w:rPr>
              <w:t xml:space="preserve"> se     </w:t>
            </w:r>
            <w:proofErr w:type="spellStart"/>
            <w:r w:rsidR="00597E8C" w:rsidRPr="00597E8C">
              <w:rPr>
                <w:rFonts w:ascii="Lucida Console" w:hAnsi="Lucida Console"/>
                <w:color w:val="000000"/>
                <w:sz w:val="20"/>
                <w:szCs w:val="20"/>
                <w:lang w:val="en-GB" w:eastAsia="en-GB"/>
              </w:rPr>
              <w:t>zval</w:t>
            </w:r>
            <w:proofErr w:type="spellEnd"/>
            <w:r w:rsidR="00597E8C" w:rsidRPr="00597E8C">
              <w:rPr>
                <w:rFonts w:ascii="Lucida Console" w:hAnsi="Lucida Console"/>
                <w:color w:val="000000"/>
                <w:sz w:val="20"/>
                <w:szCs w:val="20"/>
                <w:lang w:val="en-GB" w:eastAsia="en-GB"/>
              </w:rPr>
              <w:t xml:space="preserve">    </w:t>
            </w:r>
            <w:proofErr w:type="spellStart"/>
            <w:r w:rsidR="00597E8C" w:rsidRPr="00597E8C">
              <w:rPr>
                <w:rFonts w:ascii="Lucida Console" w:hAnsi="Lucida Console"/>
                <w:color w:val="000000"/>
                <w:sz w:val="20"/>
                <w:szCs w:val="20"/>
                <w:lang w:val="en-GB" w:eastAsia="en-GB"/>
              </w:rPr>
              <w:t>pval</w:t>
            </w:r>
            <w:proofErr w:type="spellEnd"/>
            <w:r w:rsidR="00597E8C" w:rsidRPr="00597E8C">
              <w:rPr>
                <w:rFonts w:ascii="Lucida Console" w:hAnsi="Lucida Console"/>
                <w:color w:val="000000"/>
                <w:sz w:val="20"/>
                <w:szCs w:val="20"/>
                <w:lang w:val="en-GB" w:eastAsia="en-GB"/>
              </w:rPr>
              <w:t xml:space="preserve">    ci.lb    </w:t>
            </w:r>
            <w:proofErr w:type="spellStart"/>
            <w:r w:rsidR="00597E8C" w:rsidRPr="00597E8C">
              <w:rPr>
                <w:rFonts w:ascii="Lucida Console" w:hAnsi="Lucida Console"/>
                <w:color w:val="000000"/>
                <w:sz w:val="20"/>
                <w:szCs w:val="20"/>
                <w:lang w:val="en-GB" w:eastAsia="en-GB"/>
              </w:rPr>
              <w:t>ci.ub</w:t>
            </w:r>
            <w:proofErr w:type="spellEnd"/>
            <w:r w:rsidR="00597E8C" w:rsidRPr="00597E8C">
              <w:rPr>
                <w:rFonts w:ascii="Lucida Console" w:hAnsi="Lucida Console"/>
                <w:color w:val="000000"/>
                <w:sz w:val="20"/>
                <w:szCs w:val="20"/>
                <w:lang w:val="en-GB" w:eastAsia="en-GB"/>
              </w:rPr>
              <w:t xml:space="preserve">     </w:t>
            </w:r>
          </w:p>
        </w:tc>
      </w:tr>
      <w:tr w:rsidR="00597E8C" w:rsidRPr="00597E8C" w14:paraId="021230A1" w14:textId="77777777" w:rsidTr="00B00AB8">
        <w:trPr>
          <w:trHeight w:val="300"/>
        </w:trPr>
        <w:tc>
          <w:tcPr>
            <w:tcW w:w="9390" w:type="dxa"/>
            <w:shd w:val="clear" w:color="auto" w:fill="auto"/>
            <w:noWrap/>
            <w:vAlign w:val="center"/>
            <w:hideMark/>
          </w:tcPr>
          <w:p w14:paraId="056B57C1" w14:textId="77777777" w:rsidR="00597E8C" w:rsidRPr="00597E8C" w:rsidRDefault="00597E8C" w:rsidP="00597E8C">
            <w:pPr>
              <w:rPr>
                <w:rFonts w:ascii="Lucida Console" w:hAnsi="Lucida Console"/>
                <w:color w:val="000000"/>
                <w:sz w:val="20"/>
                <w:szCs w:val="20"/>
                <w:lang w:val="en-GB" w:eastAsia="en-GB"/>
              </w:rPr>
            </w:pPr>
            <w:proofErr w:type="spellStart"/>
            <w:r w:rsidRPr="00597E8C">
              <w:rPr>
                <w:rFonts w:ascii="Lucida Console" w:hAnsi="Lucida Console"/>
                <w:color w:val="000000"/>
                <w:sz w:val="20"/>
                <w:szCs w:val="20"/>
                <w:lang w:val="en-GB" w:eastAsia="en-GB"/>
              </w:rPr>
              <w:t>intrcpt</w:t>
            </w:r>
            <w:proofErr w:type="spellEnd"/>
            <w:r w:rsidRPr="00597E8C">
              <w:rPr>
                <w:rFonts w:ascii="Lucida Console" w:hAnsi="Lucida Console"/>
                <w:color w:val="000000"/>
                <w:sz w:val="20"/>
                <w:szCs w:val="20"/>
                <w:lang w:val="en-GB" w:eastAsia="en-GB"/>
              </w:rPr>
              <w:t xml:space="preserve">                 2.4799  0.0267  92.8312  &lt;.0001   2.4276   2.5323  ***</w:t>
            </w:r>
          </w:p>
        </w:tc>
      </w:tr>
      <w:tr w:rsidR="00597E8C" w:rsidRPr="00597E8C" w14:paraId="4A7A04FA" w14:textId="77777777" w:rsidTr="00B00AB8">
        <w:trPr>
          <w:trHeight w:val="300"/>
        </w:trPr>
        <w:tc>
          <w:tcPr>
            <w:tcW w:w="9390" w:type="dxa"/>
            <w:shd w:val="clear" w:color="auto" w:fill="auto"/>
            <w:noWrap/>
            <w:vAlign w:val="center"/>
            <w:hideMark/>
          </w:tcPr>
          <w:p w14:paraId="0EE035BB"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lastRenderedPageBreak/>
              <w:t>I(</w:t>
            </w:r>
            <w:proofErr w:type="spellStart"/>
            <w:r w:rsidRPr="00597E8C">
              <w:rPr>
                <w:rFonts w:ascii="Lucida Console" w:hAnsi="Lucida Console"/>
                <w:color w:val="000000"/>
                <w:sz w:val="20"/>
                <w:szCs w:val="20"/>
                <w:lang w:val="en-GB" w:eastAsia="en-GB"/>
              </w:rPr>
              <w:t>Age_mean</w:t>
            </w:r>
            <w:proofErr w:type="spellEnd"/>
            <w:r w:rsidRPr="00597E8C">
              <w:rPr>
                <w:rFonts w:ascii="Lucida Console" w:hAnsi="Lucida Console"/>
                <w:color w:val="000000"/>
                <w:sz w:val="20"/>
                <w:szCs w:val="20"/>
                <w:lang w:val="en-GB" w:eastAsia="en-GB"/>
              </w:rPr>
              <w:t xml:space="preserve"> - 34.72)    -0.0041  0.0100  -0.4115  0.6807  -0.0237   0.0155     </w:t>
            </w:r>
          </w:p>
        </w:tc>
      </w:tr>
      <w:tr w:rsidR="00597E8C" w:rsidRPr="00597E8C" w14:paraId="7F0B7931" w14:textId="77777777" w:rsidTr="00B00AB8">
        <w:trPr>
          <w:trHeight w:val="300"/>
        </w:trPr>
        <w:tc>
          <w:tcPr>
            <w:tcW w:w="9390" w:type="dxa"/>
            <w:shd w:val="clear" w:color="auto" w:fill="auto"/>
            <w:noWrap/>
            <w:vAlign w:val="center"/>
            <w:hideMark/>
          </w:tcPr>
          <w:p w14:paraId="461DC496"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I(</w:t>
            </w:r>
            <w:proofErr w:type="spellStart"/>
            <w:r w:rsidRPr="00597E8C">
              <w:rPr>
                <w:rFonts w:ascii="Lucida Console" w:hAnsi="Lucida Console"/>
                <w:color w:val="000000"/>
                <w:sz w:val="20"/>
                <w:szCs w:val="20"/>
                <w:lang w:val="en-GB" w:eastAsia="en-GB"/>
              </w:rPr>
              <w:t>MED_a_perc</w:t>
            </w:r>
            <w:proofErr w:type="spellEnd"/>
            <w:r w:rsidRPr="00597E8C">
              <w:rPr>
                <w:rFonts w:ascii="Lucida Console" w:hAnsi="Lucida Console"/>
                <w:color w:val="000000"/>
                <w:sz w:val="20"/>
                <w:szCs w:val="20"/>
                <w:lang w:val="en-GB" w:eastAsia="en-GB"/>
              </w:rPr>
              <w:t xml:space="preserve"> - 68.72)  -0.0056  0.0022  -2.5524  0.0107  -0.0098  -0.0013    *</w:t>
            </w:r>
          </w:p>
        </w:tc>
      </w:tr>
      <w:tr w:rsidR="00597E8C" w:rsidRPr="00597E8C" w14:paraId="7664CAB2" w14:textId="77777777" w:rsidTr="00B00AB8">
        <w:trPr>
          <w:trHeight w:val="300"/>
        </w:trPr>
        <w:tc>
          <w:tcPr>
            <w:tcW w:w="9390" w:type="dxa"/>
            <w:shd w:val="clear" w:color="auto" w:fill="auto"/>
            <w:noWrap/>
            <w:vAlign w:val="center"/>
            <w:hideMark/>
          </w:tcPr>
          <w:p w14:paraId="763550AC"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I(</w:t>
            </w:r>
            <w:proofErr w:type="spellStart"/>
            <w:r w:rsidRPr="00597E8C">
              <w:rPr>
                <w:rFonts w:ascii="Lucida Console" w:hAnsi="Lucida Console"/>
                <w:color w:val="000000"/>
                <w:sz w:val="20"/>
                <w:szCs w:val="20"/>
                <w:lang w:val="en-GB" w:eastAsia="en-GB"/>
              </w:rPr>
              <w:t>MED_b_perc</w:t>
            </w:r>
            <w:proofErr w:type="spellEnd"/>
            <w:r w:rsidRPr="00597E8C">
              <w:rPr>
                <w:rFonts w:ascii="Lucida Console" w:hAnsi="Lucida Console"/>
                <w:color w:val="000000"/>
                <w:sz w:val="20"/>
                <w:szCs w:val="20"/>
                <w:lang w:val="en-GB" w:eastAsia="en-GB"/>
              </w:rPr>
              <w:t xml:space="preserve"> - 8.536)  -0.0016  0.0046  -0.3361  0.7368  -0.0106   0.0075     </w:t>
            </w:r>
          </w:p>
        </w:tc>
      </w:tr>
      <w:tr w:rsidR="00597E8C" w:rsidRPr="00597E8C" w14:paraId="6ED1BE80" w14:textId="77777777" w:rsidTr="00B00AB8">
        <w:trPr>
          <w:trHeight w:val="300"/>
        </w:trPr>
        <w:tc>
          <w:tcPr>
            <w:tcW w:w="9390" w:type="dxa"/>
            <w:shd w:val="clear" w:color="auto" w:fill="auto"/>
            <w:noWrap/>
            <w:vAlign w:val="center"/>
            <w:hideMark/>
          </w:tcPr>
          <w:p w14:paraId="13C10461"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I(</w:t>
            </w:r>
            <w:proofErr w:type="spellStart"/>
            <w:r w:rsidRPr="00597E8C">
              <w:rPr>
                <w:rFonts w:ascii="Lucida Console" w:hAnsi="Lucida Console"/>
                <w:color w:val="000000"/>
                <w:sz w:val="20"/>
                <w:szCs w:val="20"/>
                <w:lang w:val="en-GB" w:eastAsia="en-GB"/>
              </w:rPr>
              <w:t>MED_t_perc</w:t>
            </w:r>
            <w:proofErr w:type="spellEnd"/>
            <w:r w:rsidRPr="00597E8C">
              <w:rPr>
                <w:rFonts w:ascii="Lucida Console" w:hAnsi="Lucida Console"/>
                <w:color w:val="000000"/>
                <w:sz w:val="20"/>
                <w:szCs w:val="20"/>
                <w:lang w:val="en-GB" w:eastAsia="en-GB"/>
              </w:rPr>
              <w:t xml:space="preserve"> - 11.1)   -0.0053  0.0035  -1.5391  0.1238  -0.0121   0.0015     </w:t>
            </w:r>
          </w:p>
        </w:tc>
      </w:tr>
      <w:tr w:rsidR="00597E8C" w:rsidRPr="00597E8C" w14:paraId="56148397" w14:textId="77777777" w:rsidTr="00B00AB8">
        <w:trPr>
          <w:trHeight w:val="300"/>
        </w:trPr>
        <w:tc>
          <w:tcPr>
            <w:tcW w:w="9390" w:type="dxa"/>
            <w:shd w:val="clear" w:color="auto" w:fill="auto"/>
            <w:noWrap/>
            <w:vAlign w:val="center"/>
            <w:hideMark/>
          </w:tcPr>
          <w:p w14:paraId="7F86165A"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I(</w:t>
            </w:r>
            <w:proofErr w:type="spellStart"/>
            <w:r w:rsidRPr="00597E8C">
              <w:rPr>
                <w:rFonts w:ascii="Lucida Console" w:hAnsi="Lucida Console"/>
                <w:color w:val="000000"/>
                <w:sz w:val="20"/>
                <w:szCs w:val="20"/>
                <w:lang w:val="en-GB" w:eastAsia="en-GB"/>
              </w:rPr>
              <w:t>MF_ratio</w:t>
            </w:r>
            <w:proofErr w:type="spellEnd"/>
            <w:r w:rsidRPr="00597E8C">
              <w:rPr>
                <w:rFonts w:ascii="Lucida Console" w:hAnsi="Lucida Console"/>
                <w:color w:val="000000"/>
                <w:sz w:val="20"/>
                <w:szCs w:val="20"/>
                <w:lang w:val="en-GB" w:eastAsia="en-GB"/>
              </w:rPr>
              <w:t xml:space="preserve"> - 2.255)    -0.0091  0.0386  -0.2365  0.8130  -0.0848   0.0666     </w:t>
            </w:r>
          </w:p>
        </w:tc>
      </w:tr>
    </w:tbl>
    <w:p w14:paraId="6C090C4C" w14:textId="77777777" w:rsidR="00274979" w:rsidRPr="00B00AB8" w:rsidRDefault="00274979" w:rsidP="00274979">
      <w:pPr>
        <w:spacing w:line="360" w:lineRule="auto"/>
        <w:rPr>
          <w:rFonts w:asciiTheme="minorHAnsi" w:hAnsiTheme="minorHAnsi"/>
          <w:lang w:val="en-GB"/>
        </w:rPr>
      </w:pPr>
      <w:r>
        <w:rPr>
          <w:rFonts w:asciiTheme="minorHAnsi" w:hAnsiTheme="minorHAnsi"/>
          <w:lang w:val="en-GB"/>
        </w:rPr>
        <w:t>N.B.: predictor abbreviations refer to percentage of patients treated with atypical (</w:t>
      </w:r>
      <w:proofErr w:type="spellStart"/>
      <w:r>
        <w:rPr>
          <w:rFonts w:asciiTheme="minorHAnsi" w:hAnsiTheme="minorHAnsi"/>
          <w:lang w:val="en-GB"/>
        </w:rPr>
        <w:t>MED_a_perc</w:t>
      </w:r>
      <w:proofErr w:type="spellEnd"/>
      <w:r>
        <w:rPr>
          <w:rFonts w:asciiTheme="minorHAnsi" w:hAnsiTheme="minorHAnsi"/>
          <w:lang w:val="en-GB"/>
        </w:rPr>
        <w:t>) or typical (</w:t>
      </w:r>
      <w:proofErr w:type="spellStart"/>
      <w:r>
        <w:rPr>
          <w:rFonts w:asciiTheme="minorHAnsi" w:hAnsiTheme="minorHAnsi"/>
          <w:lang w:val="en-GB"/>
        </w:rPr>
        <w:t>MED_t_perc</w:t>
      </w:r>
      <w:proofErr w:type="spellEnd"/>
      <w:r>
        <w:rPr>
          <w:rFonts w:asciiTheme="minorHAnsi" w:hAnsiTheme="minorHAnsi"/>
          <w:lang w:val="en-GB"/>
        </w:rPr>
        <w:t>) antipsychotics, both antipsychotic medication types (</w:t>
      </w:r>
      <w:proofErr w:type="spellStart"/>
      <w:r>
        <w:rPr>
          <w:rFonts w:asciiTheme="minorHAnsi" w:hAnsiTheme="minorHAnsi"/>
          <w:lang w:val="en-GB"/>
        </w:rPr>
        <w:t>MED_b_perc</w:t>
      </w:r>
      <w:proofErr w:type="spellEnd"/>
      <w:r>
        <w:rPr>
          <w:rFonts w:asciiTheme="minorHAnsi" w:hAnsiTheme="minorHAnsi"/>
          <w:lang w:val="en-GB"/>
        </w:rPr>
        <w:t xml:space="preserve">) and the percentage of </w:t>
      </w:r>
      <w:proofErr w:type="spellStart"/>
      <w:r>
        <w:rPr>
          <w:rFonts w:asciiTheme="minorHAnsi" w:hAnsiTheme="minorHAnsi"/>
          <w:lang w:val="en-GB"/>
        </w:rPr>
        <w:t>unmedicated</w:t>
      </w:r>
      <w:proofErr w:type="spellEnd"/>
      <w:r>
        <w:rPr>
          <w:rFonts w:asciiTheme="minorHAnsi" w:hAnsiTheme="minorHAnsi"/>
          <w:lang w:val="en-GB"/>
        </w:rPr>
        <w:t xml:space="preserve"> patients (</w:t>
      </w:r>
      <w:proofErr w:type="spellStart"/>
      <w:r>
        <w:rPr>
          <w:rFonts w:asciiTheme="minorHAnsi" w:hAnsiTheme="minorHAnsi"/>
          <w:lang w:val="en-GB"/>
        </w:rPr>
        <w:t>intrcpt</w:t>
      </w:r>
      <w:proofErr w:type="spellEnd"/>
      <w:r>
        <w:rPr>
          <w:rFonts w:asciiTheme="minorHAnsi" w:hAnsiTheme="minorHAnsi"/>
          <w:lang w:val="en-GB"/>
        </w:rPr>
        <w:t>, i.e. baseline) as well as the ratio of males versus females (</w:t>
      </w:r>
      <w:proofErr w:type="spellStart"/>
      <w:r>
        <w:rPr>
          <w:rFonts w:asciiTheme="minorHAnsi" w:hAnsiTheme="minorHAnsi"/>
          <w:lang w:val="en-GB"/>
        </w:rPr>
        <w:t>MF_ratio</w:t>
      </w:r>
      <w:proofErr w:type="spellEnd"/>
      <w:r>
        <w:rPr>
          <w:rFonts w:asciiTheme="minorHAnsi" w:hAnsiTheme="minorHAnsi"/>
          <w:lang w:val="en-GB"/>
        </w:rPr>
        <w:t>).</w:t>
      </w:r>
    </w:p>
    <w:p w14:paraId="3229B4A6" w14:textId="77777777" w:rsidR="00597E8C" w:rsidRDefault="00597E8C" w:rsidP="00B00AB8">
      <w:pPr>
        <w:pStyle w:val="ListParagraph"/>
        <w:spacing w:line="360" w:lineRule="auto"/>
        <w:ind w:left="360"/>
        <w:rPr>
          <w:rFonts w:asciiTheme="minorHAnsi" w:hAnsiTheme="minorHAnsi"/>
          <w:lang w:val="en-GB"/>
        </w:rPr>
      </w:pPr>
    </w:p>
    <w:p w14:paraId="050413A8" w14:textId="77777777" w:rsidR="00597E8C" w:rsidRDefault="00597E8C" w:rsidP="00597E8C">
      <w:pPr>
        <w:pStyle w:val="ListParagraph"/>
        <w:numPr>
          <w:ilvl w:val="0"/>
          <w:numId w:val="1"/>
        </w:numPr>
        <w:spacing w:line="360" w:lineRule="auto"/>
        <w:rPr>
          <w:rFonts w:asciiTheme="minorHAnsi" w:hAnsiTheme="minorHAnsi"/>
          <w:lang w:val="en-GB"/>
        </w:rPr>
      </w:pPr>
      <w:r>
        <w:rPr>
          <w:rFonts w:asciiTheme="minorHAnsi" w:hAnsiTheme="minorHAnsi"/>
          <w:lang w:val="en-GB"/>
        </w:rPr>
        <w:t xml:space="preserve">Left </w:t>
      </w:r>
      <w:r w:rsidR="00447EBC">
        <w:rPr>
          <w:rFonts w:asciiTheme="minorHAnsi" w:hAnsiTheme="minorHAnsi"/>
          <w:lang w:val="en-GB"/>
        </w:rPr>
        <w:t>MOFC</w:t>
      </w:r>
      <w:r>
        <w:rPr>
          <w:rFonts w:asciiTheme="minorHAnsi" w:hAnsiTheme="minorHAnsi"/>
          <w:lang w:val="en-GB"/>
        </w:rPr>
        <w:t xml:space="preserve"> thickness differences by </w:t>
      </w:r>
      <w:r w:rsidR="00B857B6">
        <w:rPr>
          <w:rFonts w:asciiTheme="minorHAnsi" w:hAnsiTheme="minorHAnsi"/>
          <w:lang w:val="en-GB"/>
        </w:rPr>
        <w:t xml:space="preserve">antipsychotic </w:t>
      </w:r>
      <w:r>
        <w:rPr>
          <w:rFonts w:asciiTheme="minorHAnsi" w:hAnsiTheme="minorHAnsi"/>
          <w:lang w:val="en-GB"/>
        </w:rPr>
        <w:t xml:space="preserve">medication type percentages, covarying for </w:t>
      </w:r>
      <w:r w:rsidR="00D27F68">
        <w:rPr>
          <w:rFonts w:asciiTheme="minorHAnsi" w:hAnsiTheme="minorHAnsi"/>
          <w:lang w:val="en-GB"/>
        </w:rPr>
        <w:t>gender</w:t>
      </w:r>
      <w:r>
        <w:rPr>
          <w:rFonts w:asciiTheme="minorHAnsi" w:hAnsiTheme="minorHAnsi"/>
          <w:lang w:val="en-GB"/>
        </w:rPr>
        <w:t xml:space="preserve"> and length of illness</w:t>
      </w:r>
    </w:p>
    <w:p w14:paraId="0872D539" w14:textId="77777777" w:rsidR="00597E8C" w:rsidRDefault="00597E8C" w:rsidP="00597E8C">
      <w:pPr>
        <w:pStyle w:val="ListParagraph"/>
        <w:spacing w:line="360" w:lineRule="auto"/>
        <w:ind w:left="360"/>
        <w:rPr>
          <w:rFonts w:asciiTheme="minorHAnsi" w:hAnsiTheme="minorHAnsi"/>
          <w:lang w:val="en-GB"/>
        </w:rPr>
      </w:pPr>
    </w:p>
    <w:p w14:paraId="386AA03C" w14:textId="77777777" w:rsidR="00597E8C" w:rsidRDefault="00597E8C" w:rsidP="00597E8C">
      <w:pPr>
        <w:pStyle w:val="ListParagraph"/>
        <w:spacing w:line="360" w:lineRule="auto"/>
        <w:ind w:left="360"/>
        <w:rPr>
          <w:rFonts w:asciiTheme="minorHAnsi" w:hAnsiTheme="minorHAnsi"/>
          <w:lang w:val="en-GB"/>
        </w:rPr>
      </w:pPr>
      <w:r>
        <w:rPr>
          <w:rFonts w:asciiTheme="minorHAnsi" w:hAnsiTheme="minorHAnsi"/>
          <w:lang w:val="en-GB"/>
        </w:rPr>
        <w:t>We also investigated</w:t>
      </w:r>
      <w:r w:rsidRPr="003E3FC7">
        <w:rPr>
          <w:rFonts w:asciiTheme="minorHAnsi" w:hAnsiTheme="minorHAnsi"/>
          <w:lang w:val="en-GB"/>
        </w:rPr>
        <w:t xml:space="preserve"> </w:t>
      </w:r>
      <w:r>
        <w:rPr>
          <w:rFonts w:asciiTheme="minorHAnsi" w:hAnsiTheme="minorHAnsi"/>
          <w:lang w:val="en-GB"/>
        </w:rPr>
        <w:t xml:space="preserve">whether left </w:t>
      </w:r>
      <w:r w:rsidR="00447EBC">
        <w:rPr>
          <w:rFonts w:asciiTheme="minorHAnsi" w:hAnsiTheme="minorHAnsi"/>
          <w:lang w:val="en-GB"/>
        </w:rPr>
        <w:t>MOFC</w:t>
      </w:r>
      <w:r>
        <w:rPr>
          <w:rFonts w:asciiTheme="minorHAnsi" w:hAnsiTheme="minorHAnsi"/>
          <w:lang w:val="en-GB"/>
        </w:rPr>
        <w:t xml:space="preserve"> thickness differed by the percentage of patients treated with typical or atypical antipsychotics, both </w:t>
      </w:r>
      <w:r w:rsidR="00B857B6">
        <w:rPr>
          <w:rFonts w:asciiTheme="minorHAnsi" w:hAnsiTheme="minorHAnsi"/>
          <w:lang w:val="en-GB"/>
        </w:rPr>
        <w:t xml:space="preserve">antipsychotic </w:t>
      </w:r>
      <w:r>
        <w:rPr>
          <w:rFonts w:asciiTheme="minorHAnsi" w:hAnsiTheme="minorHAnsi"/>
          <w:lang w:val="en-GB"/>
        </w:rPr>
        <w:t xml:space="preserve">medication types and the percentage of </w:t>
      </w:r>
      <w:proofErr w:type="spellStart"/>
      <w:r>
        <w:rPr>
          <w:rFonts w:asciiTheme="minorHAnsi" w:hAnsiTheme="minorHAnsi"/>
          <w:lang w:val="en-GB"/>
        </w:rPr>
        <w:t>unmedicated</w:t>
      </w:r>
      <w:proofErr w:type="spellEnd"/>
      <w:r>
        <w:rPr>
          <w:rFonts w:asciiTheme="minorHAnsi" w:hAnsiTheme="minorHAnsi"/>
          <w:lang w:val="en-GB"/>
        </w:rPr>
        <w:t xml:space="preserve"> patients, when additionally controlling for </w:t>
      </w:r>
      <w:r w:rsidR="00D27F68">
        <w:rPr>
          <w:rFonts w:asciiTheme="minorHAnsi" w:hAnsiTheme="minorHAnsi"/>
          <w:lang w:val="en-GB"/>
        </w:rPr>
        <w:t>gender</w:t>
      </w:r>
      <w:r>
        <w:rPr>
          <w:rFonts w:asciiTheme="minorHAnsi" w:hAnsiTheme="minorHAnsi"/>
          <w:lang w:val="en-GB"/>
        </w:rPr>
        <w:t xml:space="preserve"> and length of </w:t>
      </w:r>
      <w:proofErr w:type="spellStart"/>
      <w:r>
        <w:rPr>
          <w:rFonts w:asciiTheme="minorHAnsi" w:hAnsiTheme="minorHAnsi"/>
          <w:lang w:val="en-GB"/>
        </w:rPr>
        <w:t>ilness</w:t>
      </w:r>
      <w:proofErr w:type="spellEnd"/>
      <w:r w:rsidRPr="003E3FC7">
        <w:rPr>
          <w:rFonts w:asciiTheme="minorHAnsi" w:hAnsiTheme="minorHAnsi"/>
          <w:lang w:val="en-GB"/>
        </w:rPr>
        <w:t xml:space="preserve">. Shown below are the estimate, the standard error, p value and the confidence intervals </w:t>
      </w:r>
      <w:r>
        <w:rPr>
          <w:rFonts w:asciiTheme="minorHAnsi" w:hAnsiTheme="minorHAnsi"/>
          <w:lang w:val="en-GB"/>
        </w:rPr>
        <w:t xml:space="preserve">of mean left </w:t>
      </w:r>
      <w:r w:rsidR="00447EBC">
        <w:rPr>
          <w:rFonts w:asciiTheme="minorHAnsi" w:hAnsiTheme="minorHAnsi"/>
          <w:lang w:val="en-GB"/>
        </w:rPr>
        <w:t>MOFC</w:t>
      </w:r>
      <w:r>
        <w:rPr>
          <w:rFonts w:asciiTheme="minorHAnsi" w:hAnsiTheme="minorHAnsi"/>
          <w:lang w:val="en-GB"/>
        </w:rPr>
        <w:t xml:space="preserve"> thickness </w:t>
      </w:r>
      <w:r w:rsidRPr="003E3FC7">
        <w:rPr>
          <w:rFonts w:asciiTheme="minorHAnsi" w:hAnsiTheme="minorHAnsi"/>
          <w:lang w:val="en-GB"/>
        </w:rPr>
        <w:t xml:space="preserve">for </w:t>
      </w:r>
      <w:r>
        <w:rPr>
          <w:rFonts w:asciiTheme="minorHAnsi" w:hAnsiTheme="minorHAnsi"/>
          <w:lang w:val="en-GB"/>
        </w:rPr>
        <w:t xml:space="preserve">each </w:t>
      </w:r>
      <w:r w:rsidR="00B857B6">
        <w:rPr>
          <w:rFonts w:asciiTheme="minorHAnsi" w:hAnsiTheme="minorHAnsi"/>
          <w:lang w:val="en-GB"/>
        </w:rPr>
        <w:t xml:space="preserve">antipsychotic </w:t>
      </w:r>
      <w:r>
        <w:rPr>
          <w:rFonts w:asciiTheme="minorHAnsi" w:hAnsiTheme="minorHAnsi"/>
          <w:lang w:val="en-GB"/>
        </w:rPr>
        <w:t>medication group</w:t>
      </w:r>
      <w:r w:rsidRPr="003E3FC7">
        <w:rPr>
          <w:rFonts w:asciiTheme="minorHAnsi" w:hAnsiTheme="minorHAnsi"/>
          <w:lang w:val="en-GB"/>
        </w:rPr>
        <w:t xml:space="preserve">. Percentages were mean </w:t>
      </w:r>
      <w:proofErr w:type="spellStart"/>
      <w:r w:rsidRPr="003E3FC7">
        <w:rPr>
          <w:rFonts w:asciiTheme="minorHAnsi" w:hAnsiTheme="minorHAnsi"/>
          <w:lang w:val="en-GB"/>
        </w:rPr>
        <w:t>centered</w:t>
      </w:r>
      <w:proofErr w:type="spellEnd"/>
      <w:r w:rsidRPr="003E3FC7">
        <w:rPr>
          <w:rFonts w:asciiTheme="minorHAnsi" w:hAnsiTheme="minorHAnsi"/>
          <w:lang w:val="en-GB"/>
        </w:rPr>
        <w:t xml:space="preserve"> and compared to </w:t>
      </w:r>
      <w:proofErr w:type="spellStart"/>
      <w:r>
        <w:rPr>
          <w:rFonts w:asciiTheme="minorHAnsi" w:hAnsiTheme="minorHAnsi"/>
          <w:lang w:val="en-GB"/>
        </w:rPr>
        <w:t>unmedicated</w:t>
      </w:r>
      <w:proofErr w:type="spellEnd"/>
      <w:r>
        <w:rPr>
          <w:rFonts w:asciiTheme="minorHAnsi" w:hAnsiTheme="minorHAnsi"/>
          <w:lang w:val="en-GB"/>
        </w:rPr>
        <w:t xml:space="preserve"> patients</w:t>
      </w:r>
      <w:r w:rsidRPr="003E3FC7">
        <w:rPr>
          <w:rFonts w:asciiTheme="minorHAnsi" w:hAnsiTheme="minorHAnsi"/>
          <w:lang w:val="en-GB"/>
        </w:rPr>
        <w:t xml:space="preserve"> (baseline). Results were based on estimates from 1</w:t>
      </w:r>
      <w:r>
        <w:rPr>
          <w:rFonts w:asciiTheme="minorHAnsi" w:hAnsiTheme="minorHAnsi"/>
          <w:lang w:val="en-GB"/>
        </w:rPr>
        <w:t>1</w:t>
      </w:r>
      <w:r w:rsidRPr="003E3FC7">
        <w:rPr>
          <w:rFonts w:asciiTheme="minorHAnsi" w:hAnsiTheme="minorHAnsi"/>
          <w:lang w:val="en-GB"/>
        </w:rPr>
        <w:t xml:space="preserve"> studies.</w:t>
      </w:r>
    </w:p>
    <w:tbl>
      <w:tblPr>
        <w:tblW w:w="939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90"/>
      </w:tblGrid>
      <w:tr w:rsidR="00597E8C" w:rsidRPr="002E4455" w14:paraId="0FFC0640" w14:textId="77777777" w:rsidTr="00B00AB8">
        <w:trPr>
          <w:trHeight w:val="300"/>
        </w:trPr>
        <w:tc>
          <w:tcPr>
            <w:tcW w:w="9390" w:type="dxa"/>
            <w:shd w:val="clear" w:color="auto" w:fill="auto"/>
            <w:noWrap/>
            <w:vAlign w:val="center"/>
            <w:hideMark/>
          </w:tcPr>
          <w:p w14:paraId="6D91DDEF"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Mixed-Effects Model (k = 11; tau^2 estimator: REML)</w:t>
            </w:r>
          </w:p>
        </w:tc>
      </w:tr>
      <w:tr w:rsidR="00597E8C" w:rsidRPr="002E4455" w14:paraId="579AD41B" w14:textId="77777777" w:rsidTr="00B00AB8">
        <w:trPr>
          <w:trHeight w:val="300"/>
        </w:trPr>
        <w:tc>
          <w:tcPr>
            <w:tcW w:w="9390" w:type="dxa"/>
            <w:shd w:val="clear" w:color="auto" w:fill="auto"/>
            <w:noWrap/>
            <w:vAlign w:val="center"/>
            <w:hideMark/>
          </w:tcPr>
          <w:p w14:paraId="5288726E" w14:textId="77777777" w:rsidR="00597E8C" w:rsidRPr="00597E8C" w:rsidRDefault="00597E8C" w:rsidP="00597E8C">
            <w:pPr>
              <w:rPr>
                <w:rFonts w:ascii="Calibri" w:hAnsi="Calibri"/>
                <w:color w:val="000000"/>
                <w:sz w:val="22"/>
                <w:szCs w:val="22"/>
                <w:lang w:val="en-GB" w:eastAsia="en-GB"/>
              </w:rPr>
            </w:pPr>
          </w:p>
        </w:tc>
      </w:tr>
      <w:tr w:rsidR="00597E8C" w:rsidRPr="002E4455" w14:paraId="356C9634" w14:textId="77777777" w:rsidTr="00B00AB8">
        <w:trPr>
          <w:trHeight w:val="300"/>
        </w:trPr>
        <w:tc>
          <w:tcPr>
            <w:tcW w:w="9390" w:type="dxa"/>
            <w:shd w:val="clear" w:color="auto" w:fill="auto"/>
            <w:noWrap/>
            <w:vAlign w:val="center"/>
            <w:hideMark/>
          </w:tcPr>
          <w:p w14:paraId="69C7EA18"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tau^2 (estimated amount of residual heterogeneity):     0.0087 (SE = 0.0057)</w:t>
            </w:r>
          </w:p>
        </w:tc>
      </w:tr>
      <w:tr w:rsidR="00597E8C" w:rsidRPr="002E4455" w14:paraId="053A5D10" w14:textId="77777777" w:rsidTr="00B00AB8">
        <w:trPr>
          <w:trHeight w:val="300"/>
        </w:trPr>
        <w:tc>
          <w:tcPr>
            <w:tcW w:w="9390" w:type="dxa"/>
            <w:shd w:val="clear" w:color="auto" w:fill="auto"/>
            <w:noWrap/>
            <w:vAlign w:val="center"/>
            <w:hideMark/>
          </w:tcPr>
          <w:p w14:paraId="21CB098E"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tau (square root of estimated tau^2 value):             0.0932</w:t>
            </w:r>
          </w:p>
        </w:tc>
      </w:tr>
      <w:tr w:rsidR="00597E8C" w:rsidRPr="002E4455" w14:paraId="423EBD20" w14:textId="77777777" w:rsidTr="00B00AB8">
        <w:trPr>
          <w:trHeight w:val="300"/>
        </w:trPr>
        <w:tc>
          <w:tcPr>
            <w:tcW w:w="9390" w:type="dxa"/>
            <w:shd w:val="clear" w:color="auto" w:fill="auto"/>
            <w:noWrap/>
            <w:vAlign w:val="center"/>
            <w:hideMark/>
          </w:tcPr>
          <w:p w14:paraId="2B10E570"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I^2 (residual heterogeneity / unaccounted variability): 97.07%</w:t>
            </w:r>
          </w:p>
        </w:tc>
      </w:tr>
      <w:tr w:rsidR="00597E8C" w:rsidRPr="002E4455" w14:paraId="63CE9F8F" w14:textId="77777777" w:rsidTr="00B00AB8">
        <w:trPr>
          <w:trHeight w:val="300"/>
        </w:trPr>
        <w:tc>
          <w:tcPr>
            <w:tcW w:w="9390" w:type="dxa"/>
            <w:shd w:val="clear" w:color="auto" w:fill="auto"/>
            <w:noWrap/>
            <w:vAlign w:val="center"/>
            <w:hideMark/>
          </w:tcPr>
          <w:p w14:paraId="7BEA3A61"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H^2 (unaccounted variability / sampling variability):   34.16</w:t>
            </w:r>
          </w:p>
        </w:tc>
      </w:tr>
      <w:tr w:rsidR="00597E8C" w:rsidRPr="002E4455" w14:paraId="1B448554" w14:textId="77777777" w:rsidTr="00B00AB8">
        <w:trPr>
          <w:trHeight w:val="300"/>
        </w:trPr>
        <w:tc>
          <w:tcPr>
            <w:tcW w:w="9390" w:type="dxa"/>
            <w:shd w:val="clear" w:color="auto" w:fill="auto"/>
            <w:noWrap/>
            <w:vAlign w:val="center"/>
            <w:hideMark/>
          </w:tcPr>
          <w:p w14:paraId="08CC28C3"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R^2 (amount of heterogeneity accounted for):            31.69%</w:t>
            </w:r>
          </w:p>
        </w:tc>
      </w:tr>
      <w:tr w:rsidR="00597E8C" w:rsidRPr="002E4455" w14:paraId="6E5292A6" w14:textId="77777777" w:rsidTr="00B00AB8">
        <w:trPr>
          <w:trHeight w:val="300"/>
        </w:trPr>
        <w:tc>
          <w:tcPr>
            <w:tcW w:w="9390" w:type="dxa"/>
            <w:shd w:val="clear" w:color="auto" w:fill="auto"/>
            <w:noWrap/>
            <w:vAlign w:val="center"/>
            <w:hideMark/>
          </w:tcPr>
          <w:p w14:paraId="2EBB9BBE" w14:textId="77777777" w:rsidR="00597E8C" w:rsidRPr="00597E8C" w:rsidRDefault="00597E8C" w:rsidP="00597E8C">
            <w:pPr>
              <w:rPr>
                <w:rFonts w:ascii="Calibri" w:hAnsi="Calibri"/>
                <w:color w:val="000000"/>
                <w:sz w:val="22"/>
                <w:szCs w:val="22"/>
                <w:lang w:val="en-GB" w:eastAsia="en-GB"/>
              </w:rPr>
            </w:pPr>
          </w:p>
        </w:tc>
      </w:tr>
      <w:tr w:rsidR="00597E8C" w:rsidRPr="00597E8C" w14:paraId="1942D4AB" w14:textId="77777777" w:rsidTr="00B00AB8">
        <w:trPr>
          <w:trHeight w:val="300"/>
        </w:trPr>
        <w:tc>
          <w:tcPr>
            <w:tcW w:w="9390" w:type="dxa"/>
            <w:shd w:val="clear" w:color="auto" w:fill="auto"/>
            <w:noWrap/>
            <w:vAlign w:val="center"/>
            <w:hideMark/>
          </w:tcPr>
          <w:p w14:paraId="70D0E735"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 xml:space="preserve">Test for Residual Heterogeneity: </w:t>
            </w:r>
          </w:p>
        </w:tc>
      </w:tr>
      <w:tr w:rsidR="00597E8C" w:rsidRPr="00597E8C" w14:paraId="7FC8E0FA" w14:textId="77777777" w:rsidTr="00B00AB8">
        <w:trPr>
          <w:trHeight w:val="300"/>
        </w:trPr>
        <w:tc>
          <w:tcPr>
            <w:tcW w:w="9390" w:type="dxa"/>
            <w:shd w:val="clear" w:color="auto" w:fill="auto"/>
            <w:noWrap/>
            <w:vAlign w:val="center"/>
            <w:hideMark/>
          </w:tcPr>
          <w:p w14:paraId="33E553B4"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QE(</w:t>
            </w:r>
            <w:proofErr w:type="spellStart"/>
            <w:r w:rsidRPr="00597E8C">
              <w:rPr>
                <w:rFonts w:ascii="Lucida Console" w:hAnsi="Lucida Console"/>
                <w:color w:val="000000"/>
                <w:sz w:val="20"/>
                <w:szCs w:val="20"/>
                <w:lang w:val="en-GB" w:eastAsia="en-GB"/>
              </w:rPr>
              <w:t>df</w:t>
            </w:r>
            <w:proofErr w:type="spellEnd"/>
            <w:r w:rsidRPr="00597E8C">
              <w:rPr>
                <w:rFonts w:ascii="Lucida Console" w:hAnsi="Lucida Console"/>
                <w:color w:val="000000"/>
                <w:sz w:val="20"/>
                <w:szCs w:val="20"/>
                <w:lang w:val="en-GB" w:eastAsia="en-GB"/>
              </w:rPr>
              <w:t xml:space="preserve"> = 5) = 187.9049, p-</w:t>
            </w:r>
            <w:proofErr w:type="spellStart"/>
            <w:r w:rsidRPr="00597E8C">
              <w:rPr>
                <w:rFonts w:ascii="Lucida Console" w:hAnsi="Lucida Console"/>
                <w:color w:val="000000"/>
                <w:sz w:val="20"/>
                <w:szCs w:val="20"/>
                <w:lang w:val="en-GB" w:eastAsia="en-GB"/>
              </w:rPr>
              <w:t>val</w:t>
            </w:r>
            <w:proofErr w:type="spellEnd"/>
            <w:r w:rsidRPr="00597E8C">
              <w:rPr>
                <w:rFonts w:ascii="Lucida Console" w:hAnsi="Lucida Console"/>
                <w:color w:val="000000"/>
                <w:sz w:val="20"/>
                <w:szCs w:val="20"/>
                <w:lang w:val="en-GB" w:eastAsia="en-GB"/>
              </w:rPr>
              <w:t xml:space="preserve"> &lt; .0001</w:t>
            </w:r>
          </w:p>
        </w:tc>
      </w:tr>
      <w:tr w:rsidR="00597E8C" w:rsidRPr="00597E8C" w14:paraId="39B22F1F" w14:textId="77777777" w:rsidTr="00B00AB8">
        <w:trPr>
          <w:trHeight w:val="300"/>
        </w:trPr>
        <w:tc>
          <w:tcPr>
            <w:tcW w:w="9390" w:type="dxa"/>
            <w:shd w:val="clear" w:color="auto" w:fill="auto"/>
            <w:noWrap/>
            <w:vAlign w:val="center"/>
            <w:hideMark/>
          </w:tcPr>
          <w:p w14:paraId="586BC6B0" w14:textId="77777777" w:rsidR="00597E8C" w:rsidRPr="00597E8C" w:rsidRDefault="00597E8C" w:rsidP="00597E8C">
            <w:pPr>
              <w:rPr>
                <w:rFonts w:ascii="Calibri" w:hAnsi="Calibri"/>
                <w:color w:val="000000"/>
                <w:sz w:val="22"/>
                <w:szCs w:val="22"/>
                <w:lang w:val="en-GB" w:eastAsia="en-GB"/>
              </w:rPr>
            </w:pPr>
          </w:p>
        </w:tc>
      </w:tr>
      <w:tr w:rsidR="00597E8C" w:rsidRPr="002E4455" w14:paraId="71813C67" w14:textId="77777777" w:rsidTr="00B00AB8">
        <w:trPr>
          <w:trHeight w:val="300"/>
        </w:trPr>
        <w:tc>
          <w:tcPr>
            <w:tcW w:w="9390" w:type="dxa"/>
            <w:shd w:val="clear" w:color="auto" w:fill="auto"/>
            <w:noWrap/>
            <w:vAlign w:val="center"/>
            <w:hideMark/>
          </w:tcPr>
          <w:p w14:paraId="03C6824B"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 xml:space="preserve">Test of Moderators (coefficient(s) 2,3,4,5,6): </w:t>
            </w:r>
          </w:p>
        </w:tc>
      </w:tr>
      <w:tr w:rsidR="00597E8C" w:rsidRPr="00597E8C" w14:paraId="76BA4B79" w14:textId="77777777" w:rsidTr="00B00AB8">
        <w:trPr>
          <w:trHeight w:val="300"/>
        </w:trPr>
        <w:tc>
          <w:tcPr>
            <w:tcW w:w="9390" w:type="dxa"/>
            <w:shd w:val="clear" w:color="auto" w:fill="auto"/>
            <w:noWrap/>
            <w:vAlign w:val="center"/>
            <w:hideMark/>
          </w:tcPr>
          <w:p w14:paraId="05F72E5D"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QM(</w:t>
            </w:r>
            <w:proofErr w:type="spellStart"/>
            <w:r w:rsidRPr="00597E8C">
              <w:rPr>
                <w:rFonts w:ascii="Lucida Console" w:hAnsi="Lucida Console"/>
                <w:color w:val="000000"/>
                <w:sz w:val="20"/>
                <w:szCs w:val="20"/>
                <w:lang w:val="en-GB" w:eastAsia="en-GB"/>
              </w:rPr>
              <w:t>df</w:t>
            </w:r>
            <w:proofErr w:type="spellEnd"/>
            <w:r w:rsidRPr="00597E8C">
              <w:rPr>
                <w:rFonts w:ascii="Lucida Console" w:hAnsi="Lucida Console"/>
                <w:color w:val="000000"/>
                <w:sz w:val="20"/>
                <w:szCs w:val="20"/>
                <w:lang w:val="en-GB" w:eastAsia="en-GB"/>
              </w:rPr>
              <w:t xml:space="preserve"> = 5) = 9.6171, p-</w:t>
            </w:r>
            <w:proofErr w:type="spellStart"/>
            <w:r w:rsidRPr="00597E8C">
              <w:rPr>
                <w:rFonts w:ascii="Lucida Console" w:hAnsi="Lucida Console"/>
                <w:color w:val="000000"/>
                <w:sz w:val="20"/>
                <w:szCs w:val="20"/>
                <w:lang w:val="en-GB" w:eastAsia="en-GB"/>
              </w:rPr>
              <w:t>val</w:t>
            </w:r>
            <w:proofErr w:type="spellEnd"/>
            <w:r w:rsidRPr="00597E8C">
              <w:rPr>
                <w:rFonts w:ascii="Lucida Console" w:hAnsi="Lucida Console"/>
                <w:color w:val="000000"/>
                <w:sz w:val="20"/>
                <w:szCs w:val="20"/>
                <w:lang w:val="en-GB" w:eastAsia="en-GB"/>
              </w:rPr>
              <w:t xml:space="preserve"> = 0.0868</w:t>
            </w:r>
          </w:p>
        </w:tc>
      </w:tr>
      <w:tr w:rsidR="00597E8C" w:rsidRPr="00597E8C" w14:paraId="476BFDBF" w14:textId="77777777" w:rsidTr="00B00AB8">
        <w:trPr>
          <w:trHeight w:val="300"/>
        </w:trPr>
        <w:tc>
          <w:tcPr>
            <w:tcW w:w="9390" w:type="dxa"/>
            <w:shd w:val="clear" w:color="auto" w:fill="auto"/>
            <w:noWrap/>
            <w:vAlign w:val="center"/>
            <w:hideMark/>
          </w:tcPr>
          <w:p w14:paraId="63EE48CE" w14:textId="77777777" w:rsidR="00597E8C" w:rsidRPr="00597E8C" w:rsidRDefault="00597E8C" w:rsidP="00597E8C">
            <w:pPr>
              <w:rPr>
                <w:rFonts w:ascii="Calibri" w:hAnsi="Calibri"/>
                <w:color w:val="000000"/>
                <w:sz w:val="22"/>
                <w:szCs w:val="22"/>
                <w:lang w:val="en-GB" w:eastAsia="en-GB"/>
              </w:rPr>
            </w:pPr>
          </w:p>
        </w:tc>
      </w:tr>
      <w:tr w:rsidR="00597E8C" w:rsidRPr="00597E8C" w14:paraId="33332B49" w14:textId="77777777" w:rsidTr="00B00AB8">
        <w:trPr>
          <w:trHeight w:val="300"/>
        </w:trPr>
        <w:tc>
          <w:tcPr>
            <w:tcW w:w="9390" w:type="dxa"/>
            <w:shd w:val="clear" w:color="auto" w:fill="auto"/>
            <w:noWrap/>
            <w:vAlign w:val="center"/>
            <w:hideMark/>
          </w:tcPr>
          <w:p w14:paraId="14F26C58"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Model Results:</w:t>
            </w:r>
          </w:p>
        </w:tc>
      </w:tr>
      <w:tr w:rsidR="00597E8C" w:rsidRPr="00597E8C" w14:paraId="06B2C21C" w14:textId="77777777" w:rsidTr="00B00AB8">
        <w:trPr>
          <w:trHeight w:val="300"/>
        </w:trPr>
        <w:tc>
          <w:tcPr>
            <w:tcW w:w="9390" w:type="dxa"/>
            <w:shd w:val="clear" w:color="auto" w:fill="auto"/>
            <w:noWrap/>
            <w:vAlign w:val="center"/>
            <w:hideMark/>
          </w:tcPr>
          <w:p w14:paraId="4D1055A7" w14:textId="77777777" w:rsidR="00597E8C" w:rsidRPr="00597E8C" w:rsidRDefault="00597E8C" w:rsidP="00597E8C">
            <w:pPr>
              <w:rPr>
                <w:rFonts w:ascii="Calibri" w:hAnsi="Calibri"/>
                <w:color w:val="000000"/>
                <w:sz w:val="22"/>
                <w:szCs w:val="22"/>
                <w:lang w:val="en-GB" w:eastAsia="en-GB"/>
              </w:rPr>
            </w:pPr>
          </w:p>
        </w:tc>
      </w:tr>
      <w:tr w:rsidR="00597E8C" w:rsidRPr="002E4455" w14:paraId="6D3CC511" w14:textId="77777777" w:rsidTr="00B00AB8">
        <w:trPr>
          <w:trHeight w:val="300"/>
        </w:trPr>
        <w:tc>
          <w:tcPr>
            <w:tcW w:w="9390" w:type="dxa"/>
            <w:shd w:val="clear" w:color="auto" w:fill="auto"/>
            <w:noWrap/>
            <w:vAlign w:val="center"/>
            <w:hideMark/>
          </w:tcPr>
          <w:p w14:paraId="12CD68DE"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 xml:space="preserve">                  </w:t>
            </w:r>
            <w:r w:rsidR="00274979">
              <w:rPr>
                <w:rFonts w:ascii="Lucida Console" w:hAnsi="Lucida Console"/>
                <w:color w:val="000000"/>
                <w:sz w:val="20"/>
                <w:szCs w:val="20"/>
                <w:lang w:val="en-GB" w:eastAsia="en-GB"/>
              </w:rPr>
              <w:t xml:space="preserve">   </w:t>
            </w:r>
            <w:r w:rsidRPr="00597E8C">
              <w:rPr>
                <w:rFonts w:ascii="Lucida Console" w:hAnsi="Lucida Console"/>
                <w:color w:val="000000"/>
                <w:sz w:val="20"/>
                <w:szCs w:val="20"/>
                <w:lang w:val="en-GB" w:eastAsia="en-GB"/>
              </w:rPr>
              <w:t xml:space="preserve"> </w:t>
            </w:r>
            <w:r w:rsidR="00274979" w:rsidRPr="00EA298D">
              <w:rPr>
                <w:rFonts w:ascii="Lucida Console" w:hAnsi="Lucida Console"/>
                <w:color w:val="000000"/>
                <w:sz w:val="20"/>
                <w:szCs w:val="20"/>
                <w:lang w:val="en-GB" w:eastAsia="en-GB"/>
              </w:rPr>
              <w:t>estimat</w:t>
            </w:r>
            <w:r w:rsidR="00274979">
              <w:rPr>
                <w:rFonts w:ascii="Lucida Console" w:hAnsi="Lucida Console"/>
                <w:color w:val="000000"/>
                <w:sz w:val="20"/>
                <w:szCs w:val="20"/>
                <w:lang w:val="en-GB" w:eastAsia="en-GB"/>
              </w:rPr>
              <w:t xml:space="preserve">e  </w:t>
            </w:r>
            <w:r w:rsidRPr="00597E8C">
              <w:rPr>
                <w:rFonts w:ascii="Lucida Console" w:hAnsi="Lucida Console"/>
                <w:color w:val="000000"/>
                <w:sz w:val="20"/>
                <w:szCs w:val="20"/>
                <w:lang w:val="en-GB" w:eastAsia="en-GB"/>
              </w:rPr>
              <w:t xml:space="preserve">    se     </w:t>
            </w:r>
            <w:proofErr w:type="spellStart"/>
            <w:r w:rsidRPr="00597E8C">
              <w:rPr>
                <w:rFonts w:ascii="Lucida Console" w:hAnsi="Lucida Console"/>
                <w:color w:val="000000"/>
                <w:sz w:val="20"/>
                <w:szCs w:val="20"/>
                <w:lang w:val="en-GB" w:eastAsia="en-GB"/>
              </w:rPr>
              <w:t>zval</w:t>
            </w:r>
            <w:proofErr w:type="spellEnd"/>
            <w:r w:rsidRPr="00597E8C">
              <w:rPr>
                <w:rFonts w:ascii="Lucida Console" w:hAnsi="Lucida Console"/>
                <w:color w:val="000000"/>
                <w:sz w:val="20"/>
                <w:szCs w:val="20"/>
                <w:lang w:val="en-GB" w:eastAsia="en-GB"/>
              </w:rPr>
              <w:t xml:space="preserve">    </w:t>
            </w:r>
            <w:proofErr w:type="spellStart"/>
            <w:r w:rsidRPr="00597E8C">
              <w:rPr>
                <w:rFonts w:ascii="Lucida Console" w:hAnsi="Lucida Console"/>
                <w:color w:val="000000"/>
                <w:sz w:val="20"/>
                <w:szCs w:val="20"/>
                <w:lang w:val="en-GB" w:eastAsia="en-GB"/>
              </w:rPr>
              <w:t>pval</w:t>
            </w:r>
            <w:proofErr w:type="spellEnd"/>
            <w:r w:rsidRPr="00597E8C">
              <w:rPr>
                <w:rFonts w:ascii="Lucida Console" w:hAnsi="Lucida Console"/>
                <w:color w:val="000000"/>
                <w:sz w:val="20"/>
                <w:szCs w:val="20"/>
                <w:lang w:val="en-GB" w:eastAsia="en-GB"/>
              </w:rPr>
              <w:t xml:space="preserve">    ci.lb    </w:t>
            </w:r>
            <w:proofErr w:type="spellStart"/>
            <w:r w:rsidRPr="00597E8C">
              <w:rPr>
                <w:rFonts w:ascii="Lucida Console" w:hAnsi="Lucida Console"/>
                <w:color w:val="000000"/>
                <w:sz w:val="20"/>
                <w:szCs w:val="20"/>
                <w:lang w:val="en-GB" w:eastAsia="en-GB"/>
              </w:rPr>
              <w:t>ci.ub</w:t>
            </w:r>
            <w:proofErr w:type="spellEnd"/>
            <w:r w:rsidRPr="00597E8C">
              <w:rPr>
                <w:rFonts w:ascii="Lucida Console" w:hAnsi="Lucida Console"/>
                <w:color w:val="000000"/>
                <w:sz w:val="20"/>
                <w:szCs w:val="20"/>
                <w:lang w:val="en-GB" w:eastAsia="en-GB"/>
              </w:rPr>
              <w:t xml:space="preserve">     </w:t>
            </w:r>
          </w:p>
        </w:tc>
      </w:tr>
      <w:tr w:rsidR="00597E8C" w:rsidRPr="00597E8C" w14:paraId="5A6652C8" w14:textId="77777777" w:rsidTr="00B00AB8">
        <w:trPr>
          <w:trHeight w:val="300"/>
        </w:trPr>
        <w:tc>
          <w:tcPr>
            <w:tcW w:w="9390" w:type="dxa"/>
            <w:shd w:val="clear" w:color="auto" w:fill="auto"/>
            <w:noWrap/>
            <w:vAlign w:val="center"/>
            <w:hideMark/>
          </w:tcPr>
          <w:p w14:paraId="4F6114C3" w14:textId="77777777" w:rsidR="00597E8C" w:rsidRPr="00597E8C" w:rsidRDefault="00597E8C" w:rsidP="00597E8C">
            <w:pPr>
              <w:rPr>
                <w:rFonts w:ascii="Lucida Console" w:hAnsi="Lucida Console"/>
                <w:color w:val="000000"/>
                <w:sz w:val="20"/>
                <w:szCs w:val="20"/>
                <w:lang w:val="en-GB" w:eastAsia="en-GB"/>
              </w:rPr>
            </w:pPr>
            <w:proofErr w:type="spellStart"/>
            <w:r w:rsidRPr="00597E8C">
              <w:rPr>
                <w:rFonts w:ascii="Lucida Console" w:hAnsi="Lucida Console"/>
                <w:color w:val="000000"/>
                <w:sz w:val="20"/>
                <w:szCs w:val="20"/>
                <w:lang w:val="en-GB" w:eastAsia="en-GB"/>
              </w:rPr>
              <w:t>intrcpt</w:t>
            </w:r>
            <w:proofErr w:type="spellEnd"/>
            <w:r w:rsidRPr="00597E8C">
              <w:rPr>
                <w:rFonts w:ascii="Lucida Console" w:hAnsi="Lucida Console"/>
                <w:color w:val="000000"/>
                <w:sz w:val="20"/>
                <w:szCs w:val="20"/>
                <w:lang w:val="en-GB" w:eastAsia="en-GB"/>
              </w:rPr>
              <w:t xml:space="preserve">                 2.4693  0.0348  70.9461  &lt;.0001   2.4011   2.5376  ***</w:t>
            </w:r>
          </w:p>
        </w:tc>
      </w:tr>
      <w:tr w:rsidR="00597E8C" w:rsidRPr="00597E8C" w14:paraId="09B18F2E" w14:textId="77777777" w:rsidTr="00B00AB8">
        <w:trPr>
          <w:trHeight w:val="300"/>
        </w:trPr>
        <w:tc>
          <w:tcPr>
            <w:tcW w:w="9390" w:type="dxa"/>
            <w:shd w:val="clear" w:color="auto" w:fill="auto"/>
            <w:noWrap/>
            <w:vAlign w:val="center"/>
            <w:hideMark/>
          </w:tcPr>
          <w:p w14:paraId="2282A99C"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lastRenderedPageBreak/>
              <w:t>I(</w:t>
            </w:r>
            <w:proofErr w:type="spellStart"/>
            <w:r w:rsidRPr="00597E8C">
              <w:rPr>
                <w:rFonts w:ascii="Lucida Console" w:hAnsi="Lucida Console"/>
                <w:color w:val="000000"/>
                <w:sz w:val="20"/>
                <w:szCs w:val="20"/>
                <w:lang w:val="en-GB" w:eastAsia="en-GB"/>
              </w:rPr>
              <w:t>LOI_mean</w:t>
            </w:r>
            <w:proofErr w:type="spellEnd"/>
            <w:r w:rsidRPr="00597E8C">
              <w:rPr>
                <w:rFonts w:ascii="Lucida Console" w:hAnsi="Lucida Console"/>
                <w:color w:val="000000"/>
                <w:sz w:val="20"/>
                <w:szCs w:val="20"/>
                <w:lang w:val="en-GB" w:eastAsia="en-GB"/>
              </w:rPr>
              <w:t xml:space="preserve"> - 10.74)    -0.0077  0.0119  -0.6514  0.5148  -0.0310   0.0155     </w:t>
            </w:r>
          </w:p>
        </w:tc>
      </w:tr>
      <w:tr w:rsidR="00597E8C" w:rsidRPr="00597E8C" w14:paraId="3ED55591" w14:textId="77777777" w:rsidTr="00B00AB8">
        <w:trPr>
          <w:trHeight w:val="300"/>
        </w:trPr>
        <w:tc>
          <w:tcPr>
            <w:tcW w:w="9390" w:type="dxa"/>
            <w:shd w:val="clear" w:color="auto" w:fill="auto"/>
            <w:noWrap/>
            <w:vAlign w:val="center"/>
            <w:hideMark/>
          </w:tcPr>
          <w:p w14:paraId="7BCE9274"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I(</w:t>
            </w:r>
            <w:proofErr w:type="spellStart"/>
            <w:r w:rsidRPr="00597E8C">
              <w:rPr>
                <w:rFonts w:ascii="Lucida Console" w:hAnsi="Lucida Console"/>
                <w:color w:val="000000"/>
                <w:sz w:val="20"/>
                <w:szCs w:val="20"/>
                <w:lang w:val="en-GB" w:eastAsia="en-GB"/>
              </w:rPr>
              <w:t>MED_a_perc</w:t>
            </w:r>
            <w:proofErr w:type="spellEnd"/>
            <w:r w:rsidRPr="00597E8C">
              <w:rPr>
                <w:rFonts w:ascii="Lucida Console" w:hAnsi="Lucida Console"/>
                <w:color w:val="000000"/>
                <w:sz w:val="20"/>
                <w:szCs w:val="20"/>
                <w:lang w:val="en-GB" w:eastAsia="en-GB"/>
              </w:rPr>
              <w:t xml:space="preserve"> - 68.72)  -0.0051  0.0025  -2.0599  0.0394  -0.0100  -0.0002    *</w:t>
            </w:r>
          </w:p>
        </w:tc>
      </w:tr>
      <w:tr w:rsidR="00597E8C" w:rsidRPr="00597E8C" w14:paraId="5670B713" w14:textId="77777777" w:rsidTr="00B00AB8">
        <w:trPr>
          <w:trHeight w:val="300"/>
        </w:trPr>
        <w:tc>
          <w:tcPr>
            <w:tcW w:w="9390" w:type="dxa"/>
            <w:shd w:val="clear" w:color="auto" w:fill="auto"/>
            <w:noWrap/>
            <w:vAlign w:val="center"/>
            <w:hideMark/>
          </w:tcPr>
          <w:p w14:paraId="19406509"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I(</w:t>
            </w:r>
            <w:proofErr w:type="spellStart"/>
            <w:r w:rsidRPr="00597E8C">
              <w:rPr>
                <w:rFonts w:ascii="Lucida Console" w:hAnsi="Lucida Console"/>
                <w:color w:val="000000"/>
                <w:sz w:val="20"/>
                <w:szCs w:val="20"/>
                <w:lang w:val="en-GB" w:eastAsia="en-GB"/>
              </w:rPr>
              <w:t>MED_b_perc</w:t>
            </w:r>
            <w:proofErr w:type="spellEnd"/>
            <w:r w:rsidRPr="00597E8C">
              <w:rPr>
                <w:rFonts w:ascii="Lucida Console" w:hAnsi="Lucida Console"/>
                <w:color w:val="000000"/>
                <w:sz w:val="20"/>
                <w:szCs w:val="20"/>
                <w:lang w:val="en-GB" w:eastAsia="en-GB"/>
              </w:rPr>
              <w:t xml:space="preserve"> - 8.536)   0.0013  0.0074   0.1793  0.8577  -0.0132   0.0159     </w:t>
            </w:r>
          </w:p>
        </w:tc>
      </w:tr>
      <w:tr w:rsidR="00597E8C" w:rsidRPr="00597E8C" w14:paraId="6675BA91" w14:textId="77777777" w:rsidTr="00B00AB8">
        <w:trPr>
          <w:trHeight w:val="300"/>
        </w:trPr>
        <w:tc>
          <w:tcPr>
            <w:tcW w:w="9390" w:type="dxa"/>
            <w:shd w:val="clear" w:color="auto" w:fill="auto"/>
            <w:noWrap/>
            <w:vAlign w:val="center"/>
            <w:hideMark/>
          </w:tcPr>
          <w:p w14:paraId="3D2C4592"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I(</w:t>
            </w:r>
            <w:proofErr w:type="spellStart"/>
            <w:r w:rsidRPr="00597E8C">
              <w:rPr>
                <w:rFonts w:ascii="Lucida Console" w:hAnsi="Lucida Console"/>
                <w:color w:val="000000"/>
                <w:sz w:val="20"/>
                <w:szCs w:val="20"/>
                <w:lang w:val="en-GB" w:eastAsia="en-GB"/>
              </w:rPr>
              <w:t>MED_t_perc</w:t>
            </w:r>
            <w:proofErr w:type="spellEnd"/>
            <w:r w:rsidRPr="00597E8C">
              <w:rPr>
                <w:rFonts w:ascii="Lucida Console" w:hAnsi="Lucida Console"/>
                <w:color w:val="000000"/>
                <w:sz w:val="20"/>
                <w:szCs w:val="20"/>
                <w:lang w:val="en-GB" w:eastAsia="en-GB"/>
              </w:rPr>
              <w:t xml:space="preserve"> - 11.1)   -0.0042  0.0036  -1.1451  0.2522  -0.0113   0.0030     </w:t>
            </w:r>
          </w:p>
        </w:tc>
      </w:tr>
      <w:tr w:rsidR="00597E8C" w:rsidRPr="00597E8C" w14:paraId="402C30CB" w14:textId="77777777" w:rsidTr="00B00AB8">
        <w:trPr>
          <w:trHeight w:val="300"/>
        </w:trPr>
        <w:tc>
          <w:tcPr>
            <w:tcW w:w="9390" w:type="dxa"/>
            <w:shd w:val="clear" w:color="auto" w:fill="auto"/>
            <w:noWrap/>
            <w:vAlign w:val="center"/>
            <w:hideMark/>
          </w:tcPr>
          <w:p w14:paraId="4D834649" w14:textId="77777777" w:rsidR="00597E8C" w:rsidRPr="00597E8C" w:rsidRDefault="00597E8C" w:rsidP="00597E8C">
            <w:pPr>
              <w:rPr>
                <w:rFonts w:ascii="Lucida Console" w:hAnsi="Lucida Console"/>
                <w:color w:val="000000"/>
                <w:sz w:val="20"/>
                <w:szCs w:val="20"/>
                <w:lang w:val="en-GB" w:eastAsia="en-GB"/>
              </w:rPr>
            </w:pPr>
            <w:r w:rsidRPr="00597E8C">
              <w:rPr>
                <w:rFonts w:ascii="Lucida Console" w:hAnsi="Lucida Console"/>
                <w:color w:val="000000"/>
                <w:sz w:val="20"/>
                <w:szCs w:val="20"/>
                <w:lang w:val="en-GB" w:eastAsia="en-GB"/>
              </w:rPr>
              <w:t>I(</w:t>
            </w:r>
            <w:proofErr w:type="spellStart"/>
            <w:r w:rsidRPr="00597E8C">
              <w:rPr>
                <w:rFonts w:ascii="Lucida Console" w:hAnsi="Lucida Console"/>
                <w:color w:val="000000"/>
                <w:sz w:val="20"/>
                <w:szCs w:val="20"/>
                <w:lang w:val="en-GB" w:eastAsia="en-GB"/>
              </w:rPr>
              <w:t>MF_ratio</w:t>
            </w:r>
            <w:proofErr w:type="spellEnd"/>
            <w:r w:rsidRPr="00597E8C">
              <w:rPr>
                <w:rFonts w:ascii="Lucida Console" w:hAnsi="Lucida Console"/>
                <w:color w:val="000000"/>
                <w:sz w:val="20"/>
                <w:szCs w:val="20"/>
                <w:lang w:val="en-GB" w:eastAsia="en-GB"/>
              </w:rPr>
              <w:t xml:space="preserve"> - 2.255)     0.0089  0.0644   0.1384  0.8899  -0.1172   0.1350     </w:t>
            </w:r>
          </w:p>
        </w:tc>
      </w:tr>
    </w:tbl>
    <w:p w14:paraId="7A58A027" w14:textId="77777777" w:rsidR="00274979" w:rsidRPr="00B00AB8" w:rsidRDefault="00274979" w:rsidP="00274979">
      <w:pPr>
        <w:spacing w:line="360" w:lineRule="auto"/>
        <w:rPr>
          <w:rFonts w:asciiTheme="minorHAnsi" w:hAnsiTheme="minorHAnsi"/>
          <w:lang w:val="en-GB"/>
        </w:rPr>
      </w:pPr>
      <w:r>
        <w:rPr>
          <w:rFonts w:asciiTheme="minorHAnsi" w:hAnsiTheme="minorHAnsi"/>
          <w:lang w:val="en-GB"/>
        </w:rPr>
        <w:t>N.B.: predictor abbreviations refer to percentage of patients treated with atypical (</w:t>
      </w:r>
      <w:proofErr w:type="spellStart"/>
      <w:r>
        <w:rPr>
          <w:rFonts w:asciiTheme="minorHAnsi" w:hAnsiTheme="minorHAnsi"/>
          <w:lang w:val="en-GB"/>
        </w:rPr>
        <w:t>MED_a_perc</w:t>
      </w:r>
      <w:proofErr w:type="spellEnd"/>
      <w:r>
        <w:rPr>
          <w:rFonts w:asciiTheme="minorHAnsi" w:hAnsiTheme="minorHAnsi"/>
          <w:lang w:val="en-GB"/>
        </w:rPr>
        <w:t>) or typical (</w:t>
      </w:r>
      <w:proofErr w:type="spellStart"/>
      <w:r>
        <w:rPr>
          <w:rFonts w:asciiTheme="minorHAnsi" w:hAnsiTheme="minorHAnsi"/>
          <w:lang w:val="en-GB"/>
        </w:rPr>
        <w:t>MED_t_perc</w:t>
      </w:r>
      <w:proofErr w:type="spellEnd"/>
      <w:r>
        <w:rPr>
          <w:rFonts w:asciiTheme="minorHAnsi" w:hAnsiTheme="minorHAnsi"/>
          <w:lang w:val="en-GB"/>
        </w:rPr>
        <w:t>) antipsychotics, both antipsychotic medication types (</w:t>
      </w:r>
      <w:proofErr w:type="spellStart"/>
      <w:r>
        <w:rPr>
          <w:rFonts w:asciiTheme="minorHAnsi" w:hAnsiTheme="minorHAnsi"/>
          <w:lang w:val="en-GB"/>
        </w:rPr>
        <w:t>MED_b_perc</w:t>
      </w:r>
      <w:proofErr w:type="spellEnd"/>
      <w:r>
        <w:rPr>
          <w:rFonts w:asciiTheme="minorHAnsi" w:hAnsiTheme="minorHAnsi"/>
          <w:lang w:val="en-GB"/>
        </w:rPr>
        <w:t xml:space="preserve">) and the percentage of </w:t>
      </w:r>
      <w:proofErr w:type="spellStart"/>
      <w:r>
        <w:rPr>
          <w:rFonts w:asciiTheme="minorHAnsi" w:hAnsiTheme="minorHAnsi"/>
          <w:lang w:val="en-GB"/>
        </w:rPr>
        <w:t>unmedicated</w:t>
      </w:r>
      <w:proofErr w:type="spellEnd"/>
      <w:r>
        <w:rPr>
          <w:rFonts w:asciiTheme="minorHAnsi" w:hAnsiTheme="minorHAnsi"/>
          <w:lang w:val="en-GB"/>
        </w:rPr>
        <w:t xml:space="preserve"> patients (</w:t>
      </w:r>
      <w:proofErr w:type="spellStart"/>
      <w:r>
        <w:rPr>
          <w:rFonts w:asciiTheme="minorHAnsi" w:hAnsiTheme="minorHAnsi"/>
          <w:lang w:val="en-GB"/>
        </w:rPr>
        <w:t>intrcpt</w:t>
      </w:r>
      <w:proofErr w:type="spellEnd"/>
      <w:r>
        <w:rPr>
          <w:rFonts w:asciiTheme="minorHAnsi" w:hAnsiTheme="minorHAnsi"/>
          <w:lang w:val="en-GB"/>
        </w:rPr>
        <w:t>, i.e. baseline) as well as the ratio of males versus females (</w:t>
      </w:r>
      <w:proofErr w:type="spellStart"/>
      <w:r>
        <w:rPr>
          <w:rFonts w:asciiTheme="minorHAnsi" w:hAnsiTheme="minorHAnsi"/>
          <w:lang w:val="en-GB"/>
        </w:rPr>
        <w:t>MF_ratio</w:t>
      </w:r>
      <w:proofErr w:type="spellEnd"/>
      <w:r>
        <w:rPr>
          <w:rFonts w:asciiTheme="minorHAnsi" w:hAnsiTheme="minorHAnsi"/>
          <w:lang w:val="en-GB"/>
        </w:rPr>
        <w:t>) and mean length of illness (</w:t>
      </w:r>
      <w:proofErr w:type="spellStart"/>
      <w:r>
        <w:rPr>
          <w:rFonts w:asciiTheme="minorHAnsi" w:hAnsiTheme="minorHAnsi"/>
          <w:lang w:val="en-GB"/>
        </w:rPr>
        <w:t>LOI_mean</w:t>
      </w:r>
      <w:proofErr w:type="spellEnd"/>
      <w:r>
        <w:rPr>
          <w:rFonts w:asciiTheme="minorHAnsi" w:hAnsiTheme="minorHAnsi"/>
          <w:lang w:val="en-GB"/>
        </w:rPr>
        <w:t>).</w:t>
      </w:r>
    </w:p>
    <w:p w14:paraId="3504F227" w14:textId="77777777" w:rsidR="00597E8C" w:rsidRDefault="00597E8C" w:rsidP="00597E8C">
      <w:pPr>
        <w:pStyle w:val="ListParagraph"/>
        <w:spacing w:line="360" w:lineRule="auto"/>
        <w:ind w:left="360"/>
        <w:rPr>
          <w:rFonts w:asciiTheme="minorHAnsi" w:hAnsiTheme="minorHAnsi"/>
          <w:lang w:val="en-GB"/>
        </w:rPr>
      </w:pPr>
    </w:p>
    <w:p w14:paraId="19CA90EC" w14:textId="77777777" w:rsidR="00597E8C" w:rsidRDefault="00597E8C" w:rsidP="00B00AB8">
      <w:pPr>
        <w:pStyle w:val="ListParagraph"/>
        <w:spacing w:line="360" w:lineRule="auto"/>
        <w:ind w:left="360"/>
        <w:rPr>
          <w:rFonts w:asciiTheme="minorHAnsi" w:hAnsiTheme="minorHAnsi"/>
          <w:lang w:val="en-GB"/>
        </w:rPr>
      </w:pPr>
    </w:p>
    <w:p w14:paraId="0B265D8B" w14:textId="77777777" w:rsidR="004B510D" w:rsidRPr="00B00AB8" w:rsidRDefault="004B510D" w:rsidP="006F73F7">
      <w:pPr>
        <w:pStyle w:val="ListParagraph"/>
        <w:numPr>
          <w:ilvl w:val="0"/>
          <w:numId w:val="1"/>
        </w:numPr>
        <w:spacing w:line="360" w:lineRule="auto"/>
        <w:rPr>
          <w:rFonts w:asciiTheme="minorHAnsi" w:hAnsiTheme="minorHAnsi"/>
          <w:lang w:val="en-GB"/>
        </w:rPr>
      </w:pPr>
      <w:r w:rsidRPr="00B00AB8">
        <w:rPr>
          <w:rFonts w:asciiTheme="minorHAnsi" w:hAnsiTheme="minorHAnsi"/>
          <w:lang w:val="en-GB"/>
        </w:rPr>
        <w:t xml:space="preserve">Moderation analysis of single vs multisite status on the association between global SANS scores and left </w:t>
      </w:r>
      <w:r w:rsidR="00447EBC">
        <w:rPr>
          <w:rFonts w:asciiTheme="minorHAnsi" w:hAnsiTheme="minorHAnsi"/>
          <w:lang w:val="en-GB"/>
        </w:rPr>
        <w:t>MOFC</w:t>
      </w:r>
      <w:r w:rsidRPr="00B00AB8">
        <w:rPr>
          <w:rFonts w:asciiTheme="minorHAnsi" w:hAnsiTheme="minorHAnsi"/>
          <w:lang w:val="en-GB"/>
        </w:rPr>
        <w:t xml:space="preserve"> thickness</w:t>
      </w:r>
    </w:p>
    <w:p w14:paraId="59DF4CA0" w14:textId="77777777" w:rsidR="004B510D" w:rsidRDefault="004B510D" w:rsidP="004B510D">
      <w:pPr>
        <w:spacing w:line="360" w:lineRule="auto"/>
        <w:rPr>
          <w:rFonts w:asciiTheme="minorHAnsi" w:hAnsiTheme="minorHAnsi"/>
          <w:lang w:val="en-GB"/>
        </w:rPr>
      </w:pPr>
    </w:p>
    <w:p w14:paraId="668B79A1" w14:textId="77777777" w:rsidR="004B510D" w:rsidRDefault="00504F09" w:rsidP="000075ED">
      <w:pPr>
        <w:spacing w:line="360" w:lineRule="auto"/>
        <w:ind w:left="360"/>
        <w:rPr>
          <w:rFonts w:asciiTheme="minorHAnsi" w:hAnsiTheme="minorHAnsi"/>
          <w:lang w:val="en-GB"/>
        </w:rPr>
      </w:pPr>
      <w:r w:rsidRPr="003E3FC7">
        <w:rPr>
          <w:rFonts w:asciiTheme="minorHAnsi" w:hAnsiTheme="minorHAnsi"/>
          <w:lang w:val="en-GB"/>
        </w:rPr>
        <w:t xml:space="preserve">Shown below are the estimate, the standard error, p value and the confidence intervals for the </w:t>
      </w:r>
      <w:r>
        <w:rPr>
          <w:rFonts w:asciiTheme="minorHAnsi" w:hAnsiTheme="minorHAnsi"/>
          <w:lang w:val="en-GB"/>
        </w:rPr>
        <w:t xml:space="preserve">moderating effects of single vs multisite status on the </w:t>
      </w:r>
      <w:r w:rsidRPr="003E3FC7">
        <w:rPr>
          <w:rFonts w:asciiTheme="minorHAnsi" w:hAnsiTheme="minorHAnsi"/>
          <w:lang w:val="en-GB"/>
        </w:rPr>
        <w:t xml:space="preserve">meta-analytical standardized regression beta of global SANS scores on left </w:t>
      </w:r>
      <w:r w:rsidR="00447EBC">
        <w:rPr>
          <w:rFonts w:asciiTheme="minorHAnsi" w:hAnsiTheme="minorHAnsi"/>
          <w:lang w:val="en-GB"/>
        </w:rPr>
        <w:t>MOFC</w:t>
      </w:r>
      <w:r w:rsidRPr="003E3FC7">
        <w:rPr>
          <w:rFonts w:asciiTheme="minorHAnsi" w:hAnsiTheme="minorHAnsi"/>
          <w:lang w:val="en-GB"/>
        </w:rPr>
        <w:t xml:space="preserve"> thickness</w:t>
      </w:r>
      <w:r w:rsidRPr="00F119A4">
        <w:rPr>
          <w:rFonts w:asciiTheme="minorHAnsi" w:hAnsiTheme="minorHAnsi"/>
          <w:lang w:val="en-GB"/>
        </w:rPr>
        <w:t xml:space="preserve">. </w:t>
      </w:r>
      <w:r>
        <w:rPr>
          <w:rFonts w:asciiTheme="minorHAnsi" w:hAnsiTheme="minorHAnsi"/>
          <w:lang w:val="en-GB"/>
        </w:rPr>
        <w:t xml:space="preserve">The intercept refers to the effect of global SANS score on left </w:t>
      </w:r>
      <w:r w:rsidR="00447EBC">
        <w:rPr>
          <w:rFonts w:asciiTheme="minorHAnsi" w:hAnsiTheme="minorHAnsi"/>
          <w:lang w:val="en-GB"/>
        </w:rPr>
        <w:t>MOFC</w:t>
      </w:r>
      <w:r>
        <w:rPr>
          <w:rFonts w:asciiTheme="minorHAnsi" w:hAnsiTheme="minorHAnsi"/>
          <w:lang w:val="en-GB"/>
        </w:rPr>
        <w:t xml:space="preserve"> thickness after accounting for single vs multisite status. </w:t>
      </w:r>
      <w:r w:rsidRPr="00F119A4">
        <w:rPr>
          <w:rFonts w:asciiTheme="minorHAnsi" w:hAnsiTheme="minorHAnsi"/>
          <w:lang w:val="en-GB"/>
        </w:rPr>
        <w:t>Results</w:t>
      </w:r>
      <w:r w:rsidRPr="003E3FC7">
        <w:rPr>
          <w:rFonts w:asciiTheme="minorHAnsi" w:hAnsiTheme="minorHAnsi"/>
          <w:lang w:val="en-GB"/>
        </w:rPr>
        <w:t xml:space="preserve"> were based on estimates from </w:t>
      </w:r>
      <w:r>
        <w:rPr>
          <w:rFonts w:asciiTheme="minorHAnsi" w:hAnsiTheme="minorHAnsi"/>
          <w:lang w:val="en-GB"/>
        </w:rPr>
        <w:t>17</w:t>
      </w:r>
      <w:r w:rsidRPr="003E3FC7">
        <w:rPr>
          <w:rFonts w:asciiTheme="minorHAnsi" w:hAnsiTheme="minorHAnsi"/>
          <w:lang w:val="en-GB"/>
        </w:rPr>
        <w:t xml:space="preserve"> studies.</w:t>
      </w:r>
    </w:p>
    <w:tbl>
      <w:tblPr>
        <w:tblW w:w="9189"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9"/>
      </w:tblGrid>
      <w:tr w:rsidR="00504F09" w:rsidRPr="002E4455" w14:paraId="38BD2CB4" w14:textId="77777777" w:rsidTr="00B00AB8">
        <w:trPr>
          <w:trHeight w:val="300"/>
        </w:trPr>
        <w:tc>
          <w:tcPr>
            <w:tcW w:w="9189" w:type="dxa"/>
            <w:shd w:val="clear" w:color="auto" w:fill="auto"/>
            <w:noWrap/>
            <w:vAlign w:val="center"/>
            <w:hideMark/>
          </w:tcPr>
          <w:p w14:paraId="0FC5F7B9" w14:textId="77777777" w:rsidR="00504F09" w:rsidRPr="00504F09" w:rsidRDefault="00504F09" w:rsidP="00504F09">
            <w:pPr>
              <w:rPr>
                <w:rFonts w:ascii="Lucida Console" w:hAnsi="Lucida Console"/>
                <w:color w:val="000000"/>
                <w:sz w:val="20"/>
                <w:szCs w:val="20"/>
                <w:lang w:val="en-GB" w:eastAsia="en-GB"/>
              </w:rPr>
            </w:pPr>
            <w:r w:rsidRPr="00504F09">
              <w:rPr>
                <w:rFonts w:ascii="Lucida Console" w:hAnsi="Lucida Console"/>
                <w:color w:val="000000"/>
                <w:sz w:val="20"/>
                <w:szCs w:val="20"/>
                <w:lang w:val="en-GB" w:eastAsia="en-GB"/>
              </w:rPr>
              <w:t>Mixed-Effects Model (k = 17; tau^2 estimator: REML)</w:t>
            </w:r>
          </w:p>
        </w:tc>
      </w:tr>
      <w:tr w:rsidR="00504F09" w:rsidRPr="002E4455" w14:paraId="6BA39EF3" w14:textId="77777777" w:rsidTr="00B00AB8">
        <w:trPr>
          <w:trHeight w:val="300"/>
        </w:trPr>
        <w:tc>
          <w:tcPr>
            <w:tcW w:w="9189" w:type="dxa"/>
            <w:shd w:val="clear" w:color="auto" w:fill="auto"/>
            <w:noWrap/>
            <w:vAlign w:val="center"/>
            <w:hideMark/>
          </w:tcPr>
          <w:p w14:paraId="4C68CD95" w14:textId="77777777" w:rsidR="00504F09" w:rsidRPr="00504F09" w:rsidRDefault="00504F09" w:rsidP="00504F09">
            <w:pPr>
              <w:rPr>
                <w:rFonts w:ascii="Calibri" w:hAnsi="Calibri"/>
                <w:color w:val="000000"/>
                <w:sz w:val="22"/>
                <w:szCs w:val="22"/>
                <w:lang w:val="en-GB" w:eastAsia="en-GB"/>
              </w:rPr>
            </w:pPr>
          </w:p>
        </w:tc>
      </w:tr>
      <w:tr w:rsidR="00504F09" w:rsidRPr="002E4455" w14:paraId="7F317B5D" w14:textId="77777777" w:rsidTr="00B00AB8">
        <w:trPr>
          <w:trHeight w:val="300"/>
        </w:trPr>
        <w:tc>
          <w:tcPr>
            <w:tcW w:w="9189" w:type="dxa"/>
            <w:shd w:val="clear" w:color="auto" w:fill="auto"/>
            <w:noWrap/>
            <w:vAlign w:val="center"/>
            <w:hideMark/>
          </w:tcPr>
          <w:p w14:paraId="7F15B79A" w14:textId="77777777" w:rsidR="00504F09" w:rsidRPr="00504F09" w:rsidRDefault="00504F09" w:rsidP="00504F09">
            <w:pPr>
              <w:rPr>
                <w:rFonts w:ascii="Lucida Console" w:hAnsi="Lucida Console"/>
                <w:color w:val="000000"/>
                <w:sz w:val="20"/>
                <w:szCs w:val="20"/>
                <w:lang w:val="en-GB" w:eastAsia="en-GB"/>
              </w:rPr>
            </w:pPr>
            <w:r w:rsidRPr="00504F09">
              <w:rPr>
                <w:rFonts w:ascii="Lucida Console" w:hAnsi="Lucida Console"/>
                <w:color w:val="000000"/>
                <w:sz w:val="20"/>
                <w:szCs w:val="20"/>
                <w:lang w:val="en-GB" w:eastAsia="en-GB"/>
              </w:rPr>
              <w:t>tau^2 (estimated amount of residual heterogeneity):     0.0078 (SE = 0.0066)</w:t>
            </w:r>
          </w:p>
        </w:tc>
      </w:tr>
      <w:tr w:rsidR="00504F09" w:rsidRPr="002E4455" w14:paraId="1D2CAC86" w14:textId="77777777" w:rsidTr="00B00AB8">
        <w:trPr>
          <w:trHeight w:val="300"/>
        </w:trPr>
        <w:tc>
          <w:tcPr>
            <w:tcW w:w="9189" w:type="dxa"/>
            <w:shd w:val="clear" w:color="auto" w:fill="auto"/>
            <w:noWrap/>
            <w:vAlign w:val="center"/>
            <w:hideMark/>
          </w:tcPr>
          <w:p w14:paraId="285698B2" w14:textId="77777777" w:rsidR="00504F09" w:rsidRPr="00504F09" w:rsidRDefault="00504F09" w:rsidP="00504F09">
            <w:pPr>
              <w:rPr>
                <w:rFonts w:ascii="Lucida Console" w:hAnsi="Lucida Console"/>
                <w:color w:val="000000"/>
                <w:sz w:val="20"/>
                <w:szCs w:val="20"/>
                <w:lang w:val="en-GB" w:eastAsia="en-GB"/>
              </w:rPr>
            </w:pPr>
            <w:r w:rsidRPr="00504F09">
              <w:rPr>
                <w:rFonts w:ascii="Lucida Console" w:hAnsi="Lucida Console"/>
                <w:color w:val="000000"/>
                <w:sz w:val="20"/>
                <w:szCs w:val="20"/>
                <w:lang w:val="en-GB" w:eastAsia="en-GB"/>
              </w:rPr>
              <w:t>tau (square root of estimated tau^2 value):             0.0886</w:t>
            </w:r>
          </w:p>
        </w:tc>
      </w:tr>
      <w:tr w:rsidR="00504F09" w:rsidRPr="002E4455" w14:paraId="0BD71767" w14:textId="77777777" w:rsidTr="00B00AB8">
        <w:trPr>
          <w:trHeight w:val="300"/>
        </w:trPr>
        <w:tc>
          <w:tcPr>
            <w:tcW w:w="9189" w:type="dxa"/>
            <w:shd w:val="clear" w:color="auto" w:fill="auto"/>
            <w:noWrap/>
            <w:vAlign w:val="center"/>
            <w:hideMark/>
          </w:tcPr>
          <w:p w14:paraId="55E34B93" w14:textId="77777777" w:rsidR="00504F09" w:rsidRPr="00504F09" w:rsidRDefault="00504F09" w:rsidP="00504F09">
            <w:pPr>
              <w:rPr>
                <w:rFonts w:ascii="Lucida Console" w:hAnsi="Lucida Console"/>
                <w:color w:val="000000"/>
                <w:sz w:val="20"/>
                <w:szCs w:val="20"/>
                <w:lang w:val="en-GB" w:eastAsia="en-GB"/>
              </w:rPr>
            </w:pPr>
            <w:r w:rsidRPr="00504F09">
              <w:rPr>
                <w:rFonts w:ascii="Lucida Console" w:hAnsi="Lucida Console"/>
                <w:color w:val="000000"/>
                <w:sz w:val="20"/>
                <w:szCs w:val="20"/>
                <w:lang w:val="en-GB" w:eastAsia="en-GB"/>
              </w:rPr>
              <w:t>I^2 (residual heterogeneity / unaccounted variability): 45.43%</w:t>
            </w:r>
          </w:p>
        </w:tc>
      </w:tr>
      <w:tr w:rsidR="00504F09" w:rsidRPr="002E4455" w14:paraId="6457D474" w14:textId="77777777" w:rsidTr="00B00AB8">
        <w:trPr>
          <w:trHeight w:val="300"/>
        </w:trPr>
        <w:tc>
          <w:tcPr>
            <w:tcW w:w="9189" w:type="dxa"/>
            <w:shd w:val="clear" w:color="auto" w:fill="auto"/>
            <w:noWrap/>
            <w:vAlign w:val="center"/>
            <w:hideMark/>
          </w:tcPr>
          <w:p w14:paraId="55A98B74" w14:textId="77777777" w:rsidR="00504F09" w:rsidRPr="00504F09" w:rsidRDefault="00504F09" w:rsidP="00504F09">
            <w:pPr>
              <w:rPr>
                <w:rFonts w:ascii="Lucida Console" w:hAnsi="Lucida Console"/>
                <w:color w:val="000000"/>
                <w:sz w:val="20"/>
                <w:szCs w:val="20"/>
                <w:lang w:val="en-GB" w:eastAsia="en-GB"/>
              </w:rPr>
            </w:pPr>
            <w:r w:rsidRPr="00504F09">
              <w:rPr>
                <w:rFonts w:ascii="Lucida Console" w:hAnsi="Lucida Console"/>
                <w:color w:val="000000"/>
                <w:sz w:val="20"/>
                <w:szCs w:val="20"/>
                <w:lang w:val="en-GB" w:eastAsia="en-GB"/>
              </w:rPr>
              <w:t>H^2 (unaccounted variability / sampling variability):   1.83</w:t>
            </w:r>
          </w:p>
        </w:tc>
      </w:tr>
      <w:tr w:rsidR="00504F09" w:rsidRPr="002E4455" w14:paraId="418B4DC6" w14:textId="77777777" w:rsidTr="00B00AB8">
        <w:trPr>
          <w:trHeight w:val="300"/>
        </w:trPr>
        <w:tc>
          <w:tcPr>
            <w:tcW w:w="9189" w:type="dxa"/>
            <w:shd w:val="clear" w:color="auto" w:fill="auto"/>
            <w:noWrap/>
            <w:vAlign w:val="center"/>
            <w:hideMark/>
          </w:tcPr>
          <w:p w14:paraId="187E54E3" w14:textId="77777777" w:rsidR="00504F09" w:rsidRPr="00504F09" w:rsidRDefault="00504F09" w:rsidP="00504F09">
            <w:pPr>
              <w:rPr>
                <w:rFonts w:ascii="Lucida Console" w:hAnsi="Lucida Console"/>
                <w:color w:val="000000"/>
                <w:sz w:val="20"/>
                <w:szCs w:val="20"/>
                <w:lang w:val="en-GB" w:eastAsia="en-GB"/>
              </w:rPr>
            </w:pPr>
            <w:r w:rsidRPr="00504F09">
              <w:rPr>
                <w:rFonts w:ascii="Lucida Console" w:hAnsi="Lucida Console"/>
                <w:color w:val="000000"/>
                <w:sz w:val="20"/>
                <w:szCs w:val="20"/>
                <w:lang w:val="en-GB" w:eastAsia="en-GB"/>
              </w:rPr>
              <w:t>R^2 (amount of heterogeneity accounted for):            0.00%</w:t>
            </w:r>
          </w:p>
        </w:tc>
      </w:tr>
      <w:tr w:rsidR="00504F09" w:rsidRPr="002E4455" w14:paraId="0AACFC14" w14:textId="77777777" w:rsidTr="00B00AB8">
        <w:trPr>
          <w:trHeight w:val="300"/>
        </w:trPr>
        <w:tc>
          <w:tcPr>
            <w:tcW w:w="9189" w:type="dxa"/>
            <w:shd w:val="clear" w:color="auto" w:fill="auto"/>
            <w:noWrap/>
            <w:vAlign w:val="center"/>
            <w:hideMark/>
          </w:tcPr>
          <w:p w14:paraId="18337F72" w14:textId="77777777" w:rsidR="00504F09" w:rsidRPr="00504F09" w:rsidRDefault="00504F09" w:rsidP="00504F09">
            <w:pPr>
              <w:rPr>
                <w:rFonts w:ascii="Calibri" w:hAnsi="Calibri"/>
                <w:color w:val="000000"/>
                <w:sz w:val="22"/>
                <w:szCs w:val="22"/>
                <w:lang w:val="en-GB" w:eastAsia="en-GB"/>
              </w:rPr>
            </w:pPr>
          </w:p>
        </w:tc>
      </w:tr>
      <w:tr w:rsidR="00504F09" w:rsidRPr="00504F09" w14:paraId="60466F45" w14:textId="77777777" w:rsidTr="00B00AB8">
        <w:trPr>
          <w:trHeight w:val="300"/>
        </w:trPr>
        <w:tc>
          <w:tcPr>
            <w:tcW w:w="9189" w:type="dxa"/>
            <w:shd w:val="clear" w:color="auto" w:fill="auto"/>
            <w:noWrap/>
            <w:vAlign w:val="center"/>
            <w:hideMark/>
          </w:tcPr>
          <w:p w14:paraId="294F3F91" w14:textId="77777777" w:rsidR="00504F09" w:rsidRPr="00504F09" w:rsidRDefault="00504F09" w:rsidP="00504F09">
            <w:pPr>
              <w:rPr>
                <w:rFonts w:ascii="Lucida Console" w:hAnsi="Lucida Console"/>
                <w:color w:val="000000"/>
                <w:sz w:val="20"/>
                <w:szCs w:val="20"/>
                <w:lang w:val="en-GB" w:eastAsia="en-GB"/>
              </w:rPr>
            </w:pPr>
            <w:r w:rsidRPr="00504F09">
              <w:rPr>
                <w:rFonts w:ascii="Lucida Console" w:hAnsi="Lucida Console"/>
                <w:color w:val="000000"/>
                <w:sz w:val="20"/>
                <w:szCs w:val="20"/>
                <w:lang w:val="en-GB" w:eastAsia="en-GB"/>
              </w:rPr>
              <w:t xml:space="preserve">Test for Residual Heterogeneity: </w:t>
            </w:r>
          </w:p>
        </w:tc>
      </w:tr>
      <w:tr w:rsidR="00504F09" w:rsidRPr="00504F09" w14:paraId="509F578A" w14:textId="77777777" w:rsidTr="00B00AB8">
        <w:trPr>
          <w:trHeight w:val="300"/>
        </w:trPr>
        <w:tc>
          <w:tcPr>
            <w:tcW w:w="9189" w:type="dxa"/>
            <w:shd w:val="clear" w:color="auto" w:fill="auto"/>
            <w:noWrap/>
            <w:vAlign w:val="center"/>
            <w:hideMark/>
          </w:tcPr>
          <w:p w14:paraId="0927A2DB" w14:textId="77777777" w:rsidR="00504F09" w:rsidRPr="00504F09" w:rsidRDefault="00504F09" w:rsidP="00504F09">
            <w:pPr>
              <w:rPr>
                <w:rFonts w:ascii="Lucida Console" w:hAnsi="Lucida Console"/>
                <w:color w:val="000000"/>
                <w:sz w:val="20"/>
                <w:szCs w:val="20"/>
                <w:lang w:val="en-GB" w:eastAsia="en-GB"/>
              </w:rPr>
            </w:pPr>
            <w:r w:rsidRPr="00504F09">
              <w:rPr>
                <w:rFonts w:ascii="Lucida Console" w:hAnsi="Lucida Console"/>
                <w:color w:val="000000"/>
                <w:sz w:val="20"/>
                <w:szCs w:val="20"/>
                <w:lang w:val="en-GB" w:eastAsia="en-GB"/>
              </w:rPr>
              <w:t>QE(</w:t>
            </w:r>
            <w:proofErr w:type="spellStart"/>
            <w:r w:rsidRPr="00504F09">
              <w:rPr>
                <w:rFonts w:ascii="Lucida Console" w:hAnsi="Lucida Console"/>
                <w:color w:val="000000"/>
                <w:sz w:val="20"/>
                <w:szCs w:val="20"/>
                <w:lang w:val="en-GB" w:eastAsia="en-GB"/>
              </w:rPr>
              <w:t>df</w:t>
            </w:r>
            <w:proofErr w:type="spellEnd"/>
            <w:r w:rsidRPr="00504F09">
              <w:rPr>
                <w:rFonts w:ascii="Lucida Console" w:hAnsi="Lucida Console"/>
                <w:color w:val="000000"/>
                <w:sz w:val="20"/>
                <w:szCs w:val="20"/>
                <w:lang w:val="en-GB" w:eastAsia="en-GB"/>
              </w:rPr>
              <w:t xml:space="preserve"> = 15) = 25.9669, p-</w:t>
            </w:r>
            <w:proofErr w:type="spellStart"/>
            <w:r w:rsidRPr="00504F09">
              <w:rPr>
                <w:rFonts w:ascii="Lucida Console" w:hAnsi="Lucida Console"/>
                <w:color w:val="000000"/>
                <w:sz w:val="20"/>
                <w:szCs w:val="20"/>
                <w:lang w:val="en-GB" w:eastAsia="en-GB"/>
              </w:rPr>
              <w:t>val</w:t>
            </w:r>
            <w:proofErr w:type="spellEnd"/>
            <w:r w:rsidRPr="00504F09">
              <w:rPr>
                <w:rFonts w:ascii="Lucida Console" w:hAnsi="Lucida Console"/>
                <w:color w:val="000000"/>
                <w:sz w:val="20"/>
                <w:szCs w:val="20"/>
                <w:lang w:val="en-GB" w:eastAsia="en-GB"/>
              </w:rPr>
              <w:t xml:space="preserve"> = 0.0384</w:t>
            </w:r>
          </w:p>
        </w:tc>
      </w:tr>
      <w:tr w:rsidR="00504F09" w:rsidRPr="00504F09" w14:paraId="4D5572E0" w14:textId="77777777" w:rsidTr="00B00AB8">
        <w:trPr>
          <w:trHeight w:val="300"/>
        </w:trPr>
        <w:tc>
          <w:tcPr>
            <w:tcW w:w="9189" w:type="dxa"/>
            <w:shd w:val="clear" w:color="auto" w:fill="auto"/>
            <w:noWrap/>
            <w:vAlign w:val="center"/>
            <w:hideMark/>
          </w:tcPr>
          <w:p w14:paraId="0BEE3AE1" w14:textId="77777777" w:rsidR="00504F09" w:rsidRPr="00504F09" w:rsidRDefault="00504F09" w:rsidP="00504F09">
            <w:pPr>
              <w:rPr>
                <w:rFonts w:ascii="Calibri" w:hAnsi="Calibri"/>
                <w:color w:val="000000"/>
                <w:sz w:val="22"/>
                <w:szCs w:val="22"/>
                <w:lang w:val="en-GB" w:eastAsia="en-GB"/>
              </w:rPr>
            </w:pPr>
          </w:p>
        </w:tc>
      </w:tr>
      <w:tr w:rsidR="00504F09" w:rsidRPr="002E4455" w14:paraId="38796326" w14:textId="77777777" w:rsidTr="00B00AB8">
        <w:trPr>
          <w:trHeight w:val="300"/>
        </w:trPr>
        <w:tc>
          <w:tcPr>
            <w:tcW w:w="9189" w:type="dxa"/>
            <w:shd w:val="clear" w:color="auto" w:fill="auto"/>
            <w:noWrap/>
            <w:vAlign w:val="center"/>
            <w:hideMark/>
          </w:tcPr>
          <w:p w14:paraId="6224CA7F" w14:textId="77777777" w:rsidR="00504F09" w:rsidRPr="00504F09" w:rsidRDefault="00504F09" w:rsidP="00504F09">
            <w:pPr>
              <w:rPr>
                <w:rFonts w:ascii="Lucida Console" w:hAnsi="Lucida Console"/>
                <w:color w:val="000000"/>
                <w:sz w:val="20"/>
                <w:szCs w:val="20"/>
                <w:lang w:val="en-GB" w:eastAsia="en-GB"/>
              </w:rPr>
            </w:pPr>
            <w:r w:rsidRPr="00504F09">
              <w:rPr>
                <w:rFonts w:ascii="Lucida Console" w:hAnsi="Lucida Console"/>
                <w:color w:val="000000"/>
                <w:sz w:val="20"/>
                <w:szCs w:val="20"/>
                <w:lang w:val="en-GB" w:eastAsia="en-GB"/>
              </w:rPr>
              <w:t xml:space="preserve">Test of Moderators (coefficient(s) 2): </w:t>
            </w:r>
          </w:p>
        </w:tc>
      </w:tr>
      <w:tr w:rsidR="00504F09" w:rsidRPr="00504F09" w14:paraId="002C90AF" w14:textId="77777777" w:rsidTr="00B00AB8">
        <w:trPr>
          <w:trHeight w:val="300"/>
        </w:trPr>
        <w:tc>
          <w:tcPr>
            <w:tcW w:w="9189" w:type="dxa"/>
            <w:shd w:val="clear" w:color="auto" w:fill="auto"/>
            <w:noWrap/>
            <w:vAlign w:val="center"/>
            <w:hideMark/>
          </w:tcPr>
          <w:p w14:paraId="23DD69B2" w14:textId="77777777" w:rsidR="00504F09" w:rsidRPr="00504F09" w:rsidRDefault="00504F09" w:rsidP="00504F09">
            <w:pPr>
              <w:rPr>
                <w:rFonts w:ascii="Lucida Console" w:hAnsi="Lucida Console"/>
                <w:color w:val="000000"/>
                <w:sz w:val="20"/>
                <w:szCs w:val="20"/>
                <w:lang w:val="en-GB" w:eastAsia="en-GB"/>
              </w:rPr>
            </w:pPr>
            <w:r w:rsidRPr="00504F09">
              <w:rPr>
                <w:rFonts w:ascii="Lucida Console" w:hAnsi="Lucida Console"/>
                <w:color w:val="000000"/>
                <w:sz w:val="20"/>
                <w:szCs w:val="20"/>
                <w:lang w:val="en-GB" w:eastAsia="en-GB"/>
              </w:rPr>
              <w:t>QM(</w:t>
            </w:r>
            <w:proofErr w:type="spellStart"/>
            <w:r w:rsidRPr="00504F09">
              <w:rPr>
                <w:rFonts w:ascii="Lucida Console" w:hAnsi="Lucida Console"/>
                <w:color w:val="000000"/>
                <w:sz w:val="20"/>
                <w:szCs w:val="20"/>
                <w:lang w:val="en-GB" w:eastAsia="en-GB"/>
              </w:rPr>
              <w:t>df</w:t>
            </w:r>
            <w:proofErr w:type="spellEnd"/>
            <w:r w:rsidRPr="00504F09">
              <w:rPr>
                <w:rFonts w:ascii="Lucida Console" w:hAnsi="Lucida Console"/>
                <w:color w:val="000000"/>
                <w:sz w:val="20"/>
                <w:szCs w:val="20"/>
                <w:lang w:val="en-GB" w:eastAsia="en-GB"/>
              </w:rPr>
              <w:t xml:space="preserve"> = 1) = 0.6443, p-</w:t>
            </w:r>
            <w:proofErr w:type="spellStart"/>
            <w:r w:rsidRPr="00504F09">
              <w:rPr>
                <w:rFonts w:ascii="Lucida Console" w:hAnsi="Lucida Console"/>
                <w:color w:val="000000"/>
                <w:sz w:val="20"/>
                <w:szCs w:val="20"/>
                <w:lang w:val="en-GB" w:eastAsia="en-GB"/>
              </w:rPr>
              <w:t>val</w:t>
            </w:r>
            <w:proofErr w:type="spellEnd"/>
            <w:r w:rsidRPr="00504F09">
              <w:rPr>
                <w:rFonts w:ascii="Lucida Console" w:hAnsi="Lucida Console"/>
                <w:color w:val="000000"/>
                <w:sz w:val="20"/>
                <w:szCs w:val="20"/>
                <w:lang w:val="en-GB" w:eastAsia="en-GB"/>
              </w:rPr>
              <w:t xml:space="preserve"> = 0.4222</w:t>
            </w:r>
          </w:p>
        </w:tc>
      </w:tr>
      <w:tr w:rsidR="00504F09" w:rsidRPr="00504F09" w14:paraId="374C5D4E" w14:textId="77777777" w:rsidTr="00B00AB8">
        <w:trPr>
          <w:trHeight w:val="300"/>
        </w:trPr>
        <w:tc>
          <w:tcPr>
            <w:tcW w:w="9189" w:type="dxa"/>
            <w:shd w:val="clear" w:color="auto" w:fill="auto"/>
            <w:noWrap/>
            <w:vAlign w:val="center"/>
            <w:hideMark/>
          </w:tcPr>
          <w:p w14:paraId="48B733D5" w14:textId="77777777" w:rsidR="00504F09" w:rsidRPr="00504F09" w:rsidRDefault="00504F09" w:rsidP="00504F09">
            <w:pPr>
              <w:rPr>
                <w:rFonts w:ascii="Calibri" w:hAnsi="Calibri"/>
                <w:color w:val="000000"/>
                <w:sz w:val="22"/>
                <w:szCs w:val="22"/>
                <w:lang w:val="en-GB" w:eastAsia="en-GB"/>
              </w:rPr>
            </w:pPr>
          </w:p>
        </w:tc>
      </w:tr>
      <w:tr w:rsidR="00504F09" w:rsidRPr="00504F09" w14:paraId="43A7F315" w14:textId="77777777" w:rsidTr="00B00AB8">
        <w:trPr>
          <w:trHeight w:val="300"/>
        </w:trPr>
        <w:tc>
          <w:tcPr>
            <w:tcW w:w="9189" w:type="dxa"/>
            <w:shd w:val="clear" w:color="auto" w:fill="auto"/>
            <w:noWrap/>
            <w:vAlign w:val="center"/>
            <w:hideMark/>
          </w:tcPr>
          <w:p w14:paraId="07A442EB" w14:textId="77777777" w:rsidR="00504F09" w:rsidRPr="00504F09" w:rsidRDefault="00504F09" w:rsidP="00504F09">
            <w:pPr>
              <w:rPr>
                <w:rFonts w:ascii="Lucida Console" w:hAnsi="Lucida Console"/>
                <w:color w:val="000000"/>
                <w:sz w:val="20"/>
                <w:szCs w:val="20"/>
                <w:lang w:val="en-GB" w:eastAsia="en-GB"/>
              </w:rPr>
            </w:pPr>
            <w:r w:rsidRPr="00504F09">
              <w:rPr>
                <w:rFonts w:ascii="Lucida Console" w:hAnsi="Lucida Console"/>
                <w:color w:val="000000"/>
                <w:sz w:val="20"/>
                <w:szCs w:val="20"/>
                <w:lang w:val="en-GB" w:eastAsia="en-GB"/>
              </w:rPr>
              <w:t>Model Results:</w:t>
            </w:r>
          </w:p>
        </w:tc>
      </w:tr>
      <w:tr w:rsidR="00504F09" w:rsidRPr="00504F09" w14:paraId="3BC5077B" w14:textId="77777777" w:rsidTr="00B00AB8">
        <w:trPr>
          <w:trHeight w:val="300"/>
        </w:trPr>
        <w:tc>
          <w:tcPr>
            <w:tcW w:w="9189" w:type="dxa"/>
            <w:shd w:val="clear" w:color="auto" w:fill="auto"/>
            <w:noWrap/>
            <w:vAlign w:val="center"/>
            <w:hideMark/>
          </w:tcPr>
          <w:p w14:paraId="1D2551EF" w14:textId="77777777" w:rsidR="00504F09" w:rsidRPr="00504F09" w:rsidRDefault="00504F09" w:rsidP="00504F09">
            <w:pPr>
              <w:rPr>
                <w:rFonts w:ascii="Calibri" w:hAnsi="Calibri"/>
                <w:color w:val="000000"/>
                <w:sz w:val="22"/>
                <w:szCs w:val="22"/>
                <w:lang w:val="en-GB" w:eastAsia="en-GB"/>
              </w:rPr>
            </w:pPr>
          </w:p>
        </w:tc>
      </w:tr>
      <w:tr w:rsidR="00504F09" w:rsidRPr="002E4455" w14:paraId="34794AF8" w14:textId="77777777" w:rsidTr="00B00AB8">
        <w:trPr>
          <w:trHeight w:val="300"/>
        </w:trPr>
        <w:tc>
          <w:tcPr>
            <w:tcW w:w="9189" w:type="dxa"/>
            <w:shd w:val="clear" w:color="auto" w:fill="auto"/>
            <w:noWrap/>
            <w:vAlign w:val="center"/>
            <w:hideMark/>
          </w:tcPr>
          <w:p w14:paraId="10BCC25E" w14:textId="77777777" w:rsidR="00504F09" w:rsidRPr="00504F09" w:rsidRDefault="00504F09" w:rsidP="00504F09">
            <w:pPr>
              <w:rPr>
                <w:rFonts w:ascii="Lucida Console" w:hAnsi="Lucida Console"/>
                <w:color w:val="000000"/>
                <w:sz w:val="20"/>
                <w:szCs w:val="20"/>
                <w:lang w:val="en-GB" w:eastAsia="en-GB"/>
              </w:rPr>
            </w:pPr>
            <w:r w:rsidRPr="00504F09">
              <w:rPr>
                <w:rFonts w:ascii="Lucida Console" w:hAnsi="Lucida Console"/>
                <w:color w:val="000000"/>
                <w:sz w:val="20"/>
                <w:szCs w:val="20"/>
                <w:lang w:val="en-GB" w:eastAsia="en-GB"/>
              </w:rPr>
              <w:t xml:space="preserve">                      </w:t>
            </w:r>
            <w:r w:rsidR="00274979" w:rsidRPr="00EA298D">
              <w:rPr>
                <w:rFonts w:ascii="Lucida Console" w:hAnsi="Lucida Console"/>
                <w:color w:val="000000"/>
                <w:sz w:val="20"/>
                <w:szCs w:val="20"/>
                <w:lang w:val="en-GB" w:eastAsia="en-GB"/>
              </w:rPr>
              <w:t>estimat</w:t>
            </w:r>
            <w:r w:rsidR="00274979">
              <w:rPr>
                <w:rFonts w:ascii="Lucida Console" w:hAnsi="Lucida Console"/>
                <w:color w:val="000000"/>
                <w:sz w:val="20"/>
                <w:szCs w:val="20"/>
                <w:lang w:val="en-GB" w:eastAsia="en-GB"/>
              </w:rPr>
              <w:t xml:space="preserve">e </w:t>
            </w:r>
            <w:r w:rsidRPr="00504F09">
              <w:rPr>
                <w:rFonts w:ascii="Lucida Console" w:hAnsi="Lucida Console"/>
                <w:color w:val="000000"/>
                <w:sz w:val="20"/>
                <w:szCs w:val="20"/>
                <w:lang w:val="en-GB" w:eastAsia="en-GB"/>
              </w:rPr>
              <w:t xml:space="preserve">     se     </w:t>
            </w:r>
            <w:proofErr w:type="spellStart"/>
            <w:r w:rsidRPr="00504F09">
              <w:rPr>
                <w:rFonts w:ascii="Lucida Console" w:hAnsi="Lucida Console"/>
                <w:color w:val="000000"/>
                <w:sz w:val="20"/>
                <w:szCs w:val="20"/>
                <w:lang w:val="en-GB" w:eastAsia="en-GB"/>
              </w:rPr>
              <w:t>zval</w:t>
            </w:r>
            <w:proofErr w:type="spellEnd"/>
            <w:r w:rsidRPr="00504F09">
              <w:rPr>
                <w:rFonts w:ascii="Lucida Console" w:hAnsi="Lucida Console"/>
                <w:color w:val="000000"/>
                <w:sz w:val="20"/>
                <w:szCs w:val="20"/>
                <w:lang w:val="en-GB" w:eastAsia="en-GB"/>
              </w:rPr>
              <w:t xml:space="preserve">    </w:t>
            </w:r>
            <w:proofErr w:type="spellStart"/>
            <w:r w:rsidRPr="00504F09">
              <w:rPr>
                <w:rFonts w:ascii="Lucida Console" w:hAnsi="Lucida Console"/>
                <w:color w:val="000000"/>
                <w:sz w:val="20"/>
                <w:szCs w:val="20"/>
                <w:lang w:val="en-GB" w:eastAsia="en-GB"/>
              </w:rPr>
              <w:t>pval</w:t>
            </w:r>
            <w:proofErr w:type="spellEnd"/>
            <w:r w:rsidRPr="00504F09">
              <w:rPr>
                <w:rFonts w:ascii="Lucida Console" w:hAnsi="Lucida Console"/>
                <w:color w:val="000000"/>
                <w:sz w:val="20"/>
                <w:szCs w:val="20"/>
                <w:lang w:val="en-GB" w:eastAsia="en-GB"/>
              </w:rPr>
              <w:t xml:space="preserve">    ci.lb    </w:t>
            </w:r>
            <w:proofErr w:type="spellStart"/>
            <w:r w:rsidRPr="00504F09">
              <w:rPr>
                <w:rFonts w:ascii="Lucida Console" w:hAnsi="Lucida Console"/>
                <w:color w:val="000000"/>
                <w:sz w:val="20"/>
                <w:szCs w:val="20"/>
                <w:lang w:val="en-GB" w:eastAsia="en-GB"/>
              </w:rPr>
              <w:t>ci.ub</w:t>
            </w:r>
            <w:proofErr w:type="spellEnd"/>
            <w:r w:rsidRPr="00504F09">
              <w:rPr>
                <w:rFonts w:ascii="Lucida Console" w:hAnsi="Lucida Console"/>
                <w:color w:val="000000"/>
                <w:sz w:val="20"/>
                <w:szCs w:val="20"/>
                <w:lang w:val="en-GB" w:eastAsia="en-GB"/>
              </w:rPr>
              <w:t xml:space="preserve">   </w:t>
            </w:r>
          </w:p>
        </w:tc>
      </w:tr>
      <w:tr w:rsidR="00504F09" w:rsidRPr="00504F09" w14:paraId="5B4C4EC8" w14:textId="77777777" w:rsidTr="00B00AB8">
        <w:trPr>
          <w:trHeight w:val="300"/>
        </w:trPr>
        <w:tc>
          <w:tcPr>
            <w:tcW w:w="9189" w:type="dxa"/>
            <w:shd w:val="clear" w:color="auto" w:fill="auto"/>
            <w:noWrap/>
            <w:vAlign w:val="center"/>
            <w:hideMark/>
          </w:tcPr>
          <w:p w14:paraId="2C3DD620" w14:textId="77777777" w:rsidR="00504F09" w:rsidRPr="00504F09" w:rsidRDefault="00504F09" w:rsidP="00504F09">
            <w:pPr>
              <w:rPr>
                <w:rFonts w:ascii="Lucida Console" w:hAnsi="Lucida Console"/>
                <w:color w:val="000000"/>
                <w:sz w:val="20"/>
                <w:szCs w:val="20"/>
                <w:lang w:val="en-GB" w:eastAsia="en-GB"/>
              </w:rPr>
            </w:pPr>
            <w:proofErr w:type="spellStart"/>
            <w:r w:rsidRPr="00504F09">
              <w:rPr>
                <w:rFonts w:ascii="Lucida Console" w:hAnsi="Lucida Console"/>
                <w:color w:val="000000"/>
                <w:sz w:val="20"/>
                <w:szCs w:val="20"/>
                <w:lang w:val="en-GB" w:eastAsia="en-GB"/>
              </w:rPr>
              <w:t>intrcpt</w:t>
            </w:r>
            <w:proofErr w:type="spellEnd"/>
            <w:r w:rsidRPr="00504F09">
              <w:rPr>
                <w:rFonts w:ascii="Lucida Console" w:hAnsi="Lucida Console"/>
                <w:color w:val="000000"/>
                <w:sz w:val="20"/>
                <w:szCs w:val="20"/>
                <w:lang w:val="en-GB" w:eastAsia="en-GB"/>
              </w:rPr>
              <w:t xml:space="preserve">                -0.0954  0.0409  -2.3295  0.0198  -0.1756  -0.0151  *</w:t>
            </w:r>
          </w:p>
        </w:tc>
      </w:tr>
      <w:tr w:rsidR="00504F09" w:rsidRPr="00504F09" w14:paraId="0F1C567D" w14:textId="77777777" w:rsidTr="00B00AB8">
        <w:trPr>
          <w:trHeight w:val="300"/>
        </w:trPr>
        <w:tc>
          <w:tcPr>
            <w:tcW w:w="9189" w:type="dxa"/>
            <w:shd w:val="clear" w:color="auto" w:fill="auto"/>
            <w:noWrap/>
            <w:vAlign w:val="center"/>
            <w:hideMark/>
          </w:tcPr>
          <w:p w14:paraId="19774199" w14:textId="77777777" w:rsidR="00504F09" w:rsidRPr="00504F09" w:rsidRDefault="00504F09" w:rsidP="00504F09">
            <w:pPr>
              <w:rPr>
                <w:rFonts w:ascii="Lucida Console" w:hAnsi="Lucida Console"/>
                <w:color w:val="000000"/>
                <w:sz w:val="20"/>
                <w:szCs w:val="20"/>
                <w:lang w:val="en-GB" w:eastAsia="en-GB"/>
              </w:rPr>
            </w:pPr>
            <w:proofErr w:type="spellStart"/>
            <w:r w:rsidRPr="00504F09">
              <w:rPr>
                <w:rFonts w:ascii="Lucida Console" w:hAnsi="Lucida Console"/>
                <w:color w:val="000000"/>
                <w:sz w:val="20"/>
                <w:szCs w:val="20"/>
                <w:lang w:val="en-GB" w:eastAsia="en-GB"/>
              </w:rPr>
              <w:lastRenderedPageBreak/>
              <w:t>as.factor</w:t>
            </w:r>
            <w:proofErr w:type="spellEnd"/>
            <w:r w:rsidRPr="00504F09">
              <w:rPr>
                <w:rFonts w:ascii="Lucida Console" w:hAnsi="Lucida Console"/>
                <w:color w:val="000000"/>
                <w:sz w:val="20"/>
                <w:szCs w:val="20"/>
                <w:lang w:val="en-GB" w:eastAsia="en-GB"/>
              </w:rPr>
              <w:t xml:space="preserve">(multisite)1   0.0567  0.0706   0.8027  0.4222  -0.0817   0.1950   </w:t>
            </w:r>
          </w:p>
        </w:tc>
      </w:tr>
    </w:tbl>
    <w:p w14:paraId="4D2EACF6" w14:textId="77777777" w:rsidR="001F67E3" w:rsidRDefault="001F67E3" w:rsidP="00504F09">
      <w:pPr>
        <w:spacing w:line="360" w:lineRule="auto"/>
        <w:rPr>
          <w:lang w:val="en-GB"/>
        </w:rPr>
      </w:pPr>
    </w:p>
    <w:p w14:paraId="12AE3203" w14:textId="77777777" w:rsidR="00A34187" w:rsidRPr="002B3649" w:rsidRDefault="00A34187" w:rsidP="00A34187">
      <w:pPr>
        <w:pStyle w:val="ListParagraph"/>
        <w:numPr>
          <w:ilvl w:val="0"/>
          <w:numId w:val="1"/>
        </w:numPr>
        <w:spacing w:line="360" w:lineRule="auto"/>
        <w:rPr>
          <w:rFonts w:asciiTheme="minorHAnsi" w:hAnsiTheme="minorHAnsi"/>
          <w:lang w:val="en-GB"/>
        </w:rPr>
      </w:pPr>
      <w:r w:rsidRPr="002B3649">
        <w:rPr>
          <w:rFonts w:asciiTheme="minorHAnsi" w:hAnsiTheme="minorHAnsi"/>
          <w:lang w:val="en-GB"/>
        </w:rPr>
        <w:t>Effects of covariates: left MOFC &lt;- global SANS + CPZ + gender + age + site (if applicable)</w:t>
      </w:r>
    </w:p>
    <w:p w14:paraId="3FC14BFF" w14:textId="77777777" w:rsidR="00A34187" w:rsidRPr="002B3649" w:rsidRDefault="00A34187" w:rsidP="00A34187">
      <w:pPr>
        <w:pStyle w:val="ListParagraph"/>
        <w:spacing w:line="360" w:lineRule="auto"/>
        <w:ind w:left="360"/>
        <w:rPr>
          <w:rFonts w:asciiTheme="minorHAnsi" w:hAnsiTheme="minorHAnsi"/>
          <w:lang w:val="en-GB"/>
        </w:rPr>
      </w:pPr>
    </w:p>
    <w:p w14:paraId="758D443C" w14:textId="38403334" w:rsidR="00A34187" w:rsidRPr="002B3649" w:rsidRDefault="00A34187" w:rsidP="00A34187">
      <w:pPr>
        <w:pStyle w:val="ListParagraph"/>
        <w:spacing w:line="360" w:lineRule="auto"/>
        <w:ind w:left="360"/>
        <w:rPr>
          <w:rFonts w:asciiTheme="minorHAnsi" w:hAnsiTheme="minorHAnsi"/>
          <w:lang w:val="en-GB"/>
        </w:rPr>
      </w:pPr>
      <w:r w:rsidRPr="002B3649">
        <w:rPr>
          <w:rFonts w:asciiTheme="minorHAnsi" w:hAnsiTheme="minorHAnsi"/>
          <w:lang w:val="en-GB"/>
        </w:rPr>
        <w:t>Shown below are the estimate, the standard error, p value and the confidence intervals for the meta-analytical standardized regression beta of current chlorpromazine equivalents (</w:t>
      </w:r>
      <w:r w:rsidR="00DA16C9" w:rsidRPr="002B3649">
        <w:rPr>
          <w:rFonts w:asciiTheme="minorHAnsi" w:hAnsiTheme="minorHAnsi"/>
          <w:lang w:val="en-GB"/>
        </w:rPr>
        <w:t xml:space="preserve">CPZ, </w:t>
      </w:r>
      <w:r w:rsidRPr="002B3649">
        <w:rPr>
          <w:rFonts w:asciiTheme="minorHAnsi" w:hAnsiTheme="minorHAnsi"/>
          <w:lang w:val="en-GB"/>
        </w:rPr>
        <w:t xml:space="preserve">based on Woods </w:t>
      </w:r>
      <w:r w:rsidRPr="004A68A3">
        <w:rPr>
          <w:rFonts w:asciiTheme="minorHAnsi" w:hAnsiTheme="minorHAnsi"/>
          <w:i/>
          <w:lang w:val="en-GB"/>
        </w:rPr>
        <w:t>et al</w:t>
      </w:r>
      <w:r w:rsidRPr="002B3649">
        <w:rPr>
          <w:rFonts w:asciiTheme="minorHAnsi" w:hAnsiTheme="minorHAnsi"/>
          <w:lang w:val="en-GB"/>
        </w:rPr>
        <w:t xml:space="preserve">. </w:t>
      </w:r>
      <w:r w:rsidR="00B90C8A" w:rsidRPr="002B3649">
        <w:rPr>
          <w:rFonts w:asciiTheme="minorHAnsi" w:hAnsiTheme="minorHAnsi"/>
          <w:lang w:val="en-GB"/>
        </w:rPr>
        <w:fldChar w:fldCharType="begin"/>
      </w:r>
      <w:r w:rsidR="00B90C8A" w:rsidRPr="002B3649">
        <w:rPr>
          <w:rFonts w:asciiTheme="minorHAnsi" w:hAnsiTheme="minorHAnsi"/>
          <w:lang w:val="en-GB"/>
        </w:rPr>
        <w:instrText xml:space="preserve"> ADDIN ZOTERO_ITEM CSL_CITATION {"citationID":"2bjd3kq6i5","properties":{"formattedCitation":"(2003)","plainCitation":"(2003)"},"citationItems":[{"id":719,"uris":["http://zotero.org/users/788477/items/X3A26CI9"],"uri":["http://zotero.org/users/788477/items/X3A26CI9"],"itemData":{"id":719,"type":"article-journal","title":"Chlorpromazine equivalent doses for the newer atypical antipsychotics","container-title":"The Journal of Clinical Psychiatry","page":"663-667","volume":"64","issue":"6","source":"NCBI PubMed","abstract":"BACKGROUND: Several clinical and research applications require an estimation of therapeutic dose equivalence across antipsychotic medications. Since the advent of the newer atypical antipsychotics, new dose equivalent estimations have been needed. METHOD: The reported minimum effective dose was identified for each newer atypical antipsychotic medication and for haloperidol across all available fixed-dose placebo-controlled studies. Reported minimum effective dose equivalence ratios to haloperidol were then converted to chlorpromazine equivalents using the \"2 mg of haloperidol equals 100 mg of chlorpromazine\" convention. DATA SOURCES AND STUDY SELECTION: To identify the fixed-dose studies, the following sources were searched until June 2002: MEDLINE, the bibliographies of identified reports, published meta-analyses and reviews, Cochrane reviews, Freedom of Information Act material available from the Food and Drug Administration, and abstracts from several scientific meetings from 1997 to 2002. RESULTS: Doses equivalent to 100 mg/day of chlorpromazine were 2 mg/day for risperidone, 5 mg/day for olanzapine, 75 mg/day for quetiapine, 60 mg/day for ziprasidone, and 7.5 mg/day for aripiprazole. CONCLUSION: These equivalency estimates may be useful for clinical and research purposes. The source of the dose equivalency estimation is evidence-based and consistent across medication.","ISSN":"0160-6689","note":"PMID: 12823080","journalAbbreviation":"J Clin Psychiatry","author":[{"family":"Woods","given":"Scott W"}],"issued":{"date-parts":[["2003",6]]},"PMID":"12823080"},"suppress-author":true}],"schema":"https://github.com/citation-style-language/schema/raw/master/csl-citation.json"} </w:instrText>
      </w:r>
      <w:r w:rsidR="00B90C8A" w:rsidRPr="002B3649">
        <w:rPr>
          <w:rFonts w:asciiTheme="minorHAnsi" w:hAnsiTheme="minorHAnsi"/>
          <w:lang w:val="en-GB"/>
        </w:rPr>
        <w:fldChar w:fldCharType="separate"/>
      </w:r>
      <w:r w:rsidR="00B90C8A" w:rsidRPr="002B3649">
        <w:rPr>
          <w:rFonts w:ascii="Calibri" w:hAnsi="Calibri"/>
          <w:lang w:val="en-GB"/>
        </w:rPr>
        <w:t>(2003)</w:t>
      </w:r>
      <w:r w:rsidR="00B90C8A" w:rsidRPr="002B3649">
        <w:rPr>
          <w:rFonts w:asciiTheme="minorHAnsi" w:hAnsiTheme="minorHAnsi"/>
          <w:lang w:val="en-GB"/>
        </w:rPr>
        <w:fldChar w:fldCharType="end"/>
      </w:r>
      <w:r w:rsidRPr="002B3649">
        <w:rPr>
          <w:rFonts w:asciiTheme="minorHAnsi" w:hAnsiTheme="minorHAnsi"/>
          <w:lang w:val="en-GB"/>
        </w:rPr>
        <w:t>) on left MOFC thickness. Results were based on estimates from 12 studies.</w:t>
      </w:r>
    </w:p>
    <w:p w14:paraId="477FA064" w14:textId="77777777" w:rsidR="00A34187" w:rsidRPr="002B3649" w:rsidRDefault="00A34187" w:rsidP="00A34187">
      <w:pPr>
        <w:spacing w:line="360" w:lineRule="auto"/>
        <w:rPr>
          <w:rFonts w:asciiTheme="minorHAnsi" w:hAnsiTheme="minorHAnsi"/>
          <w:lang w:val="en-GB"/>
        </w:rPr>
      </w:pPr>
    </w:p>
    <w:tbl>
      <w:tblPr>
        <w:tblW w:w="9189"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9"/>
      </w:tblGrid>
      <w:tr w:rsidR="00A34187" w:rsidRPr="002B3649" w14:paraId="4009C4F7" w14:textId="77777777" w:rsidTr="00C23C61">
        <w:trPr>
          <w:trHeight w:val="300"/>
        </w:trPr>
        <w:tc>
          <w:tcPr>
            <w:tcW w:w="9189" w:type="dxa"/>
            <w:shd w:val="clear" w:color="auto" w:fill="auto"/>
            <w:noWrap/>
            <w:vAlign w:val="center"/>
          </w:tcPr>
          <w:tbl>
            <w:tblPr>
              <w:tblW w:w="8346" w:type="dxa"/>
              <w:tblLook w:val="04A0" w:firstRow="1" w:lastRow="0" w:firstColumn="1" w:lastColumn="0" w:noHBand="0" w:noVBand="1"/>
            </w:tblPr>
            <w:tblGrid>
              <w:gridCol w:w="8346"/>
            </w:tblGrid>
            <w:tr w:rsidR="00A34187" w:rsidRPr="002E4455" w14:paraId="52DE1A91" w14:textId="77777777" w:rsidTr="00A34187">
              <w:trPr>
                <w:trHeight w:val="300"/>
              </w:trPr>
              <w:tc>
                <w:tcPr>
                  <w:tcW w:w="8346" w:type="dxa"/>
                  <w:tcBorders>
                    <w:top w:val="nil"/>
                    <w:left w:val="nil"/>
                    <w:bottom w:val="nil"/>
                    <w:right w:val="nil"/>
                  </w:tcBorders>
                  <w:shd w:val="clear" w:color="auto" w:fill="auto"/>
                  <w:noWrap/>
                  <w:vAlign w:val="center"/>
                  <w:hideMark/>
                </w:tcPr>
                <w:p w14:paraId="0638FA11"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Random-Effects Model (k = 12; tau^2 estimator: REML)</w:t>
                  </w:r>
                </w:p>
              </w:tc>
            </w:tr>
            <w:tr w:rsidR="00A34187" w:rsidRPr="002E4455" w14:paraId="0A8CECFD" w14:textId="77777777" w:rsidTr="00A34187">
              <w:trPr>
                <w:trHeight w:val="300"/>
              </w:trPr>
              <w:tc>
                <w:tcPr>
                  <w:tcW w:w="8346" w:type="dxa"/>
                  <w:tcBorders>
                    <w:top w:val="nil"/>
                    <w:left w:val="nil"/>
                    <w:bottom w:val="nil"/>
                    <w:right w:val="nil"/>
                  </w:tcBorders>
                  <w:shd w:val="clear" w:color="auto" w:fill="auto"/>
                  <w:noWrap/>
                  <w:vAlign w:val="center"/>
                  <w:hideMark/>
                </w:tcPr>
                <w:p w14:paraId="2DAE15F4" w14:textId="77777777" w:rsidR="00A34187" w:rsidRPr="002B3649" w:rsidRDefault="00A34187" w:rsidP="00A34187">
                  <w:pPr>
                    <w:rPr>
                      <w:rFonts w:ascii="Lucida Console" w:hAnsi="Lucida Console"/>
                      <w:color w:val="000000"/>
                      <w:sz w:val="20"/>
                      <w:szCs w:val="20"/>
                      <w:lang w:val="en-GB" w:eastAsia="en-GB"/>
                    </w:rPr>
                  </w:pPr>
                </w:p>
              </w:tc>
            </w:tr>
            <w:tr w:rsidR="00A34187" w:rsidRPr="002E4455" w14:paraId="65DF05F2" w14:textId="77777777" w:rsidTr="00A34187">
              <w:trPr>
                <w:trHeight w:val="300"/>
              </w:trPr>
              <w:tc>
                <w:tcPr>
                  <w:tcW w:w="8346" w:type="dxa"/>
                  <w:tcBorders>
                    <w:top w:val="nil"/>
                    <w:left w:val="nil"/>
                    <w:bottom w:val="nil"/>
                    <w:right w:val="nil"/>
                  </w:tcBorders>
                  <w:shd w:val="clear" w:color="auto" w:fill="auto"/>
                  <w:noWrap/>
                  <w:vAlign w:val="center"/>
                  <w:hideMark/>
                </w:tcPr>
                <w:p w14:paraId="5B6C53FD"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tau^2 (estimated amount of total heterogeneity): 0.0003 (SE = 0.0040)</w:t>
                  </w:r>
                </w:p>
              </w:tc>
            </w:tr>
            <w:tr w:rsidR="00A34187" w:rsidRPr="002E4455" w14:paraId="2842C3F0" w14:textId="77777777" w:rsidTr="00A34187">
              <w:trPr>
                <w:trHeight w:val="300"/>
              </w:trPr>
              <w:tc>
                <w:tcPr>
                  <w:tcW w:w="8346" w:type="dxa"/>
                  <w:tcBorders>
                    <w:top w:val="nil"/>
                    <w:left w:val="nil"/>
                    <w:bottom w:val="nil"/>
                    <w:right w:val="nil"/>
                  </w:tcBorders>
                  <w:shd w:val="clear" w:color="auto" w:fill="auto"/>
                  <w:noWrap/>
                  <w:vAlign w:val="center"/>
                  <w:hideMark/>
                </w:tcPr>
                <w:p w14:paraId="37F40A7A"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 (square root of estimated tau^2 value):      0.0160</w:t>
                  </w:r>
                </w:p>
              </w:tc>
            </w:tr>
            <w:tr w:rsidR="00A34187" w:rsidRPr="002E4455" w14:paraId="19D69865" w14:textId="77777777" w:rsidTr="00A34187">
              <w:trPr>
                <w:trHeight w:val="300"/>
              </w:trPr>
              <w:tc>
                <w:tcPr>
                  <w:tcW w:w="8346" w:type="dxa"/>
                  <w:tcBorders>
                    <w:top w:val="nil"/>
                    <w:left w:val="nil"/>
                    <w:bottom w:val="nil"/>
                    <w:right w:val="nil"/>
                  </w:tcBorders>
                  <w:shd w:val="clear" w:color="auto" w:fill="auto"/>
                  <w:noWrap/>
                  <w:vAlign w:val="center"/>
                  <w:hideMark/>
                </w:tcPr>
                <w:p w14:paraId="24638AF5"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I^2 (total heterogeneity / total variability):   2.26%</w:t>
                  </w:r>
                </w:p>
              </w:tc>
            </w:tr>
            <w:tr w:rsidR="00A34187" w:rsidRPr="002E4455" w14:paraId="39806D10" w14:textId="77777777" w:rsidTr="00A34187">
              <w:trPr>
                <w:trHeight w:val="300"/>
              </w:trPr>
              <w:tc>
                <w:tcPr>
                  <w:tcW w:w="8346" w:type="dxa"/>
                  <w:tcBorders>
                    <w:top w:val="nil"/>
                    <w:left w:val="nil"/>
                    <w:bottom w:val="nil"/>
                    <w:right w:val="nil"/>
                  </w:tcBorders>
                  <w:shd w:val="clear" w:color="auto" w:fill="auto"/>
                  <w:noWrap/>
                  <w:vAlign w:val="center"/>
                  <w:hideMark/>
                </w:tcPr>
                <w:p w14:paraId="58A127CB"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H^2 (total variability / sampling variability):  1.02</w:t>
                  </w:r>
                </w:p>
              </w:tc>
            </w:tr>
            <w:tr w:rsidR="00A34187" w:rsidRPr="002E4455" w14:paraId="7DC83FC8" w14:textId="77777777" w:rsidTr="00A34187">
              <w:trPr>
                <w:trHeight w:val="300"/>
              </w:trPr>
              <w:tc>
                <w:tcPr>
                  <w:tcW w:w="8346" w:type="dxa"/>
                  <w:tcBorders>
                    <w:top w:val="nil"/>
                    <w:left w:val="nil"/>
                    <w:bottom w:val="nil"/>
                    <w:right w:val="nil"/>
                  </w:tcBorders>
                  <w:shd w:val="clear" w:color="auto" w:fill="auto"/>
                  <w:noWrap/>
                  <w:vAlign w:val="center"/>
                  <w:hideMark/>
                </w:tcPr>
                <w:p w14:paraId="0EE4E23F" w14:textId="77777777" w:rsidR="00A34187" w:rsidRPr="002B3649" w:rsidRDefault="00A34187" w:rsidP="00A34187">
                  <w:pPr>
                    <w:rPr>
                      <w:rFonts w:ascii="Lucida Console" w:hAnsi="Lucida Console"/>
                      <w:color w:val="000000"/>
                      <w:sz w:val="20"/>
                      <w:szCs w:val="20"/>
                      <w:lang w:val="en-GB" w:eastAsia="en-GB"/>
                    </w:rPr>
                  </w:pPr>
                </w:p>
              </w:tc>
            </w:tr>
            <w:tr w:rsidR="00A34187" w:rsidRPr="002B3649" w14:paraId="75B508E3" w14:textId="77777777" w:rsidTr="00A34187">
              <w:trPr>
                <w:trHeight w:val="300"/>
              </w:trPr>
              <w:tc>
                <w:tcPr>
                  <w:tcW w:w="8346" w:type="dxa"/>
                  <w:tcBorders>
                    <w:top w:val="nil"/>
                    <w:left w:val="nil"/>
                    <w:bottom w:val="nil"/>
                    <w:right w:val="nil"/>
                  </w:tcBorders>
                  <w:shd w:val="clear" w:color="auto" w:fill="auto"/>
                  <w:noWrap/>
                  <w:vAlign w:val="center"/>
                  <w:hideMark/>
                </w:tcPr>
                <w:p w14:paraId="0643E501"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Test for Heterogeneity: </w:t>
                  </w:r>
                </w:p>
              </w:tc>
            </w:tr>
            <w:tr w:rsidR="00A34187" w:rsidRPr="002B3649" w14:paraId="003D0988" w14:textId="77777777" w:rsidTr="00A34187">
              <w:trPr>
                <w:trHeight w:val="300"/>
              </w:trPr>
              <w:tc>
                <w:tcPr>
                  <w:tcW w:w="8346" w:type="dxa"/>
                  <w:tcBorders>
                    <w:top w:val="nil"/>
                    <w:left w:val="nil"/>
                    <w:bottom w:val="nil"/>
                    <w:right w:val="nil"/>
                  </w:tcBorders>
                  <w:shd w:val="clear" w:color="auto" w:fill="auto"/>
                  <w:noWrap/>
                  <w:vAlign w:val="center"/>
                  <w:hideMark/>
                </w:tcPr>
                <w:p w14:paraId="3D22EF24"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Q(</w:t>
                  </w:r>
                  <w:proofErr w:type="spellStart"/>
                  <w:r w:rsidRPr="002B3649">
                    <w:rPr>
                      <w:rFonts w:ascii="Lucida Console" w:hAnsi="Lucida Console"/>
                      <w:color w:val="000000"/>
                      <w:sz w:val="20"/>
                      <w:szCs w:val="20"/>
                      <w:lang w:val="en-GB" w:eastAsia="en-GB"/>
                    </w:rPr>
                    <w:t>df</w:t>
                  </w:r>
                  <w:proofErr w:type="spellEnd"/>
                  <w:r w:rsidRPr="002B3649">
                    <w:rPr>
                      <w:rFonts w:ascii="Lucida Console" w:hAnsi="Lucida Console"/>
                      <w:color w:val="000000"/>
                      <w:sz w:val="20"/>
                      <w:szCs w:val="20"/>
                      <w:lang w:val="en-GB" w:eastAsia="en-GB"/>
                    </w:rPr>
                    <w:t xml:space="preserve"> = 11) = 9.7194, p-</w:t>
                  </w:r>
                  <w:proofErr w:type="spellStart"/>
                  <w:r w:rsidRPr="002B3649">
                    <w:rPr>
                      <w:rFonts w:ascii="Lucida Console" w:hAnsi="Lucida Console"/>
                      <w:color w:val="000000"/>
                      <w:sz w:val="20"/>
                      <w:szCs w:val="20"/>
                      <w:lang w:val="en-GB" w:eastAsia="en-GB"/>
                    </w:rPr>
                    <w:t>val</w:t>
                  </w:r>
                  <w:proofErr w:type="spellEnd"/>
                  <w:r w:rsidRPr="002B3649">
                    <w:rPr>
                      <w:rFonts w:ascii="Lucida Console" w:hAnsi="Lucida Console"/>
                      <w:color w:val="000000"/>
                      <w:sz w:val="20"/>
                      <w:szCs w:val="20"/>
                      <w:lang w:val="en-GB" w:eastAsia="en-GB"/>
                    </w:rPr>
                    <w:t xml:space="preserve"> = 0.5558</w:t>
                  </w:r>
                </w:p>
              </w:tc>
            </w:tr>
            <w:tr w:rsidR="00A34187" w:rsidRPr="002B3649" w14:paraId="5288C9A2" w14:textId="77777777" w:rsidTr="00A34187">
              <w:trPr>
                <w:trHeight w:val="300"/>
              </w:trPr>
              <w:tc>
                <w:tcPr>
                  <w:tcW w:w="8346" w:type="dxa"/>
                  <w:tcBorders>
                    <w:top w:val="nil"/>
                    <w:left w:val="nil"/>
                    <w:bottom w:val="nil"/>
                    <w:right w:val="nil"/>
                  </w:tcBorders>
                  <w:shd w:val="clear" w:color="auto" w:fill="auto"/>
                  <w:noWrap/>
                  <w:vAlign w:val="center"/>
                  <w:hideMark/>
                </w:tcPr>
                <w:p w14:paraId="40A34487" w14:textId="77777777" w:rsidR="00A34187" w:rsidRPr="002B3649" w:rsidRDefault="00A34187" w:rsidP="00A34187">
                  <w:pPr>
                    <w:rPr>
                      <w:rFonts w:ascii="Lucida Console" w:hAnsi="Lucida Console"/>
                      <w:color w:val="000000"/>
                      <w:sz w:val="20"/>
                      <w:szCs w:val="20"/>
                      <w:lang w:val="en-GB" w:eastAsia="en-GB"/>
                    </w:rPr>
                  </w:pPr>
                </w:p>
              </w:tc>
            </w:tr>
            <w:tr w:rsidR="00A34187" w:rsidRPr="002B3649" w14:paraId="3B0F2A65" w14:textId="77777777" w:rsidTr="00A34187">
              <w:trPr>
                <w:trHeight w:val="300"/>
              </w:trPr>
              <w:tc>
                <w:tcPr>
                  <w:tcW w:w="8346" w:type="dxa"/>
                  <w:tcBorders>
                    <w:top w:val="nil"/>
                    <w:left w:val="nil"/>
                    <w:bottom w:val="nil"/>
                    <w:right w:val="nil"/>
                  </w:tcBorders>
                  <w:shd w:val="clear" w:color="auto" w:fill="auto"/>
                  <w:noWrap/>
                  <w:vAlign w:val="center"/>
                  <w:hideMark/>
                </w:tcPr>
                <w:p w14:paraId="64AC24DD"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Model Results:</w:t>
                  </w:r>
                </w:p>
              </w:tc>
            </w:tr>
            <w:tr w:rsidR="00A34187" w:rsidRPr="002B3649" w14:paraId="0397CDD5" w14:textId="77777777" w:rsidTr="00A34187">
              <w:trPr>
                <w:trHeight w:val="300"/>
              </w:trPr>
              <w:tc>
                <w:tcPr>
                  <w:tcW w:w="8346" w:type="dxa"/>
                  <w:tcBorders>
                    <w:top w:val="nil"/>
                    <w:left w:val="nil"/>
                    <w:bottom w:val="nil"/>
                    <w:right w:val="nil"/>
                  </w:tcBorders>
                  <w:shd w:val="clear" w:color="auto" w:fill="auto"/>
                  <w:noWrap/>
                  <w:vAlign w:val="center"/>
                  <w:hideMark/>
                </w:tcPr>
                <w:p w14:paraId="4FDA450C" w14:textId="77777777" w:rsidR="00A34187" w:rsidRPr="002B3649" w:rsidRDefault="00A34187" w:rsidP="00A34187">
                  <w:pPr>
                    <w:rPr>
                      <w:rFonts w:ascii="Lucida Console" w:hAnsi="Lucida Console"/>
                      <w:color w:val="000000"/>
                      <w:sz w:val="20"/>
                      <w:szCs w:val="20"/>
                      <w:lang w:val="en-GB" w:eastAsia="en-GB"/>
                    </w:rPr>
                  </w:pPr>
                </w:p>
              </w:tc>
            </w:tr>
            <w:tr w:rsidR="00A34187" w:rsidRPr="002E4455" w14:paraId="6F51F5E5" w14:textId="77777777" w:rsidTr="00A34187">
              <w:trPr>
                <w:trHeight w:val="300"/>
              </w:trPr>
              <w:tc>
                <w:tcPr>
                  <w:tcW w:w="8346" w:type="dxa"/>
                  <w:tcBorders>
                    <w:top w:val="nil"/>
                    <w:left w:val="nil"/>
                    <w:bottom w:val="nil"/>
                    <w:right w:val="nil"/>
                  </w:tcBorders>
                  <w:shd w:val="clear" w:color="auto" w:fill="auto"/>
                  <w:noWrap/>
                  <w:vAlign w:val="center"/>
                  <w:hideMark/>
                </w:tcPr>
                <w:p w14:paraId="71C00A24"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estimate       se     </w:t>
                  </w:r>
                  <w:proofErr w:type="spellStart"/>
                  <w:r w:rsidRPr="002B3649">
                    <w:rPr>
                      <w:rFonts w:ascii="Lucida Console" w:hAnsi="Lucida Console"/>
                      <w:color w:val="000000"/>
                      <w:sz w:val="20"/>
                      <w:szCs w:val="20"/>
                      <w:lang w:val="en-GB" w:eastAsia="en-GB"/>
                    </w:rPr>
                    <w:t>zval</w:t>
                  </w:r>
                  <w:proofErr w:type="spellEnd"/>
                  <w:r w:rsidRPr="002B3649">
                    <w:rPr>
                      <w:rFonts w:ascii="Lucida Console" w:hAnsi="Lucida Console"/>
                      <w:color w:val="000000"/>
                      <w:sz w:val="20"/>
                      <w:szCs w:val="20"/>
                      <w:lang w:val="en-GB" w:eastAsia="en-GB"/>
                    </w:rPr>
                    <w:t xml:space="preserve">     </w:t>
                  </w:r>
                  <w:proofErr w:type="spellStart"/>
                  <w:r w:rsidRPr="002B3649">
                    <w:rPr>
                      <w:rFonts w:ascii="Lucida Console" w:hAnsi="Lucida Console"/>
                      <w:color w:val="000000"/>
                      <w:sz w:val="20"/>
                      <w:szCs w:val="20"/>
                      <w:lang w:val="en-GB" w:eastAsia="en-GB"/>
                    </w:rPr>
                    <w:t>pval</w:t>
                  </w:r>
                  <w:proofErr w:type="spellEnd"/>
                  <w:r w:rsidRPr="002B3649">
                    <w:rPr>
                      <w:rFonts w:ascii="Lucida Console" w:hAnsi="Lucida Console"/>
                      <w:color w:val="000000"/>
                      <w:sz w:val="20"/>
                      <w:szCs w:val="20"/>
                      <w:lang w:val="en-GB" w:eastAsia="en-GB"/>
                    </w:rPr>
                    <w:t xml:space="preserve">    ci.lb    </w:t>
                  </w:r>
                  <w:proofErr w:type="spellStart"/>
                  <w:r w:rsidRPr="002B3649">
                    <w:rPr>
                      <w:rFonts w:ascii="Lucida Console" w:hAnsi="Lucida Console"/>
                      <w:color w:val="000000"/>
                      <w:sz w:val="20"/>
                      <w:szCs w:val="20"/>
                      <w:lang w:val="en-GB" w:eastAsia="en-GB"/>
                    </w:rPr>
                    <w:t>ci.ub</w:t>
                  </w:r>
                  <w:proofErr w:type="spellEnd"/>
                  <w:r w:rsidRPr="002B3649">
                    <w:rPr>
                      <w:rFonts w:ascii="Lucida Console" w:hAnsi="Lucida Console"/>
                      <w:color w:val="000000"/>
                      <w:sz w:val="20"/>
                      <w:szCs w:val="20"/>
                      <w:lang w:val="en-GB" w:eastAsia="en-GB"/>
                    </w:rPr>
                    <w:t xml:space="preserve">          </w:t>
                  </w:r>
                </w:p>
              </w:tc>
            </w:tr>
            <w:tr w:rsidR="00A34187" w:rsidRPr="002B3649" w14:paraId="338755B8" w14:textId="77777777" w:rsidTr="00A34187">
              <w:trPr>
                <w:trHeight w:val="300"/>
              </w:trPr>
              <w:tc>
                <w:tcPr>
                  <w:tcW w:w="8346" w:type="dxa"/>
                  <w:tcBorders>
                    <w:top w:val="nil"/>
                    <w:left w:val="nil"/>
                    <w:bottom w:val="nil"/>
                    <w:right w:val="nil"/>
                  </w:tcBorders>
                  <w:shd w:val="clear" w:color="auto" w:fill="auto"/>
                  <w:noWrap/>
                  <w:vAlign w:val="center"/>
                  <w:hideMark/>
                </w:tcPr>
                <w:p w14:paraId="365344E8"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 -0.0413   0.0301  -1.3717   0.1701  -0.1003   0.0177          </w:t>
                  </w:r>
                </w:p>
              </w:tc>
            </w:tr>
          </w:tbl>
          <w:p w14:paraId="69F03AB9" w14:textId="77777777" w:rsidR="00A34187" w:rsidRPr="002B3649" w:rsidRDefault="00A34187" w:rsidP="00B61BFE">
            <w:pPr>
              <w:rPr>
                <w:rFonts w:ascii="Lucida Console" w:hAnsi="Lucida Console"/>
                <w:color w:val="000000"/>
                <w:sz w:val="20"/>
                <w:szCs w:val="20"/>
                <w:lang w:val="en-GB" w:eastAsia="en-GB"/>
              </w:rPr>
            </w:pPr>
          </w:p>
        </w:tc>
      </w:tr>
    </w:tbl>
    <w:p w14:paraId="51D617F0" w14:textId="77777777" w:rsidR="00A34187" w:rsidRPr="002B3649" w:rsidRDefault="00A34187" w:rsidP="00504F09">
      <w:pPr>
        <w:spacing w:line="360" w:lineRule="auto"/>
        <w:rPr>
          <w:lang w:val="en-GB"/>
        </w:rPr>
      </w:pPr>
    </w:p>
    <w:p w14:paraId="1D6134B8" w14:textId="77777777" w:rsidR="00A34187" w:rsidRPr="002B3649" w:rsidRDefault="00A34187" w:rsidP="00A34187">
      <w:pPr>
        <w:pStyle w:val="ListParagraph"/>
        <w:numPr>
          <w:ilvl w:val="0"/>
          <w:numId w:val="1"/>
        </w:numPr>
        <w:spacing w:line="360" w:lineRule="auto"/>
        <w:rPr>
          <w:rFonts w:asciiTheme="minorHAnsi" w:hAnsiTheme="minorHAnsi"/>
          <w:lang w:val="en-GB"/>
        </w:rPr>
      </w:pPr>
      <w:r w:rsidRPr="002B3649">
        <w:rPr>
          <w:rFonts w:asciiTheme="minorHAnsi" w:hAnsiTheme="minorHAnsi"/>
          <w:lang w:val="en-GB"/>
        </w:rPr>
        <w:t>Effects of covariates: left MOFC &lt;- global SANS + CPZ + gender + age + site (if applicable)</w:t>
      </w:r>
    </w:p>
    <w:p w14:paraId="35304B37" w14:textId="77777777" w:rsidR="00A34187" w:rsidRPr="002B3649" w:rsidRDefault="00A34187" w:rsidP="00A34187">
      <w:pPr>
        <w:pStyle w:val="ListParagraph"/>
        <w:spacing w:line="360" w:lineRule="auto"/>
        <w:ind w:left="360"/>
        <w:rPr>
          <w:rFonts w:asciiTheme="minorHAnsi" w:hAnsiTheme="minorHAnsi"/>
          <w:lang w:val="en-GB"/>
        </w:rPr>
      </w:pPr>
    </w:p>
    <w:p w14:paraId="18C244B1" w14:textId="5F7D227F" w:rsidR="00A34187" w:rsidRPr="002B3649" w:rsidRDefault="00A34187" w:rsidP="00A34187">
      <w:pPr>
        <w:pStyle w:val="ListParagraph"/>
        <w:spacing w:line="360" w:lineRule="auto"/>
        <w:ind w:left="360"/>
        <w:rPr>
          <w:rFonts w:asciiTheme="minorHAnsi" w:hAnsiTheme="minorHAnsi"/>
          <w:lang w:val="en-GB"/>
        </w:rPr>
      </w:pPr>
      <w:r w:rsidRPr="002B3649">
        <w:rPr>
          <w:rFonts w:asciiTheme="minorHAnsi" w:hAnsiTheme="minorHAnsi"/>
          <w:lang w:val="en-GB"/>
        </w:rPr>
        <w:t xml:space="preserve">Shown below are the estimate, the standard error, p value and the confidence intervals for the meta-analytical standardized regression beta of global SANS scores on left MOFC thickness, controlling for current chlorpromazine equivalents (based on Woods </w:t>
      </w:r>
      <w:r w:rsidRPr="004A68A3">
        <w:rPr>
          <w:rFonts w:asciiTheme="minorHAnsi" w:hAnsiTheme="minorHAnsi"/>
          <w:i/>
          <w:lang w:val="en-GB"/>
        </w:rPr>
        <w:t>et al</w:t>
      </w:r>
      <w:r w:rsidRPr="002B3649">
        <w:rPr>
          <w:rFonts w:asciiTheme="minorHAnsi" w:hAnsiTheme="minorHAnsi"/>
          <w:lang w:val="en-GB"/>
        </w:rPr>
        <w:t xml:space="preserve">. </w:t>
      </w:r>
      <w:r w:rsidR="00B90C8A" w:rsidRPr="002B3649">
        <w:rPr>
          <w:rFonts w:asciiTheme="minorHAnsi" w:hAnsiTheme="minorHAnsi"/>
          <w:lang w:val="en-GB"/>
        </w:rPr>
        <w:fldChar w:fldCharType="begin"/>
      </w:r>
      <w:r w:rsidR="00B90C8A" w:rsidRPr="002B3649">
        <w:rPr>
          <w:rFonts w:asciiTheme="minorHAnsi" w:hAnsiTheme="minorHAnsi"/>
          <w:lang w:val="en-GB"/>
        </w:rPr>
        <w:instrText xml:space="preserve"> ADDIN ZOTERO_ITEM CSL_CITATION {"citationID":"1kM2Gxqn","properties":{"formattedCitation":"(2003)","plainCitation":"(2003)"},"citationItems":[{"id":719,"uris":["http://zotero.org/users/788477/items/X3A26CI9"],"uri":["http://zotero.org/users/788477/items/X3A26CI9"],"itemData":{"id":719,"type":"article-journal","title":"Chlorpromazine equivalent doses for the newer atypical antipsychotics","container-title":"The Journal of Clinical Psychiatry","page":"663-667","volume":"64","issue":"6","source":"NCBI PubMed","abstract":"BACKGROUND: Several clinical and research applications require an estimation of therapeutic dose equivalence across antipsychotic medications. Since the advent of the newer atypical antipsychotics, new dose equivalent estimations have been needed. METHOD: The reported minimum effective dose was identified for each newer atypical antipsychotic medication and for haloperidol across all available fixed-dose placebo-controlled studies. Reported minimum effective dose equivalence ratios to haloperidol were then converted to chlorpromazine equivalents using the \"2 mg of haloperidol equals 100 mg of chlorpromazine\" convention. DATA SOURCES AND STUDY SELECTION: To identify the fixed-dose studies, the following sources were searched until June 2002: MEDLINE, the bibliographies of identified reports, published meta-analyses and reviews, Cochrane reviews, Freedom of Information Act material available from the Food and Drug Administration, and abstracts from several scientific meetings from 1997 to 2002. RESULTS: Doses equivalent to 100 mg/day of chlorpromazine were 2 mg/day for risperidone, 5 mg/day for olanzapine, 75 mg/day for quetiapine, 60 mg/day for ziprasidone, and 7.5 mg/day for aripiprazole. CONCLUSION: These equivalency estimates may be useful for clinical and research purposes. The source of the dose equivalency estimation is evidence-based and consistent across medication.","ISSN":"0160-6689","note":"PMID: 12823080","journalAbbreviation":"J Clin Psychiatry","author":[{"family":"Woods","given":"Scott W"}],"issued":{"date-parts":[["2003",6]]},"PMID":"12823080"},"suppress-author":true}],"schema":"https://github.com/citation-style-language/schema/raw/master/csl-citation.json"} </w:instrText>
      </w:r>
      <w:r w:rsidR="00B90C8A" w:rsidRPr="002B3649">
        <w:rPr>
          <w:rFonts w:asciiTheme="minorHAnsi" w:hAnsiTheme="minorHAnsi"/>
          <w:lang w:val="en-GB"/>
        </w:rPr>
        <w:fldChar w:fldCharType="separate"/>
      </w:r>
      <w:r w:rsidR="00B90C8A" w:rsidRPr="002B3649">
        <w:rPr>
          <w:rFonts w:ascii="Calibri" w:hAnsi="Calibri"/>
        </w:rPr>
        <w:t>(2003)</w:t>
      </w:r>
      <w:r w:rsidR="00B90C8A" w:rsidRPr="002B3649">
        <w:rPr>
          <w:rFonts w:asciiTheme="minorHAnsi" w:hAnsiTheme="minorHAnsi"/>
          <w:lang w:val="en-GB"/>
        </w:rPr>
        <w:fldChar w:fldCharType="end"/>
      </w:r>
      <w:r w:rsidRPr="002B3649">
        <w:rPr>
          <w:rFonts w:asciiTheme="minorHAnsi" w:hAnsiTheme="minorHAnsi"/>
          <w:lang w:val="en-GB"/>
        </w:rPr>
        <w:t>). Results were based on estimates from 12 studies.</w:t>
      </w:r>
    </w:p>
    <w:p w14:paraId="6FD1E741" w14:textId="77777777" w:rsidR="00A34187" w:rsidRPr="002B3649" w:rsidRDefault="00A34187" w:rsidP="00A34187">
      <w:pPr>
        <w:spacing w:line="360" w:lineRule="auto"/>
        <w:rPr>
          <w:rFonts w:asciiTheme="minorHAnsi" w:hAnsiTheme="minorHAnsi"/>
          <w:lang w:val="en-GB"/>
        </w:rPr>
      </w:pPr>
    </w:p>
    <w:tbl>
      <w:tblPr>
        <w:tblW w:w="9189"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9"/>
      </w:tblGrid>
      <w:tr w:rsidR="00A34187" w:rsidRPr="002B3649" w14:paraId="5EB472F5" w14:textId="77777777" w:rsidTr="00B61BFE">
        <w:trPr>
          <w:trHeight w:val="300"/>
        </w:trPr>
        <w:tc>
          <w:tcPr>
            <w:tcW w:w="9189" w:type="dxa"/>
            <w:shd w:val="clear" w:color="auto" w:fill="auto"/>
            <w:noWrap/>
            <w:vAlign w:val="center"/>
          </w:tcPr>
          <w:tbl>
            <w:tblPr>
              <w:tblW w:w="8562" w:type="dxa"/>
              <w:tblLook w:val="04A0" w:firstRow="1" w:lastRow="0" w:firstColumn="1" w:lastColumn="0" w:noHBand="0" w:noVBand="1"/>
            </w:tblPr>
            <w:tblGrid>
              <w:gridCol w:w="8562"/>
            </w:tblGrid>
            <w:tr w:rsidR="00A34187" w:rsidRPr="002B3649" w14:paraId="3A3B3B72" w14:textId="77777777" w:rsidTr="00C23C61">
              <w:trPr>
                <w:trHeight w:val="300"/>
              </w:trPr>
              <w:tc>
                <w:tcPr>
                  <w:tcW w:w="8562" w:type="dxa"/>
                  <w:tcBorders>
                    <w:top w:val="nil"/>
                    <w:left w:val="nil"/>
                    <w:bottom w:val="nil"/>
                    <w:right w:val="nil"/>
                  </w:tcBorders>
                  <w:shd w:val="clear" w:color="auto" w:fill="auto"/>
                  <w:noWrap/>
                  <w:vAlign w:val="center"/>
                </w:tcPr>
                <w:tbl>
                  <w:tblPr>
                    <w:tblW w:w="8346" w:type="dxa"/>
                    <w:tblLook w:val="04A0" w:firstRow="1" w:lastRow="0" w:firstColumn="1" w:lastColumn="0" w:noHBand="0" w:noVBand="1"/>
                  </w:tblPr>
                  <w:tblGrid>
                    <w:gridCol w:w="8346"/>
                  </w:tblGrid>
                  <w:tr w:rsidR="00A34187" w:rsidRPr="002E4455" w14:paraId="6EBF2CB4" w14:textId="77777777" w:rsidTr="00A34187">
                    <w:trPr>
                      <w:trHeight w:val="300"/>
                    </w:trPr>
                    <w:tc>
                      <w:tcPr>
                        <w:tcW w:w="8346" w:type="dxa"/>
                        <w:tcBorders>
                          <w:top w:val="nil"/>
                          <w:left w:val="nil"/>
                          <w:bottom w:val="nil"/>
                          <w:right w:val="nil"/>
                        </w:tcBorders>
                        <w:shd w:val="clear" w:color="auto" w:fill="auto"/>
                        <w:noWrap/>
                        <w:vAlign w:val="center"/>
                        <w:hideMark/>
                      </w:tcPr>
                      <w:p w14:paraId="62A1A837"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Random-Effects Model (k = 12; tau^2 estimator: REML)</w:t>
                        </w:r>
                      </w:p>
                    </w:tc>
                  </w:tr>
                  <w:tr w:rsidR="00A34187" w:rsidRPr="002E4455" w14:paraId="535FB81A" w14:textId="77777777" w:rsidTr="00A34187">
                    <w:trPr>
                      <w:trHeight w:val="300"/>
                    </w:trPr>
                    <w:tc>
                      <w:tcPr>
                        <w:tcW w:w="8346" w:type="dxa"/>
                        <w:tcBorders>
                          <w:top w:val="nil"/>
                          <w:left w:val="nil"/>
                          <w:bottom w:val="nil"/>
                          <w:right w:val="nil"/>
                        </w:tcBorders>
                        <w:shd w:val="clear" w:color="auto" w:fill="auto"/>
                        <w:noWrap/>
                        <w:vAlign w:val="center"/>
                        <w:hideMark/>
                      </w:tcPr>
                      <w:p w14:paraId="3722F6B8" w14:textId="77777777" w:rsidR="00A34187" w:rsidRPr="002B3649" w:rsidRDefault="00A34187" w:rsidP="00A34187">
                        <w:pPr>
                          <w:rPr>
                            <w:rFonts w:ascii="Lucida Console" w:hAnsi="Lucida Console"/>
                            <w:color w:val="000000"/>
                            <w:sz w:val="20"/>
                            <w:szCs w:val="20"/>
                            <w:lang w:val="en-GB" w:eastAsia="en-GB"/>
                          </w:rPr>
                        </w:pPr>
                      </w:p>
                    </w:tc>
                  </w:tr>
                  <w:tr w:rsidR="00A34187" w:rsidRPr="002E4455" w14:paraId="54084E64" w14:textId="77777777" w:rsidTr="00A34187">
                    <w:trPr>
                      <w:trHeight w:val="300"/>
                    </w:trPr>
                    <w:tc>
                      <w:tcPr>
                        <w:tcW w:w="8346" w:type="dxa"/>
                        <w:tcBorders>
                          <w:top w:val="nil"/>
                          <w:left w:val="nil"/>
                          <w:bottom w:val="nil"/>
                          <w:right w:val="nil"/>
                        </w:tcBorders>
                        <w:shd w:val="clear" w:color="auto" w:fill="auto"/>
                        <w:noWrap/>
                        <w:vAlign w:val="center"/>
                        <w:hideMark/>
                      </w:tcPr>
                      <w:p w14:paraId="1A268D52"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tau^2 (estimated amount of total heterogeneity): 0.0120 (SE = 0.0104)</w:t>
                        </w:r>
                      </w:p>
                    </w:tc>
                  </w:tr>
                  <w:tr w:rsidR="00A34187" w:rsidRPr="002E4455" w14:paraId="65A48D0E" w14:textId="77777777" w:rsidTr="00A34187">
                    <w:trPr>
                      <w:trHeight w:val="300"/>
                    </w:trPr>
                    <w:tc>
                      <w:tcPr>
                        <w:tcW w:w="8346" w:type="dxa"/>
                        <w:tcBorders>
                          <w:top w:val="nil"/>
                          <w:left w:val="nil"/>
                          <w:bottom w:val="nil"/>
                          <w:right w:val="nil"/>
                        </w:tcBorders>
                        <w:shd w:val="clear" w:color="auto" w:fill="auto"/>
                        <w:noWrap/>
                        <w:vAlign w:val="center"/>
                        <w:hideMark/>
                      </w:tcPr>
                      <w:p w14:paraId="5DB436BB"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tau (square root of estimated tau^2 value):      0.1093</w:t>
                        </w:r>
                      </w:p>
                    </w:tc>
                  </w:tr>
                  <w:tr w:rsidR="00A34187" w:rsidRPr="002E4455" w14:paraId="29ACDD08" w14:textId="77777777" w:rsidTr="00A34187">
                    <w:trPr>
                      <w:trHeight w:val="300"/>
                    </w:trPr>
                    <w:tc>
                      <w:tcPr>
                        <w:tcW w:w="8346" w:type="dxa"/>
                        <w:tcBorders>
                          <w:top w:val="nil"/>
                          <w:left w:val="nil"/>
                          <w:bottom w:val="nil"/>
                          <w:right w:val="nil"/>
                        </w:tcBorders>
                        <w:shd w:val="clear" w:color="auto" w:fill="auto"/>
                        <w:noWrap/>
                        <w:vAlign w:val="center"/>
                        <w:hideMark/>
                      </w:tcPr>
                      <w:p w14:paraId="74C44C37"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I^2 (total heterogeneity / total variability):   52.08%</w:t>
                        </w:r>
                      </w:p>
                    </w:tc>
                  </w:tr>
                  <w:tr w:rsidR="00A34187" w:rsidRPr="002E4455" w14:paraId="3E28267E" w14:textId="77777777" w:rsidTr="00A34187">
                    <w:trPr>
                      <w:trHeight w:val="300"/>
                    </w:trPr>
                    <w:tc>
                      <w:tcPr>
                        <w:tcW w:w="8346" w:type="dxa"/>
                        <w:tcBorders>
                          <w:top w:val="nil"/>
                          <w:left w:val="nil"/>
                          <w:bottom w:val="nil"/>
                          <w:right w:val="nil"/>
                        </w:tcBorders>
                        <w:shd w:val="clear" w:color="auto" w:fill="auto"/>
                        <w:noWrap/>
                        <w:vAlign w:val="center"/>
                        <w:hideMark/>
                      </w:tcPr>
                      <w:p w14:paraId="67A849E8"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H^2 (total variability / sampling variability):  2.09</w:t>
                        </w:r>
                      </w:p>
                    </w:tc>
                  </w:tr>
                  <w:tr w:rsidR="00A34187" w:rsidRPr="002E4455" w14:paraId="76C7A04A" w14:textId="77777777" w:rsidTr="00A34187">
                    <w:trPr>
                      <w:trHeight w:val="300"/>
                    </w:trPr>
                    <w:tc>
                      <w:tcPr>
                        <w:tcW w:w="8346" w:type="dxa"/>
                        <w:tcBorders>
                          <w:top w:val="nil"/>
                          <w:left w:val="nil"/>
                          <w:bottom w:val="nil"/>
                          <w:right w:val="nil"/>
                        </w:tcBorders>
                        <w:shd w:val="clear" w:color="auto" w:fill="auto"/>
                        <w:noWrap/>
                        <w:vAlign w:val="center"/>
                        <w:hideMark/>
                      </w:tcPr>
                      <w:p w14:paraId="2559881E" w14:textId="77777777" w:rsidR="00A34187" w:rsidRPr="002B3649" w:rsidRDefault="00A34187" w:rsidP="00A34187">
                        <w:pPr>
                          <w:rPr>
                            <w:rFonts w:ascii="Lucida Console" w:hAnsi="Lucida Console"/>
                            <w:color w:val="000000"/>
                            <w:sz w:val="20"/>
                            <w:szCs w:val="20"/>
                            <w:lang w:val="en-GB" w:eastAsia="en-GB"/>
                          </w:rPr>
                        </w:pPr>
                      </w:p>
                    </w:tc>
                  </w:tr>
                  <w:tr w:rsidR="00A34187" w:rsidRPr="002B3649" w14:paraId="0AE04FB1" w14:textId="77777777" w:rsidTr="00A34187">
                    <w:trPr>
                      <w:trHeight w:val="300"/>
                    </w:trPr>
                    <w:tc>
                      <w:tcPr>
                        <w:tcW w:w="8346" w:type="dxa"/>
                        <w:tcBorders>
                          <w:top w:val="nil"/>
                          <w:left w:val="nil"/>
                          <w:bottom w:val="nil"/>
                          <w:right w:val="nil"/>
                        </w:tcBorders>
                        <w:shd w:val="clear" w:color="auto" w:fill="auto"/>
                        <w:noWrap/>
                        <w:vAlign w:val="center"/>
                        <w:hideMark/>
                      </w:tcPr>
                      <w:p w14:paraId="635D3C54"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lastRenderedPageBreak/>
                          <w:t xml:space="preserve">Test for Heterogeneity: </w:t>
                        </w:r>
                      </w:p>
                    </w:tc>
                  </w:tr>
                  <w:tr w:rsidR="00A34187" w:rsidRPr="002B3649" w14:paraId="5E4ED71D" w14:textId="77777777" w:rsidTr="00A34187">
                    <w:trPr>
                      <w:trHeight w:val="300"/>
                    </w:trPr>
                    <w:tc>
                      <w:tcPr>
                        <w:tcW w:w="8346" w:type="dxa"/>
                        <w:tcBorders>
                          <w:top w:val="nil"/>
                          <w:left w:val="nil"/>
                          <w:bottom w:val="nil"/>
                          <w:right w:val="nil"/>
                        </w:tcBorders>
                        <w:shd w:val="clear" w:color="auto" w:fill="auto"/>
                        <w:noWrap/>
                        <w:vAlign w:val="center"/>
                        <w:hideMark/>
                      </w:tcPr>
                      <w:p w14:paraId="5A5DDF5D"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Q(</w:t>
                        </w:r>
                        <w:proofErr w:type="spellStart"/>
                        <w:r w:rsidRPr="002B3649">
                          <w:rPr>
                            <w:rFonts w:ascii="Lucida Console" w:hAnsi="Lucida Console"/>
                            <w:color w:val="000000"/>
                            <w:sz w:val="20"/>
                            <w:szCs w:val="20"/>
                            <w:lang w:val="en-GB" w:eastAsia="en-GB"/>
                          </w:rPr>
                          <w:t>df</w:t>
                        </w:r>
                        <w:proofErr w:type="spellEnd"/>
                        <w:r w:rsidRPr="002B3649">
                          <w:rPr>
                            <w:rFonts w:ascii="Lucida Console" w:hAnsi="Lucida Console"/>
                            <w:color w:val="000000"/>
                            <w:sz w:val="20"/>
                            <w:szCs w:val="20"/>
                            <w:lang w:val="en-GB" w:eastAsia="en-GB"/>
                          </w:rPr>
                          <w:t xml:space="preserve"> = 11) = 22.4039, p-</w:t>
                        </w:r>
                        <w:proofErr w:type="spellStart"/>
                        <w:r w:rsidRPr="002B3649">
                          <w:rPr>
                            <w:rFonts w:ascii="Lucida Console" w:hAnsi="Lucida Console"/>
                            <w:color w:val="000000"/>
                            <w:sz w:val="20"/>
                            <w:szCs w:val="20"/>
                            <w:lang w:val="en-GB" w:eastAsia="en-GB"/>
                          </w:rPr>
                          <w:t>val</w:t>
                        </w:r>
                        <w:proofErr w:type="spellEnd"/>
                        <w:r w:rsidRPr="002B3649">
                          <w:rPr>
                            <w:rFonts w:ascii="Lucida Console" w:hAnsi="Lucida Console"/>
                            <w:color w:val="000000"/>
                            <w:sz w:val="20"/>
                            <w:szCs w:val="20"/>
                            <w:lang w:val="en-GB" w:eastAsia="en-GB"/>
                          </w:rPr>
                          <w:t xml:space="preserve"> = 0.0214</w:t>
                        </w:r>
                      </w:p>
                    </w:tc>
                  </w:tr>
                  <w:tr w:rsidR="00A34187" w:rsidRPr="002B3649" w14:paraId="28A73F32" w14:textId="77777777" w:rsidTr="00A34187">
                    <w:trPr>
                      <w:trHeight w:val="300"/>
                    </w:trPr>
                    <w:tc>
                      <w:tcPr>
                        <w:tcW w:w="8346" w:type="dxa"/>
                        <w:tcBorders>
                          <w:top w:val="nil"/>
                          <w:left w:val="nil"/>
                          <w:bottom w:val="nil"/>
                          <w:right w:val="nil"/>
                        </w:tcBorders>
                        <w:shd w:val="clear" w:color="auto" w:fill="auto"/>
                        <w:noWrap/>
                        <w:vAlign w:val="center"/>
                        <w:hideMark/>
                      </w:tcPr>
                      <w:p w14:paraId="119F55B2" w14:textId="77777777" w:rsidR="00A34187" w:rsidRPr="002B3649" w:rsidRDefault="00A34187" w:rsidP="00A34187">
                        <w:pPr>
                          <w:rPr>
                            <w:rFonts w:ascii="Lucida Console" w:hAnsi="Lucida Console"/>
                            <w:color w:val="000000"/>
                            <w:sz w:val="20"/>
                            <w:szCs w:val="20"/>
                            <w:lang w:val="en-GB" w:eastAsia="en-GB"/>
                          </w:rPr>
                        </w:pPr>
                      </w:p>
                    </w:tc>
                  </w:tr>
                  <w:tr w:rsidR="00A34187" w:rsidRPr="002B3649" w14:paraId="56F384FB" w14:textId="77777777" w:rsidTr="00A34187">
                    <w:trPr>
                      <w:trHeight w:val="300"/>
                    </w:trPr>
                    <w:tc>
                      <w:tcPr>
                        <w:tcW w:w="8346" w:type="dxa"/>
                        <w:tcBorders>
                          <w:top w:val="nil"/>
                          <w:left w:val="nil"/>
                          <w:bottom w:val="nil"/>
                          <w:right w:val="nil"/>
                        </w:tcBorders>
                        <w:shd w:val="clear" w:color="auto" w:fill="auto"/>
                        <w:noWrap/>
                        <w:vAlign w:val="center"/>
                        <w:hideMark/>
                      </w:tcPr>
                      <w:p w14:paraId="3330171D"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Model Results:</w:t>
                        </w:r>
                      </w:p>
                    </w:tc>
                  </w:tr>
                  <w:tr w:rsidR="00A34187" w:rsidRPr="002B3649" w14:paraId="06401980" w14:textId="77777777" w:rsidTr="00A34187">
                    <w:trPr>
                      <w:trHeight w:val="300"/>
                    </w:trPr>
                    <w:tc>
                      <w:tcPr>
                        <w:tcW w:w="8346" w:type="dxa"/>
                        <w:tcBorders>
                          <w:top w:val="nil"/>
                          <w:left w:val="nil"/>
                          <w:bottom w:val="nil"/>
                          <w:right w:val="nil"/>
                        </w:tcBorders>
                        <w:shd w:val="clear" w:color="auto" w:fill="auto"/>
                        <w:noWrap/>
                        <w:vAlign w:val="center"/>
                        <w:hideMark/>
                      </w:tcPr>
                      <w:p w14:paraId="57417C08" w14:textId="77777777" w:rsidR="00A34187" w:rsidRPr="002B3649" w:rsidRDefault="00A34187" w:rsidP="00A34187">
                        <w:pPr>
                          <w:rPr>
                            <w:rFonts w:ascii="Lucida Console" w:hAnsi="Lucida Console"/>
                            <w:color w:val="000000"/>
                            <w:sz w:val="20"/>
                            <w:szCs w:val="20"/>
                            <w:lang w:val="en-GB" w:eastAsia="en-GB"/>
                          </w:rPr>
                        </w:pPr>
                      </w:p>
                    </w:tc>
                  </w:tr>
                  <w:tr w:rsidR="00A34187" w:rsidRPr="002E4455" w14:paraId="10AE20C0" w14:textId="77777777" w:rsidTr="00A34187">
                    <w:trPr>
                      <w:trHeight w:val="300"/>
                    </w:trPr>
                    <w:tc>
                      <w:tcPr>
                        <w:tcW w:w="8346" w:type="dxa"/>
                        <w:tcBorders>
                          <w:top w:val="nil"/>
                          <w:left w:val="nil"/>
                          <w:bottom w:val="nil"/>
                          <w:right w:val="nil"/>
                        </w:tcBorders>
                        <w:shd w:val="clear" w:color="auto" w:fill="auto"/>
                        <w:noWrap/>
                        <w:vAlign w:val="center"/>
                        <w:hideMark/>
                      </w:tcPr>
                      <w:p w14:paraId="641EE7C3"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estimate       se     </w:t>
                        </w:r>
                        <w:proofErr w:type="spellStart"/>
                        <w:r w:rsidRPr="002B3649">
                          <w:rPr>
                            <w:rFonts w:ascii="Lucida Console" w:hAnsi="Lucida Console"/>
                            <w:color w:val="000000"/>
                            <w:sz w:val="20"/>
                            <w:szCs w:val="20"/>
                            <w:lang w:val="en-GB" w:eastAsia="en-GB"/>
                          </w:rPr>
                          <w:t>zval</w:t>
                        </w:r>
                        <w:proofErr w:type="spellEnd"/>
                        <w:r w:rsidRPr="002B3649">
                          <w:rPr>
                            <w:rFonts w:ascii="Lucida Console" w:hAnsi="Lucida Console"/>
                            <w:color w:val="000000"/>
                            <w:sz w:val="20"/>
                            <w:szCs w:val="20"/>
                            <w:lang w:val="en-GB" w:eastAsia="en-GB"/>
                          </w:rPr>
                          <w:t xml:space="preserve">     </w:t>
                        </w:r>
                        <w:proofErr w:type="spellStart"/>
                        <w:r w:rsidRPr="002B3649">
                          <w:rPr>
                            <w:rFonts w:ascii="Lucida Console" w:hAnsi="Lucida Console"/>
                            <w:color w:val="000000"/>
                            <w:sz w:val="20"/>
                            <w:szCs w:val="20"/>
                            <w:lang w:val="en-GB" w:eastAsia="en-GB"/>
                          </w:rPr>
                          <w:t>pval</w:t>
                        </w:r>
                        <w:proofErr w:type="spellEnd"/>
                        <w:r w:rsidRPr="002B3649">
                          <w:rPr>
                            <w:rFonts w:ascii="Lucida Console" w:hAnsi="Lucida Console"/>
                            <w:color w:val="000000"/>
                            <w:sz w:val="20"/>
                            <w:szCs w:val="20"/>
                            <w:lang w:val="en-GB" w:eastAsia="en-GB"/>
                          </w:rPr>
                          <w:t xml:space="preserve">    ci.lb    </w:t>
                        </w:r>
                        <w:proofErr w:type="spellStart"/>
                        <w:r w:rsidRPr="002B3649">
                          <w:rPr>
                            <w:rFonts w:ascii="Lucida Console" w:hAnsi="Lucida Console"/>
                            <w:color w:val="000000"/>
                            <w:sz w:val="20"/>
                            <w:szCs w:val="20"/>
                            <w:lang w:val="en-GB" w:eastAsia="en-GB"/>
                          </w:rPr>
                          <w:t>ci.ub</w:t>
                        </w:r>
                        <w:proofErr w:type="spellEnd"/>
                        <w:r w:rsidRPr="002B3649">
                          <w:rPr>
                            <w:rFonts w:ascii="Lucida Console" w:hAnsi="Lucida Console"/>
                            <w:color w:val="000000"/>
                            <w:sz w:val="20"/>
                            <w:szCs w:val="20"/>
                            <w:lang w:val="en-GB" w:eastAsia="en-GB"/>
                          </w:rPr>
                          <w:t xml:space="preserve">          </w:t>
                        </w:r>
                      </w:p>
                    </w:tc>
                  </w:tr>
                  <w:tr w:rsidR="00A34187" w:rsidRPr="002B3649" w14:paraId="2645C553" w14:textId="77777777" w:rsidTr="00A34187">
                    <w:trPr>
                      <w:trHeight w:val="300"/>
                    </w:trPr>
                    <w:tc>
                      <w:tcPr>
                        <w:tcW w:w="8346" w:type="dxa"/>
                        <w:tcBorders>
                          <w:top w:val="nil"/>
                          <w:left w:val="nil"/>
                          <w:bottom w:val="nil"/>
                          <w:right w:val="nil"/>
                        </w:tcBorders>
                        <w:shd w:val="clear" w:color="auto" w:fill="auto"/>
                        <w:noWrap/>
                        <w:vAlign w:val="center"/>
                        <w:hideMark/>
                      </w:tcPr>
                      <w:p w14:paraId="032B115D" w14:textId="77777777" w:rsidR="00A34187" w:rsidRPr="002B3649" w:rsidRDefault="00A34187" w:rsidP="00A34187">
                        <w:pPr>
                          <w:rPr>
                            <w:rFonts w:ascii="Lucida Console" w:hAnsi="Lucida Console"/>
                            <w:color w:val="000000"/>
                            <w:sz w:val="20"/>
                            <w:szCs w:val="20"/>
                            <w:lang w:val="en-GB" w:eastAsia="en-GB"/>
                          </w:rPr>
                        </w:pPr>
                        <w:r w:rsidRPr="002B3649">
                          <w:rPr>
                            <w:rFonts w:ascii="Lucida Console" w:hAnsi="Lucida Console"/>
                            <w:color w:val="000000"/>
                            <w:sz w:val="20"/>
                            <w:szCs w:val="20"/>
                            <w:lang w:val="en-GB" w:eastAsia="en-GB"/>
                          </w:rPr>
                          <w:t xml:space="preserve"> -0.0950   0.0462  -2.0564   0.0397  -0.1856  -0.0045        * </w:t>
                        </w:r>
                      </w:p>
                    </w:tc>
                  </w:tr>
                </w:tbl>
                <w:p w14:paraId="5DAFBEE5" w14:textId="77777777" w:rsidR="00A34187" w:rsidRPr="002B3649" w:rsidRDefault="00A34187" w:rsidP="00B61BFE">
                  <w:pPr>
                    <w:rPr>
                      <w:rFonts w:ascii="Lucida Console" w:hAnsi="Lucida Console"/>
                      <w:color w:val="000000"/>
                      <w:sz w:val="20"/>
                      <w:szCs w:val="20"/>
                      <w:lang w:val="en-GB" w:eastAsia="en-GB"/>
                    </w:rPr>
                  </w:pPr>
                </w:p>
              </w:tc>
            </w:tr>
          </w:tbl>
          <w:p w14:paraId="0D645F9B" w14:textId="77777777" w:rsidR="00A34187" w:rsidRPr="002B3649" w:rsidRDefault="00A34187" w:rsidP="00B61BFE">
            <w:pPr>
              <w:rPr>
                <w:rFonts w:ascii="Lucida Console" w:hAnsi="Lucida Console"/>
                <w:color w:val="000000"/>
                <w:sz w:val="20"/>
                <w:szCs w:val="20"/>
                <w:lang w:val="en-GB" w:eastAsia="en-GB"/>
              </w:rPr>
            </w:pPr>
          </w:p>
        </w:tc>
      </w:tr>
    </w:tbl>
    <w:p w14:paraId="4BAAFCF1" w14:textId="40FAC278" w:rsidR="00A34187" w:rsidRPr="002B3649" w:rsidRDefault="00A34187" w:rsidP="00504F09">
      <w:pPr>
        <w:spacing w:line="360" w:lineRule="auto"/>
        <w:rPr>
          <w:lang w:val="en-GB"/>
        </w:rPr>
      </w:pPr>
    </w:p>
    <w:p w14:paraId="6A08C9A7" w14:textId="6817AE7C" w:rsidR="00B61BFE" w:rsidRPr="002B3649" w:rsidRDefault="00B61BFE" w:rsidP="00B61BFE">
      <w:pPr>
        <w:pStyle w:val="ListParagraph"/>
        <w:numPr>
          <w:ilvl w:val="0"/>
          <w:numId w:val="1"/>
        </w:numPr>
        <w:spacing w:line="360" w:lineRule="auto"/>
        <w:rPr>
          <w:rFonts w:asciiTheme="minorHAnsi" w:hAnsiTheme="minorHAnsi"/>
          <w:lang w:val="en-GB"/>
        </w:rPr>
      </w:pPr>
      <w:r w:rsidRPr="002B3649">
        <w:rPr>
          <w:rFonts w:asciiTheme="minorHAnsi" w:hAnsiTheme="minorHAnsi"/>
          <w:lang w:val="en-GB"/>
        </w:rPr>
        <w:t>Effects in DSM-IV schizophrenia subtypes or schizoaffective / -</w:t>
      </w:r>
      <w:proofErr w:type="spellStart"/>
      <w:r w:rsidRPr="002B3649">
        <w:rPr>
          <w:rFonts w:asciiTheme="minorHAnsi" w:hAnsiTheme="minorHAnsi"/>
          <w:lang w:val="en-GB"/>
        </w:rPr>
        <w:t>phreniform</w:t>
      </w:r>
      <w:proofErr w:type="spellEnd"/>
      <w:r w:rsidRPr="002B3649">
        <w:rPr>
          <w:rFonts w:asciiTheme="minorHAnsi" w:hAnsiTheme="minorHAnsi"/>
          <w:lang w:val="en-GB"/>
        </w:rPr>
        <w:t xml:space="preserve"> disorder only: left MOFC &lt;- global SANS + CPZ + gender + age + site (if applicable)</w:t>
      </w:r>
    </w:p>
    <w:p w14:paraId="6E2D037A" w14:textId="77777777" w:rsidR="00B61BFE" w:rsidRPr="002B3649" w:rsidRDefault="00B61BFE" w:rsidP="00044038">
      <w:pPr>
        <w:pStyle w:val="ListParagraph"/>
        <w:spacing w:line="480" w:lineRule="auto"/>
        <w:ind w:left="360"/>
        <w:rPr>
          <w:rFonts w:asciiTheme="minorHAnsi" w:hAnsiTheme="minorHAnsi"/>
          <w:lang w:val="en-GB"/>
        </w:rPr>
      </w:pPr>
    </w:p>
    <w:p w14:paraId="58849E28" w14:textId="322F1D1E" w:rsidR="00E91AC7" w:rsidRPr="002B3649" w:rsidRDefault="007B7A62" w:rsidP="00C23C61">
      <w:pPr>
        <w:spacing w:line="480" w:lineRule="auto"/>
        <w:ind w:left="360"/>
        <w:rPr>
          <w:rFonts w:asciiTheme="minorHAnsi" w:hAnsiTheme="minorHAnsi"/>
          <w:lang w:val="en-US"/>
        </w:rPr>
      </w:pPr>
      <w:r w:rsidRPr="002B3649">
        <w:rPr>
          <w:rFonts w:asciiTheme="minorHAnsi" w:hAnsiTheme="minorHAnsi"/>
          <w:lang w:val="en-US"/>
        </w:rPr>
        <w:t>Schizophrenia</w:t>
      </w:r>
      <w:r w:rsidR="00044038" w:rsidRPr="002B3649">
        <w:rPr>
          <w:rFonts w:asciiTheme="minorHAnsi" w:hAnsiTheme="minorHAnsi"/>
          <w:lang w:val="en-US"/>
        </w:rPr>
        <w:t xml:space="preserve"> i</w:t>
      </w:r>
      <w:r w:rsidR="00E91AC7" w:rsidRPr="002B3649">
        <w:rPr>
          <w:rFonts w:asciiTheme="minorHAnsi" w:hAnsiTheme="minorHAnsi"/>
          <w:lang w:val="en-US"/>
        </w:rPr>
        <w:t>nclusion criteria were site-specific. In detail, five sites included only patients with DSM-IV subtypes of schizophrenia. Eight sites also included schizoaffective and schizophreniform patients in their samples, while only a minority of sites (</w:t>
      </w:r>
      <w:proofErr w:type="spellStart"/>
      <w:r w:rsidR="00E91AC7" w:rsidRPr="002B3649">
        <w:rPr>
          <w:rFonts w:asciiTheme="minorHAnsi" w:hAnsiTheme="minorHAnsi"/>
          <w:lang w:val="en-US"/>
        </w:rPr>
        <w:t>N</w:t>
      </w:r>
      <w:r w:rsidR="00E91AC7" w:rsidRPr="002B3649">
        <w:rPr>
          <w:rFonts w:asciiTheme="minorHAnsi" w:hAnsiTheme="minorHAnsi"/>
          <w:vertAlign w:val="subscript"/>
          <w:lang w:val="en-US"/>
        </w:rPr>
        <w:t>sites</w:t>
      </w:r>
      <w:proofErr w:type="spellEnd"/>
      <w:r w:rsidR="00E91AC7" w:rsidRPr="002B3649">
        <w:rPr>
          <w:rFonts w:asciiTheme="minorHAnsi" w:hAnsiTheme="minorHAnsi"/>
          <w:lang w:val="en-US"/>
        </w:rPr>
        <w:t xml:space="preserve">=4; 7% of our total sample) also included a few patients with other psychotic disorders, such as psychotic disorder NOS. </w:t>
      </w:r>
    </w:p>
    <w:p w14:paraId="72B43E25" w14:textId="77777777" w:rsidR="00E91AC7" w:rsidRPr="002B3649" w:rsidRDefault="00E91AC7" w:rsidP="00C23C61">
      <w:pPr>
        <w:spacing w:line="480" w:lineRule="auto"/>
        <w:ind w:left="360"/>
        <w:rPr>
          <w:rFonts w:asciiTheme="minorHAnsi" w:hAnsiTheme="minorHAnsi"/>
          <w:lang w:val="en-US"/>
        </w:rPr>
      </w:pPr>
      <w:r w:rsidRPr="002B3649">
        <w:rPr>
          <w:rFonts w:asciiTheme="minorHAnsi" w:hAnsiTheme="minorHAnsi"/>
          <w:lang w:val="en-US"/>
        </w:rPr>
        <w:t>Of those sites where individual diagnostic codes for patients were available to us (</w:t>
      </w:r>
      <w:proofErr w:type="spellStart"/>
      <w:r w:rsidRPr="002B3649">
        <w:rPr>
          <w:rFonts w:asciiTheme="minorHAnsi" w:hAnsiTheme="minorHAnsi"/>
          <w:lang w:val="en-US"/>
        </w:rPr>
        <w:t>N</w:t>
      </w:r>
      <w:r w:rsidRPr="002B3649">
        <w:rPr>
          <w:rFonts w:asciiTheme="minorHAnsi" w:hAnsiTheme="minorHAnsi"/>
          <w:vertAlign w:val="subscript"/>
          <w:lang w:val="en-US"/>
        </w:rPr>
        <w:t>sites</w:t>
      </w:r>
      <w:proofErr w:type="spellEnd"/>
      <w:r w:rsidRPr="002B3649">
        <w:rPr>
          <w:rFonts w:asciiTheme="minorHAnsi" w:hAnsiTheme="minorHAnsi"/>
          <w:lang w:val="en-US"/>
        </w:rPr>
        <w:t>=11, including the four sites with patients with other psychotic disorders), 77% of patients were diagnosed with Schizophrenia subtypes and 12% with schizoaffective / -</w:t>
      </w:r>
      <w:proofErr w:type="spellStart"/>
      <w:r w:rsidRPr="002B3649">
        <w:rPr>
          <w:rFonts w:asciiTheme="minorHAnsi" w:hAnsiTheme="minorHAnsi"/>
          <w:lang w:val="en-US"/>
        </w:rPr>
        <w:t>phreniform</w:t>
      </w:r>
      <w:proofErr w:type="spellEnd"/>
      <w:r w:rsidRPr="002B3649">
        <w:rPr>
          <w:rFonts w:asciiTheme="minorHAnsi" w:hAnsiTheme="minorHAnsi"/>
          <w:lang w:val="en-US"/>
        </w:rPr>
        <w:t xml:space="preserve"> disorders. </w:t>
      </w:r>
    </w:p>
    <w:p w14:paraId="15A79179" w14:textId="07C0F493" w:rsidR="00E91AC7" w:rsidRPr="002B3649" w:rsidRDefault="00E91AC7" w:rsidP="00C23C61">
      <w:pPr>
        <w:spacing w:line="480" w:lineRule="auto"/>
        <w:ind w:left="360"/>
        <w:rPr>
          <w:rFonts w:asciiTheme="minorHAnsi" w:hAnsiTheme="minorHAnsi"/>
          <w:lang w:val="en-GB"/>
        </w:rPr>
      </w:pPr>
      <w:r w:rsidRPr="002B3649">
        <w:rPr>
          <w:rFonts w:asciiTheme="minorHAnsi" w:hAnsiTheme="minorHAnsi"/>
          <w:lang w:val="en-US"/>
        </w:rPr>
        <w:t>To ensure that our results were not influenced by including patients with other psychotic disorders, we repeated the analyses including only patients with DSM-IV schizophrenia subtypes or schizoaffective / -</w:t>
      </w:r>
      <w:proofErr w:type="spellStart"/>
      <w:r w:rsidRPr="002B3649">
        <w:rPr>
          <w:rFonts w:asciiTheme="minorHAnsi" w:hAnsiTheme="minorHAnsi"/>
          <w:lang w:val="en-US"/>
        </w:rPr>
        <w:t>phreniform</w:t>
      </w:r>
      <w:proofErr w:type="spellEnd"/>
      <w:r w:rsidRPr="002B3649">
        <w:rPr>
          <w:rFonts w:asciiTheme="minorHAnsi" w:hAnsiTheme="minorHAnsi"/>
          <w:lang w:val="en-US"/>
        </w:rPr>
        <w:t xml:space="preserve"> disorders.</w:t>
      </w:r>
    </w:p>
    <w:p w14:paraId="4FEB4A2B" w14:textId="6482C0E6" w:rsidR="00B61BFE" w:rsidRPr="002B3649" w:rsidRDefault="00B61BFE" w:rsidP="00C23C61">
      <w:pPr>
        <w:spacing w:line="480" w:lineRule="auto"/>
        <w:ind w:left="360"/>
        <w:rPr>
          <w:rFonts w:asciiTheme="minorHAnsi" w:hAnsiTheme="minorHAnsi"/>
          <w:lang w:val="en-GB"/>
        </w:rPr>
      </w:pPr>
      <w:r w:rsidRPr="002B3649">
        <w:rPr>
          <w:rFonts w:asciiTheme="minorHAnsi" w:hAnsiTheme="minorHAnsi"/>
          <w:lang w:val="en-GB"/>
        </w:rPr>
        <w:t>Shown below are the estimate, the standard error, p value and the confidence intervals for the meta-analytical standardized regression beta of global SANS scores on left MOFC thickness, including only patients with DSM-IV schizophrenia subtypes or schizoaffective / -</w:t>
      </w:r>
      <w:proofErr w:type="spellStart"/>
      <w:r w:rsidRPr="002B3649">
        <w:rPr>
          <w:rFonts w:asciiTheme="minorHAnsi" w:hAnsiTheme="minorHAnsi"/>
          <w:lang w:val="en-GB"/>
        </w:rPr>
        <w:t>phreniform</w:t>
      </w:r>
      <w:proofErr w:type="spellEnd"/>
      <w:r w:rsidRPr="002B3649">
        <w:rPr>
          <w:rFonts w:asciiTheme="minorHAnsi" w:hAnsiTheme="minorHAnsi"/>
          <w:lang w:val="en-GB"/>
        </w:rPr>
        <w:t xml:space="preserve"> disorders. Results were based on estimates from 16 studies.</w:t>
      </w:r>
    </w:p>
    <w:p w14:paraId="10892E5D" w14:textId="77777777" w:rsidR="00B61BFE" w:rsidRPr="002B3649" w:rsidRDefault="00B61BFE" w:rsidP="00B61BFE">
      <w:pPr>
        <w:spacing w:line="360" w:lineRule="auto"/>
        <w:rPr>
          <w:rFonts w:asciiTheme="minorHAnsi" w:hAnsiTheme="minorHAnsi"/>
          <w:lang w:val="en-GB"/>
        </w:rPr>
      </w:pPr>
    </w:p>
    <w:tbl>
      <w:tblPr>
        <w:tblW w:w="9189"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9"/>
      </w:tblGrid>
      <w:tr w:rsidR="00B61BFE" w:rsidRPr="002B3649" w14:paraId="77A452C6" w14:textId="77777777" w:rsidTr="00B61BFE">
        <w:trPr>
          <w:trHeight w:val="300"/>
        </w:trPr>
        <w:tc>
          <w:tcPr>
            <w:tcW w:w="9189" w:type="dxa"/>
            <w:shd w:val="clear" w:color="auto" w:fill="auto"/>
            <w:noWrap/>
            <w:vAlign w:val="center"/>
          </w:tcPr>
          <w:tbl>
            <w:tblPr>
              <w:tblW w:w="8562" w:type="dxa"/>
              <w:tblLook w:val="04A0" w:firstRow="1" w:lastRow="0" w:firstColumn="1" w:lastColumn="0" w:noHBand="0" w:noVBand="1"/>
            </w:tblPr>
            <w:tblGrid>
              <w:gridCol w:w="8562"/>
            </w:tblGrid>
            <w:tr w:rsidR="00B61BFE" w:rsidRPr="002B3649" w14:paraId="3CE2625C" w14:textId="77777777" w:rsidTr="00B61BFE">
              <w:trPr>
                <w:trHeight w:val="300"/>
              </w:trPr>
              <w:tc>
                <w:tcPr>
                  <w:tcW w:w="8562" w:type="dxa"/>
                  <w:tcBorders>
                    <w:top w:val="nil"/>
                    <w:left w:val="nil"/>
                    <w:bottom w:val="nil"/>
                    <w:right w:val="nil"/>
                  </w:tcBorders>
                  <w:shd w:val="clear" w:color="auto" w:fill="auto"/>
                  <w:noWrap/>
                  <w:vAlign w:val="center"/>
                </w:tcPr>
                <w:tbl>
                  <w:tblPr>
                    <w:tblW w:w="8346" w:type="dxa"/>
                    <w:tblLook w:val="04A0" w:firstRow="1" w:lastRow="0" w:firstColumn="1" w:lastColumn="0" w:noHBand="0" w:noVBand="1"/>
                  </w:tblPr>
                  <w:tblGrid>
                    <w:gridCol w:w="8346"/>
                  </w:tblGrid>
                  <w:tr w:rsidR="00042E73" w:rsidRPr="002E4455" w14:paraId="7C705335" w14:textId="77777777" w:rsidTr="00044038">
                    <w:trPr>
                      <w:trHeight w:val="300"/>
                    </w:trPr>
                    <w:tc>
                      <w:tcPr>
                        <w:tcW w:w="8346" w:type="dxa"/>
                        <w:tcBorders>
                          <w:top w:val="nil"/>
                          <w:left w:val="nil"/>
                          <w:bottom w:val="nil"/>
                          <w:right w:val="nil"/>
                        </w:tcBorders>
                        <w:shd w:val="clear" w:color="auto" w:fill="auto"/>
                        <w:noWrap/>
                        <w:hideMark/>
                      </w:tcPr>
                      <w:p w14:paraId="79C457FC" w14:textId="5A8B7A83" w:rsidR="00B61BFE" w:rsidRPr="002B3649" w:rsidRDefault="00B61BFE" w:rsidP="00B61BFE">
                        <w:pPr>
                          <w:rPr>
                            <w:rFonts w:asciiTheme="minorHAnsi" w:hAnsiTheme="minorHAnsi"/>
                            <w:sz w:val="20"/>
                            <w:szCs w:val="20"/>
                            <w:lang w:val="en-GB" w:eastAsia="en-GB"/>
                          </w:rPr>
                        </w:pPr>
                        <w:r w:rsidRPr="002B3649">
                          <w:rPr>
                            <w:rFonts w:asciiTheme="minorHAnsi" w:hAnsiTheme="minorHAnsi"/>
                            <w:lang w:val="en-GB"/>
                          </w:rPr>
                          <w:lastRenderedPageBreak/>
                          <w:t>Random-Effects Model (k = 16; tau^2 estimator: REML)</w:t>
                        </w:r>
                      </w:p>
                    </w:tc>
                  </w:tr>
                  <w:tr w:rsidR="00042E73" w:rsidRPr="002E4455" w14:paraId="1AE9DE69" w14:textId="77777777" w:rsidTr="00044038">
                    <w:trPr>
                      <w:trHeight w:val="300"/>
                    </w:trPr>
                    <w:tc>
                      <w:tcPr>
                        <w:tcW w:w="8346" w:type="dxa"/>
                        <w:tcBorders>
                          <w:top w:val="nil"/>
                          <w:left w:val="nil"/>
                          <w:bottom w:val="nil"/>
                          <w:right w:val="nil"/>
                        </w:tcBorders>
                        <w:shd w:val="clear" w:color="auto" w:fill="auto"/>
                        <w:noWrap/>
                        <w:hideMark/>
                      </w:tcPr>
                      <w:p w14:paraId="7C351169" w14:textId="77777777" w:rsidR="00B61BFE" w:rsidRPr="002B3649" w:rsidRDefault="00B61BFE" w:rsidP="00B61BFE">
                        <w:pPr>
                          <w:rPr>
                            <w:rFonts w:asciiTheme="minorHAnsi" w:hAnsiTheme="minorHAnsi"/>
                            <w:sz w:val="20"/>
                            <w:szCs w:val="20"/>
                            <w:lang w:val="en-GB" w:eastAsia="en-GB"/>
                          </w:rPr>
                        </w:pPr>
                      </w:p>
                    </w:tc>
                  </w:tr>
                  <w:tr w:rsidR="00042E73" w:rsidRPr="002E4455" w14:paraId="1B04F497" w14:textId="77777777" w:rsidTr="00044038">
                    <w:trPr>
                      <w:trHeight w:val="300"/>
                    </w:trPr>
                    <w:tc>
                      <w:tcPr>
                        <w:tcW w:w="8346" w:type="dxa"/>
                        <w:tcBorders>
                          <w:top w:val="nil"/>
                          <w:left w:val="nil"/>
                          <w:bottom w:val="nil"/>
                          <w:right w:val="nil"/>
                        </w:tcBorders>
                        <w:shd w:val="clear" w:color="auto" w:fill="auto"/>
                        <w:noWrap/>
                        <w:hideMark/>
                      </w:tcPr>
                      <w:p w14:paraId="19061FF7" w14:textId="5F5EDF85" w:rsidR="00B61BFE" w:rsidRPr="002B3649" w:rsidRDefault="00B61BFE" w:rsidP="00B61BFE">
                        <w:pPr>
                          <w:rPr>
                            <w:rFonts w:asciiTheme="minorHAnsi" w:hAnsiTheme="minorHAnsi"/>
                            <w:sz w:val="20"/>
                            <w:szCs w:val="20"/>
                            <w:lang w:val="en-GB" w:eastAsia="en-GB"/>
                          </w:rPr>
                        </w:pPr>
                        <w:r w:rsidRPr="002B3649">
                          <w:rPr>
                            <w:rFonts w:asciiTheme="minorHAnsi" w:hAnsiTheme="minorHAnsi"/>
                            <w:lang w:val="en-GB"/>
                          </w:rPr>
                          <w:t>tau^2 (estimated amount of total heterogeneity): 0.0060 (SE = 0.0061)</w:t>
                        </w:r>
                      </w:p>
                    </w:tc>
                  </w:tr>
                  <w:tr w:rsidR="00042E73" w:rsidRPr="002E4455" w14:paraId="21601BB1" w14:textId="77777777" w:rsidTr="00044038">
                    <w:trPr>
                      <w:trHeight w:val="300"/>
                    </w:trPr>
                    <w:tc>
                      <w:tcPr>
                        <w:tcW w:w="8346" w:type="dxa"/>
                        <w:tcBorders>
                          <w:top w:val="nil"/>
                          <w:left w:val="nil"/>
                          <w:bottom w:val="nil"/>
                          <w:right w:val="nil"/>
                        </w:tcBorders>
                        <w:shd w:val="clear" w:color="auto" w:fill="auto"/>
                        <w:noWrap/>
                        <w:hideMark/>
                      </w:tcPr>
                      <w:p w14:paraId="2827FEA1" w14:textId="214169E7" w:rsidR="00B61BFE" w:rsidRPr="002B3649" w:rsidRDefault="00B61BFE" w:rsidP="00B61BFE">
                        <w:pPr>
                          <w:rPr>
                            <w:rFonts w:asciiTheme="minorHAnsi" w:hAnsiTheme="minorHAnsi"/>
                            <w:sz w:val="20"/>
                            <w:szCs w:val="20"/>
                            <w:lang w:val="en-GB" w:eastAsia="en-GB"/>
                          </w:rPr>
                        </w:pPr>
                        <w:r w:rsidRPr="002B3649">
                          <w:rPr>
                            <w:rFonts w:asciiTheme="minorHAnsi" w:hAnsiTheme="minorHAnsi"/>
                            <w:lang w:val="en-GB"/>
                          </w:rPr>
                          <w:t>tau (square root of estimated tau^2 value):      0.0774</w:t>
                        </w:r>
                      </w:p>
                    </w:tc>
                  </w:tr>
                  <w:tr w:rsidR="00042E73" w:rsidRPr="002E4455" w14:paraId="1810CE4C" w14:textId="77777777" w:rsidTr="00044038">
                    <w:trPr>
                      <w:trHeight w:val="300"/>
                    </w:trPr>
                    <w:tc>
                      <w:tcPr>
                        <w:tcW w:w="8346" w:type="dxa"/>
                        <w:tcBorders>
                          <w:top w:val="nil"/>
                          <w:left w:val="nil"/>
                          <w:bottom w:val="nil"/>
                          <w:right w:val="nil"/>
                        </w:tcBorders>
                        <w:shd w:val="clear" w:color="auto" w:fill="auto"/>
                        <w:noWrap/>
                        <w:hideMark/>
                      </w:tcPr>
                      <w:p w14:paraId="7F13076D" w14:textId="428E4BB2" w:rsidR="00B61BFE" w:rsidRPr="002B3649" w:rsidRDefault="00B61BFE" w:rsidP="00B61BFE">
                        <w:pPr>
                          <w:rPr>
                            <w:rFonts w:asciiTheme="minorHAnsi" w:hAnsiTheme="minorHAnsi"/>
                            <w:sz w:val="20"/>
                            <w:szCs w:val="20"/>
                            <w:lang w:val="en-GB" w:eastAsia="en-GB"/>
                          </w:rPr>
                        </w:pPr>
                        <w:r w:rsidRPr="002B3649">
                          <w:rPr>
                            <w:rFonts w:asciiTheme="minorHAnsi" w:hAnsiTheme="minorHAnsi"/>
                            <w:lang w:val="en-GB"/>
                          </w:rPr>
                          <w:t>I^2 (total heterogeneity / total variability):   36.24%</w:t>
                        </w:r>
                      </w:p>
                    </w:tc>
                  </w:tr>
                  <w:tr w:rsidR="00042E73" w:rsidRPr="002E4455" w14:paraId="050F3BD7" w14:textId="77777777" w:rsidTr="00044038">
                    <w:trPr>
                      <w:trHeight w:val="300"/>
                    </w:trPr>
                    <w:tc>
                      <w:tcPr>
                        <w:tcW w:w="8346" w:type="dxa"/>
                        <w:tcBorders>
                          <w:top w:val="nil"/>
                          <w:left w:val="nil"/>
                          <w:bottom w:val="nil"/>
                          <w:right w:val="nil"/>
                        </w:tcBorders>
                        <w:shd w:val="clear" w:color="auto" w:fill="auto"/>
                        <w:noWrap/>
                        <w:hideMark/>
                      </w:tcPr>
                      <w:p w14:paraId="57C6EA16" w14:textId="215B257D" w:rsidR="00B61BFE" w:rsidRPr="002B3649" w:rsidRDefault="00B61BFE" w:rsidP="00B61BFE">
                        <w:pPr>
                          <w:rPr>
                            <w:rFonts w:asciiTheme="minorHAnsi" w:hAnsiTheme="minorHAnsi"/>
                            <w:sz w:val="20"/>
                            <w:szCs w:val="20"/>
                            <w:lang w:val="en-GB" w:eastAsia="en-GB"/>
                          </w:rPr>
                        </w:pPr>
                        <w:r w:rsidRPr="002B3649">
                          <w:rPr>
                            <w:rFonts w:asciiTheme="minorHAnsi" w:hAnsiTheme="minorHAnsi"/>
                            <w:lang w:val="en-GB"/>
                          </w:rPr>
                          <w:t>H^2 (total variability / sampling variability):  1.57</w:t>
                        </w:r>
                      </w:p>
                    </w:tc>
                  </w:tr>
                  <w:tr w:rsidR="00042E73" w:rsidRPr="002E4455" w14:paraId="637E84EB" w14:textId="77777777" w:rsidTr="00044038">
                    <w:trPr>
                      <w:trHeight w:val="300"/>
                    </w:trPr>
                    <w:tc>
                      <w:tcPr>
                        <w:tcW w:w="8346" w:type="dxa"/>
                        <w:tcBorders>
                          <w:top w:val="nil"/>
                          <w:left w:val="nil"/>
                          <w:bottom w:val="nil"/>
                          <w:right w:val="nil"/>
                        </w:tcBorders>
                        <w:shd w:val="clear" w:color="auto" w:fill="auto"/>
                        <w:noWrap/>
                        <w:hideMark/>
                      </w:tcPr>
                      <w:p w14:paraId="34776586" w14:textId="77777777" w:rsidR="00B61BFE" w:rsidRPr="002B3649" w:rsidRDefault="00B61BFE" w:rsidP="00B61BFE">
                        <w:pPr>
                          <w:rPr>
                            <w:rFonts w:asciiTheme="minorHAnsi" w:hAnsiTheme="minorHAnsi"/>
                            <w:sz w:val="20"/>
                            <w:szCs w:val="20"/>
                            <w:lang w:val="en-GB" w:eastAsia="en-GB"/>
                          </w:rPr>
                        </w:pPr>
                      </w:p>
                    </w:tc>
                  </w:tr>
                  <w:tr w:rsidR="00B61BFE" w:rsidRPr="002B3649" w14:paraId="219B261E" w14:textId="77777777" w:rsidTr="00044038">
                    <w:trPr>
                      <w:trHeight w:val="300"/>
                    </w:trPr>
                    <w:tc>
                      <w:tcPr>
                        <w:tcW w:w="8346" w:type="dxa"/>
                        <w:tcBorders>
                          <w:top w:val="nil"/>
                          <w:left w:val="nil"/>
                          <w:bottom w:val="nil"/>
                          <w:right w:val="nil"/>
                        </w:tcBorders>
                        <w:shd w:val="clear" w:color="auto" w:fill="auto"/>
                        <w:noWrap/>
                        <w:hideMark/>
                      </w:tcPr>
                      <w:p w14:paraId="07BE10E7" w14:textId="360E164B" w:rsidR="00B61BFE" w:rsidRPr="002B3649" w:rsidRDefault="00B61BFE" w:rsidP="00B61BFE">
                        <w:pPr>
                          <w:rPr>
                            <w:rFonts w:asciiTheme="minorHAnsi" w:hAnsiTheme="minorHAnsi"/>
                            <w:sz w:val="20"/>
                            <w:szCs w:val="20"/>
                            <w:lang w:val="en-GB" w:eastAsia="en-GB"/>
                          </w:rPr>
                        </w:pPr>
                        <w:r w:rsidRPr="002B3649">
                          <w:rPr>
                            <w:rFonts w:asciiTheme="minorHAnsi" w:hAnsiTheme="minorHAnsi"/>
                          </w:rPr>
                          <w:t xml:space="preserve">Test for Heterogeneity: </w:t>
                        </w:r>
                      </w:p>
                    </w:tc>
                  </w:tr>
                  <w:tr w:rsidR="00B61BFE" w:rsidRPr="002B3649" w14:paraId="46F86549" w14:textId="77777777" w:rsidTr="00044038">
                    <w:trPr>
                      <w:trHeight w:val="300"/>
                    </w:trPr>
                    <w:tc>
                      <w:tcPr>
                        <w:tcW w:w="8346" w:type="dxa"/>
                        <w:tcBorders>
                          <w:top w:val="nil"/>
                          <w:left w:val="nil"/>
                          <w:bottom w:val="nil"/>
                          <w:right w:val="nil"/>
                        </w:tcBorders>
                        <w:shd w:val="clear" w:color="auto" w:fill="auto"/>
                        <w:noWrap/>
                        <w:hideMark/>
                      </w:tcPr>
                      <w:p w14:paraId="58120937" w14:textId="455FD77F" w:rsidR="00B61BFE" w:rsidRPr="002B3649" w:rsidRDefault="00B61BFE" w:rsidP="00B61BFE">
                        <w:pPr>
                          <w:rPr>
                            <w:rFonts w:asciiTheme="minorHAnsi" w:hAnsiTheme="minorHAnsi"/>
                            <w:sz w:val="20"/>
                            <w:szCs w:val="20"/>
                            <w:lang w:val="en-GB" w:eastAsia="en-GB"/>
                          </w:rPr>
                        </w:pPr>
                        <w:r w:rsidRPr="002B3649">
                          <w:rPr>
                            <w:rFonts w:asciiTheme="minorHAnsi" w:hAnsiTheme="minorHAnsi"/>
                          </w:rPr>
                          <w:t>Q(df = 15) = 22.6004, p-val = 0.0930</w:t>
                        </w:r>
                      </w:p>
                    </w:tc>
                  </w:tr>
                  <w:tr w:rsidR="00B61BFE" w:rsidRPr="002B3649" w14:paraId="731F3566" w14:textId="77777777" w:rsidTr="00044038">
                    <w:trPr>
                      <w:trHeight w:val="300"/>
                    </w:trPr>
                    <w:tc>
                      <w:tcPr>
                        <w:tcW w:w="8346" w:type="dxa"/>
                        <w:tcBorders>
                          <w:top w:val="nil"/>
                          <w:left w:val="nil"/>
                          <w:bottom w:val="nil"/>
                          <w:right w:val="nil"/>
                        </w:tcBorders>
                        <w:shd w:val="clear" w:color="auto" w:fill="auto"/>
                        <w:noWrap/>
                        <w:hideMark/>
                      </w:tcPr>
                      <w:p w14:paraId="42528759" w14:textId="77777777" w:rsidR="00B61BFE" w:rsidRPr="002B3649" w:rsidRDefault="00B61BFE" w:rsidP="00B61BFE">
                        <w:pPr>
                          <w:rPr>
                            <w:rFonts w:asciiTheme="minorHAnsi" w:hAnsiTheme="minorHAnsi"/>
                            <w:sz w:val="20"/>
                            <w:szCs w:val="20"/>
                            <w:lang w:val="en-GB" w:eastAsia="en-GB"/>
                          </w:rPr>
                        </w:pPr>
                      </w:p>
                    </w:tc>
                  </w:tr>
                  <w:tr w:rsidR="00B61BFE" w:rsidRPr="002B3649" w14:paraId="1EAFA4EB" w14:textId="77777777" w:rsidTr="00044038">
                    <w:trPr>
                      <w:trHeight w:val="300"/>
                    </w:trPr>
                    <w:tc>
                      <w:tcPr>
                        <w:tcW w:w="8346" w:type="dxa"/>
                        <w:tcBorders>
                          <w:top w:val="nil"/>
                          <w:left w:val="nil"/>
                          <w:bottom w:val="nil"/>
                          <w:right w:val="nil"/>
                        </w:tcBorders>
                        <w:shd w:val="clear" w:color="auto" w:fill="auto"/>
                        <w:noWrap/>
                        <w:hideMark/>
                      </w:tcPr>
                      <w:p w14:paraId="0F50829E" w14:textId="51EEAE19" w:rsidR="00B61BFE" w:rsidRPr="002B3649" w:rsidRDefault="00B61BFE" w:rsidP="00B61BFE">
                        <w:pPr>
                          <w:rPr>
                            <w:rFonts w:asciiTheme="minorHAnsi" w:hAnsiTheme="minorHAnsi"/>
                            <w:sz w:val="20"/>
                            <w:szCs w:val="20"/>
                            <w:lang w:val="en-GB" w:eastAsia="en-GB"/>
                          </w:rPr>
                        </w:pPr>
                        <w:r w:rsidRPr="002B3649">
                          <w:rPr>
                            <w:rFonts w:asciiTheme="minorHAnsi" w:hAnsiTheme="minorHAnsi"/>
                          </w:rPr>
                          <w:t>Model Results:</w:t>
                        </w:r>
                      </w:p>
                    </w:tc>
                  </w:tr>
                  <w:tr w:rsidR="00B61BFE" w:rsidRPr="002B3649" w14:paraId="3907F419" w14:textId="77777777" w:rsidTr="00044038">
                    <w:trPr>
                      <w:trHeight w:val="300"/>
                    </w:trPr>
                    <w:tc>
                      <w:tcPr>
                        <w:tcW w:w="8346" w:type="dxa"/>
                        <w:tcBorders>
                          <w:top w:val="nil"/>
                          <w:left w:val="nil"/>
                          <w:bottom w:val="nil"/>
                          <w:right w:val="nil"/>
                        </w:tcBorders>
                        <w:shd w:val="clear" w:color="auto" w:fill="auto"/>
                        <w:noWrap/>
                        <w:hideMark/>
                      </w:tcPr>
                      <w:p w14:paraId="535683B7" w14:textId="77777777" w:rsidR="00B61BFE" w:rsidRPr="002B3649" w:rsidRDefault="00B61BFE" w:rsidP="00B61BFE">
                        <w:pPr>
                          <w:rPr>
                            <w:rFonts w:asciiTheme="minorHAnsi" w:hAnsiTheme="minorHAnsi"/>
                            <w:sz w:val="20"/>
                            <w:szCs w:val="20"/>
                            <w:lang w:val="en-GB" w:eastAsia="en-GB"/>
                          </w:rPr>
                        </w:pPr>
                      </w:p>
                    </w:tc>
                  </w:tr>
                  <w:tr w:rsidR="00042E73" w:rsidRPr="002E4455" w14:paraId="19329B05" w14:textId="77777777" w:rsidTr="00044038">
                    <w:trPr>
                      <w:trHeight w:val="300"/>
                    </w:trPr>
                    <w:tc>
                      <w:tcPr>
                        <w:tcW w:w="8346" w:type="dxa"/>
                        <w:tcBorders>
                          <w:top w:val="nil"/>
                          <w:left w:val="nil"/>
                          <w:bottom w:val="nil"/>
                          <w:right w:val="nil"/>
                        </w:tcBorders>
                        <w:shd w:val="clear" w:color="auto" w:fill="auto"/>
                        <w:noWrap/>
                        <w:hideMark/>
                      </w:tcPr>
                      <w:p w14:paraId="012C3D26" w14:textId="451F7456" w:rsidR="00B61BFE" w:rsidRPr="002B3649" w:rsidRDefault="00B61BFE" w:rsidP="00B61BFE">
                        <w:pPr>
                          <w:rPr>
                            <w:rFonts w:asciiTheme="minorHAnsi" w:hAnsiTheme="minorHAnsi"/>
                            <w:sz w:val="20"/>
                            <w:szCs w:val="20"/>
                            <w:lang w:val="en-GB" w:eastAsia="en-GB"/>
                          </w:rPr>
                        </w:pPr>
                        <w:r w:rsidRPr="002B3649">
                          <w:rPr>
                            <w:rFonts w:asciiTheme="minorHAnsi" w:hAnsiTheme="minorHAnsi"/>
                            <w:lang w:val="en-GB"/>
                          </w:rPr>
                          <w:t xml:space="preserve">estimate       se     </w:t>
                        </w:r>
                        <w:proofErr w:type="spellStart"/>
                        <w:r w:rsidRPr="002B3649">
                          <w:rPr>
                            <w:rFonts w:asciiTheme="minorHAnsi" w:hAnsiTheme="minorHAnsi"/>
                            <w:lang w:val="en-GB"/>
                          </w:rPr>
                          <w:t>zval</w:t>
                        </w:r>
                        <w:proofErr w:type="spellEnd"/>
                        <w:r w:rsidRPr="002B3649">
                          <w:rPr>
                            <w:rFonts w:asciiTheme="minorHAnsi" w:hAnsiTheme="minorHAnsi"/>
                            <w:lang w:val="en-GB"/>
                          </w:rPr>
                          <w:t xml:space="preserve">     </w:t>
                        </w:r>
                        <w:proofErr w:type="spellStart"/>
                        <w:r w:rsidRPr="002B3649">
                          <w:rPr>
                            <w:rFonts w:asciiTheme="minorHAnsi" w:hAnsiTheme="minorHAnsi"/>
                            <w:lang w:val="en-GB"/>
                          </w:rPr>
                          <w:t>pval</w:t>
                        </w:r>
                        <w:proofErr w:type="spellEnd"/>
                        <w:r w:rsidRPr="002B3649">
                          <w:rPr>
                            <w:rFonts w:asciiTheme="minorHAnsi" w:hAnsiTheme="minorHAnsi"/>
                            <w:lang w:val="en-GB"/>
                          </w:rPr>
                          <w:t xml:space="preserve">    ci.lb    </w:t>
                        </w:r>
                        <w:proofErr w:type="spellStart"/>
                        <w:r w:rsidRPr="002B3649">
                          <w:rPr>
                            <w:rFonts w:asciiTheme="minorHAnsi" w:hAnsiTheme="minorHAnsi"/>
                            <w:lang w:val="en-GB"/>
                          </w:rPr>
                          <w:t>ci.ub</w:t>
                        </w:r>
                        <w:proofErr w:type="spellEnd"/>
                        <w:r w:rsidRPr="002B3649">
                          <w:rPr>
                            <w:rFonts w:asciiTheme="minorHAnsi" w:hAnsiTheme="minorHAnsi"/>
                            <w:lang w:val="en-GB"/>
                          </w:rPr>
                          <w:t xml:space="preserve">          </w:t>
                        </w:r>
                      </w:p>
                    </w:tc>
                  </w:tr>
                  <w:tr w:rsidR="00B61BFE" w:rsidRPr="002B3649" w14:paraId="3C0BC852" w14:textId="77777777" w:rsidTr="00044038">
                    <w:trPr>
                      <w:trHeight w:val="300"/>
                    </w:trPr>
                    <w:tc>
                      <w:tcPr>
                        <w:tcW w:w="8346" w:type="dxa"/>
                        <w:tcBorders>
                          <w:top w:val="nil"/>
                          <w:left w:val="nil"/>
                          <w:bottom w:val="nil"/>
                          <w:right w:val="nil"/>
                        </w:tcBorders>
                        <w:shd w:val="clear" w:color="auto" w:fill="auto"/>
                        <w:noWrap/>
                        <w:hideMark/>
                      </w:tcPr>
                      <w:p w14:paraId="4571DBD8" w14:textId="4EB400F9" w:rsidR="00B61BFE" w:rsidRPr="002B3649" w:rsidRDefault="00B61BFE" w:rsidP="00B61BFE">
                        <w:pPr>
                          <w:rPr>
                            <w:rFonts w:asciiTheme="minorHAnsi" w:hAnsiTheme="minorHAnsi"/>
                            <w:sz w:val="20"/>
                            <w:szCs w:val="20"/>
                            <w:lang w:val="en-GB" w:eastAsia="en-GB"/>
                          </w:rPr>
                        </w:pPr>
                        <w:r w:rsidRPr="002B3649">
                          <w:rPr>
                            <w:rFonts w:asciiTheme="minorHAnsi" w:hAnsiTheme="minorHAnsi"/>
                            <w:lang w:val="en-GB"/>
                          </w:rPr>
                          <w:t xml:space="preserve"> </w:t>
                        </w:r>
                        <w:r w:rsidRPr="002B3649">
                          <w:rPr>
                            <w:rFonts w:asciiTheme="minorHAnsi" w:hAnsiTheme="minorHAnsi"/>
                          </w:rPr>
                          <w:t xml:space="preserve">-0.0780   0.0339  -2.2992   0.0215  -0.1445  -0.0115        * </w:t>
                        </w:r>
                      </w:p>
                    </w:tc>
                  </w:tr>
                </w:tbl>
                <w:p w14:paraId="2B10C1AA" w14:textId="77777777" w:rsidR="00B61BFE" w:rsidRPr="002B3649" w:rsidRDefault="00B61BFE" w:rsidP="00B61BFE">
                  <w:pPr>
                    <w:rPr>
                      <w:rFonts w:asciiTheme="minorHAnsi" w:hAnsiTheme="minorHAnsi"/>
                      <w:sz w:val="20"/>
                      <w:szCs w:val="20"/>
                      <w:lang w:val="en-GB" w:eastAsia="en-GB"/>
                    </w:rPr>
                  </w:pPr>
                </w:p>
              </w:tc>
            </w:tr>
          </w:tbl>
          <w:p w14:paraId="53E447D3" w14:textId="77777777" w:rsidR="00B61BFE" w:rsidRPr="002B3649" w:rsidRDefault="00B61BFE" w:rsidP="00B61BFE">
            <w:pPr>
              <w:rPr>
                <w:rFonts w:asciiTheme="minorHAnsi" w:hAnsiTheme="minorHAnsi"/>
                <w:sz w:val="20"/>
                <w:szCs w:val="20"/>
                <w:lang w:val="en-GB" w:eastAsia="en-GB"/>
              </w:rPr>
            </w:pPr>
          </w:p>
        </w:tc>
      </w:tr>
    </w:tbl>
    <w:p w14:paraId="7608700F" w14:textId="77777777" w:rsidR="00B61BFE" w:rsidRPr="002B3649" w:rsidRDefault="00B61BFE" w:rsidP="00B61BFE">
      <w:pPr>
        <w:spacing w:line="360" w:lineRule="auto"/>
        <w:rPr>
          <w:lang w:val="en-GB"/>
        </w:rPr>
      </w:pPr>
    </w:p>
    <w:p w14:paraId="6F033B59" w14:textId="77777777" w:rsidR="00B61BFE" w:rsidRPr="002B3649" w:rsidRDefault="00B61BFE" w:rsidP="00504F09">
      <w:pPr>
        <w:spacing w:line="360" w:lineRule="auto"/>
        <w:rPr>
          <w:lang w:val="en-GB"/>
        </w:rPr>
      </w:pPr>
    </w:p>
    <w:p w14:paraId="79B67E84" w14:textId="77777777" w:rsidR="00E82354" w:rsidRPr="004D506E" w:rsidRDefault="00E82354" w:rsidP="00E82354">
      <w:pPr>
        <w:spacing w:line="360" w:lineRule="auto"/>
        <w:rPr>
          <w:rFonts w:asciiTheme="minorHAnsi" w:hAnsiTheme="minorHAnsi"/>
          <w:b/>
          <w:i/>
          <w:lang w:val="en-GB"/>
        </w:rPr>
      </w:pPr>
      <w:r w:rsidRPr="004D506E">
        <w:rPr>
          <w:rFonts w:asciiTheme="minorHAnsi" w:hAnsiTheme="minorHAnsi"/>
          <w:b/>
          <w:i/>
          <w:lang w:val="en-GB"/>
        </w:rPr>
        <w:t>SM 2.2 Exploratory analyses on ten more frontal regions</w:t>
      </w:r>
    </w:p>
    <w:p w14:paraId="69208D67" w14:textId="4BDC985C" w:rsidR="00E82354" w:rsidRPr="002B3649" w:rsidRDefault="00E82354" w:rsidP="00E82354">
      <w:pPr>
        <w:spacing w:line="360" w:lineRule="auto"/>
        <w:rPr>
          <w:rFonts w:asciiTheme="minorHAnsi" w:hAnsiTheme="minorHAnsi"/>
          <w:lang w:val="en-GB"/>
        </w:rPr>
      </w:pPr>
      <w:r w:rsidRPr="002B3649">
        <w:rPr>
          <w:rFonts w:asciiTheme="minorHAnsi" w:hAnsiTheme="minorHAnsi"/>
          <w:lang w:val="en-GB"/>
        </w:rPr>
        <w:tab/>
        <w:t>Univariate models were used to analyse the effect of negative symptoms on ten other frontal regions (separately for the left and right hemisphere; see SM Table 3s), controlling for sex, age and site (if applicable). After Bonferroni correction for multiple testing (ten regions per hemisphere = 20 tests), two regions remained significant on the left hemisphere, while no effect was observed in any of the regions on the right side (SM Table 3s).</w:t>
      </w:r>
    </w:p>
    <w:p w14:paraId="20DDA793" w14:textId="77777777" w:rsidR="00E82354" w:rsidRPr="002B3649" w:rsidRDefault="00E82354" w:rsidP="00E82354">
      <w:pPr>
        <w:spacing w:line="360" w:lineRule="auto"/>
        <w:rPr>
          <w:rFonts w:asciiTheme="minorHAnsi" w:hAnsiTheme="minorHAnsi"/>
          <w:lang w:val="en-GB"/>
        </w:rPr>
      </w:pPr>
    </w:p>
    <w:tbl>
      <w:tblPr>
        <w:tblW w:w="7160" w:type="dxa"/>
        <w:tblLook w:val="04A0" w:firstRow="1" w:lastRow="0" w:firstColumn="1" w:lastColumn="0" w:noHBand="0" w:noVBand="1"/>
      </w:tblPr>
      <w:tblGrid>
        <w:gridCol w:w="2537"/>
        <w:gridCol w:w="1005"/>
        <w:gridCol w:w="915"/>
        <w:gridCol w:w="1007"/>
        <w:gridCol w:w="913"/>
        <w:gridCol w:w="960"/>
      </w:tblGrid>
      <w:tr w:rsidR="00E82354" w:rsidRPr="002B3649" w14:paraId="06269568" w14:textId="77777777" w:rsidTr="00E82354">
        <w:trPr>
          <w:trHeight w:val="300"/>
        </w:trPr>
        <w:tc>
          <w:tcPr>
            <w:tcW w:w="2360" w:type="dxa"/>
            <w:tcBorders>
              <w:top w:val="nil"/>
              <w:left w:val="nil"/>
              <w:bottom w:val="nil"/>
              <w:right w:val="nil"/>
            </w:tcBorders>
            <w:shd w:val="clear" w:color="auto" w:fill="auto"/>
            <w:noWrap/>
            <w:hideMark/>
          </w:tcPr>
          <w:p w14:paraId="72726F3E" w14:textId="77777777" w:rsidR="00E82354" w:rsidRPr="002B3649" w:rsidRDefault="00E82354" w:rsidP="00E82354">
            <w:pPr>
              <w:rPr>
                <w:lang w:val="en-GB"/>
              </w:rPr>
            </w:pPr>
          </w:p>
        </w:tc>
        <w:tc>
          <w:tcPr>
            <w:tcW w:w="1920" w:type="dxa"/>
            <w:gridSpan w:val="2"/>
            <w:tcBorders>
              <w:top w:val="nil"/>
              <w:left w:val="nil"/>
              <w:bottom w:val="nil"/>
              <w:right w:val="nil"/>
            </w:tcBorders>
            <w:shd w:val="clear" w:color="auto" w:fill="auto"/>
            <w:noWrap/>
            <w:hideMark/>
          </w:tcPr>
          <w:p w14:paraId="2B228A3F" w14:textId="77777777" w:rsidR="00E82354" w:rsidRPr="002B3649" w:rsidRDefault="00E82354" w:rsidP="00E82354">
            <w:pPr>
              <w:rPr>
                <w:rFonts w:ascii="Calibri" w:hAnsi="Calibri"/>
                <w:i/>
                <w:iCs/>
              </w:rPr>
            </w:pPr>
            <w:r w:rsidRPr="002B3649">
              <w:rPr>
                <w:rFonts w:ascii="Calibri" w:hAnsi="Calibri"/>
                <w:i/>
                <w:iCs/>
              </w:rPr>
              <w:t>left hemisphere</w:t>
            </w:r>
          </w:p>
        </w:tc>
        <w:tc>
          <w:tcPr>
            <w:tcW w:w="1920" w:type="dxa"/>
            <w:gridSpan w:val="2"/>
            <w:tcBorders>
              <w:top w:val="nil"/>
              <w:left w:val="nil"/>
              <w:bottom w:val="nil"/>
              <w:right w:val="nil"/>
            </w:tcBorders>
            <w:shd w:val="clear" w:color="auto" w:fill="auto"/>
            <w:noWrap/>
            <w:hideMark/>
          </w:tcPr>
          <w:p w14:paraId="671E5BF1" w14:textId="77777777" w:rsidR="00E82354" w:rsidRPr="002B3649" w:rsidRDefault="00E82354" w:rsidP="00E82354">
            <w:pPr>
              <w:rPr>
                <w:rFonts w:ascii="Calibri" w:hAnsi="Calibri"/>
                <w:i/>
                <w:iCs/>
              </w:rPr>
            </w:pPr>
            <w:r w:rsidRPr="002B3649">
              <w:rPr>
                <w:rFonts w:ascii="Calibri" w:hAnsi="Calibri"/>
                <w:i/>
                <w:iCs/>
              </w:rPr>
              <w:t>right hemisphere</w:t>
            </w:r>
          </w:p>
        </w:tc>
        <w:tc>
          <w:tcPr>
            <w:tcW w:w="960" w:type="dxa"/>
            <w:tcBorders>
              <w:top w:val="nil"/>
              <w:left w:val="nil"/>
              <w:bottom w:val="nil"/>
              <w:right w:val="nil"/>
            </w:tcBorders>
            <w:shd w:val="clear" w:color="auto" w:fill="auto"/>
            <w:noWrap/>
            <w:hideMark/>
          </w:tcPr>
          <w:p w14:paraId="12BA0A37" w14:textId="77777777" w:rsidR="00E82354" w:rsidRPr="002B3649" w:rsidRDefault="00E82354" w:rsidP="00E82354">
            <w:pPr>
              <w:rPr>
                <w:rFonts w:ascii="Calibri" w:hAnsi="Calibri"/>
                <w:i/>
                <w:iCs/>
              </w:rPr>
            </w:pPr>
          </w:p>
        </w:tc>
      </w:tr>
      <w:tr w:rsidR="00E82354" w:rsidRPr="002B3649" w14:paraId="47FC3AC4" w14:textId="77777777" w:rsidTr="00E82354">
        <w:trPr>
          <w:trHeight w:val="300"/>
        </w:trPr>
        <w:tc>
          <w:tcPr>
            <w:tcW w:w="2360" w:type="dxa"/>
            <w:tcBorders>
              <w:top w:val="nil"/>
              <w:left w:val="nil"/>
              <w:bottom w:val="single" w:sz="4" w:space="0" w:color="auto"/>
              <w:right w:val="nil"/>
            </w:tcBorders>
            <w:shd w:val="clear" w:color="auto" w:fill="auto"/>
            <w:noWrap/>
            <w:hideMark/>
          </w:tcPr>
          <w:p w14:paraId="113E7DD1" w14:textId="77777777" w:rsidR="00E82354" w:rsidRPr="002B3649" w:rsidRDefault="00E82354" w:rsidP="00E82354">
            <w:pPr>
              <w:rPr>
                <w:rFonts w:ascii="Calibri" w:hAnsi="Calibri"/>
                <w:bCs/>
              </w:rPr>
            </w:pPr>
            <w:r w:rsidRPr="002B3649">
              <w:rPr>
                <w:rFonts w:ascii="Calibri" w:hAnsi="Calibri"/>
                <w:bCs/>
              </w:rPr>
              <w:t>region-of-interest</w:t>
            </w:r>
          </w:p>
        </w:tc>
        <w:tc>
          <w:tcPr>
            <w:tcW w:w="1005" w:type="dxa"/>
            <w:tcBorders>
              <w:top w:val="nil"/>
              <w:left w:val="nil"/>
              <w:bottom w:val="single" w:sz="4" w:space="0" w:color="auto"/>
              <w:right w:val="nil"/>
            </w:tcBorders>
            <w:shd w:val="clear" w:color="auto" w:fill="auto"/>
            <w:noWrap/>
            <w:hideMark/>
          </w:tcPr>
          <w:p w14:paraId="256D75E5" w14:textId="77777777" w:rsidR="00E82354" w:rsidRPr="002B3649" w:rsidRDefault="00E82354" w:rsidP="00E82354">
            <w:pPr>
              <w:rPr>
                <w:rFonts w:ascii="Calibri" w:hAnsi="Calibri"/>
                <w:bCs/>
              </w:rPr>
            </w:pPr>
            <w:r w:rsidRPr="002B3649">
              <w:rPr>
                <w:rFonts w:ascii="Calibri" w:hAnsi="Calibri"/>
                <w:bCs/>
              </w:rPr>
              <w:t>β</w:t>
            </w:r>
            <w:r w:rsidRPr="002B3649">
              <w:rPr>
                <w:rFonts w:ascii="Calibri" w:hAnsi="Calibri"/>
                <w:bCs/>
                <w:sz w:val="20"/>
                <w:szCs w:val="20"/>
              </w:rPr>
              <w:t>std</w:t>
            </w:r>
          </w:p>
        </w:tc>
        <w:tc>
          <w:tcPr>
            <w:tcW w:w="915" w:type="dxa"/>
            <w:tcBorders>
              <w:top w:val="nil"/>
              <w:left w:val="nil"/>
              <w:bottom w:val="single" w:sz="4" w:space="0" w:color="auto"/>
              <w:right w:val="nil"/>
            </w:tcBorders>
            <w:shd w:val="clear" w:color="auto" w:fill="auto"/>
            <w:noWrap/>
            <w:hideMark/>
          </w:tcPr>
          <w:p w14:paraId="7350AA28" w14:textId="77777777" w:rsidR="00E82354" w:rsidRPr="002B3649" w:rsidRDefault="00E82354" w:rsidP="00E82354">
            <w:pPr>
              <w:rPr>
                <w:rFonts w:ascii="Calibri" w:hAnsi="Calibri"/>
                <w:bCs/>
                <w:i/>
                <w:iCs/>
              </w:rPr>
            </w:pPr>
            <w:r w:rsidRPr="002B3649">
              <w:rPr>
                <w:rFonts w:ascii="Calibri" w:hAnsi="Calibri"/>
                <w:bCs/>
                <w:i/>
                <w:iCs/>
              </w:rPr>
              <w:t>p</w:t>
            </w:r>
          </w:p>
        </w:tc>
        <w:tc>
          <w:tcPr>
            <w:tcW w:w="1007" w:type="dxa"/>
            <w:tcBorders>
              <w:top w:val="nil"/>
              <w:left w:val="nil"/>
              <w:bottom w:val="single" w:sz="4" w:space="0" w:color="auto"/>
              <w:right w:val="nil"/>
            </w:tcBorders>
            <w:shd w:val="clear" w:color="auto" w:fill="auto"/>
            <w:noWrap/>
            <w:hideMark/>
          </w:tcPr>
          <w:p w14:paraId="789CA3CF" w14:textId="77777777" w:rsidR="00E82354" w:rsidRPr="002B3649" w:rsidRDefault="00E82354" w:rsidP="00E82354">
            <w:pPr>
              <w:rPr>
                <w:rFonts w:ascii="Calibri" w:hAnsi="Calibri"/>
                <w:bCs/>
              </w:rPr>
            </w:pPr>
            <w:r w:rsidRPr="002B3649">
              <w:rPr>
                <w:rFonts w:ascii="Calibri" w:hAnsi="Calibri"/>
                <w:bCs/>
              </w:rPr>
              <w:t>β</w:t>
            </w:r>
            <w:r w:rsidRPr="002B3649">
              <w:rPr>
                <w:rFonts w:ascii="Calibri" w:hAnsi="Calibri"/>
                <w:bCs/>
                <w:sz w:val="20"/>
                <w:szCs w:val="20"/>
              </w:rPr>
              <w:t>std</w:t>
            </w:r>
          </w:p>
        </w:tc>
        <w:tc>
          <w:tcPr>
            <w:tcW w:w="913" w:type="dxa"/>
            <w:tcBorders>
              <w:top w:val="nil"/>
              <w:left w:val="nil"/>
              <w:bottom w:val="single" w:sz="4" w:space="0" w:color="auto"/>
              <w:right w:val="nil"/>
            </w:tcBorders>
            <w:shd w:val="clear" w:color="auto" w:fill="auto"/>
            <w:noWrap/>
            <w:hideMark/>
          </w:tcPr>
          <w:p w14:paraId="2C452FF7" w14:textId="77777777" w:rsidR="00E82354" w:rsidRPr="002B3649" w:rsidRDefault="00E82354" w:rsidP="00E82354">
            <w:pPr>
              <w:rPr>
                <w:rFonts w:ascii="Calibri" w:hAnsi="Calibri"/>
                <w:bCs/>
                <w:i/>
                <w:iCs/>
              </w:rPr>
            </w:pPr>
            <w:r w:rsidRPr="002B3649">
              <w:rPr>
                <w:rFonts w:ascii="Calibri" w:hAnsi="Calibri"/>
                <w:bCs/>
                <w:i/>
                <w:iCs/>
              </w:rPr>
              <w:t>p</w:t>
            </w:r>
          </w:p>
        </w:tc>
        <w:tc>
          <w:tcPr>
            <w:tcW w:w="960" w:type="dxa"/>
            <w:tcBorders>
              <w:top w:val="nil"/>
              <w:left w:val="nil"/>
              <w:bottom w:val="single" w:sz="4" w:space="0" w:color="auto"/>
              <w:right w:val="nil"/>
            </w:tcBorders>
            <w:shd w:val="clear" w:color="auto" w:fill="auto"/>
            <w:noWrap/>
            <w:hideMark/>
          </w:tcPr>
          <w:p w14:paraId="754DE2A1" w14:textId="77777777" w:rsidR="00E82354" w:rsidRPr="002B3649" w:rsidRDefault="00E82354" w:rsidP="00E82354">
            <w:pPr>
              <w:rPr>
                <w:rFonts w:ascii="Calibri" w:hAnsi="Calibri"/>
                <w:bCs/>
              </w:rPr>
            </w:pPr>
            <w:r w:rsidRPr="002B3649">
              <w:rPr>
                <w:rFonts w:ascii="Calibri" w:hAnsi="Calibri"/>
                <w:bCs/>
              </w:rPr>
              <w:t>N</w:t>
            </w:r>
            <w:r w:rsidRPr="002B3649">
              <w:rPr>
                <w:rFonts w:ascii="Calibri" w:hAnsi="Calibri"/>
                <w:bCs/>
                <w:sz w:val="20"/>
                <w:szCs w:val="20"/>
              </w:rPr>
              <w:t>sites</w:t>
            </w:r>
          </w:p>
        </w:tc>
      </w:tr>
      <w:tr w:rsidR="00E82354" w:rsidRPr="002B3649" w14:paraId="144D49DA" w14:textId="77777777" w:rsidTr="00E82354">
        <w:trPr>
          <w:trHeight w:val="300"/>
        </w:trPr>
        <w:tc>
          <w:tcPr>
            <w:tcW w:w="2360" w:type="dxa"/>
            <w:tcBorders>
              <w:top w:val="nil"/>
              <w:left w:val="nil"/>
              <w:bottom w:val="nil"/>
              <w:right w:val="nil"/>
            </w:tcBorders>
            <w:shd w:val="clear" w:color="auto" w:fill="auto"/>
            <w:noWrap/>
            <w:hideMark/>
          </w:tcPr>
          <w:p w14:paraId="326749D8" w14:textId="77777777" w:rsidR="00E82354" w:rsidRPr="002B3649" w:rsidRDefault="00E82354" w:rsidP="00E82354">
            <w:pPr>
              <w:rPr>
                <w:rFonts w:ascii="Calibri" w:hAnsi="Calibri"/>
              </w:rPr>
            </w:pPr>
            <w:r w:rsidRPr="002B3649">
              <w:rPr>
                <w:rFonts w:ascii="Calibri" w:hAnsi="Calibri"/>
              </w:rPr>
              <w:t>caudalmiddlefrontal</w:t>
            </w:r>
          </w:p>
        </w:tc>
        <w:tc>
          <w:tcPr>
            <w:tcW w:w="1005" w:type="dxa"/>
            <w:tcBorders>
              <w:top w:val="nil"/>
              <w:left w:val="nil"/>
              <w:bottom w:val="nil"/>
              <w:right w:val="nil"/>
            </w:tcBorders>
            <w:shd w:val="clear" w:color="auto" w:fill="auto"/>
            <w:noWrap/>
            <w:hideMark/>
          </w:tcPr>
          <w:p w14:paraId="3F88B8BD" w14:textId="77777777" w:rsidR="00E82354" w:rsidRPr="002B3649" w:rsidRDefault="00E82354" w:rsidP="00E82354">
            <w:pPr>
              <w:rPr>
                <w:rFonts w:ascii="Calibri" w:hAnsi="Calibri"/>
              </w:rPr>
            </w:pPr>
            <w:r w:rsidRPr="002B3649">
              <w:rPr>
                <w:rFonts w:ascii="Calibri" w:hAnsi="Calibri"/>
              </w:rPr>
              <w:t>-0.0196</w:t>
            </w:r>
          </w:p>
        </w:tc>
        <w:tc>
          <w:tcPr>
            <w:tcW w:w="915" w:type="dxa"/>
            <w:tcBorders>
              <w:top w:val="nil"/>
              <w:left w:val="nil"/>
              <w:bottom w:val="nil"/>
              <w:right w:val="nil"/>
            </w:tcBorders>
            <w:shd w:val="clear" w:color="auto" w:fill="auto"/>
            <w:noWrap/>
            <w:hideMark/>
          </w:tcPr>
          <w:p w14:paraId="7B23F942" w14:textId="77777777" w:rsidR="00E82354" w:rsidRPr="002B3649" w:rsidRDefault="00E82354" w:rsidP="00E82354">
            <w:pPr>
              <w:rPr>
                <w:rFonts w:ascii="Calibri" w:hAnsi="Calibri"/>
              </w:rPr>
            </w:pPr>
            <w:r w:rsidRPr="002B3649">
              <w:rPr>
                <w:rFonts w:ascii="Calibri" w:hAnsi="Calibri"/>
              </w:rPr>
              <w:t>0.5052</w:t>
            </w:r>
          </w:p>
        </w:tc>
        <w:tc>
          <w:tcPr>
            <w:tcW w:w="1007" w:type="dxa"/>
            <w:tcBorders>
              <w:top w:val="nil"/>
              <w:left w:val="nil"/>
              <w:bottom w:val="nil"/>
              <w:right w:val="nil"/>
            </w:tcBorders>
            <w:shd w:val="clear" w:color="auto" w:fill="auto"/>
            <w:noWrap/>
            <w:hideMark/>
          </w:tcPr>
          <w:p w14:paraId="2E1E4792" w14:textId="77777777" w:rsidR="00E82354" w:rsidRPr="002B3649" w:rsidRDefault="00E82354" w:rsidP="00E82354">
            <w:pPr>
              <w:rPr>
                <w:rFonts w:ascii="Calibri" w:hAnsi="Calibri"/>
              </w:rPr>
            </w:pPr>
            <w:r w:rsidRPr="002B3649">
              <w:rPr>
                <w:rFonts w:ascii="Calibri" w:hAnsi="Calibri"/>
              </w:rPr>
              <w:t>-0.0474</w:t>
            </w:r>
          </w:p>
        </w:tc>
        <w:tc>
          <w:tcPr>
            <w:tcW w:w="913" w:type="dxa"/>
            <w:tcBorders>
              <w:top w:val="nil"/>
              <w:left w:val="nil"/>
              <w:bottom w:val="nil"/>
              <w:right w:val="nil"/>
            </w:tcBorders>
            <w:shd w:val="clear" w:color="auto" w:fill="auto"/>
            <w:noWrap/>
            <w:hideMark/>
          </w:tcPr>
          <w:p w14:paraId="5AAC89C6" w14:textId="77777777" w:rsidR="00E82354" w:rsidRPr="002B3649" w:rsidRDefault="00E82354" w:rsidP="00E82354">
            <w:pPr>
              <w:rPr>
                <w:rFonts w:ascii="Calibri" w:hAnsi="Calibri"/>
              </w:rPr>
            </w:pPr>
            <w:r w:rsidRPr="002B3649">
              <w:rPr>
                <w:rFonts w:ascii="Calibri" w:hAnsi="Calibri"/>
              </w:rPr>
              <w:t>0.1406</w:t>
            </w:r>
          </w:p>
        </w:tc>
        <w:tc>
          <w:tcPr>
            <w:tcW w:w="960" w:type="dxa"/>
            <w:tcBorders>
              <w:top w:val="nil"/>
              <w:left w:val="nil"/>
              <w:bottom w:val="nil"/>
              <w:right w:val="nil"/>
            </w:tcBorders>
            <w:shd w:val="clear" w:color="auto" w:fill="auto"/>
            <w:noWrap/>
            <w:hideMark/>
          </w:tcPr>
          <w:p w14:paraId="282E53B0" w14:textId="77777777" w:rsidR="00E82354" w:rsidRPr="002B3649" w:rsidRDefault="00E82354" w:rsidP="00E82354">
            <w:pPr>
              <w:rPr>
                <w:rFonts w:ascii="Calibri" w:hAnsi="Calibri"/>
              </w:rPr>
            </w:pPr>
            <w:r w:rsidRPr="002B3649">
              <w:rPr>
                <w:rFonts w:ascii="Calibri" w:hAnsi="Calibri"/>
              </w:rPr>
              <w:t>17</w:t>
            </w:r>
          </w:p>
        </w:tc>
      </w:tr>
      <w:tr w:rsidR="00E82354" w:rsidRPr="002B3649" w14:paraId="758AABA0" w14:textId="77777777" w:rsidTr="00E82354">
        <w:trPr>
          <w:trHeight w:val="300"/>
        </w:trPr>
        <w:tc>
          <w:tcPr>
            <w:tcW w:w="2360" w:type="dxa"/>
            <w:tcBorders>
              <w:top w:val="nil"/>
              <w:left w:val="nil"/>
              <w:bottom w:val="nil"/>
              <w:right w:val="nil"/>
            </w:tcBorders>
            <w:shd w:val="clear" w:color="auto" w:fill="auto"/>
            <w:noWrap/>
            <w:hideMark/>
          </w:tcPr>
          <w:p w14:paraId="7416EB89" w14:textId="77777777" w:rsidR="00E82354" w:rsidRPr="002B3649" w:rsidRDefault="00E82354" w:rsidP="00E82354">
            <w:pPr>
              <w:rPr>
                <w:rFonts w:ascii="Calibri" w:hAnsi="Calibri"/>
              </w:rPr>
            </w:pPr>
            <w:r w:rsidRPr="002B3649">
              <w:rPr>
                <w:rFonts w:ascii="Calibri" w:hAnsi="Calibri"/>
              </w:rPr>
              <w:t>lateralorbitofrontal</w:t>
            </w:r>
          </w:p>
        </w:tc>
        <w:tc>
          <w:tcPr>
            <w:tcW w:w="1005" w:type="dxa"/>
            <w:tcBorders>
              <w:top w:val="nil"/>
              <w:left w:val="nil"/>
              <w:bottom w:val="nil"/>
              <w:right w:val="nil"/>
            </w:tcBorders>
            <w:shd w:val="clear" w:color="auto" w:fill="auto"/>
            <w:noWrap/>
            <w:hideMark/>
          </w:tcPr>
          <w:p w14:paraId="2E56E194" w14:textId="77777777" w:rsidR="00E82354" w:rsidRPr="002B3649" w:rsidRDefault="00E82354" w:rsidP="00E82354">
            <w:pPr>
              <w:rPr>
                <w:rFonts w:ascii="Calibri" w:hAnsi="Calibri"/>
              </w:rPr>
            </w:pPr>
            <w:r w:rsidRPr="002B3649">
              <w:rPr>
                <w:rFonts w:ascii="Calibri" w:hAnsi="Calibri"/>
              </w:rPr>
              <w:t>-0.0756</w:t>
            </w:r>
          </w:p>
        </w:tc>
        <w:tc>
          <w:tcPr>
            <w:tcW w:w="915" w:type="dxa"/>
            <w:tcBorders>
              <w:top w:val="nil"/>
              <w:left w:val="nil"/>
              <w:bottom w:val="nil"/>
              <w:right w:val="nil"/>
            </w:tcBorders>
            <w:shd w:val="clear" w:color="auto" w:fill="auto"/>
            <w:noWrap/>
            <w:hideMark/>
          </w:tcPr>
          <w:p w14:paraId="5618B984" w14:textId="77777777" w:rsidR="00E82354" w:rsidRPr="002B3649" w:rsidRDefault="00E82354" w:rsidP="00E82354">
            <w:pPr>
              <w:rPr>
                <w:rFonts w:ascii="Calibri" w:hAnsi="Calibri"/>
                <w:bCs/>
              </w:rPr>
            </w:pPr>
            <w:r w:rsidRPr="002B3649">
              <w:rPr>
                <w:rFonts w:ascii="Calibri" w:hAnsi="Calibri"/>
                <w:bCs/>
              </w:rPr>
              <w:t>0.0017</w:t>
            </w:r>
          </w:p>
        </w:tc>
        <w:tc>
          <w:tcPr>
            <w:tcW w:w="1007" w:type="dxa"/>
            <w:tcBorders>
              <w:top w:val="nil"/>
              <w:left w:val="nil"/>
              <w:bottom w:val="nil"/>
              <w:right w:val="nil"/>
            </w:tcBorders>
            <w:shd w:val="clear" w:color="auto" w:fill="auto"/>
            <w:noWrap/>
            <w:hideMark/>
          </w:tcPr>
          <w:p w14:paraId="0D91D320" w14:textId="77777777" w:rsidR="00E82354" w:rsidRPr="002B3649" w:rsidRDefault="00E82354" w:rsidP="00E82354">
            <w:pPr>
              <w:rPr>
                <w:rFonts w:ascii="Calibri" w:hAnsi="Calibri"/>
              </w:rPr>
            </w:pPr>
            <w:r w:rsidRPr="002B3649">
              <w:rPr>
                <w:rFonts w:ascii="Calibri" w:hAnsi="Calibri"/>
              </w:rPr>
              <w:t>-0.0732</w:t>
            </w:r>
          </w:p>
        </w:tc>
        <w:tc>
          <w:tcPr>
            <w:tcW w:w="913" w:type="dxa"/>
            <w:tcBorders>
              <w:top w:val="nil"/>
              <w:left w:val="nil"/>
              <w:bottom w:val="nil"/>
              <w:right w:val="nil"/>
            </w:tcBorders>
            <w:shd w:val="clear" w:color="auto" w:fill="auto"/>
            <w:noWrap/>
            <w:hideMark/>
          </w:tcPr>
          <w:p w14:paraId="2E5D21C2" w14:textId="77777777" w:rsidR="00E82354" w:rsidRPr="002B3649" w:rsidRDefault="00E82354" w:rsidP="00E82354">
            <w:pPr>
              <w:rPr>
                <w:rFonts w:ascii="Calibri" w:hAnsi="Calibri"/>
              </w:rPr>
            </w:pPr>
            <w:r w:rsidRPr="002B3649">
              <w:rPr>
                <w:rFonts w:ascii="Calibri" w:hAnsi="Calibri"/>
              </w:rPr>
              <w:t>0.0114</w:t>
            </w:r>
          </w:p>
        </w:tc>
        <w:tc>
          <w:tcPr>
            <w:tcW w:w="960" w:type="dxa"/>
            <w:tcBorders>
              <w:top w:val="nil"/>
              <w:left w:val="nil"/>
              <w:bottom w:val="nil"/>
              <w:right w:val="nil"/>
            </w:tcBorders>
            <w:shd w:val="clear" w:color="auto" w:fill="auto"/>
            <w:noWrap/>
            <w:hideMark/>
          </w:tcPr>
          <w:p w14:paraId="45E4CC9E" w14:textId="77777777" w:rsidR="00E82354" w:rsidRPr="002B3649" w:rsidRDefault="00E82354" w:rsidP="00E82354">
            <w:pPr>
              <w:rPr>
                <w:rFonts w:ascii="Calibri" w:hAnsi="Calibri"/>
              </w:rPr>
            </w:pPr>
            <w:r w:rsidRPr="002B3649">
              <w:rPr>
                <w:rFonts w:ascii="Calibri" w:hAnsi="Calibri"/>
              </w:rPr>
              <w:t>17</w:t>
            </w:r>
          </w:p>
        </w:tc>
      </w:tr>
      <w:tr w:rsidR="00E82354" w:rsidRPr="002B3649" w14:paraId="11D7919D" w14:textId="77777777" w:rsidTr="00E82354">
        <w:trPr>
          <w:trHeight w:val="300"/>
        </w:trPr>
        <w:tc>
          <w:tcPr>
            <w:tcW w:w="2360" w:type="dxa"/>
            <w:tcBorders>
              <w:top w:val="nil"/>
              <w:left w:val="nil"/>
              <w:bottom w:val="nil"/>
              <w:right w:val="nil"/>
            </w:tcBorders>
            <w:shd w:val="clear" w:color="auto" w:fill="auto"/>
            <w:noWrap/>
            <w:hideMark/>
          </w:tcPr>
          <w:p w14:paraId="63E71E58" w14:textId="77777777" w:rsidR="00E82354" w:rsidRPr="002B3649" w:rsidRDefault="00E82354" w:rsidP="00E82354">
            <w:pPr>
              <w:rPr>
                <w:rFonts w:ascii="Calibri" w:hAnsi="Calibri"/>
              </w:rPr>
            </w:pPr>
            <w:r w:rsidRPr="002B3649">
              <w:rPr>
                <w:rFonts w:ascii="Calibri" w:hAnsi="Calibri"/>
              </w:rPr>
              <w:t>caudalanteriorcingulate</w:t>
            </w:r>
          </w:p>
        </w:tc>
        <w:tc>
          <w:tcPr>
            <w:tcW w:w="1005" w:type="dxa"/>
            <w:tcBorders>
              <w:top w:val="nil"/>
              <w:left w:val="nil"/>
              <w:bottom w:val="nil"/>
              <w:right w:val="nil"/>
            </w:tcBorders>
            <w:shd w:val="clear" w:color="auto" w:fill="auto"/>
            <w:noWrap/>
            <w:hideMark/>
          </w:tcPr>
          <w:p w14:paraId="348414AC" w14:textId="77777777" w:rsidR="00E82354" w:rsidRPr="002B3649" w:rsidRDefault="00E82354" w:rsidP="00E82354">
            <w:pPr>
              <w:rPr>
                <w:rFonts w:ascii="Calibri" w:hAnsi="Calibri"/>
              </w:rPr>
            </w:pPr>
            <w:r w:rsidRPr="002B3649">
              <w:rPr>
                <w:rFonts w:ascii="Calibri" w:hAnsi="Calibri"/>
              </w:rPr>
              <w:t>-0.0164</w:t>
            </w:r>
          </w:p>
        </w:tc>
        <w:tc>
          <w:tcPr>
            <w:tcW w:w="915" w:type="dxa"/>
            <w:tcBorders>
              <w:top w:val="nil"/>
              <w:left w:val="nil"/>
              <w:bottom w:val="nil"/>
              <w:right w:val="nil"/>
            </w:tcBorders>
            <w:shd w:val="clear" w:color="auto" w:fill="auto"/>
            <w:noWrap/>
            <w:hideMark/>
          </w:tcPr>
          <w:p w14:paraId="4A19EA3E" w14:textId="77777777" w:rsidR="00E82354" w:rsidRPr="002B3649" w:rsidRDefault="00E82354" w:rsidP="00E82354">
            <w:pPr>
              <w:rPr>
                <w:rFonts w:ascii="Calibri" w:hAnsi="Calibri"/>
              </w:rPr>
            </w:pPr>
            <w:r w:rsidRPr="002B3649">
              <w:rPr>
                <w:rFonts w:ascii="Calibri" w:hAnsi="Calibri"/>
              </w:rPr>
              <w:t>0.5169</w:t>
            </w:r>
          </w:p>
        </w:tc>
        <w:tc>
          <w:tcPr>
            <w:tcW w:w="1007" w:type="dxa"/>
            <w:tcBorders>
              <w:top w:val="nil"/>
              <w:left w:val="nil"/>
              <w:bottom w:val="nil"/>
              <w:right w:val="nil"/>
            </w:tcBorders>
            <w:shd w:val="clear" w:color="auto" w:fill="auto"/>
            <w:noWrap/>
            <w:hideMark/>
          </w:tcPr>
          <w:p w14:paraId="5F3C2B9B" w14:textId="77777777" w:rsidR="00E82354" w:rsidRPr="002B3649" w:rsidRDefault="00E82354" w:rsidP="00E82354">
            <w:pPr>
              <w:rPr>
                <w:rFonts w:ascii="Calibri" w:hAnsi="Calibri"/>
              </w:rPr>
            </w:pPr>
            <w:r w:rsidRPr="002B3649">
              <w:rPr>
                <w:rFonts w:ascii="Calibri" w:hAnsi="Calibri"/>
              </w:rPr>
              <w:t>-0.0547</w:t>
            </w:r>
          </w:p>
        </w:tc>
        <w:tc>
          <w:tcPr>
            <w:tcW w:w="913" w:type="dxa"/>
            <w:tcBorders>
              <w:top w:val="nil"/>
              <w:left w:val="nil"/>
              <w:bottom w:val="nil"/>
              <w:right w:val="nil"/>
            </w:tcBorders>
            <w:shd w:val="clear" w:color="auto" w:fill="auto"/>
            <w:noWrap/>
            <w:hideMark/>
          </w:tcPr>
          <w:p w14:paraId="2261C668" w14:textId="77777777" w:rsidR="00E82354" w:rsidRPr="002B3649" w:rsidRDefault="00E82354" w:rsidP="00E82354">
            <w:pPr>
              <w:rPr>
                <w:rFonts w:ascii="Calibri" w:hAnsi="Calibri"/>
              </w:rPr>
            </w:pPr>
            <w:r w:rsidRPr="002B3649">
              <w:rPr>
                <w:rFonts w:ascii="Calibri" w:hAnsi="Calibri"/>
              </w:rPr>
              <w:t>0.0921</w:t>
            </w:r>
          </w:p>
        </w:tc>
        <w:tc>
          <w:tcPr>
            <w:tcW w:w="960" w:type="dxa"/>
            <w:tcBorders>
              <w:top w:val="nil"/>
              <w:left w:val="nil"/>
              <w:bottom w:val="nil"/>
              <w:right w:val="nil"/>
            </w:tcBorders>
            <w:shd w:val="clear" w:color="auto" w:fill="auto"/>
            <w:noWrap/>
            <w:hideMark/>
          </w:tcPr>
          <w:p w14:paraId="1C05493E" w14:textId="77777777" w:rsidR="00E82354" w:rsidRPr="002B3649" w:rsidRDefault="00E82354" w:rsidP="00E82354">
            <w:pPr>
              <w:rPr>
                <w:rFonts w:ascii="Calibri" w:hAnsi="Calibri"/>
              </w:rPr>
            </w:pPr>
            <w:r w:rsidRPr="002B3649">
              <w:rPr>
                <w:rFonts w:ascii="Calibri" w:hAnsi="Calibri"/>
              </w:rPr>
              <w:t>13</w:t>
            </w:r>
          </w:p>
        </w:tc>
      </w:tr>
      <w:tr w:rsidR="00E82354" w:rsidRPr="002B3649" w14:paraId="7EFBA468" w14:textId="77777777" w:rsidTr="00E82354">
        <w:trPr>
          <w:trHeight w:val="300"/>
        </w:trPr>
        <w:tc>
          <w:tcPr>
            <w:tcW w:w="2360" w:type="dxa"/>
            <w:tcBorders>
              <w:top w:val="nil"/>
              <w:left w:val="nil"/>
              <w:bottom w:val="nil"/>
              <w:right w:val="nil"/>
            </w:tcBorders>
            <w:shd w:val="clear" w:color="auto" w:fill="auto"/>
            <w:noWrap/>
            <w:hideMark/>
          </w:tcPr>
          <w:p w14:paraId="15F9EF75" w14:textId="77777777" w:rsidR="00E82354" w:rsidRPr="002B3649" w:rsidRDefault="00E82354" w:rsidP="00E82354">
            <w:pPr>
              <w:rPr>
                <w:rFonts w:ascii="Calibri" w:hAnsi="Calibri"/>
              </w:rPr>
            </w:pPr>
            <w:r w:rsidRPr="002B3649">
              <w:rPr>
                <w:rFonts w:ascii="Calibri" w:hAnsi="Calibri"/>
              </w:rPr>
              <w:t>parsopercularis</w:t>
            </w:r>
          </w:p>
        </w:tc>
        <w:tc>
          <w:tcPr>
            <w:tcW w:w="1005" w:type="dxa"/>
            <w:tcBorders>
              <w:top w:val="nil"/>
              <w:left w:val="nil"/>
              <w:bottom w:val="nil"/>
              <w:right w:val="nil"/>
            </w:tcBorders>
            <w:shd w:val="clear" w:color="auto" w:fill="auto"/>
            <w:noWrap/>
            <w:hideMark/>
          </w:tcPr>
          <w:p w14:paraId="3064108E" w14:textId="77777777" w:rsidR="00E82354" w:rsidRPr="002B3649" w:rsidRDefault="00E82354" w:rsidP="00E82354">
            <w:pPr>
              <w:rPr>
                <w:rFonts w:ascii="Calibri" w:hAnsi="Calibri"/>
              </w:rPr>
            </w:pPr>
            <w:r w:rsidRPr="002B3649">
              <w:rPr>
                <w:rFonts w:ascii="Calibri" w:hAnsi="Calibri"/>
              </w:rPr>
              <w:t>-0.0821</w:t>
            </w:r>
          </w:p>
        </w:tc>
        <w:tc>
          <w:tcPr>
            <w:tcW w:w="915" w:type="dxa"/>
            <w:tcBorders>
              <w:top w:val="nil"/>
              <w:left w:val="nil"/>
              <w:bottom w:val="nil"/>
              <w:right w:val="nil"/>
            </w:tcBorders>
            <w:shd w:val="clear" w:color="auto" w:fill="auto"/>
            <w:noWrap/>
            <w:hideMark/>
          </w:tcPr>
          <w:p w14:paraId="09DBE225" w14:textId="77777777" w:rsidR="00E82354" w:rsidRPr="002B3649" w:rsidRDefault="00E82354" w:rsidP="00E82354">
            <w:pPr>
              <w:rPr>
                <w:rFonts w:ascii="Calibri" w:hAnsi="Calibri"/>
                <w:bCs/>
              </w:rPr>
            </w:pPr>
            <w:r w:rsidRPr="002B3649">
              <w:rPr>
                <w:rFonts w:ascii="Calibri" w:hAnsi="Calibri"/>
                <w:bCs/>
              </w:rPr>
              <w:t>0.001</w:t>
            </w:r>
          </w:p>
        </w:tc>
        <w:tc>
          <w:tcPr>
            <w:tcW w:w="1007" w:type="dxa"/>
            <w:tcBorders>
              <w:top w:val="nil"/>
              <w:left w:val="nil"/>
              <w:bottom w:val="nil"/>
              <w:right w:val="nil"/>
            </w:tcBorders>
            <w:shd w:val="clear" w:color="auto" w:fill="auto"/>
            <w:noWrap/>
            <w:hideMark/>
          </w:tcPr>
          <w:p w14:paraId="537F4EA7" w14:textId="77777777" w:rsidR="00E82354" w:rsidRPr="002B3649" w:rsidRDefault="00E82354" w:rsidP="00E82354">
            <w:pPr>
              <w:rPr>
                <w:rFonts w:ascii="Calibri" w:hAnsi="Calibri"/>
              </w:rPr>
            </w:pPr>
            <w:r w:rsidRPr="002B3649">
              <w:rPr>
                <w:rFonts w:ascii="Calibri" w:hAnsi="Calibri"/>
              </w:rPr>
              <w:t>-0.0357</w:t>
            </w:r>
          </w:p>
        </w:tc>
        <w:tc>
          <w:tcPr>
            <w:tcW w:w="913" w:type="dxa"/>
            <w:tcBorders>
              <w:top w:val="nil"/>
              <w:left w:val="nil"/>
              <w:bottom w:val="nil"/>
              <w:right w:val="nil"/>
            </w:tcBorders>
            <w:shd w:val="clear" w:color="auto" w:fill="auto"/>
            <w:noWrap/>
            <w:hideMark/>
          </w:tcPr>
          <w:p w14:paraId="55F932C2" w14:textId="77777777" w:rsidR="00E82354" w:rsidRPr="002B3649" w:rsidRDefault="00E82354" w:rsidP="00E82354">
            <w:pPr>
              <w:rPr>
                <w:rFonts w:ascii="Calibri" w:hAnsi="Calibri"/>
              </w:rPr>
            </w:pPr>
            <w:r w:rsidRPr="002B3649">
              <w:rPr>
                <w:rFonts w:ascii="Calibri" w:hAnsi="Calibri"/>
              </w:rPr>
              <w:t>0.2544</w:t>
            </w:r>
          </w:p>
        </w:tc>
        <w:tc>
          <w:tcPr>
            <w:tcW w:w="960" w:type="dxa"/>
            <w:tcBorders>
              <w:top w:val="nil"/>
              <w:left w:val="nil"/>
              <w:bottom w:val="nil"/>
              <w:right w:val="nil"/>
            </w:tcBorders>
            <w:shd w:val="clear" w:color="auto" w:fill="auto"/>
            <w:noWrap/>
            <w:hideMark/>
          </w:tcPr>
          <w:p w14:paraId="541D315D" w14:textId="77777777" w:rsidR="00E82354" w:rsidRPr="002B3649" w:rsidRDefault="00E82354" w:rsidP="00E82354">
            <w:pPr>
              <w:rPr>
                <w:rFonts w:ascii="Calibri" w:hAnsi="Calibri"/>
              </w:rPr>
            </w:pPr>
            <w:r w:rsidRPr="002B3649">
              <w:rPr>
                <w:rFonts w:ascii="Calibri" w:hAnsi="Calibri"/>
              </w:rPr>
              <w:t>15</w:t>
            </w:r>
          </w:p>
        </w:tc>
      </w:tr>
      <w:tr w:rsidR="00E82354" w:rsidRPr="002B3649" w14:paraId="5C1FB831" w14:textId="77777777" w:rsidTr="00E82354">
        <w:trPr>
          <w:trHeight w:val="300"/>
        </w:trPr>
        <w:tc>
          <w:tcPr>
            <w:tcW w:w="2360" w:type="dxa"/>
            <w:tcBorders>
              <w:top w:val="nil"/>
              <w:left w:val="nil"/>
              <w:bottom w:val="nil"/>
              <w:right w:val="nil"/>
            </w:tcBorders>
            <w:shd w:val="clear" w:color="auto" w:fill="auto"/>
            <w:noWrap/>
            <w:hideMark/>
          </w:tcPr>
          <w:p w14:paraId="16DF3201" w14:textId="77777777" w:rsidR="00E82354" w:rsidRPr="002B3649" w:rsidRDefault="00E82354" w:rsidP="00E82354">
            <w:pPr>
              <w:rPr>
                <w:rFonts w:ascii="Calibri" w:hAnsi="Calibri"/>
              </w:rPr>
            </w:pPr>
            <w:r w:rsidRPr="002B3649">
              <w:rPr>
                <w:rFonts w:ascii="Calibri" w:hAnsi="Calibri"/>
              </w:rPr>
              <w:t>parsorbitalis</w:t>
            </w:r>
          </w:p>
        </w:tc>
        <w:tc>
          <w:tcPr>
            <w:tcW w:w="1005" w:type="dxa"/>
            <w:tcBorders>
              <w:top w:val="nil"/>
              <w:left w:val="nil"/>
              <w:bottom w:val="nil"/>
              <w:right w:val="nil"/>
            </w:tcBorders>
            <w:shd w:val="clear" w:color="auto" w:fill="auto"/>
            <w:noWrap/>
            <w:hideMark/>
          </w:tcPr>
          <w:p w14:paraId="0B8E0C89" w14:textId="77777777" w:rsidR="00E82354" w:rsidRPr="002B3649" w:rsidRDefault="00E82354" w:rsidP="00E82354">
            <w:pPr>
              <w:rPr>
                <w:rFonts w:ascii="Calibri" w:hAnsi="Calibri"/>
              </w:rPr>
            </w:pPr>
            <w:r w:rsidRPr="002B3649">
              <w:rPr>
                <w:rFonts w:ascii="Calibri" w:hAnsi="Calibri"/>
              </w:rPr>
              <w:t>-0.0512</w:t>
            </w:r>
          </w:p>
        </w:tc>
        <w:tc>
          <w:tcPr>
            <w:tcW w:w="915" w:type="dxa"/>
            <w:tcBorders>
              <w:top w:val="nil"/>
              <w:left w:val="nil"/>
              <w:bottom w:val="nil"/>
              <w:right w:val="nil"/>
            </w:tcBorders>
            <w:shd w:val="clear" w:color="auto" w:fill="auto"/>
            <w:noWrap/>
            <w:hideMark/>
          </w:tcPr>
          <w:p w14:paraId="638391C6" w14:textId="77777777" w:rsidR="00E82354" w:rsidRPr="002B3649" w:rsidRDefault="00E82354" w:rsidP="00E82354">
            <w:pPr>
              <w:rPr>
                <w:rFonts w:ascii="Calibri" w:hAnsi="Calibri"/>
              </w:rPr>
            </w:pPr>
            <w:r w:rsidRPr="002B3649">
              <w:rPr>
                <w:rFonts w:ascii="Calibri" w:hAnsi="Calibri"/>
              </w:rPr>
              <w:t>0.0512</w:t>
            </w:r>
          </w:p>
        </w:tc>
        <w:tc>
          <w:tcPr>
            <w:tcW w:w="1007" w:type="dxa"/>
            <w:tcBorders>
              <w:top w:val="nil"/>
              <w:left w:val="nil"/>
              <w:bottom w:val="nil"/>
              <w:right w:val="nil"/>
            </w:tcBorders>
            <w:shd w:val="clear" w:color="auto" w:fill="auto"/>
            <w:noWrap/>
            <w:hideMark/>
          </w:tcPr>
          <w:p w14:paraId="497C4700" w14:textId="77777777" w:rsidR="00E82354" w:rsidRPr="002B3649" w:rsidRDefault="00E82354" w:rsidP="00E82354">
            <w:pPr>
              <w:rPr>
                <w:rFonts w:ascii="Calibri" w:hAnsi="Calibri"/>
              </w:rPr>
            </w:pPr>
            <w:r w:rsidRPr="002B3649">
              <w:rPr>
                <w:rFonts w:ascii="Calibri" w:hAnsi="Calibri"/>
              </w:rPr>
              <w:t>-0.0479</w:t>
            </w:r>
          </w:p>
        </w:tc>
        <w:tc>
          <w:tcPr>
            <w:tcW w:w="913" w:type="dxa"/>
            <w:tcBorders>
              <w:top w:val="nil"/>
              <w:left w:val="nil"/>
              <w:bottom w:val="nil"/>
              <w:right w:val="nil"/>
            </w:tcBorders>
            <w:shd w:val="clear" w:color="auto" w:fill="auto"/>
            <w:noWrap/>
            <w:hideMark/>
          </w:tcPr>
          <w:p w14:paraId="3FBC9E52" w14:textId="77777777" w:rsidR="00E82354" w:rsidRPr="002B3649" w:rsidRDefault="00E82354" w:rsidP="00E82354">
            <w:pPr>
              <w:rPr>
                <w:rFonts w:ascii="Calibri" w:hAnsi="Calibri"/>
              </w:rPr>
            </w:pPr>
            <w:r w:rsidRPr="002B3649">
              <w:rPr>
                <w:rFonts w:ascii="Calibri" w:hAnsi="Calibri"/>
              </w:rPr>
              <w:t>0.0897</w:t>
            </w:r>
          </w:p>
        </w:tc>
        <w:tc>
          <w:tcPr>
            <w:tcW w:w="960" w:type="dxa"/>
            <w:tcBorders>
              <w:top w:val="nil"/>
              <w:left w:val="nil"/>
              <w:bottom w:val="nil"/>
              <w:right w:val="nil"/>
            </w:tcBorders>
            <w:shd w:val="clear" w:color="auto" w:fill="auto"/>
            <w:noWrap/>
            <w:hideMark/>
          </w:tcPr>
          <w:p w14:paraId="42128907" w14:textId="77777777" w:rsidR="00E82354" w:rsidRPr="002B3649" w:rsidRDefault="00E82354" w:rsidP="00E82354">
            <w:pPr>
              <w:rPr>
                <w:rFonts w:ascii="Calibri" w:hAnsi="Calibri"/>
              </w:rPr>
            </w:pPr>
            <w:r w:rsidRPr="002B3649">
              <w:rPr>
                <w:rFonts w:ascii="Calibri" w:hAnsi="Calibri"/>
              </w:rPr>
              <w:t>13</w:t>
            </w:r>
          </w:p>
        </w:tc>
      </w:tr>
      <w:tr w:rsidR="00E82354" w:rsidRPr="002B3649" w14:paraId="2677B664" w14:textId="77777777" w:rsidTr="00E82354">
        <w:trPr>
          <w:trHeight w:val="300"/>
        </w:trPr>
        <w:tc>
          <w:tcPr>
            <w:tcW w:w="2360" w:type="dxa"/>
            <w:tcBorders>
              <w:top w:val="nil"/>
              <w:left w:val="nil"/>
              <w:bottom w:val="nil"/>
              <w:right w:val="nil"/>
            </w:tcBorders>
            <w:shd w:val="clear" w:color="auto" w:fill="auto"/>
            <w:noWrap/>
            <w:hideMark/>
          </w:tcPr>
          <w:p w14:paraId="47EA2A29" w14:textId="77777777" w:rsidR="00E82354" w:rsidRPr="002B3649" w:rsidRDefault="00E82354" w:rsidP="00E82354">
            <w:pPr>
              <w:rPr>
                <w:rFonts w:ascii="Calibri" w:hAnsi="Calibri"/>
              </w:rPr>
            </w:pPr>
            <w:r w:rsidRPr="002B3649">
              <w:rPr>
                <w:rFonts w:ascii="Calibri" w:hAnsi="Calibri"/>
              </w:rPr>
              <w:t>parstriangularis</w:t>
            </w:r>
          </w:p>
        </w:tc>
        <w:tc>
          <w:tcPr>
            <w:tcW w:w="1005" w:type="dxa"/>
            <w:tcBorders>
              <w:top w:val="nil"/>
              <w:left w:val="nil"/>
              <w:bottom w:val="nil"/>
              <w:right w:val="nil"/>
            </w:tcBorders>
            <w:shd w:val="clear" w:color="auto" w:fill="auto"/>
            <w:noWrap/>
            <w:hideMark/>
          </w:tcPr>
          <w:p w14:paraId="7D60321E" w14:textId="77777777" w:rsidR="00E82354" w:rsidRPr="002B3649" w:rsidRDefault="00E82354" w:rsidP="00E82354">
            <w:pPr>
              <w:rPr>
                <w:rFonts w:ascii="Calibri" w:hAnsi="Calibri"/>
              </w:rPr>
            </w:pPr>
            <w:r w:rsidRPr="002B3649">
              <w:rPr>
                <w:rFonts w:ascii="Calibri" w:hAnsi="Calibri"/>
              </w:rPr>
              <w:t>-0.0659</w:t>
            </w:r>
          </w:p>
        </w:tc>
        <w:tc>
          <w:tcPr>
            <w:tcW w:w="915" w:type="dxa"/>
            <w:tcBorders>
              <w:top w:val="nil"/>
              <w:left w:val="nil"/>
              <w:bottom w:val="nil"/>
              <w:right w:val="nil"/>
            </w:tcBorders>
            <w:shd w:val="clear" w:color="auto" w:fill="auto"/>
            <w:noWrap/>
            <w:hideMark/>
          </w:tcPr>
          <w:p w14:paraId="6E6FB72F" w14:textId="77777777" w:rsidR="00E82354" w:rsidRPr="002B3649" w:rsidRDefault="00E82354" w:rsidP="00E82354">
            <w:pPr>
              <w:rPr>
                <w:rFonts w:ascii="Calibri" w:hAnsi="Calibri"/>
              </w:rPr>
            </w:pPr>
            <w:r w:rsidRPr="002B3649">
              <w:rPr>
                <w:rFonts w:ascii="Calibri" w:hAnsi="Calibri"/>
              </w:rPr>
              <w:t>0.0101</w:t>
            </w:r>
          </w:p>
        </w:tc>
        <w:tc>
          <w:tcPr>
            <w:tcW w:w="1007" w:type="dxa"/>
            <w:tcBorders>
              <w:top w:val="nil"/>
              <w:left w:val="nil"/>
              <w:bottom w:val="nil"/>
              <w:right w:val="nil"/>
            </w:tcBorders>
            <w:shd w:val="clear" w:color="auto" w:fill="auto"/>
            <w:noWrap/>
            <w:hideMark/>
          </w:tcPr>
          <w:p w14:paraId="4ED383E1" w14:textId="77777777" w:rsidR="00E82354" w:rsidRPr="002B3649" w:rsidRDefault="00E82354" w:rsidP="00E82354">
            <w:pPr>
              <w:rPr>
                <w:rFonts w:ascii="Calibri" w:hAnsi="Calibri"/>
              </w:rPr>
            </w:pPr>
            <w:r w:rsidRPr="002B3649">
              <w:rPr>
                <w:rFonts w:ascii="Calibri" w:hAnsi="Calibri"/>
              </w:rPr>
              <w:t>-0.0422</w:t>
            </w:r>
          </w:p>
        </w:tc>
        <w:tc>
          <w:tcPr>
            <w:tcW w:w="913" w:type="dxa"/>
            <w:tcBorders>
              <w:top w:val="nil"/>
              <w:left w:val="nil"/>
              <w:bottom w:val="nil"/>
              <w:right w:val="nil"/>
            </w:tcBorders>
            <w:shd w:val="clear" w:color="auto" w:fill="auto"/>
            <w:noWrap/>
            <w:hideMark/>
          </w:tcPr>
          <w:p w14:paraId="237727AE" w14:textId="77777777" w:rsidR="00E82354" w:rsidRPr="002B3649" w:rsidRDefault="00E82354" w:rsidP="00E82354">
            <w:pPr>
              <w:rPr>
                <w:rFonts w:ascii="Calibri" w:hAnsi="Calibri"/>
              </w:rPr>
            </w:pPr>
            <w:r w:rsidRPr="002B3649">
              <w:rPr>
                <w:rFonts w:ascii="Calibri" w:hAnsi="Calibri"/>
              </w:rPr>
              <w:t>0.086</w:t>
            </w:r>
          </w:p>
        </w:tc>
        <w:tc>
          <w:tcPr>
            <w:tcW w:w="960" w:type="dxa"/>
            <w:tcBorders>
              <w:top w:val="nil"/>
              <w:left w:val="nil"/>
              <w:bottom w:val="nil"/>
              <w:right w:val="nil"/>
            </w:tcBorders>
            <w:shd w:val="clear" w:color="auto" w:fill="auto"/>
            <w:noWrap/>
            <w:hideMark/>
          </w:tcPr>
          <w:p w14:paraId="2D3A08FE" w14:textId="77777777" w:rsidR="00E82354" w:rsidRPr="002B3649" w:rsidRDefault="00E82354" w:rsidP="00E82354">
            <w:pPr>
              <w:rPr>
                <w:rFonts w:ascii="Calibri" w:hAnsi="Calibri"/>
              </w:rPr>
            </w:pPr>
            <w:r w:rsidRPr="002B3649">
              <w:rPr>
                <w:rFonts w:ascii="Calibri" w:hAnsi="Calibri"/>
              </w:rPr>
              <w:t>15</w:t>
            </w:r>
          </w:p>
        </w:tc>
      </w:tr>
      <w:tr w:rsidR="00E82354" w:rsidRPr="002B3649" w14:paraId="27527989" w14:textId="77777777" w:rsidTr="00E82354">
        <w:trPr>
          <w:trHeight w:val="300"/>
        </w:trPr>
        <w:tc>
          <w:tcPr>
            <w:tcW w:w="2360" w:type="dxa"/>
            <w:tcBorders>
              <w:top w:val="nil"/>
              <w:left w:val="nil"/>
              <w:bottom w:val="nil"/>
              <w:right w:val="nil"/>
            </w:tcBorders>
            <w:shd w:val="clear" w:color="auto" w:fill="auto"/>
            <w:noWrap/>
            <w:hideMark/>
          </w:tcPr>
          <w:p w14:paraId="599CE40E" w14:textId="77777777" w:rsidR="00E82354" w:rsidRPr="002B3649" w:rsidRDefault="00E82354" w:rsidP="00E82354">
            <w:pPr>
              <w:rPr>
                <w:rFonts w:ascii="Calibri" w:hAnsi="Calibri"/>
              </w:rPr>
            </w:pPr>
            <w:r w:rsidRPr="002B3649">
              <w:rPr>
                <w:rFonts w:ascii="Calibri" w:hAnsi="Calibri"/>
              </w:rPr>
              <w:t>rostralanteriorcingulate</w:t>
            </w:r>
          </w:p>
        </w:tc>
        <w:tc>
          <w:tcPr>
            <w:tcW w:w="1005" w:type="dxa"/>
            <w:tcBorders>
              <w:top w:val="nil"/>
              <w:left w:val="nil"/>
              <w:bottom w:val="nil"/>
              <w:right w:val="nil"/>
            </w:tcBorders>
            <w:shd w:val="clear" w:color="auto" w:fill="auto"/>
            <w:noWrap/>
            <w:hideMark/>
          </w:tcPr>
          <w:p w14:paraId="72E5E318" w14:textId="77777777" w:rsidR="00E82354" w:rsidRPr="002B3649" w:rsidRDefault="00E82354" w:rsidP="00E82354">
            <w:pPr>
              <w:rPr>
                <w:rFonts w:ascii="Calibri" w:hAnsi="Calibri"/>
              </w:rPr>
            </w:pPr>
            <w:r w:rsidRPr="002B3649">
              <w:rPr>
                <w:rFonts w:ascii="Calibri" w:hAnsi="Calibri"/>
              </w:rPr>
              <w:t>0.0137</w:t>
            </w:r>
          </w:p>
        </w:tc>
        <w:tc>
          <w:tcPr>
            <w:tcW w:w="915" w:type="dxa"/>
            <w:tcBorders>
              <w:top w:val="nil"/>
              <w:left w:val="nil"/>
              <w:bottom w:val="nil"/>
              <w:right w:val="nil"/>
            </w:tcBorders>
            <w:shd w:val="clear" w:color="auto" w:fill="auto"/>
            <w:noWrap/>
            <w:hideMark/>
          </w:tcPr>
          <w:p w14:paraId="78461324" w14:textId="77777777" w:rsidR="00E82354" w:rsidRPr="002B3649" w:rsidRDefault="00E82354" w:rsidP="00E82354">
            <w:pPr>
              <w:rPr>
                <w:rFonts w:ascii="Calibri" w:hAnsi="Calibri"/>
              </w:rPr>
            </w:pPr>
            <w:r w:rsidRPr="002B3649">
              <w:rPr>
                <w:rFonts w:ascii="Calibri" w:hAnsi="Calibri"/>
              </w:rPr>
              <w:t>0.6022</w:t>
            </w:r>
          </w:p>
        </w:tc>
        <w:tc>
          <w:tcPr>
            <w:tcW w:w="1007" w:type="dxa"/>
            <w:tcBorders>
              <w:top w:val="nil"/>
              <w:left w:val="nil"/>
              <w:bottom w:val="nil"/>
              <w:right w:val="nil"/>
            </w:tcBorders>
            <w:shd w:val="clear" w:color="auto" w:fill="auto"/>
            <w:noWrap/>
            <w:hideMark/>
          </w:tcPr>
          <w:p w14:paraId="33593CFF" w14:textId="77777777" w:rsidR="00E82354" w:rsidRPr="002B3649" w:rsidRDefault="00E82354" w:rsidP="00E82354">
            <w:pPr>
              <w:rPr>
                <w:rFonts w:ascii="Calibri" w:hAnsi="Calibri"/>
              </w:rPr>
            </w:pPr>
            <w:r w:rsidRPr="002B3649">
              <w:rPr>
                <w:rFonts w:ascii="Calibri" w:hAnsi="Calibri"/>
              </w:rPr>
              <w:t>-0.0434</w:t>
            </w:r>
          </w:p>
        </w:tc>
        <w:tc>
          <w:tcPr>
            <w:tcW w:w="913" w:type="dxa"/>
            <w:tcBorders>
              <w:top w:val="nil"/>
              <w:left w:val="nil"/>
              <w:bottom w:val="nil"/>
              <w:right w:val="nil"/>
            </w:tcBorders>
            <w:shd w:val="clear" w:color="auto" w:fill="auto"/>
            <w:noWrap/>
            <w:hideMark/>
          </w:tcPr>
          <w:p w14:paraId="0185D24A" w14:textId="77777777" w:rsidR="00E82354" w:rsidRPr="002B3649" w:rsidRDefault="00E82354" w:rsidP="00E82354">
            <w:pPr>
              <w:rPr>
                <w:rFonts w:ascii="Calibri" w:hAnsi="Calibri"/>
              </w:rPr>
            </w:pPr>
            <w:r w:rsidRPr="002B3649">
              <w:rPr>
                <w:rFonts w:ascii="Calibri" w:hAnsi="Calibri"/>
              </w:rPr>
              <w:t>0.1884</w:t>
            </w:r>
          </w:p>
        </w:tc>
        <w:tc>
          <w:tcPr>
            <w:tcW w:w="960" w:type="dxa"/>
            <w:tcBorders>
              <w:top w:val="nil"/>
              <w:left w:val="nil"/>
              <w:bottom w:val="nil"/>
              <w:right w:val="nil"/>
            </w:tcBorders>
            <w:shd w:val="clear" w:color="auto" w:fill="auto"/>
            <w:noWrap/>
            <w:hideMark/>
          </w:tcPr>
          <w:p w14:paraId="05E11796" w14:textId="77777777" w:rsidR="00E82354" w:rsidRPr="002B3649" w:rsidRDefault="00E82354" w:rsidP="00E82354">
            <w:pPr>
              <w:rPr>
                <w:rFonts w:ascii="Calibri" w:hAnsi="Calibri"/>
              </w:rPr>
            </w:pPr>
            <w:r w:rsidRPr="002B3649">
              <w:rPr>
                <w:rFonts w:ascii="Calibri" w:hAnsi="Calibri"/>
              </w:rPr>
              <w:t>13</w:t>
            </w:r>
          </w:p>
        </w:tc>
      </w:tr>
      <w:tr w:rsidR="00E82354" w:rsidRPr="002B3649" w14:paraId="42AFB2D9" w14:textId="77777777" w:rsidTr="00E82354">
        <w:trPr>
          <w:trHeight w:val="300"/>
        </w:trPr>
        <w:tc>
          <w:tcPr>
            <w:tcW w:w="2360" w:type="dxa"/>
            <w:tcBorders>
              <w:top w:val="nil"/>
              <w:left w:val="nil"/>
              <w:bottom w:val="nil"/>
              <w:right w:val="nil"/>
            </w:tcBorders>
            <w:shd w:val="clear" w:color="auto" w:fill="auto"/>
            <w:noWrap/>
            <w:hideMark/>
          </w:tcPr>
          <w:p w14:paraId="220D49E8" w14:textId="77777777" w:rsidR="00E82354" w:rsidRPr="002B3649" w:rsidRDefault="00E82354" w:rsidP="00E82354">
            <w:pPr>
              <w:rPr>
                <w:rFonts w:ascii="Calibri" w:hAnsi="Calibri"/>
              </w:rPr>
            </w:pPr>
            <w:r w:rsidRPr="002B3649">
              <w:rPr>
                <w:rFonts w:ascii="Calibri" w:hAnsi="Calibri"/>
              </w:rPr>
              <w:t>rostralmiddlefrontal</w:t>
            </w:r>
          </w:p>
        </w:tc>
        <w:tc>
          <w:tcPr>
            <w:tcW w:w="1005" w:type="dxa"/>
            <w:tcBorders>
              <w:top w:val="nil"/>
              <w:left w:val="nil"/>
              <w:bottom w:val="nil"/>
              <w:right w:val="nil"/>
            </w:tcBorders>
            <w:shd w:val="clear" w:color="auto" w:fill="auto"/>
            <w:noWrap/>
            <w:hideMark/>
          </w:tcPr>
          <w:p w14:paraId="72D90841" w14:textId="77777777" w:rsidR="00E82354" w:rsidRPr="002B3649" w:rsidRDefault="00E82354" w:rsidP="00E82354">
            <w:pPr>
              <w:rPr>
                <w:rFonts w:ascii="Calibri" w:hAnsi="Calibri"/>
              </w:rPr>
            </w:pPr>
            <w:r w:rsidRPr="002B3649">
              <w:rPr>
                <w:rFonts w:ascii="Calibri" w:hAnsi="Calibri"/>
              </w:rPr>
              <w:t>-0.0509</w:t>
            </w:r>
          </w:p>
        </w:tc>
        <w:tc>
          <w:tcPr>
            <w:tcW w:w="915" w:type="dxa"/>
            <w:tcBorders>
              <w:top w:val="nil"/>
              <w:left w:val="nil"/>
              <w:bottom w:val="nil"/>
              <w:right w:val="nil"/>
            </w:tcBorders>
            <w:shd w:val="clear" w:color="auto" w:fill="auto"/>
            <w:noWrap/>
            <w:hideMark/>
          </w:tcPr>
          <w:p w14:paraId="0B1EAC4D" w14:textId="77777777" w:rsidR="00E82354" w:rsidRPr="002B3649" w:rsidRDefault="00E82354" w:rsidP="00E82354">
            <w:pPr>
              <w:rPr>
                <w:rFonts w:ascii="Calibri" w:hAnsi="Calibri"/>
              </w:rPr>
            </w:pPr>
            <w:r w:rsidRPr="002B3649">
              <w:rPr>
                <w:rFonts w:ascii="Calibri" w:hAnsi="Calibri"/>
              </w:rPr>
              <w:t>0.0446</w:t>
            </w:r>
          </w:p>
        </w:tc>
        <w:tc>
          <w:tcPr>
            <w:tcW w:w="1007" w:type="dxa"/>
            <w:tcBorders>
              <w:top w:val="nil"/>
              <w:left w:val="nil"/>
              <w:bottom w:val="nil"/>
              <w:right w:val="nil"/>
            </w:tcBorders>
            <w:shd w:val="clear" w:color="auto" w:fill="auto"/>
            <w:noWrap/>
            <w:hideMark/>
          </w:tcPr>
          <w:p w14:paraId="32C4B973" w14:textId="77777777" w:rsidR="00E82354" w:rsidRPr="002B3649" w:rsidRDefault="00E82354" w:rsidP="00E82354">
            <w:pPr>
              <w:rPr>
                <w:rFonts w:ascii="Calibri" w:hAnsi="Calibri"/>
              </w:rPr>
            </w:pPr>
            <w:r w:rsidRPr="002B3649">
              <w:rPr>
                <w:rFonts w:ascii="Calibri" w:hAnsi="Calibri"/>
              </w:rPr>
              <w:t>-0.0484</w:t>
            </w:r>
          </w:p>
        </w:tc>
        <w:tc>
          <w:tcPr>
            <w:tcW w:w="913" w:type="dxa"/>
            <w:tcBorders>
              <w:top w:val="nil"/>
              <w:left w:val="nil"/>
              <w:bottom w:val="nil"/>
              <w:right w:val="nil"/>
            </w:tcBorders>
            <w:shd w:val="clear" w:color="auto" w:fill="auto"/>
            <w:noWrap/>
            <w:hideMark/>
          </w:tcPr>
          <w:p w14:paraId="400B4273" w14:textId="77777777" w:rsidR="00E82354" w:rsidRPr="002B3649" w:rsidRDefault="00E82354" w:rsidP="00E82354">
            <w:pPr>
              <w:rPr>
                <w:rFonts w:ascii="Calibri" w:hAnsi="Calibri"/>
              </w:rPr>
            </w:pPr>
            <w:r w:rsidRPr="002B3649">
              <w:rPr>
                <w:rFonts w:ascii="Calibri" w:hAnsi="Calibri"/>
              </w:rPr>
              <w:t>0.0613</w:t>
            </w:r>
          </w:p>
        </w:tc>
        <w:tc>
          <w:tcPr>
            <w:tcW w:w="960" w:type="dxa"/>
            <w:tcBorders>
              <w:top w:val="nil"/>
              <w:left w:val="nil"/>
              <w:bottom w:val="nil"/>
              <w:right w:val="nil"/>
            </w:tcBorders>
            <w:shd w:val="clear" w:color="auto" w:fill="auto"/>
            <w:noWrap/>
            <w:hideMark/>
          </w:tcPr>
          <w:p w14:paraId="0B010F2C" w14:textId="77777777" w:rsidR="00E82354" w:rsidRPr="002B3649" w:rsidRDefault="00E82354" w:rsidP="00E82354">
            <w:pPr>
              <w:rPr>
                <w:rFonts w:ascii="Calibri" w:hAnsi="Calibri"/>
              </w:rPr>
            </w:pPr>
            <w:r w:rsidRPr="002B3649">
              <w:rPr>
                <w:rFonts w:ascii="Calibri" w:hAnsi="Calibri"/>
              </w:rPr>
              <w:t>17</w:t>
            </w:r>
          </w:p>
        </w:tc>
      </w:tr>
      <w:tr w:rsidR="00E82354" w:rsidRPr="002B3649" w14:paraId="3CA38401" w14:textId="77777777" w:rsidTr="00E82354">
        <w:trPr>
          <w:trHeight w:val="300"/>
        </w:trPr>
        <w:tc>
          <w:tcPr>
            <w:tcW w:w="2360" w:type="dxa"/>
            <w:tcBorders>
              <w:top w:val="nil"/>
              <w:left w:val="nil"/>
              <w:bottom w:val="nil"/>
              <w:right w:val="nil"/>
            </w:tcBorders>
            <w:shd w:val="clear" w:color="auto" w:fill="auto"/>
            <w:noWrap/>
            <w:hideMark/>
          </w:tcPr>
          <w:p w14:paraId="696CFA95" w14:textId="77777777" w:rsidR="00E82354" w:rsidRPr="002B3649" w:rsidRDefault="00E82354" w:rsidP="00E82354">
            <w:pPr>
              <w:rPr>
                <w:rFonts w:ascii="Calibri" w:hAnsi="Calibri"/>
              </w:rPr>
            </w:pPr>
            <w:r w:rsidRPr="002B3649">
              <w:rPr>
                <w:rFonts w:ascii="Calibri" w:hAnsi="Calibri"/>
              </w:rPr>
              <w:t>superiorfrontal</w:t>
            </w:r>
          </w:p>
        </w:tc>
        <w:tc>
          <w:tcPr>
            <w:tcW w:w="1005" w:type="dxa"/>
            <w:tcBorders>
              <w:top w:val="nil"/>
              <w:left w:val="nil"/>
              <w:bottom w:val="nil"/>
              <w:right w:val="nil"/>
            </w:tcBorders>
            <w:shd w:val="clear" w:color="auto" w:fill="auto"/>
            <w:noWrap/>
            <w:hideMark/>
          </w:tcPr>
          <w:p w14:paraId="14D61879" w14:textId="77777777" w:rsidR="00E82354" w:rsidRPr="002B3649" w:rsidRDefault="00E82354" w:rsidP="00E82354">
            <w:pPr>
              <w:rPr>
                <w:rFonts w:ascii="Calibri" w:hAnsi="Calibri"/>
              </w:rPr>
            </w:pPr>
            <w:r w:rsidRPr="002B3649">
              <w:rPr>
                <w:rFonts w:ascii="Calibri" w:hAnsi="Calibri"/>
              </w:rPr>
              <w:t>-0.0662</w:t>
            </w:r>
          </w:p>
        </w:tc>
        <w:tc>
          <w:tcPr>
            <w:tcW w:w="915" w:type="dxa"/>
            <w:tcBorders>
              <w:top w:val="nil"/>
              <w:left w:val="nil"/>
              <w:bottom w:val="nil"/>
              <w:right w:val="nil"/>
            </w:tcBorders>
            <w:shd w:val="clear" w:color="auto" w:fill="auto"/>
            <w:noWrap/>
            <w:hideMark/>
          </w:tcPr>
          <w:p w14:paraId="74759479" w14:textId="77777777" w:rsidR="00E82354" w:rsidRPr="002B3649" w:rsidRDefault="00E82354" w:rsidP="00E82354">
            <w:pPr>
              <w:rPr>
                <w:rFonts w:ascii="Calibri" w:hAnsi="Calibri"/>
              </w:rPr>
            </w:pPr>
            <w:r w:rsidRPr="002B3649">
              <w:rPr>
                <w:rFonts w:ascii="Calibri" w:hAnsi="Calibri"/>
              </w:rPr>
              <w:t>0.0223</w:t>
            </w:r>
          </w:p>
        </w:tc>
        <w:tc>
          <w:tcPr>
            <w:tcW w:w="1007" w:type="dxa"/>
            <w:tcBorders>
              <w:top w:val="nil"/>
              <w:left w:val="nil"/>
              <w:bottom w:val="nil"/>
              <w:right w:val="nil"/>
            </w:tcBorders>
            <w:shd w:val="clear" w:color="auto" w:fill="auto"/>
            <w:noWrap/>
            <w:hideMark/>
          </w:tcPr>
          <w:p w14:paraId="5DCDE0D7" w14:textId="77777777" w:rsidR="00E82354" w:rsidRPr="002B3649" w:rsidRDefault="00E82354" w:rsidP="00E82354">
            <w:pPr>
              <w:rPr>
                <w:rFonts w:ascii="Calibri" w:hAnsi="Calibri"/>
              </w:rPr>
            </w:pPr>
            <w:r w:rsidRPr="002B3649">
              <w:rPr>
                <w:rFonts w:ascii="Calibri" w:hAnsi="Calibri"/>
              </w:rPr>
              <w:t>-0.0640</w:t>
            </w:r>
          </w:p>
        </w:tc>
        <w:tc>
          <w:tcPr>
            <w:tcW w:w="913" w:type="dxa"/>
            <w:tcBorders>
              <w:top w:val="nil"/>
              <w:left w:val="nil"/>
              <w:bottom w:val="nil"/>
              <w:right w:val="nil"/>
            </w:tcBorders>
            <w:shd w:val="clear" w:color="auto" w:fill="auto"/>
            <w:noWrap/>
            <w:hideMark/>
          </w:tcPr>
          <w:p w14:paraId="3E376DC0" w14:textId="77777777" w:rsidR="00E82354" w:rsidRPr="002B3649" w:rsidRDefault="00E82354" w:rsidP="00E82354">
            <w:pPr>
              <w:rPr>
                <w:rFonts w:ascii="Calibri" w:hAnsi="Calibri"/>
              </w:rPr>
            </w:pPr>
            <w:r w:rsidRPr="002B3649">
              <w:rPr>
                <w:rFonts w:ascii="Calibri" w:hAnsi="Calibri"/>
              </w:rPr>
              <w:t>0.0264</w:t>
            </w:r>
          </w:p>
        </w:tc>
        <w:tc>
          <w:tcPr>
            <w:tcW w:w="960" w:type="dxa"/>
            <w:tcBorders>
              <w:top w:val="nil"/>
              <w:left w:val="nil"/>
              <w:bottom w:val="nil"/>
              <w:right w:val="nil"/>
            </w:tcBorders>
            <w:shd w:val="clear" w:color="auto" w:fill="auto"/>
            <w:noWrap/>
            <w:hideMark/>
          </w:tcPr>
          <w:p w14:paraId="6F7A29D3" w14:textId="77777777" w:rsidR="00E82354" w:rsidRPr="002B3649" w:rsidRDefault="00E82354" w:rsidP="00E82354">
            <w:pPr>
              <w:rPr>
                <w:rFonts w:ascii="Calibri" w:hAnsi="Calibri"/>
              </w:rPr>
            </w:pPr>
            <w:r w:rsidRPr="002B3649">
              <w:rPr>
                <w:rFonts w:ascii="Calibri" w:hAnsi="Calibri"/>
              </w:rPr>
              <w:t>17</w:t>
            </w:r>
          </w:p>
        </w:tc>
      </w:tr>
      <w:tr w:rsidR="00E82354" w:rsidRPr="002B3649" w14:paraId="5AC18D3E" w14:textId="77777777" w:rsidTr="00E82354">
        <w:trPr>
          <w:trHeight w:val="300"/>
        </w:trPr>
        <w:tc>
          <w:tcPr>
            <w:tcW w:w="2360" w:type="dxa"/>
            <w:tcBorders>
              <w:top w:val="nil"/>
              <w:left w:val="nil"/>
              <w:bottom w:val="nil"/>
              <w:right w:val="nil"/>
            </w:tcBorders>
            <w:shd w:val="clear" w:color="auto" w:fill="auto"/>
            <w:noWrap/>
            <w:hideMark/>
          </w:tcPr>
          <w:p w14:paraId="680BFA0B" w14:textId="77777777" w:rsidR="00E82354" w:rsidRPr="002B3649" w:rsidRDefault="00E82354" w:rsidP="00E82354">
            <w:pPr>
              <w:rPr>
                <w:rFonts w:ascii="Calibri" w:hAnsi="Calibri"/>
              </w:rPr>
            </w:pPr>
            <w:r w:rsidRPr="002B3649">
              <w:rPr>
                <w:rFonts w:ascii="Calibri" w:hAnsi="Calibri"/>
              </w:rPr>
              <w:t>frontalpole</w:t>
            </w:r>
          </w:p>
        </w:tc>
        <w:tc>
          <w:tcPr>
            <w:tcW w:w="1005" w:type="dxa"/>
            <w:tcBorders>
              <w:top w:val="nil"/>
              <w:left w:val="nil"/>
              <w:bottom w:val="nil"/>
              <w:right w:val="nil"/>
            </w:tcBorders>
            <w:shd w:val="clear" w:color="auto" w:fill="auto"/>
            <w:noWrap/>
            <w:hideMark/>
          </w:tcPr>
          <w:p w14:paraId="2E84767A" w14:textId="77777777" w:rsidR="00E82354" w:rsidRPr="002B3649" w:rsidRDefault="00E82354" w:rsidP="00E82354">
            <w:pPr>
              <w:rPr>
                <w:rFonts w:ascii="Calibri" w:hAnsi="Calibri"/>
              </w:rPr>
            </w:pPr>
            <w:r w:rsidRPr="002B3649">
              <w:rPr>
                <w:rFonts w:ascii="Calibri" w:hAnsi="Calibri"/>
              </w:rPr>
              <w:t>-0.0398</w:t>
            </w:r>
          </w:p>
        </w:tc>
        <w:tc>
          <w:tcPr>
            <w:tcW w:w="915" w:type="dxa"/>
            <w:tcBorders>
              <w:top w:val="nil"/>
              <w:left w:val="nil"/>
              <w:bottom w:val="nil"/>
              <w:right w:val="nil"/>
            </w:tcBorders>
            <w:shd w:val="clear" w:color="auto" w:fill="auto"/>
            <w:noWrap/>
            <w:hideMark/>
          </w:tcPr>
          <w:p w14:paraId="2AC1F12D" w14:textId="77777777" w:rsidR="00E82354" w:rsidRPr="002B3649" w:rsidRDefault="00E82354" w:rsidP="00E82354">
            <w:pPr>
              <w:rPr>
                <w:rFonts w:ascii="Calibri" w:hAnsi="Calibri"/>
              </w:rPr>
            </w:pPr>
            <w:r w:rsidRPr="002B3649">
              <w:rPr>
                <w:rFonts w:ascii="Calibri" w:hAnsi="Calibri"/>
              </w:rPr>
              <w:t>0.1149</w:t>
            </w:r>
          </w:p>
        </w:tc>
        <w:tc>
          <w:tcPr>
            <w:tcW w:w="1007" w:type="dxa"/>
            <w:tcBorders>
              <w:top w:val="nil"/>
              <w:left w:val="nil"/>
              <w:bottom w:val="nil"/>
              <w:right w:val="nil"/>
            </w:tcBorders>
            <w:shd w:val="clear" w:color="auto" w:fill="auto"/>
            <w:noWrap/>
            <w:hideMark/>
          </w:tcPr>
          <w:p w14:paraId="6D4E106E" w14:textId="77777777" w:rsidR="00E82354" w:rsidRPr="002B3649" w:rsidRDefault="00E82354" w:rsidP="00E82354">
            <w:pPr>
              <w:rPr>
                <w:rFonts w:ascii="Calibri" w:hAnsi="Calibri"/>
              </w:rPr>
            </w:pPr>
            <w:r w:rsidRPr="002B3649">
              <w:rPr>
                <w:rFonts w:ascii="Calibri" w:hAnsi="Calibri"/>
              </w:rPr>
              <w:t>0.0006</w:t>
            </w:r>
          </w:p>
        </w:tc>
        <w:tc>
          <w:tcPr>
            <w:tcW w:w="913" w:type="dxa"/>
            <w:tcBorders>
              <w:top w:val="nil"/>
              <w:left w:val="nil"/>
              <w:bottom w:val="nil"/>
              <w:right w:val="nil"/>
            </w:tcBorders>
            <w:shd w:val="clear" w:color="auto" w:fill="auto"/>
            <w:noWrap/>
            <w:hideMark/>
          </w:tcPr>
          <w:p w14:paraId="66D937EE" w14:textId="77777777" w:rsidR="00E82354" w:rsidRPr="002B3649" w:rsidRDefault="00E82354" w:rsidP="00E82354">
            <w:pPr>
              <w:rPr>
                <w:rFonts w:ascii="Calibri" w:hAnsi="Calibri"/>
              </w:rPr>
            </w:pPr>
            <w:r w:rsidRPr="002B3649">
              <w:rPr>
                <w:rFonts w:ascii="Calibri" w:hAnsi="Calibri"/>
              </w:rPr>
              <w:t>0.9821</w:t>
            </w:r>
          </w:p>
        </w:tc>
        <w:tc>
          <w:tcPr>
            <w:tcW w:w="960" w:type="dxa"/>
            <w:tcBorders>
              <w:top w:val="nil"/>
              <w:left w:val="nil"/>
              <w:bottom w:val="nil"/>
              <w:right w:val="nil"/>
            </w:tcBorders>
            <w:shd w:val="clear" w:color="auto" w:fill="auto"/>
            <w:noWrap/>
            <w:hideMark/>
          </w:tcPr>
          <w:p w14:paraId="36439BEC" w14:textId="77777777" w:rsidR="00E82354" w:rsidRPr="002B3649" w:rsidRDefault="00E82354" w:rsidP="00E82354">
            <w:pPr>
              <w:rPr>
                <w:rFonts w:ascii="Calibri" w:hAnsi="Calibri"/>
              </w:rPr>
            </w:pPr>
            <w:r w:rsidRPr="002B3649">
              <w:rPr>
                <w:rFonts w:ascii="Calibri" w:hAnsi="Calibri"/>
              </w:rPr>
              <w:t>13</w:t>
            </w:r>
          </w:p>
        </w:tc>
      </w:tr>
    </w:tbl>
    <w:p w14:paraId="32C4A080" w14:textId="77777777" w:rsidR="004D506E" w:rsidRPr="002B3649" w:rsidRDefault="004D506E" w:rsidP="00E82354">
      <w:pPr>
        <w:spacing w:line="360" w:lineRule="auto"/>
        <w:rPr>
          <w:rFonts w:asciiTheme="minorHAnsi" w:hAnsiTheme="minorHAnsi"/>
          <w:lang w:val="en-GB"/>
        </w:rPr>
      </w:pPr>
    </w:p>
    <w:p w14:paraId="15498D90" w14:textId="37944D96" w:rsidR="00E82354" w:rsidRPr="002B3649" w:rsidRDefault="00E82354" w:rsidP="00E82354">
      <w:pPr>
        <w:spacing w:line="360" w:lineRule="auto"/>
        <w:rPr>
          <w:rFonts w:asciiTheme="minorHAnsi" w:hAnsiTheme="minorHAnsi"/>
          <w:lang w:val="en-GB"/>
        </w:rPr>
      </w:pPr>
      <w:r w:rsidRPr="002B3649">
        <w:rPr>
          <w:rFonts w:asciiTheme="minorHAnsi" w:hAnsiTheme="minorHAnsi"/>
          <w:lang w:val="en-GB"/>
        </w:rPr>
        <w:t>SM Table 3s. Exploratory analyses on ten more frontal regions.</w:t>
      </w:r>
    </w:p>
    <w:p w14:paraId="4F714264" w14:textId="470CDA6F" w:rsidR="00B90C8A" w:rsidRDefault="00B90C8A" w:rsidP="00E82354">
      <w:pPr>
        <w:spacing w:line="360" w:lineRule="auto"/>
        <w:rPr>
          <w:rFonts w:asciiTheme="minorHAnsi" w:hAnsiTheme="minorHAnsi"/>
          <w:b/>
          <w:lang w:val="en-GB"/>
        </w:rPr>
      </w:pPr>
    </w:p>
    <w:p w14:paraId="5324A193" w14:textId="138AD084" w:rsidR="00B90C8A" w:rsidRPr="00B90C8A" w:rsidRDefault="00B90C8A" w:rsidP="00E82354">
      <w:pPr>
        <w:spacing w:line="360" w:lineRule="auto"/>
        <w:rPr>
          <w:rFonts w:asciiTheme="minorHAnsi" w:hAnsiTheme="minorHAnsi"/>
          <w:b/>
          <w:lang w:val="en-GB"/>
        </w:rPr>
      </w:pPr>
      <w:r w:rsidRPr="00B90C8A">
        <w:rPr>
          <w:rFonts w:asciiTheme="minorHAnsi" w:hAnsiTheme="minorHAnsi"/>
          <w:b/>
          <w:lang w:val="en-GB"/>
        </w:rPr>
        <w:t>References</w:t>
      </w:r>
    </w:p>
    <w:p w14:paraId="393416B3" w14:textId="1AEF1649" w:rsidR="00B90C8A" w:rsidRPr="002B3649" w:rsidRDefault="00B90C8A" w:rsidP="00B90C8A">
      <w:pPr>
        <w:pStyle w:val="Bibliography"/>
        <w:rPr>
          <w:rFonts w:ascii="Calibri" w:hAnsi="Calibri"/>
          <w:lang w:val="en-GB"/>
        </w:rPr>
      </w:pPr>
      <w:r w:rsidRPr="002B3649">
        <w:rPr>
          <w:rFonts w:asciiTheme="minorHAnsi" w:hAnsiTheme="minorHAnsi"/>
          <w:lang w:val="en-GB"/>
        </w:rPr>
        <w:lastRenderedPageBreak/>
        <w:fldChar w:fldCharType="begin"/>
      </w:r>
      <w:r w:rsidRPr="002B3649">
        <w:rPr>
          <w:rFonts w:asciiTheme="minorHAnsi" w:hAnsiTheme="minorHAnsi"/>
          <w:lang w:val="en-GB"/>
        </w:rPr>
        <w:instrText xml:space="preserve"> ADDIN ZOTERO_BIBL {"custom":[]} CSL_BIBLIOGRAPHY </w:instrText>
      </w:r>
      <w:r w:rsidRPr="002B3649">
        <w:rPr>
          <w:rFonts w:asciiTheme="minorHAnsi" w:hAnsiTheme="minorHAnsi"/>
          <w:lang w:val="en-GB"/>
        </w:rPr>
        <w:fldChar w:fldCharType="separate"/>
      </w:r>
      <w:r w:rsidR="004A68A3" w:rsidRPr="004A68A3">
        <w:rPr>
          <w:rFonts w:ascii="Calibri" w:hAnsi="Calibri"/>
          <w:b/>
          <w:lang w:val="en-GB"/>
        </w:rPr>
        <w:t>Woods, S</w:t>
      </w:r>
      <w:r w:rsidRPr="004A68A3">
        <w:rPr>
          <w:rFonts w:ascii="Calibri" w:hAnsi="Calibri"/>
          <w:b/>
          <w:lang w:val="en-GB"/>
        </w:rPr>
        <w:t>W</w:t>
      </w:r>
      <w:r w:rsidRPr="002B3649">
        <w:rPr>
          <w:rFonts w:ascii="Calibri" w:hAnsi="Calibri"/>
          <w:lang w:val="en-GB"/>
        </w:rPr>
        <w:t xml:space="preserve"> (2003). Chlorpromazine equivalent doses for the newer atypical antipsychotics. </w:t>
      </w:r>
      <w:r w:rsidRPr="002B3649">
        <w:rPr>
          <w:rFonts w:ascii="Calibri" w:hAnsi="Calibri"/>
          <w:i/>
          <w:iCs/>
          <w:lang w:val="en-GB"/>
        </w:rPr>
        <w:t>The Journal of Clinical Psychiatry</w:t>
      </w:r>
      <w:r w:rsidRPr="002B3649">
        <w:rPr>
          <w:rFonts w:ascii="Calibri" w:hAnsi="Calibri"/>
          <w:lang w:val="en-GB"/>
        </w:rPr>
        <w:t xml:space="preserve"> </w:t>
      </w:r>
      <w:r w:rsidRPr="004A68A3">
        <w:rPr>
          <w:rFonts w:ascii="Calibri" w:hAnsi="Calibri"/>
          <w:b/>
          <w:i/>
          <w:iCs/>
          <w:lang w:val="en-GB"/>
        </w:rPr>
        <w:t>64</w:t>
      </w:r>
      <w:r w:rsidRPr="004A68A3">
        <w:rPr>
          <w:rFonts w:ascii="Calibri" w:hAnsi="Calibri"/>
          <w:b/>
          <w:lang w:val="en-GB"/>
        </w:rPr>
        <w:t>(6)</w:t>
      </w:r>
      <w:r w:rsidRPr="002B3649">
        <w:rPr>
          <w:rFonts w:ascii="Calibri" w:hAnsi="Calibri"/>
          <w:lang w:val="en-GB"/>
        </w:rPr>
        <w:t>, 663–667.</w:t>
      </w:r>
    </w:p>
    <w:p w14:paraId="4F6E0FC6" w14:textId="246DF662" w:rsidR="00B90C8A" w:rsidRPr="002B3649" w:rsidRDefault="00B90C8A" w:rsidP="00E82354">
      <w:pPr>
        <w:spacing w:line="360" w:lineRule="auto"/>
        <w:rPr>
          <w:rFonts w:asciiTheme="minorHAnsi" w:hAnsiTheme="minorHAnsi"/>
          <w:lang w:val="en-GB"/>
        </w:rPr>
      </w:pPr>
      <w:r w:rsidRPr="002B3649">
        <w:rPr>
          <w:rFonts w:asciiTheme="minorHAnsi" w:hAnsiTheme="minorHAnsi"/>
          <w:lang w:val="en-GB"/>
        </w:rPr>
        <w:fldChar w:fldCharType="end"/>
      </w:r>
    </w:p>
    <w:p w14:paraId="4743318D" w14:textId="77777777" w:rsidR="003D5BB9" w:rsidRPr="001F67E3" w:rsidRDefault="001F67E3" w:rsidP="003D5BB9">
      <w:pPr>
        <w:spacing w:line="360" w:lineRule="auto"/>
        <w:rPr>
          <w:rFonts w:asciiTheme="minorHAnsi" w:hAnsiTheme="minorHAnsi"/>
          <w:b/>
          <w:lang w:val="en-GB"/>
        </w:rPr>
      </w:pPr>
      <w:r>
        <w:rPr>
          <w:lang w:val="en-GB"/>
        </w:rPr>
        <w:br w:type="page"/>
      </w:r>
      <w:r w:rsidR="00C2417D">
        <w:rPr>
          <w:rFonts w:asciiTheme="minorHAnsi" w:hAnsiTheme="minorHAnsi"/>
          <w:b/>
          <w:lang w:val="en-GB"/>
        </w:rPr>
        <w:lastRenderedPageBreak/>
        <w:t>SM</w:t>
      </w:r>
      <w:r w:rsidR="003D5BB9">
        <w:rPr>
          <w:rFonts w:asciiTheme="minorHAnsi" w:hAnsiTheme="minorHAnsi"/>
          <w:b/>
          <w:lang w:val="en-GB"/>
        </w:rPr>
        <w:t xml:space="preserve"> 3</w:t>
      </w:r>
      <w:r w:rsidR="003D5BB9" w:rsidRPr="001F67E3">
        <w:rPr>
          <w:rFonts w:asciiTheme="minorHAnsi" w:hAnsiTheme="minorHAnsi"/>
          <w:b/>
          <w:lang w:val="en-GB"/>
        </w:rPr>
        <w:t xml:space="preserve"> Acknowledgements</w:t>
      </w:r>
    </w:p>
    <w:p w14:paraId="77D0C1C4" w14:textId="57CBF05B" w:rsidR="003D5BB9" w:rsidRPr="001F67E3" w:rsidRDefault="003D5BB9" w:rsidP="003D5BB9">
      <w:pPr>
        <w:spacing w:line="360" w:lineRule="auto"/>
        <w:rPr>
          <w:rFonts w:asciiTheme="minorHAnsi" w:hAnsiTheme="minorHAnsi"/>
          <w:lang w:val="en-GB"/>
        </w:rPr>
      </w:pPr>
      <w:r w:rsidRPr="004D506E">
        <w:rPr>
          <w:rFonts w:asciiTheme="minorHAnsi" w:hAnsiTheme="minorHAnsi"/>
          <w:lang w:val="en-GB"/>
        </w:rPr>
        <w:t xml:space="preserve">Support was provided by R01MH107703 and K23MH098130 to TDS, R01MH101111 to DHW, European Community’s 7th Framework Programme (#602450, IMAGEMEND) to NTD. The </w:t>
      </w:r>
      <w:proofErr w:type="spellStart"/>
      <w:r w:rsidRPr="004D506E">
        <w:rPr>
          <w:rFonts w:asciiTheme="minorHAnsi" w:hAnsiTheme="minorHAnsi"/>
          <w:lang w:val="en-GB"/>
        </w:rPr>
        <w:t>CLiNG</w:t>
      </w:r>
      <w:proofErr w:type="spellEnd"/>
      <w:r w:rsidRPr="004D506E">
        <w:rPr>
          <w:rFonts w:asciiTheme="minorHAnsi" w:hAnsiTheme="minorHAnsi"/>
          <w:lang w:val="en-GB"/>
        </w:rPr>
        <w:t xml:space="preserve"> study and the HMS studies were pa</w:t>
      </w:r>
      <w:r w:rsidR="004D506E">
        <w:rPr>
          <w:rFonts w:asciiTheme="minorHAnsi" w:hAnsiTheme="minorHAnsi"/>
          <w:lang w:val="en-GB"/>
        </w:rPr>
        <w:t>rtially supported by a research</w:t>
      </w:r>
      <w:r w:rsidRPr="004D506E">
        <w:rPr>
          <w:rFonts w:asciiTheme="minorHAnsi" w:hAnsiTheme="minorHAnsi"/>
          <w:lang w:val="en-GB"/>
        </w:rPr>
        <w:t xml:space="preserve"> grant from the Competence Network Schizophrenia to Oliver Gruber. The Dublin study was supported by grant funding from the Irish Health Research Board (grant number HRA_POR/2012/54) and Science Foundation Ireland (grant numbers 12/IP/1359 and 08/IN.1/B1916). The Edinburgh study was supported by the Medical Research Council through a Clinical Training Fellowship (Ref G84/5699). Further funding was also provided by the Mortimer and Theresa </w:t>
      </w:r>
      <w:proofErr w:type="spellStart"/>
      <w:r w:rsidRPr="004D506E">
        <w:rPr>
          <w:rFonts w:asciiTheme="minorHAnsi" w:hAnsiTheme="minorHAnsi"/>
          <w:lang w:val="en-GB"/>
        </w:rPr>
        <w:t>Sackler</w:t>
      </w:r>
      <w:proofErr w:type="spellEnd"/>
      <w:r w:rsidRPr="004D506E">
        <w:rPr>
          <w:rFonts w:asciiTheme="minorHAnsi" w:hAnsiTheme="minorHAnsi"/>
          <w:lang w:val="en-GB"/>
        </w:rPr>
        <w:t xml:space="preserve"> Foundation. The FBIRN study was supported by the National </w:t>
      </w:r>
      <w:proofErr w:type="spellStart"/>
      <w:r w:rsidRPr="004D506E">
        <w:rPr>
          <w:rFonts w:asciiTheme="minorHAnsi" w:hAnsiTheme="minorHAnsi"/>
          <w:lang w:val="en-GB"/>
        </w:rPr>
        <w:t>Center</w:t>
      </w:r>
      <w:proofErr w:type="spellEnd"/>
      <w:r w:rsidRPr="004D506E">
        <w:rPr>
          <w:rFonts w:asciiTheme="minorHAnsi" w:hAnsiTheme="minorHAnsi"/>
          <w:lang w:val="en-GB"/>
        </w:rPr>
        <w:t xml:space="preserve"> for Research Resources at the National Institutes of Health (grant numbers: NIH 1 U24 RR021992 (Function Biomedical Informatics Research Network) and NIH 1 U24 RR025736-01 (Biomedical Informatics Research Network Coordinating </w:t>
      </w:r>
      <w:proofErr w:type="spellStart"/>
      <w:r w:rsidRPr="004D506E">
        <w:rPr>
          <w:rFonts w:asciiTheme="minorHAnsi" w:hAnsiTheme="minorHAnsi"/>
          <w:lang w:val="en-GB"/>
        </w:rPr>
        <w:t>Center</w:t>
      </w:r>
      <w:proofErr w:type="spellEnd"/>
      <w:r w:rsidRPr="004D506E">
        <w:rPr>
          <w:rFonts w:asciiTheme="minorHAnsi" w:hAnsiTheme="minorHAnsi"/>
          <w:lang w:val="en-GB"/>
        </w:rPr>
        <w:t xml:space="preserve">; http://www.birncommunity.org). FBIRN data was processed by the UCI High Performance Computing cluster supported by Joseph </w:t>
      </w:r>
      <w:proofErr w:type="spellStart"/>
      <w:r w:rsidRPr="004D506E">
        <w:rPr>
          <w:rFonts w:asciiTheme="minorHAnsi" w:hAnsiTheme="minorHAnsi"/>
          <w:lang w:val="en-GB"/>
        </w:rPr>
        <w:t>Farran</w:t>
      </w:r>
      <w:proofErr w:type="spellEnd"/>
      <w:r w:rsidRPr="004D506E">
        <w:rPr>
          <w:rFonts w:asciiTheme="minorHAnsi" w:hAnsiTheme="minorHAnsi"/>
          <w:lang w:val="en-GB"/>
        </w:rPr>
        <w:t xml:space="preserve">, Harry </w:t>
      </w:r>
      <w:proofErr w:type="spellStart"/>
      <w:r w:rsidRPr="004D506E">
        <w:rPr>
          <w:rFonts w:asciiTheme="minorHAnsi" w:hAnsiTheme="minorHAnsi"/>
          <w:lang w:val="en-GB"/>
        </w:rPr>
        <w:t>Mangalam</w:t>
      </w:r>
      <w:proofErr w:type="spellEnd"/>
      <w:r w:rsidRPr="004D506E">
        <w:rPr>
          <w:rFonts w:asciiTheme="minorHAnsi" w:hAnsiTheme="minorHAnsi"/>
          <w:lang w:val="en-GB"/>
        </w:rPr>
        <w:t xml:space="preserve">, and Adam Brenner and the National </w:t>
      </w:r>
      <w:proofErr w:type="spellStart"/>
      <w:r w:rsidRPr="004D506E">
        <w:rPr>
          <w:rFonts w:asciiTheme="minorHAnsi" w:hAnsiTheme="minorHAnsi"/>
          <w:lang w:val="en-GB"/>
        </w:rPr>
        <w:t>Center</w:t>
      </w:r>
      <w:proofErr w:type="spellEnd"/>
      <w:r w:rsidRPr="004D506E">
        <w:rPr>
          <w:rFonts w:asciiTheme="minorHAnsi" w:hAnsiTheme="minorHAnsi"/>
          <w:lang w:val="en-GB"/>
        </w:rPr>
        <w:t xml:space="preserve"> for Research Resources and the National </w:t>
      </w:r>
      <w:proofErr w:type="spellStart"/>
      <w:r w:rsidRPr="004D506E">
        <w:rPr>
          <w:rFonts w:asciiTheme="minorHAnsi" w:hAnsiTheme="minorHAnsi"/>
          <w:lang w:val="en-GB"/>
        </w:rPr>
        <w:t>Center</w:t>
      </w:r>
      <w:proofErr w:type="spellEnd"/>
      <w:r w:rsidRPr="004D506E">
        <w:rPr>
          <w:rFonts w:asciiTheme="minorHAnsi" w:hAnsiTheme="minorHAnsi"/>
          <w:lang w:val="en-GB"/>
        </w:rPr>
        <w:t xml:space="preserve"> for Advancing Translational Sciences, National Institutes of Health, through Grant UL1 TR001414 UL1 TR001414. FBIRN thanks Mrs. Liv McMillan for overall study coordination. The NUI Galway study was supported by grant funding from the Health Research Board (grant number HRA_POR/2011/100) and the </w:t>
      </w:r>
      <w:proofErr w:type="spellStart"/>
      <w:r w:rsidRPr="004D506E">
        <w:rPr>
          <w:rFonts w:asciiTheme="minorHAnsi" w:hAnsiTheme="minorHAnsi"/>
          <w:lang w:val="en-GB"/>
        </w:rPr>
        <w:t>Wellcome</w:t>
      </w:r>
      <w:proofErr w:type="spellEnd"/>
      <w:r w:rsidRPr="004D506E">
        <w:rPr>
          <w:rFonts w:asciiTheme="minorHAnsi" w:hAnsiTheme="minorHAnsi"/>
          <w:lang w:val="en-GB"/>
        </w:rPr>
        <w:t xml:space="preserve"> Trust (grant number 072894/2/03/Z). The HUBIN study was supported by the Swedish Research Council (grant numbers K2009-62X-15077-06-3 and K2012-61X-15077-09-3), the </w:t>
      </w:r>
      <w:proofErr w:type="spellStart"/>
      <w:r w:rsidRPr="004D506E">
        <w:rPr>
          <w:rFonts w:asciiTheme="minorHAnsi" w:hAnsiTheme="minorHAnsi"/>
          <w:lang w:val="en-GB"/>
        </w:rPr>
        <w:t>Karolinska</w:t>
      </w:r>
      <w:proofErr w:type="spellEnd"/>
      <w:r w:rsidRPr="004D506E">
        <w:rPr>
          <w:rFonts w:asciiTheme="minorHAnsi" w:hAnsiTheme="minorHAnsi"/>
          <w:lang w:val="en-GB"/>
        </w:rPr>
        <w:t xml:space="preserve"> </w:t>
      </w:r>
      <w:proofErr w:type="spellStart"/>
      <w:r w:rsidRPr="004D506E">
        <w:rPr>
          <w:rFonts w:asciiTheme="minorHAnsi" w:hAnsiTheme="minorHAnsi"/>
          <w:lang w:val="en-GB"/>
        </w:rPr>
        <w:t>Institutet</w:t>
      </w:r>
      <w:proofErr w:type="spellEnd"/>
      <w:r w:rsidRPr="004D506E">
        <w:rPr>
          <w:rFonts w:asciiTheme="minorHAnsi" w:hAnsiTheme="minorHAnsi"/>
          <w:lang w:val="en-GB"/>
        </w:rPr>
        <w:t xml:space="preserve"> and the Knut and Alice Wallenberg Foundation. The MCIC study was supported by the National Institutes of Health (NIH/NCRR P41RR14075</w:t>
      </w:r>
      <w:r w:rsidR="002E4455">
        <w:rPr>
          <w:rFonts w:asciiTheme="minorHAnsi" w:hAnsiTheme="minorHAnsi"/>
          <w:lang w:val="en-GB"/>
        </w:rPr>
        <w:t xml:space="preserve">, </w:t>
      </w:r>
      <w:r w:rsidR="002E4455" w:rsidRPr="002E4455">
        <w:rPr>
          <w:rFonts w:asciiTheme="minorHAnsi" w:hAnsiTheme="minorHAnsi"/>
          <w:lang w:val="en-GB"/>
        </w:rPr>
        <w:t>P20GM103472</w:t>
      </w:r>
      <w:bookmarkStart w:id="0" w:name="_GoBack"/>
      <w:bookmarkEnd w:id="0"/>
      <w:r w:rsidRPr="004D506E">
        <w:rPr>
          <w:rFonts w:asciiTheme="minorHAnsi" w:hAnsiTheme="minorHAnsi"/>
          <w:lang w:val="en-GB"/>
        </w:rPr>
        <w:t xml:space="preserve"> and R01EB005846 (to Vince D. Calhoun)), the Department of Energy (DE-FG02-99ER62764), the Mind Research Network, the Morphometry BIRN (1U24, RR021382A), the Function BIRN (U24RR021992-01, NIH.NCRR MO1 RR025758-01, NIMH 1RC1MH089257 to Vince D. Calhoun), the Deutsche </w:t>
      </w:r>
      <w:proofErr w:type="spellStart"/>
      <w:r w:rsidRPr="004D506E">
        <w:rPr>
          <w:rFonts w:asciiTheme="minorHAnsi" w:hAnsiTheme="minorHAnsi"/>
          <w:lang w:val="en-GB"/>
        </w:rPr>
        <w:t>Forschungsgemeinschaft</w:t>
      </w:r>
      <w:proofErr w:type="spellEnd"/>
      <w:r w:rsidRPr="004D506E">
        <w:rPr>
          <w:rFonts w:asciiTheme="minorHAnsi" w:hAnsiTheme="minorHAnsi"/>
          <w:lang w:val="en-GB"/>
        </w:rPr>
        <w:t xml:space="preserve"> (research fellowship to Esther Walton and Stefan Ehrlich), and a NARSAD Young Investigator Award (to Stefan Ehrlich). The PAFIP study was supported by Instituto de </w:t>
      </w:r>
      <w:proofErr w:type="spellStart"/>
      <w:r w:rsidRPr="004D506E">
        <w:rPr>
          <w:rFonts w:asciiTheme="minorHAnsi" w:hAnsiTheme="minorHAnsi"/>
          <w:lang w:val="en-GB"/>
        </w:rPr>
        <w:t>Salud</w:t>
      </w:r>
      <w:proofErr w:type="spellEnd"/>
      <w:r w:rsidRPr="004D506E">
        <w:rPr>
          <w:rFonts w:asciiTheme="minorHAnsi" w:hAnsiTheme="minorHAnsi"/>
          <w:lang w:val="en-GB"/>
        </w:rPr>
        <w:t xml:space="preserve"> Carlos III, FIS  00/3095, 01/3129, PI020499, PI060507, PI10/00183, the SENY </w:t>
      </w:r>
      <w:proofErr w:type="spellStart"/>
      <w:r w:rsidRPr="004D506E">
        <w:rPr>
          <w:rFonts w:asciiTheme="minorHAnsi" w:hAnsiTheme="minorHAnsi"/>
          <w:lang w:val="en-GB"/>
        </w:rPr>
        <w:t>Fundació</w:t>
      </w:r>
      <w:proofErr w:type="spellEnd"/>
      <w:r w:rsidRPr="004D506E">
        <w:rPr>
          <w:rFonts w:asciiTheme="minorHAnsi" w:hAnsiTheme="minorHAnsi"/>
          <w:lang w:val="en-GB"/>
        </w:rPr>
        <w:t xml:space="preserve"> Research Grant CI 2005‐0308007, the </w:t>
      </w:r>
      <w:proofErr w:type="spellStart"/>
      <w:r w:rsidRPr="004D506E">
        <w:rPr>
          <w:rFonts w:asciiTheme="minorHAnsi" w:hAnsiTheme="minorHAnsi"/>
          <w:lang w:val="en-GB"/>
        </w:rPr>
        <w:t>Fundación</w:t>
      </w:r>
      <w:proofErr w:type="spellEnd"/>
      <w:r w:rsidRPr="004D506E">
        <w:rPr>
          <w:rFonts w:asciiTheme="minorHAnsi" w:hAnsiTheme="minorHAnsi"/>
          <w:lang w:val="en-GB"/>
        </w:rPr>
        <w:t xml:space="preserve"> </w:t>
      </w:r>
      <w:proofErr w:type="spellStart"/>
      <w:r w:rsidRPr="004D506E">
        <w:rPr>
          <w:rFonts w:asciiTheme="minorHAnsi" w:hAnsiTheme="minorHAnsi"/>
          <w:lang w:val="en-GB"/>
        </w:rPr>
        <w:t>Marqués</w:t>
      </w:r>
      <w:proofErr w:type="spellEnd"/>
      <w:r w:rsidRPr="004D506E">
        <w:rPr>
          <w:rFonts w:asciiTheme="minorHAnsi" w:hAnsiTheme="minorHAnsi"/>
          <w:lang w:val="en-GB"/>
        </w:rPr>
        <w:t xml:space="preserve"> de </w:t>
      </w:r>
      <w:proofErr w:type="spellStart"/>
      <w:r w:rsidRPr="004D506E">
        <w:rPr>
          <w:rFonts w:asciiTheme="minorHAnsi" w:hAnsiTheme="minorHAnsi"/>
          <w:lang w:val="en-GB"/>
        </w:rPr>
        <w:t>Valdecilla</w:t>
      </w:r>
      <w:proofErr w:type="spellEnd"/>
      <w:r w:rsidRPr="004D506E">
        <w:rPr>
          <w:rFonts w:asciiTheme="minorHAnsi" w:hAnsiTheme="minorHAnsi"/>
          <w:lang w:val="en-GB"/>
        </w:rPr>
        <w:t xml:space="preserve"> API07/011 and the IDIVAL Neuroimaging Unit in the technical execution of this work . The TOP study was supported by the Research Council of Norway (#213837, #217776, #223273), </w:t>
      </w:r>
      <w:r w:rsidRPr="004D506E">
        <w:rPr>
          <w:rFonts w:asciiTheme="minorHAnsi" w:hAnsiTheme="minorHAnsi"/>
          <w:lang w:val="en-GB"/>
        </w:rPr>
        <w:lastRenderedPageBreak/>
        <w:t xml:space="preserve">the South-East Norway Health Authority (2013-123), and the KG </w:t>
      </w:r>
      <w:proofErr w:type="spellStart"/>
      <w:r w:rsidRPr="004D506E">
        <w:rPr>
          <w:rFonts w:asciiTheme="minorHAnsi" w:hAnsiTheme="minorHAnsi"/>
          <w:lang w:val="en-GB"/>
        </w:rPr>
        <w:t>Jebsen</w:t>
      </w:r>
      <w:proofErr w:type="spellEnd"/>
      <w:r w:rsidRPr="004D506E">
        <w:rPr>
          <w:rFonts w:asciiTheme="minorHAnsi" w:hAnsiTheme="minorHAnsi"/>
          <w:lang w:val="en-GB"/>
        </w:rPr>
        <w:t xml:space="preserve"> Foundation. The UMCU study </w:t>
      </w:r>
      <w:proofErr w:type="gramStart"/>
      <w:r w:rsidRPr="004D506E">
        <w:rPr>
          <w:rFonts w:asciiTheme="minorHAnsi" w:hAnsiTheme="minorHAnsi"/>
          <w:lang w:val="en-GB"/>
        </w:rPr>
        <w:t>was  supported</w:t>
      </w:r>
      <w:proofErr w:type="gramEnd"/>
      <w:r w:rsidRPr="004D506E">
        <w:rPr>
          <w:rFonts w:asciiTheme="minorHAnsi" w:hAnsiTheme="minorHAnsi"/>
          <w:lang w:val="en-GB"/>
        </w:rPr>
        <w:t xml:space="preserve"> by the Dutch Organization for Health Research and Development </w:t>
      </w:r>
      <w:proofErr w:type="spellStart"/>
      <w:r w:rsidRPr="004D506E">
        <w:rPr>
          <w:rFonts w:asciiTheme="minorHAnsi" w:hAnsiTheme="minorHAnsi"/>
          <w:lang w:val="en-GB"/>
        </w:rPr>
        <w:t>ZonMW</w:t>
      </w:r>
      <w:proofErr w:type="spellEnd"/>
      <w:r w:rsidRPr="004D506E">
        <w:rPr>
          <w:rFonts w:asciiTheme="minorHAnsi" w:hAnsiTheme="minorHAnsi"/>
          <w:lang w:val="en-GB"/>
        </w:rPr>
        <w:t xml:space="preserve"> grants 90802123 and 91746370 (to </w:t>
      </w:r>
      <w:proofErr w:type="spellStart"/>
      <w:r w:rsidRPr="004D506E">
        <w:rPr>
          <w:rFonts w:asciiTheme="minorHAnsi" w:hAnsiTheme="minorHAnsi"/>
          <w:lang w:val="en-GB"/>
        </w:rPr>
        <w:t>Hilleke</w:t>
      </w:r>
      <w:proofErr w:type="spellEnd"/>
      <w:r w:rsidRPr="004D506E">
        <w:rPr>
          <w:rFonts w:asciiTheme="minorHAnsi" w:hAnsiTheme="minorHAnsi"/>
          <w:lang w:val="en-GB"/>
        </w:rPr>
        <w:t xml:space="preserve"> E. </w:t>
      </w:r>
      <w:proofErr w:type="spellStart"/>
      <w:r w:rsidRPr="004D506E">
        <w:rPr>
          <w:rFonts w:asciiTheme="minorHAnsi" w:hAnsiTheme="minorHAnsi"/>
          <w:lang w:val="en-GB"/>
        </w:rPr>
        <w:t>Hulshoff</w:t>
      </w:r>
      <w:proofErr w:type="spellEnd"/>
      <w:r w:rsidRPr="004D506E">
        <w:rPr>
          <w:rFonts w:asciiTheme="minorHAnsi" w:hAnsiTheme="minorHAnsi"/>
          <w:lang w:val="en-GB"/>
        </w:rPr>
        <w:t xml:space="preserve"> Pol) and 10-000-1001 (to René S. Kahn) and NWO/ </w:t>
      </w:r>
      <w:proofErr w:type="spellStart"/>
      <w:r w:rsidRPr="004D506E">
        <w:rPr>
          <w:rFonts w:asciiTheme="minorHAnsi" w:hAnsiTheme="minorHAnsi"/>
          <w:lang w:val="en-GB"/>
        </w:rPr>
        <w:t>ZonMW</w:t>
      </w:r>
      <w:proofErr w:type="spellEnd"/>
      <w:r w:rsidRPr="004D506E">
        <w:rPr>
          <w:rFonts w:asciiTheme="minorHAnsi" w:hAnsiTheme="minorHAnsi"/>
          <w:lang w:val="en-GB"/>
        </w:rPr>
        <w:t xml:space="preserve"> Innovation Impulse (VIDI) </w:t>
      </w:r>
      <w:proofErr w:type="spellStart"/>
      <w:r w:rsidRPr="004D506E">
        <w:rPr>
          <w:rFonts w:asciiTheme="minorHAnsi" w:hAnsiTheme="minorHAnsi"/>
          <w:lang w:val="en-GB"/>
        </w:rPr>
        <w:t>nr</w:t>
      </w:r>
      <w:proofErr w:type="spellEnd"/>
      <w:r w:rsidRPr="004D506E">
        <w:rPr>
          <w:rFonts w:asciiTheme="minorHAnsi" w:hAnsiTheme="minorHAnsi"/>
          <w:lang w:val="en-GB"/>
        </w:rPr>
        <w:t>. 017.106.301 (Iris Sommer</w:t>
      </w:r>
      <w:proofErr w:type="gramStart"/>
      <w:r w:rsidRPr="004D506E">
        <w:rPr>
          <w:rFonts w:asciiTheme="minorHAnsi" w:hAnsiTheme="minorHAnsi"/>
          <w:lang w:val="en-GB"/>
        </w:rPr>
        <w:t>) .</w:t>
      </w:r>
      <w:proofErr w:type="gramEnd"/>
      <w:r w:rsidRPr="004D506E">
        <w:rPr>
          <w:rFonts w:asciiTheme="minorHAnsi" w:hAnsiTheme="minorHAnsi"/>
          <w:lang w:val="en-GB"/>
        </w:rPr>
        <w:t xml:space="preserve"> The UPENN study was supported by National Institute of Mental Health grants MH064045, MH60722, MH019112, and MH085096 (DHW). Theodore D. Satterthwaite was supported by MH098130 and by the Marc Rapport Family through NARSAD. Research reported in this publication was supported by the National Institute of Biomedical Imaging and Bioengineering (NIBIB) of the National Institutes of Health under Award Number U54EB020403. The content is solely the responsibility of the authors and does not necessarily represent the official views of the National Institutes of Health. Osaka study was partially supported by Brain/MINDS and Health and Labour Sciences Research Grants for Comprehensive Research on Persons with Disabilities from AMED and KAKENHI from MEXT. The IRCCS Santa Lucia Foundation of Rome Study was partially supported by the Italian Ministry of Health (RC12-13-14-15A Grant) and by the by the European Commission ERA-Net NEURON joint transnational </w:t>
      </w:r>
      <w:proofErr w:type="spellStart"/>
      <w:r w:rsidRPr="004D506E">
        <w:rPr>
          <w:rFonts w:asciiTheme="minorHAnsi" w:hAnsiTheme="minorHAnsi"/>
          <w:lang w:val="en-GB"/>
        </w:rPr>
        <w:t>calI</w:t>
      </w:r>
      <w:proofErr w:type="spellEnd"/>
      <w:r w:rsidRPr="004D506E">
        <w:rPr>
          <w:rFonts w:asciiTheme="minorHAnsi" w:hAnsiTheme="minorHAnsi"/>
          <w:lang w:val="en-GB"/>
        </w:rPr>
        <w:t xml:space="preserve"> 2010 (European Research Projects on Mental Disorders: NEUCONNECT). The </w:t>
      </w:r>
      <w:proofErr w:type="spellStart"/>
      <w:r w:rsidRPr="004D506E">
        <w:rPr>
          <w:rFonts w:asciiTheme="minorHAnsi" w:hAnsiTheme="minorHAnsi"/>
          <w:lang w:val="en-GB"/>
        </w:rPr>
        <w:t>KaSP</w:t>
      </w:r>
      <w:proofErr w:type="spellEnd"/>
      <w:r w:rsidRPr="004D506E">
        <w:rPr>
          <w:rFonts w:asciiTheme="minorHAnsi" w:hAnsiTheme="minorHAnsi"/>
          <w:lang w:val="en-GB"/>
        </w:rPr>
        <w:t xml:space="preserve"> consortium was supported by grants from: the Swedish Research Council (grant </w:t>
      </w:r>
      <w:proofErr w:type="spellStart"/>
      <w:r w:rsidRPr="004D506E">
        <w:rPr>
          <w:rFonts w:asciiTheme="minorHAnsi" w:hAnsiTheme="minorHAnsi"/>
          <w:lang w:val="en-GB"/>
        </w:rPr>
        <w:t>nr</w:t>
      </w:r>
      <w:proofErr w:type="spellEnd"/>
      <w:r w:rsidRPr="004D506E">
        <w:rPr>
          <w:rFonts w:asciiTheme="minorHAnsi" w:hAnsiTheme="minorHAnsi"/>
          <w:lang w:val="en-GB"/>
        </w:rPr>
        <w:t xml:space="preserve">. 2011-4730 and </w:t>
      </w:r>
      <w:proofErr w:type="spellStart"/>
      <w:r w:rsidRPr="004D506E">
        <w:rPr>
          <w:rFonts w:asciiTheme="minorHAnsi" w:hAnsiTheme="minorHAnsi"/>
          <w:lang w:val="en-GB"/>
        </w:rPr>
        <w:t>samverkansanslag</w:t>
      </w:r>
      <w:proofErr w:type="spellEnd"/>
      <w:r w:rsidRPr="004D506E">
        <w:rPr>
          <w:rFonts w:asciiTheme="minorHAnsi" w:hAnsiTheme="minorHAnsi"/>
          <w:lang w:val="en-GB"/>
        </w:rPr>
        <w:t xml:space="preserve">), the Stockholm County Council (grant </w:t>
      </w:r>
      <w:proofErr w:type="spellStart"/>
      <w:r w:rsidRPr="004D506E">
        <w:rPr>
          <w:rFonts w:asciiTheme="minorHAnsi" w:hAnsiTheme="minorHAnsi"/>
          <w:lang w:val="en-GB"/>
        </w:rPr>
        <w:t>nr</w:t>
      </w:r>
      <w:proofErr w:type="spellEnd"/>
      <w:r w:rsidRPr="004D506E">
        <w:rPr>
          <w:rFonts w:asciiTheme="minorHAnsi" w:hAnsiTheme="minorHAnsi"/>
          <w:lang w:val="en-GB"/>
        </w:rPr>
        <w:t xml:space="preserve">. ALF 20090192, ALF 20140469, ALF 20150475) and the Centre for Psychiatric Research (grant </w:t>
      </w:r>
      <w:proofErr w:type="spellStart"/>
      <w:r w:rsidRPr="004D506E">
        <w:rPr>
          <w:rFonts w:asciiTheme="minorHAnsi" w:hAnsiTheme="minorHAnsi"/>
          <w:lang w:val="en-GB"/>
        </w:rPr>
        <w:t>nr</w:t>
      </w:r>
      <w:proofErr w:type="spellEnd"/>
      <w:r w:rsidRPr="004D506E">
        <w:rPr>
          <w:rFonts w:asciiTheme="minorHAnsi" w:hAnsiTheme="minorHAnsi"/>
          <w:lang w:val="en-GB"/>
        </w:rPr>
        <w:t xml:space="preserve">. CPF 100/2011) Swedish Medical Research Council (2009-7053; 2013-2838), the Swedish Brain foundation, </w:t>
      </w:r>
      <w:proofErr w:type="spellStart"/>
      <w:r w:rsidRPr="004D506E">
        <w:rPr>
          <w:rFonts w:asciiTheme="minorHAnsi" w:hAnsiTheme="minorHAnsi"/>
          <w:lang w:val="en-GB"/>
        </w:rPr>
        <w:t>Söderström</w:t>
      </w:r>
      <w:proofErr w:type="spellEnd"/>
      <w:r w:rsidRPr="004D506E">
        <w:rPr>
          <w:rFonts w:asciiTheme="minorHAnsi" w:hAnsiTheme="minorHAnsi"/>
          <w:lang w:val="en-GB"/>
        </w:rPr>
        <w:t xml:space="preserve"> </w:t>
      </w:r>
      <w:proofErr w:type="spellStart"/>
      <w:proofErr w:type="gramStart"/>
      <w:r w:rsidRPr="004D506E">
        <w:rPr>
          <w:rFonts w:asciiTheme="minorHAnsi" w:hAnsiTheme="minorHAnsi"/>
          <w:lang w:val="en-GB"/>
        </w:rPr>
        <w:t>Königska</w:t>
      </w:r>
      <w:proofErr w:type="spellEnd"/>
      <w:r w:rsidRPr="004D506E">
        <w:rPr>
          <w:rFonts w:asciiTheme="minorHAnsi" w:hAnsiTheme="minorHAnsi"/>
          <w:lang w:val="en-GB"/>
        </w:rPr>
        <w:t xml:space="preserve">  and</w:t>
      </w:r>
      <w:proofErr w:type="gramEnd"/>
      <w:r w:rsidRPr="004D506E">
        <w:rPr>
          <w:rFonts w:asciiTheme="minorHAnsi" w:hAnsiTheme="minorHAnsi"/>
          <w:lang w:val="en-GB"/>
        </w:rPr>
        <w:t xml:space="preserve"> </w:t>
      </w:r>
      <w:proofErr w:type="spellStart"/>
      <w:r w:rsidRPr="004D506E">
        <w:rPr>
          <w:rFonts w:asciiTheme="minorHAnsi" w:hAnsiTheme="minorHAnsi"/>
          <w:lang w:val="en-GB"/>
        </w:rPr>
        <w:t>Torsten</w:t>
      </w:r>
      <w:proofErr w:type="spellEnd"/>
      <w:r w:rsidRPr="004D506E">
        <w:rPr>
          <w:rFonts w:asciiTheme="minorHAnsi" w:hAnsiTheme="minorHAnsi"/>
          <w:lang w:val="en-GB"/>
        </w:rPr>
        <w:t xml:space="preserve"> </w:t>
      </w:r>
      <w:proofErr w:type="spellStart"/>
      <w:r w:rsidRPr="004D506E">
        <w:rPr>
          <w:rFonts w:asciiTheme="minorHAnsi" w:hAnsiTheme="minorHAnsi"/>
          <w:lang w:val="en-GB"/>
        </w:rPr>
        <w:t>Söderbergs</w:t>
      </w:r>
      <w:proofErr w:type="spellEnd"/>
      <w:r w:rsidRPr="004D506E">
        <w:rPr>
          <w:rFonts w:asciiTheme="minorHAnsi" w:hAnsiTheme="minorHAnsi"/>
          <w:lang w:val="en-GB"/>
        </w:rPr>
        <w:t xml:space="preserve"> </w:t>
      </w:r>
      <w:proofErr w:type="spellStart"/>
      <w:r w:rsidRPr="004D506E">
        <w:rPr>
          <w:rFonts w:asciiTheme="minorHAnsi" w:hAnsiTheme="minorHAnsi"/>
          <w:lang w:val="en-GB"/>
        </w:rPr>
        <w:t>Stiftelse</w:t>
      </w:r>
      <w:proofErr w:type="spellEnd"/>
      <w:r w:rsidRPr="004D506E">
        <w:rPr>
          <w:rFonts w:asciiTheme="minorHAnsi" w:hAnsiTheme="minorHAnsi"/>
          <w:lang w:val="en-GB"/>
        </w:rPr>
        <w:t>.</w:t>
      </w:r>
    </w:p>
    <w:p w14:paraId="1EA66A5A" w14:textId="77777777" w:rsidR="001F67E3" w:rsidRDefault="001F67E3">
      <w:pPr>
        <w:spacing w:after="200" w:line="276" w:lineRule="auto"/>
        <w:rPr>
          <w:lang w:val="en-GB"/>
        </w:rPr>
      </w:pPr>
    </w:p>
    <w:sectPr w:rsidR="001F67E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B76A2" w14:textId="77777777" w:rsidR="00A05B88" w:rsidRDefault="00A05B88" w:rsidP="00376694">
      <w:r>
        <w:separator/>
      </w:r>
    </w:p>
  </w:endnote>
  <w:endnote w:type="continuationSeparator" w:id="0">
    <w:p w14:paraId="52093005" w14:textId="77777777" w:rsidR="00A05B88" w:rsidRDefault="00A05B88" w:rsidP="0037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C7788" w14:textId="77777777" w:rsidR="00A05B88" w:rsidRDefault="00A05B88" w:rsidP="00376694">
      <w:r>
        <w:separator/>
      </w:r>
    </w:p>
  </w:footnote>
  <w:footnote w:type="continuationSeparator" w:id="0">
    <w:p w14:paraId="026C7CC1" w14:textId="77777777" w:rsidR="00A05B88" w:rsidRDefault="00A05B88" w:rsidP="0037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74BB" w14:textId="77777777" w:rsidR="004D506E" w:rsidRPr="00376694" w:rsidRDefault="004D506E">
    <w:pPr>
      <w:pStyle w:val="Header"/>
      <w:rPr>
        <w:rFonts w:asciiTheme="minorHAnsi" w:hAnsiTheme="minorHAnsi" w:cs="Arial"/>
      </w:rPr>
    </w:pPr>
    <w:r w:rsidRPr="00376694">
      <w:rPr>
        <w:rFonts w:asciiTheme="minorHAnsi" w:hAnsiTheme="minorHAnsi" w:cs="Arial"/>
      </w:rPr>
      <w:t>Walton et al.</w:t>
    </w:r>
  </w:p>
  <w:p w14:paraId="5C741348" w14:textId="77777777" w:rsidR="004D506E" w:rsidRPr="00376694" w:rsidRDefault="004D506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E5C56"/>
    <w:multiLevelType w:val="hybridMultilevel"/>
    <w:tmpl w:val="F78C48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CD"/>
    <w:rsid w:val="000075ED"/>
    <w:rsid w:val="00030577"/>
    <w:rsid w:val="00042E73"/>
    <w:rsid w:val="00044038"/>
    <w:rsid w:val="000613B4"/>
    <w:rsid w:val="00090A22"/>
    <w:rsid w:val="000928CA"/>
    <w:rsid w:val="000B2EBE"/>
    <w:rsid w:val="000B48AC"/>
    <w:rsid w:val="000F3EF9"/>
    <w:rsid w:val="00152286"/>
    <w:rsid w:val="001E7EBB"/>
    <w:rsid w:val="001F67E3"/>
    <w:rsid w:val="00201512"/>
    <w:rsid w:val="002144DD"/>
    <w:rsid w:val="00255F83"/>
    <w:rsid w:val="00274979"/>
    <w:rsid w:val="00295F8A"/>
    <w:rsid w:val="002A46DC"/>
    <w:rsid w:val="002B3649"/>
    <w:rsid w:val="002E4455"/>
    <w:rsid w:val="002E69FD"/>
    <w:rsid w:val="003566AE"/>
    <w:rsid w:val="00376694"/>
    <w:rsid w:val="00376EE4"/>
    <w:rsid w:val="00386B34"/>
    <w:rsid w:val="003D5BB9"/>
    <w:rsid w:val="003E2F11"/>
    <w:rsid w:val="0042366E"/>
    <w:rsid w:val="004346A9"/>
    <w:rsid w:val="00447EBC"/>
    <w:rsid w:val="00450BE6"/>
    <w:rsid w:val="0046785A"/>
    <w:rsid w:val="00493611"/>
    <w:rsid w:val="004A68A3"/>
    <w:rsid w:val="004B510D"/>
    <w:rsid w:val="004B6447"/>
    <w:rsid w:val="004C006E"/>
    <w:rsid w:val="004C0803"/>
    <w:rsid w:val="004D3E1A"/>
    <w:rsid w:val="004D506E"/>
    <w:rsid w:val="00504F09"/>
    <w:rsid w:val="00535454"/>
    <w:rsid w:val="005359E5"/>
    <w:rsid w:val="0055135C"/>
    <w:rsid w:val="005645E5"/>
    <w:rsid w:val="00575AF1"/>
    <w:rsid w:val="00582A31"/>
    <w:rsid w:val="00597E8C"/>
    <w:rsid w:val="005A45E4"/>
    <w:rsid w:val="0060755B"/>
    <w:rsid w:val="00611F55"/>
    <w:rsid w:val="0063457C"/>
    <w:rsid w:val="00677052"/>
    <w:rsid w:val="00694B79"/>
    <w:rsid w:val="00694E3E"/>
    <w:rsid w:val="006B19AC"/>
    <w:rsid w:val="006B3AB1"/>
    <w:rsid w:val="006C15DF"/>
    <w:rsid w:val="006E5D46"/>
    <w:rsid w:val="006F73F7"/>
    <w:rsid w:val="006F7420"/>
    <w:rsid w:val="00701D3F"/>
    <w:rsid w:val="0072169E"/>
    <w:rsid w:val="007827DA"/>
    <w:rsid w:val="007B7A62"/>
    <w:rsid w:val="007E7FB2"/>
    <w:rsid w:val="008475A5"/>
    <w:rsid w:val="008556CD"/>
    <w:rsid w:val="008577CF"/>
    <w:rsid w:val="00875763"/>
    <w:rsid w:val="008775D2"/>
    <w:rsid w:val="00884416"/>
    <w:rsid w:val="00885ECC"/>
    <w:rsid w:val="008B26FF"/>
    <w:rsid w:val="008C7A58"/>
    <w:rsid w:val="008F4F32"/>
    <w:rsid w:val="00931EA0"/>
    <w:rsid w:val="00963300"/>
    <w:rsid w:val="00966798"/>
    <w:rsid w:val="009A1C7E"/>
    <w:rsid w:val="009C401D"/>
    <w:rsid w:val="00A05B88"/>
    <w:rsid w:val="00A14A3C"/>
    <w:rsid w:val="00A34187"/>
    <w:rsid w:val="00A44721"/>
    <w:rsid w:val="00A721DD"/>
    <w:rsid w:val="00A74F22"/>
    <w:rsid w:val="00A9120A"/>
    <w:rsid w:val="00AA181B"/>
    <w:rsid w:val="00AD501F"/>
    <w:rsid w:val="00B00AB8"/>
    <w:rsid w:val="00B61BFE"/>
    <w:rsid w:val="00B6504C"/>
    <w:rsid w:val="00B84616"/>
    <w:rsid w:val="00B857B6"/>
    <w:rsid w:val="00B90C8A"/>
    <w:rsid w:val="00BF1F63"/>
    <w:rsid w:val="00C018B2"/>
    <w:rsid w:val="00C23C61"/>
    <w:rsid w:val="00C2417D"/>
    <w:rsid w:val="00C61C38"/>
    <w:rsid w:val="00C8146C"/>
    <w:rsid w:val="00CB1575"/>
    <w:rsid w:val="00D27F68"/>
    <w:rsid w:val="00D76FAB"/>
    <w:rsid w:val="00DA16C9"/>
    <w:rsid w:val="00DC2D04"/>
    <w:rsid w:val="00DC6274"/>
    <w:rsid w:val="00DD1A0C"/>
    <w:rsid w:val="00DD5A5E"/>
    <w:rsid w:val="00DD63E5"/>
    <w:rsid w:val="00DF036C"/>
    <w:rsid w:val="00E109E6"/>
    <w:rsid w:val="00E723D3"/>
    <w:rsid w:val="00E82354"/>
    <w:rsid w:val="00E91AC7"/>
    <w:rsid w:val="00E92736"/>
    <w:rsid w:val="00EA298D"/>
    <w:rsid w:val="00EA4891"/>
    <w:rsid w:val="00ED05BB"/>
    <w:rsid w:val="00EE7083"/>
    <w:rsid w:val="00EF43C5"/>
    <w:rsid w:val="00EF58F5"/>
    <w:rsid w:val="00F027B8"/>
    <w:rsid w:val="00F119A4"/>
    <w:rsid w:val="00F47CAC"/>
    <w:rsid w:val="00F67DB5"/>
    <w:rsid w:val="00F83774"/>
    <w:rsid w:val="00FA17DA"/>
    <w:rsid w:val="00FA6045"/>
    <w:rsid w:val="00FA7EFD"/>
    <w:rsid w:val="00FB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92F4"/>
  <w15:docId w15:val="{DEA3EDEF-C4B7-4020-A416-BC8BC930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6694"/>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76694"/>
    <w:rPr>
      <w:b/>
      <w:bCs/>
    </w:rPr>
  </w:style>
  <w:style w:type="paragraph" w:styleId="Header">
    <w:name w:val="header"/>
    <w:basedOn w:val="Normal"/>
    <w:link w:val="HeaderChar"/>
    <w:uiPriority w:val="99"/>
    <w:unhideWhenUsed/>
    <w:rsid w:val="00376694"/>
    <w:pPr>
      <w:tabs>
        <w:tab w:val="center" w:pos="4513"/>
        <w:tab w:val="right" w:pos="9026"/>
      </w:tabs>
    </w:pPr>
  </w:style>
  <w:style w:type="character" w:customStyle="1" w:styleId="HeaderChar">
    <w:name w:val="Header Char"/>
    <w:basedOn w:val="DefaultParagraphFont"/>
    <w:link w:val="Header"/>
    <w:uiPriority w:val="99"/>
    <w:rsid w:val="00376694"/>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376694"/>
    <w:pPr>
      <w:tabs>
        <w:tab w:val="center" w:pos="4513"/>
        <w:tab w:val="right" w:pos="9026"/>
      </w:tabs>
    </w:pPr>
  </w:style>
  <w:style w:type="character" w:customStyle="1" w:styleId="FooterChar">
    <w:name w:val="Footer Char"/>
    <w:basedOn w:val="DefaultParagraphFont"/>
    <w:link w:val="Footer"/>
    <w:uiPriority w:val="99"/>
    <w:rsid w:val="00376694"/>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376694"/>
    <w:rPr>
      <w:rFonts w:ascii="Tahoma" w:hAnsi="Tahoma" w:cs="Tahoma"/>
      <w:sz w:val="16"/>
      <w:szCs w:val="16"/>
    </w:rPr>
  </w:style>
  <w:style w:type="character" w:customStyle="1" w:styleId="BalloonTextChar">
    <w:name w:val="Balloon Text Char"/>
    <w:basedOn w:val="DefaultParagraphFont"/>
    <w:link w:val="BalloonText"/>
    <w:uiPriority w:val="99"/>
    <w:semiHidden/>
    <w:rsid w:val="00376694"/>
    <w:rPr>
      <w:rFonts w:ascii="Tahoma" w:eastAsia="Times New Roman" w:hAnsi="Tahoma" w:cs="Tahoma"/>
      <w:sz w:val="16"/>
      <w:szCs w:val="16"/>
      <w:lang w:val="de-DE" w:eastAsia="de-DE"/>
    </w:rPr>
  </w:style>
  <w:style w:type="character" w:styleId="CommentReference">
    <w:name w:val="annotation reference"/>
    <w:basedOn w:val="DefaultParagraphFont"/>
    <w:uiPriority w:val="99"/>
    <w:semiHidden/>
    <w:unhideWhenUsed/>
    <w:rsid w:val="00376694"/>
    <w:rPr>
      <w:sz w:val="16"/>
      <w:szCs w:val="16"/>
    </w:rPr>
  </w:style>
  <w:style w:type="paragraph" w:styleId="CommentText">
    <w:name w:val="annotation text"/>
    <w:basedOn w:val="Normal"/>
    <w:link w:val="CommentTextChar"/>
    <w:uiPriority w:val="99"/>
    <w:semiHidden/>
    <w:unhideWhenUsed/>
    <w:rsid w:val="00376694"/>
    <w:rPr>
      <w:sz w:val="20"/>
      <w:szCs w:val="20"/>
    </w:rPr>
  </w:style>
  <w:style w:type="character" w:customStyle="1" w:styleId="CommentTextChar">
    <w:name w:val="Comment Text Char"/>
    <w:basedOn w:val="DefaultParagraphFont"/>
    <w:link w:val="CommentText"/>
    <w:uiPriority w:val="99"/>
    <w:semiHidden/>
    <w:rsid w:val="00376694"/>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376694"/>
    <w:rPr>
      <w:b/>
      <w:bCs/>
    </w:rPr>
  </w:style>
  <w:style w:type="character" w:customStyle="1" w:styleId="CommentSubjectChar">
    <w:name w:val="Comment Subject Char"/>
    <w:basedOn w:val="CommentTextChar"/>
    <w:link w:val="CommentSubject"/>
    <w:uiPriority w:val="99"/>
    <w:semiHidden/>
    <w:rsid w:val="00376694"/>
    <w:rPr>
      <w:rFonts w:ascii="Times New Roman" w:eastAsia="Times New Roman" w:hAnsi="Times New Roman" w:cs="Times New Roman"/>
      <w:b/>
      <w:bCs/>
      <w:sz w:val="20"/>
      <w:szCs w:val="20"/>
      <w:lang w:val="de-DE" w:eastAsia="de-DE"/>
    </w:rPr>
  </w:style>
  <w:style w:type="paragraph" w:styleId="ListParagraph">
    <w:name w:val="List Paragraph"/>
    <w:basedOn w:val="Normal"/>
    <w:uiPriority w:val="34"/>
    <w:qFormat/>
    <w:rsid w:val="00EF43C5"/>
    <w:pPr>
      <w:ind w:left="720"/>
      <w:contextualSpacing/>
    </w:pPr>
  </w:style>
  <w:style w:type="paragraph" w:styleId="HTMLPreformatted">
    <w:name w:val="HTML Preformatted"/>
    <w:basedOn w:val="Normal"/>
    <w:link w:val="HTMLPreformattedChar"/>
    <w:uiPriority w:val="99"/>
    <w:semiHidden/>
    <w:unhideWhenUsed/>
    <w:rsid w:val="008C7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8C7A58"/>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E91AC7"/>
  </w:style>
  <w:style w:type="paragraph" w:styleId="Bibliography">
    <w:name w:val="Bibliography"/>
    <w:basedOn w:val="Normal"/>
    <w:next w:val="Normal"/>
    <w:uiPriority w:val="37"/>
    <w:unhideWhenUsed/>
    <w:rsid w:val="00B90C8A"/>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1413">
      <w:bodyDiv w:val="1"/>
      <w:marLeft w:val="0"/>
      <w:marRight w:val="0"/>
      <w:marTop w:val="0"/>
      <w:marBottom w:val="0"/>
      <w:divBdr>
        <w:top w:val="none" w:sz="0" w:space="0" w:color="auto"/>
        <w:left w:val="none" w:sz="0" w:space="0" w:color="auto"/>
        <w:bottom w:val="none" w:sz="0" w:space="0" w:color="auto"/>
        <w:right w:val="none" w:sz="0" w:space="0" w:color="auto"/>
      </w:divBdr>
    </w:div>
    <w:div w:id="39978835">
      <w:bodyDiv w:val="1"/>
      <w:marLeft w:val="0"/>
      <w:marRight w:val="0"/>
      <w:marTop w:val="0"/>
      <w:marBottom w:val="0"/>
      <w:divBdr>
        <w:top w:val="none" w:sz="0" w:space="0" w:color="auto"/>
        <w:left w:val="none" w:sz="0" w:space="0" w:color="auto"/>
        <w:bottom w:val="none" w:sz="0" w:space="0" w:color="auto"/>
        <w:right w:val="none" w:sz="0" w:space="0" w:color="auto"/>
      </w:divBdr>
    </w:div>
    <w:div w:id="91751755">
      <w:bodyDiv w:val="1"/>
      <w:marLeft w:val="0"/>
      <w:marRight w:val="0"/>
      <w:marTop w:val="0"/>
      <w:marBottom w:val="0"/>
      <w:divBdr>
        <w:top w:val="none" w:sz="0" w:space="0" w:color="auto"/>
        <w:left w:val="none" w:sz="0" w:space="0" w:color="auto"/>
        <w:bottom w:val="none" w:sz="0" w:space="0" w:color="auto"/>
        <w:right w:val="none" w:sz="0" w:space="0" w:color="auto"/>
      </w:divBdr>
    </w:div>
    <w:div w:id="147325669">
      <w:bodyDiv w:val="1"/>
      <w:marLeft w:val="0"/>
      <w:marRight w:val="0"/>
      <w:marTop w:val="0"/>
      <w:marBottom w:val="0"/>
      <w:divBdr>
        <w:top w:val="none" w:sz="0" w:space="0" w:color="auto"/>
        <w:left w:val="none" w:sz="0" w:space="0" w:color="auto"/>
        <w:bottom w:val="none" w:sz="0" w:space="0" w:color="auto"/>
        <w:right w:val="none" w:sz="0" w:space="0" w:color="auto"/>
      </w:divBdr>
    </w:div>
    <w:div w:id="443500907">
      <w:bodyDiv w:val="1"/>
      <w:marLeft w:val="0"/>
      <w:marRight w:val="0"/>
      <w:marTop w:val="0"/>
      <w:marBottom w:val="0"/>
      <w:divBdr>
        <w:top w:val="none" w:sz="0" w:space="0" w:color="auto"/>
        <w:left w:val="none" w:sz="0" w:space="0" w:color="auto"/>
        <w:bottom w:val="none" w:sz="0" w:space="0" w:color="auto"/>
        <w:right w:val="none" w:sz="0" w:space="0" w:color="auto"/>
      </w:divBdr>
    </w:div>
    <w:div w:id="844704985">
      <w:bodyDiv w:val="1"/>
      <w:marLeft w:val="0"/>
      <w:marRight w:val="0"/>
      <w:marTop w:val="0"/>
      <w:marBottom w:val="0"/>
      <w:divBdr>
        <w:top w:val="none" w:sz="0" w:space="0" w:color="auto"/>
        <w:left w:val="none" w:sz="0" w:space="0" w:color="auto"/>
        <w:bottom w:val="none" w:sz="0" w:space="0" w:color="auto"/>
        <w:right w:val="none" w:sz="0" w:space="0" w:color="auto"/>
      </w:divBdr>
    </w:div>
    <w:div w:id="877011254">
      <w:bodyDiv w:val="1"/>
      <w:marLeft w:val="0"/>
      <w:marRight w:val="0"/>
      <w:marTop w:val="0"/>
      <w:marBottom w:val="0"/>
      <w:divBdr>
        <w:top w:val="none" w:sz="0" w:space="0" w:color="auto"/>
        <w:left w:val="none" w:sz="0" w:space="0" w:color="auto"/>
        <w:bottom w:val="none" w:sz="0" w:space="0" w:color="auto"/>
        <w:right w:val="none" w:sz="0" w:space="0" w:color="auto"/>
      </w:divBdr>
    </w:div>
    <w:div w:id="977031995">
      <w:bodyDiv w:val="1"/>
      <w:marLeft w:val="0"/>
      <w:marRight w:val="0"/>
      <w:marTop w:val="0"/>
      <w:marBottom w:val="0"/>
      <w:divBdr>
        <w:top w:val="none" w:sz="0" w:space="0" w:color="auto"/>
        <w:left w:val="none" w:sz="0" w:space="0" w:color="auto"/>
        <w:bottom w:val="none" w:sz="0" w:space="0" w:color="auto"/>
        <w:right w:val="none" w:sz="0" w:space="0" w:color="auto"/>
      </w:divBdr>
    </w:div>
    <w:div w:id="1161966322">
      <w:bodyDiv w:val="1"/>
      <w:marLeft w:val="0"/>
      <w:marRight w:val="0"/>
      <w:marTop w:val="0"/>
      <w:marBottom w:val="0"/>
      <w:divBdr>
        <w:top w:val="none" w:sz="0" w:space="0" w:color="auto"/>
        <w:left w:val="none" w:sz="0" w:space="0" w:color="auto"/>
        <w:bottom w:val="none" w:sz="0" w:space="0" w:color="auto"/>
        <w:right w:val="none" w:sz="0" w:space="0" w:color="auto"/>
      </w:divBdr>
    </w:div>
    <w:div w:id="1261337070">
      <w:bodyDiv w:val="1"/>
      <w:marLeft w:val="0"/>
      <w:marRight w:val="0"/>
      <w:marTop w:val="0"/>
      <w:marBottom w:val="0"/>
      <w:divBdr>
        <w:top w:val="none" w:sz="0" w:space="0" w:color="auto"/>
        <w:left w:val="none" w:sz="0" w:space="0" w:color="auto"/>
        <w:bottom w:val="none" w:sz="0" w:space="0" w:color="auto"/>
        <w:right w:val="none" w:sz="0" w:space="0" w:color="auto"/>
      </w:divBdr>
    </w:div>
    <w:div w:id="1312445096">
      <w:bodyDiv w:val="1"/>
      <w:marLeft w:val="0"/>
      <w:marRight w:val="0"/>
      <w:marTop w:val="0"/>
      <w:marBottom w:val="0"/>
      <w:divBdr>
        <w:top w:val="none" w:sz="0" w:space="0" w:color="auto"/>
        <w:left w:val="none" w:sz="0" w:space="0" w:color="auto"/>
        <w:bottom w:val="none" w:sz="0" w:space="0" w:color="auto"/>
        <w:right w:val="none" w:sz="0" w:space="0" w:color="auto"/>
      </w:divBdr>
    </w:div>
    <w:div w:id="1526020918">
      <w:bodyDiv w:val="1"/>
      <w:marLeft w:val="0"/>
      <w:marRight w:val="0"/>
      <w:marTop w:val="0"/>
      <w:marBottom w:val="0"/>
      <w:divBdr>
        <w:top w:val="none" w:sz="0" w:space="0" w:color="auto"/>
        <w:left w:val="none" w:sz="0" w:space="0" w:color="auto"/>
        <w:bottom w:val="none" w:sz="0" w:space="0" w:color="auto"/>
        <w:right w:val="none" w:sz="0" w:space="0" w:color="auto"/>
      </w:divBdr>
    </w:div>
    <w:div w:id="1552618794">
      <w:bodyDiv w:val="1"/>
      <w:marLeft w:val="0"/>
      <w:marRight w:val="0"/>
      <w:marTop w:val="0"/>
      <w:marBottom w:val="0"/>
      <w:divBdr>
        <w:top w:val="none" w:sz="0" w:space="0" w:color="auto"/>
        <w:left w:val="none" w:sz="0" w:space="0" w:color="auto"/>
        <w:bottom w:val="none" w:sz="0" w:space="0" w:color="auto"/>
        <w:right w:val="none" w:sz="0" w:space="0" w:color="auto"/>
      </w:divBdr>
    </w:div>
    <w:div w:id="1729838033">
      <w:bodyDiv w:val="1"/>
      <w:marLeft w:val="0"/>
      <w:marRight w:val="0"/>
      <w:marTop w:val="0"/>
      <w:marBottom w:val="0"/>
      <w:divBdr>
        <w:top w:val="none" w:sz="0" w:space="0" w:color="auto"/>
        <w:left w:val="none" w:sz="0" w:space="0" w:color="auto"/>
        <w:bottom w:val="none" w:sz="0" w:space="0" w:color="auto"/>
        <w:right w:val="none" w:sz="0" w:space="0" w:color="auto"/>
      </w:divBdr>
    </w:div>
    <w:div w:id="1752433995">
      <w:bodyDiv w:val="1"/>
      <w:marLeft w:val="0"/>
      <w:marRight w:val="0"/>
      <w:marTop w:val="0"/>
      <w:marBottom w:val="0"/>
      <w:divBdr>
        <w:top w:val="none" w:sz="0" w:space="0" w:color="auto"/>
        <w:left w:val="none" w:sz="0" w:space="0" w:color="auto"/>
        <w:bottom w:val="none" w:sz="0" w:space="0" w:color="auto"/>
        <w:right w:val="none" w:sz="0" w:space="0" w:color="auto"/>
      </w:divBdr>
    </w:div>
    <w:div w:id="1777410480">
      <w:bodyDiv w:val="1"/>
      <w:marLeft w:val="0"/>
      <w:marRight w:val="0"/>
      <w:marTop w:val="0"/>
      <w:marBottom w:val="0"/>
      <w:divBdr>
        <w:top w:val="none" w:sz="0" w:space="0" w:color="auto"/>
        <w:left w:val="none" w:sz="0" w:space="0" w:color="auto"/>
        <w:bottom w:val="none" w:sz="0" w:space="0" w:color="auto"/>
        <w:right w:val="none" w:sz="0" w:space="0" w:color="auto"/>
      </w:divBdr>
    </w:div>
    <w:div w:id="1863395892">
      <w:bodyDiv w:val="1"/>
      <w:marLeft w:val="0"/>
      <w:marRight w:val="0"/>
      <w:marTop w:val="0"/>
      <w:marBottom w:val="0"/>
      <w:divBdr>
        <w:top w:val="none" w:sz="0" w:space="0" w:color="auto"/>
        <w:left w:val="none" w:sz="0" w:space="0" w:color="auto"/>
        <w:bottom w:val="none" w:sz="0" w:space="0" w:color="auto"/>
        <w:right w:val="none" w:sz="0" w:space="0" w:color="auto"/>
      </w:divBdr>
    </w:div>
    <w:div w:id="1885748047">
      <w:bodyDiv w:val="1"/>
      <w:marLeft w:val="0"/>
      <w:marRight w:val="0"/>
      <w:marTop w:val="0"/>
      <w:marBottom w:val="0"/>
      <w:divBdr>
        <w:top w:val="none" w:sz="0" w:space="0" w:color="auto"/>
        <w:left w:val="none" w:sz="0" w:space="0" w:color="auto"/>
        <w:bottom w:val="none" w:sz="0" w:space="0" w:color="auto"/>
        <w:right w:val="none" w:sz="0" w:space="0" w:color="auto"/>
      </w:divBdr>
    </w:div>
    <w:div w:id="1960605727">
      <w:bodyDiv w:val="1"/>
      <w:marLeft w:val="0"/>
      <w:marRight w:val="0"/>
      <w:marTop w:val="0"/>
      <w:marBottom w:val="0"/>
      <w:divBdr>
        <w:top w:val="none" w:sz="0" w:space="0" w:color="auto"/>
        <w:left w:val="none" w:sz="0" w:space="0" w:color="auto"/>
        <w:bottom w:val="none" w:sz="0" w:space="0" w:color="auto"/>
        <w:right w:val="none" w:sz="0" w:space="0" w:color="auto"/>
      </w:divBdr>
    </w:div>
    <w:div w:id="1963804638">
      <w:bodyDiv w:val="1"/>
      <w:marLeft w:val="0"/>
      <w:marRight w:val="0"/>
      <w:marTop w:val="0"/>
      <w:marBottom w:val="0"/>
      <w:divBdr>
        <w:top w:val="none" w:sz="0" w:space="0" w:color="auto"/>
        <w:left w:val="none" w:sz="0" w:space="0" w:color="auto"/>
        <w:bottom w:val="none" w:sz="0" w:space="0" w:color="auto"/>
        <w:right w:val="none" w:sz="0" w:space="0" w:color="auto"/>
      </w:divBdr>
    </w:div>
    <w:div w:id="2093164643">
      <w:bodyDiv w:val="1"/>
      <w:marLeft w:val="0"/>
      <w:marRight w:val="0"/>
      <w:marTop w:val="0"/>
      <w:marBottom w:val="0"/>
      <w:divBdr>
        <w:top w:val="none" w:sz="0" w:space="0" w:color="auto"/>
        <w:left w:val="none" w:sz="0" w:space="0" w:color="auto"/>
        <w:bottom w:val="none" w:sz="0" w:space="0" w:color="auto"/>
        <w:right w:val="none" w:sz="0" w:space="0" w:color="auto"/>
      </w:divBdr>
    </w:div>
    <w:div w:id="2104108414">
      <w:bodyDiv w:val="1"/>
      <w:marLeft w:val="0"/>
      <w:marRight w:val="0"/>
      <w:marTop w:val="0"/>
      <w:marBottom w:val="0"/>
      <w:divBdr>
        <w:top w:val="none" w:sz="0" w:space="0" w:color="auto"/>
        <w:left w:val="none" w:sz="0" w:space="0" w:color="auto"/>
        <w:bottom w:val="none" w:sz="0" w:space="0" w:color="auto"/>
        <w:right w:val="none" w:sz="0" w:space="0" w:color="auto"/>
      </w:divBdr>
    </w:div>
    <w:div w:id="21418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3534-39CE-4FB4-AABD-9A08163F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5536</Words>
  <Characters>31557</Characters>
  <Application>Microsoft Office Word</Application>
  <DocSecurity>0</DocSecurity>
  <Lines>262</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IoP King's College</Company>
  <LinksUpToDate>false</LinksUpToDate>
  <CharactersWithSpaces>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waltone</dc:creator>
  <cp:lastModifiedBy>waltone</cp:lastModifiedBy>
  <cp:revision>3</cp:revision>
  <cp:lastPrinted>2016-03-14T13:57:00Z</cp:lastPrinted>
  <dcterms:created xsi:type="dcterms:W3CDTF">2017-04-11T13:14:00Z</dcterms:created>
  <dcterms:modified xsi:type="dcterms:W3CDTF">2017-05-08T19:50:00Z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zotero-version="4.0.27"&gt;&lt;session id="5tMcWTyM"/&gt;&lt;style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value=""/&gt;&lt;pref name="noteType" value=""/&gt;&lt;/prefs&gt;&lt;/data&gt;</vt:lpwstr>
  </property>
</Properties>
</file>