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6E70" w14:textId="060AB75E" w:rsidR="00FB2184" w:rsidRDefault="00FB2184" w:rsidP="002C1BF1">
      <w:pPr>
        <w:jc w:val="center"/>
        <w:rPr>
          <w:b/>
          <w:u w:val="single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485"/>
        <w:gridCol w:w="2621"/>
        <w:gridCol w:w="1863"/>
      </w:tblGrid>
      <w:tr w:rsidR="003E3FB0" w:rsidRPr="003E3FB0" w14:paraId="18A9464A" w14:textId="77777777" w:rsidTr="007E0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  <w:shd w:val="clear" w:color="auto" w:fill="auto"/>
          </w:tcPr>
          <w:p w14:paraId="15CA9B02" w14:textId="4AD756BF" w:rsidR="003E3FB0" w:rsidRPr="00A9688C" w:rsidRDefault="007E0311" w:rsidP="006E29DA">
            <w:pPr>
              <w:spacing w:line="276" w:lineRule="auto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Supplementary Table </w:t>
            </w:r>
            <w:r w:rsidR="00F36036">
              <w:rPr>
                <w:color w:val="auto"/>
              </w:rPr>
              <w:t>S</w:t>
            </w:r>
            <w:r>
              <w:rPr>
                <w:color w:val="auto"/>
              </w:rPr>
              <w:t>1</w:t>
            </w:r>
            <w:r w:rsidR="003E3FB0">
              <w:rPr>
                <w:color w:val="auto"/>
              </w:rPr>
              <w:t xml:space="preserve">. </w:t>
            </w:r>
            <w:r w:rsidR="003E3FB0">
              <w:rPr>
                <w:b w:val="0"/>
                <w:color w:val="auto"/>
              </w:rPr>
              <w:t xml:space="preserve"> Comparison of </w:t>
            </w:r>
            <w:r w:rsidR="0093042D">
              <w:rPr>
                <w:b w:val="0"/>
                <w:color w:val="auto"/>
              </w:rPr>
              <w:t xml:space="preserve">participants </w:t>
            </w:r>
            <w:r w:rsidR="003E3FB0">
              <w:rPr>
                <w:b w:val="0"/>
                <w:color w:val="auto"/>
              </w:rPr>
              <w:t xml:space="preserve">excluded and included </w:t>
            </w:r>
            <w:r w:rsidR="0093042D">
              <w:rPr>
                <w:b w:val="0"/>
                <w:color w:val="auto"/>
              </w:rPr>
              <w:t>in analysis of mood instability, on the basis of compliance with True Colours r</w:t>
            </w:r>
            <w:r w:rsidR="006E29DA">
              <w:rPr>
                <w:b w:val="0"/>
                <w:color w:val="auto"/>
              </w:rPr>
              <w:t>emote monitoring</w:t>
            </w:r>
            <w:r w:rsidR="0093042D">
              <w:rPr>
                <w:b w:val="0"/>
                <w:color w:val="auto"/>
              </w:rPr>
              <w:t xml:space="preserve"> </w:t>
            </w:r>
          </w:p>
        </w:tc>
      </w:tr>
      <w:tr w:rsidR="003E3FB0" w:rsidRPr="003E3FB0" w14:paraId="0B4DE7B7" w14:textId="77777777" w:rsidTr="007E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0FA3EF4" w14:textId="77777777" w:rsidR="003E3FB0" w:rsidRPr="003E3FB0" w:rsidRDefault="003E3FB0" w:rsidP="00324135">
            <w:pPr>
              <w:spacing w:line="276" w:lineRule="auto"/>
              <w:jc w:val="center"/>
            </w:pPr>
            <w:r w:rsidRPr="003E3FB0">
              <w:t>Total N=271</w:t>
            </w:r>
          </w:p>
        </w:tc>
      </w:tr>
      <w:tr w:rsidR="003E3FB0" w:rsidRPr="003E3FB0" w14:paraId="28FB56D3" w14:textId="77777777" w:rsidTr="007E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46BF1F7D" w14:textId="77777777" w:rsidR="003E3FB0" w:rsidRPr="003E3FB0" w:rsidRDefault="003E3FB0" w:rsidP="00324135">
            <w:pPr>
              <w:spacing w:line="276" w:lineRule="auto"/>
            </w:pPr>
          </w:p>
        </w:tc>
        <w:tc>
          <w:tcPr>
            <w:tcW w:w="2485" w:type="dxa"/>
          </w:tcPr>
          <w:p w14:paraId="2D27C73E" w14:textId="77777777" w:rsidR="003E3FB0" w:rsidRPr="003E3FB0" w:rsidRDefault="003E3FB0" w:rsidP="003241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FB0">
              <w:t>Excluded data (n=26)</w:t>
            </w:r>
          </w:p>
        </w:tc>
        <w:tc>
          <w:tcPr>
            <w:tcW w:w="2621" w:type="dxa"/>
          </w:tcPr>
          <w:p w14:paraId="6A135E47" w14:textId="77777777" w:rsidR="003E3FB0" w:rsidRPr="003E3FB0" w:rsidRDefault="003E3FB0" w:rsidP="003241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FB0">
              <w:t>Included data (n=245)</w:t>
            </w:r>
          </w:p>
        </w:tc>
        <w:tc>
          <w:tcPr>
            <w:tcW w:w="1863" w:type="dxa"/>
          </w:tcPr>
          <w:p w14:paraId="0414B1F3" w14:textId="77777777" w:rsidR="003E3FB0" w:rsidRPr="003E3FB0" w:rsidRDefault="003E3FB0" w:rsidP="003241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FB0">
              <w:t>Test result*</w:t>
            </w:r>
          </w:p>
        </w:tc>
      </w:tr>
      <w:tr w:rsidR="003E3FB0" w:rsidRPr="003E3FB0" w14:paraId="4675C04F" w14:textId="77777777" w:rsidTr="007E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3EA22F" w14:textId="77777777" w:rsidR="003E3FB0" w:rsidRPr="003E3FB0" w:rsidRDefault="003E3FB0" w:rsidP="00324135">
            <w:pPr>
              <w:spacing w:line="276" w:lineRule="auto"/>
            </w:pPr>
            <w:r w:rsidRPr="003E3FB0">
              <w:t>Mean age at assessment (SEM)</w:t>
            </w:r>
          </w:p>
        </w:tc>
        <w:tc>
          <w:tcPr>
            <w:tcW w:w="2485" w:type="dxa"/>
            <w:tcBorders>
              <w:top w:val="none" w:sz="0" w:space="0" w:color="auto"/>
              <w:bottom w:val="none" w:sz="0" w:space="0" w:color="auto"/>
            </w:tcBorders>
          </w:tcPr>
          <w:p w14:paraId="76E0D47D" w14:textId="77777777" w:rsidR="003E3FB0" w:rsidRPr="003E3FB0" w:rsidRDefault="003E3FB0" w:rsidP="003241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FB0">
              <w:t>40.2 (2.6)</w:t>
            </w:r>
          </w:p>
        </w:tc>
        <w:tc>
          <w:tcPr>
            <w:tcW w:w="2621" w:type="dxa"/>
            <w:tcBorders>
              <w:top w:val="none" w:sz="0" w:space="0" w:color="auto"/>
              <w:bottom w:val="none" w:sz="0" w:space="0" w:color="auto"/>
            </w:tcBorders>
          </w:tcPr>
          <w:p w14:paraId="2A44C36F" w14:textId="77777777" w:rsidR="003E3FB0" w:rsidRPr="003E3FB0" w:rsidRDefault="003E3FB0" w:rsidP="003241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FB0">
              <w:t>40.4 (0.9)</w:t>
            </w:r>
          </w:p>
        </w:tc>
        <w:tc>
          <w:tcPr>
            <w:tcW w:w="18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0A5543" w14:textId="77777777" w:rsidR="003E3FB0" w:rsidRPr="003E3FB0" w:rsidRDefault="003E3FB0" w:rsidP="003241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FB0">
              <w:rPr>
                <w:i/>
              </w:rPr>
              <w:t>t</w:t>
            </w:r>
            <w:r w:rsidRPr="003E3FB0">
              <w:t xml:space="preserve">(269)=-0.081, </w:t>
            </w:r>
            <w:r w:rsidRPr="003E3FB0">
              <w:rPr>
                <w:i/>
              </w:rPr>
              <w:t>p</w:t>
            </w:r>
            <w:r w:rsidRPr="003E3FB0">
              <w:t>=0.935</w:t>
            </w:r>
          </w:p>
        </w:tc>
      </w:tr>
      <w:tr w:rsidR="003E3FB0" w:rsidRPr="003E3FB0" w14:paraId="667E4BAB" w14:textId="77777777" w:rsidTr="007E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E5F6FCA" w14:textId="77777777" w:rsidR="003E3FB0" w:rsidRPr="003E3FB0" w:rsidRDefault="003E3FB0" w:rsidP="00324135">
            <w:pPr>
              <w:spacing w:line="276" w:lineRule="auto"/>
            </w:pPr>
            <w:r w:rsidRPr="003E3FB0">
              <w:t>Gender</w:t>
            </w:r>
          </w:p>
        </w:tc>
        <w:tc>
          <w:tcPr>
            <w:tcW w:w="2485" w:type="dxa"/>
          </w:tcPr>
          <w:p w14:paraId="1E50711A" w14:textId="6DC182C5" w:rsidR="003E3FB0" w:rsidRPr="003E3FB0" w:rsidRDefault="00585CB5" w:rsidP="003241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female</w:t>
            </w:r>
            <w:r w:rsidR="0093042D">
              <w:t xml:space="preserve"> </w:t>
            </w:r>
            <w:r>
              <w:t>(</w:t>
            </w:r>
            <w:r w:rsidR="0093042D">
              <w:t>76.9%), 6 male</w:t>
            </w:r>
          </w:p>
        </w:tc>
        <w:tc>
          <w:tcPr>
            <w:tcW w:w="2621" w:type="dxa"/>
          </w:tcPr>
          <w:p w14:paraId="0F0FA852" w14:textId="596E4C99" w:rsidR="003E3FB0" w:rsidRPr="003E3FB0" w:rsidRDefault="00585CB5" w:rsidP="003241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 female</w:t>
            </w:r>
            <w:r w:rsidR="0093042D">
              <w:t xml:space="preserve"> (67.3%), 80 male</w:t>
            </w:r>
          </w:p>
        </w:tc>
        <w:tc>
          <w:tcPr>
            <w:tcW w:w="1863" w:type="dxa"/>
          </w:tcPr>
          <w:p w14:paraId="66B91C44" w14:textId="77777777" w:rsidR="003E3FB0" w:rsidRPr="003E3FB0" w:rsidRDefault="003E3FB0" w:rsidP="003241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FB0">
              <w:rPr>
                <w:rFonts w:eastAsia="Times New Roman" w:cs="Times New Roman"/>
                <w:lang w:val="en-US" w:eastAsia="en-GB"/>
              </w:rPr>
              <w:t>χ</w:t>
            </w:r>
            <w:r w:rsidRPr="003E3FB0">
              <w:rPr>
                <w:rFonts w:eastAsia="Times New Roman" w:cs="Times New Roman"/>
                <w:vertAlign w:val="superscript"/>
                <w:lang w:val="en-US" w:eastAsia="en-GB"/>
              </w:rPr>
              <w:t>2</w:t>
            </w:r>
            <w:r w:rsidRPr="003E3FB0">
              <w:rPr>
                <w:rFonts w:eastAsia="Times New Roman" w:cs="Times New Roman"/>
                <w:lang w:val="en-US" w:eastAsia="en-GB"/>
              </w:rPr>
              <w:t>(1</w:t>
            </w:r>
            <w:r w:rsidRPr="003E3FB0">
              <w:rPr>
                <w:rFonts w:eastAsia="Times New Roman" w:cs="Times New Roman"/>
                <w:lang w:val="en-US"/>
              </w:rPr>
              <w:t xml:space="preserve">) = 0.995, </w:t>
            </w:r>
            <w:r w:rsidRPr="003E3FB0">
              <w:rPr>
                <w:rFonts w:eastAsia="Times New Roman" w:cs="Times New Roman"/>
                <w:i/>
                <w:lang w:val="en-US"/>
              </w:rPr>
              <w:t>p</w:t>
            </w:r>
            <w:r w:rsidRPr="003E3FB0">
              <w:rPr>
                <w:rFonts w:eastAsia="Times New Roman" w:cs="Times New Roman"/>
                <w:lang w:val="en-US"/>
              </w:rPr>
              <w:t>=0.319</w:t>
            </w:r>
          </w:p>
        </w:tc>
      </w:tr>
      <w:tr w:rsidR="003E3FB0" w:rsidRPr="003E3FB0" w14:paraId="0E623B4F" w14:textId="77777777" w:rsidTr="007E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29DFB3" w14:textId="77777777" w:rsidR="003E3FB0" w:rsidRPr="003E3FB0" w:rsidRDefault="003E3FB0" w:rsidP="00324135">
            <w:pPr>
              <w:spacing w:line="276" w:lineRule="auto"/>
            </w:pPr>
            <w:r w:rsidRPr="003E3FB0">
              <w:t>Diagnosis</w:t>
            </w:r>
          </w:p>
        </w:tc>
        <w:tc>
          <w:tcPr>
            <w:tcW w:w="2485" w:type="dxa"/>
            <w:tcBorders>
              <w:top w:val="none" w:sz="0" w:space="0" w:color="auto"/>
              <w:bottom w:val="none" w:sz="0" w:space="0" w:color="auto"/>
            </w:tcBorders>
          </w:tcPr>
          <w:p w14:paraId="5F77A42D" w14:textId="1A0E9FA3" w:rsidR="003E3FB0" w:rsidRPr="003E3FB0" w:rsidRDefault="00975E00" w:rsidP="003241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 BD1</w:t>
            </w:r>
            <w:r w:rsidR="0093042D">
              <w:t xml:space="preserve"> (73.1%), 7 BD2</w:t>
            </w:r>
          </w:p>
        </w:tc>
        <w:tc>
          <w:tcPr>
            <w:tcW w:w="2621" w:type="dxa"/>
            <w:tcBorders>
              <w:top w:val="none" w:sz="0" w:space="0" w:color="auto"/>
              <w:bottom w:val="none" w:sz="0" w:space="0" w:color="auto"/>
            </w:tcBorders>
          </w:tcPr>
          <w:p w14:paraId="0BE23D80" w14:textId="4D90A4FD" w:rsidR="003E3FB0" w:rsidRPr="003E3FB0" w:rsidRDefault="00585CB5" w:rsidP="009304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 BD1</w:t>
            </w:r>
            <w:r w:rsidR="0093042D">
              <w:t xml:space="preserve"> (59.2%), 100 BD2</w:t>
            </w:r>
          </w:p>
        </w:tc>
        <w:tc>
          <w:tcPr>
            <w:tcW w:w="18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5E013D" w14:textId="77777777" w:rsidR="003E3FB0" w:rsidRPr="003E3FB0" w:rsidRDefault="003E3FB0" w:rsidP="003241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3FB0">
              <w:rPr>
                <w:rFonts w:eastAsia="Times New Roman" w:cs="Times New Roman"/>
                <w:lang w:val="en-US" w:eastAsia="en-GB"/>
              </w:rPr>
              <w:t>χ</w:t>
            </w:r>
            <w:r w:rsidRPr="003E3FB0">
              <w:rPr>
                <w:rFonts w:eastAsia="Times New Roman" w:cs="Times New Roman"/>
                <w:vertAlign w:val="superscript"/>
                <w:lang w:val="en-US" w:eastAsia="en-GB"/>
              </w:rPr>
              <w:t>2</w:t>
            </w:r>
            <w:r w:rsidRPr="003E3FB0">
              <w:rPr>
                <w:rFonts w:eastAsia="Times New Roman" w:cs="Times New Roman"/>
                <w:lang w:val="en-US" w:eastAsia="en-GB"/>
              </w:rPr>
              <w:t>(1</w:t>
            </w:r>
            <w:r w:rsidRPr="003E3FB0">
              <w:rPr>
                <w:rFonts w:eastAsia="Times New Roman" w:cs="Times New Roman"/>
                <w:lang w:val="en-US"/>
              </w:rPr>
              <w:t xml:space="preserve">) = 0.914, </w:t>
            </w:r>
            <w:r w:rsidRPr="003E3FB0">
              <w:rPr>
                <w:rFonts w:eastAsia="Times New Roman" w:cs="Times New Roman"/>
                <w:i/>
                <w:lang w:val="en-US"/>
              </w:rPr>
              <w:t>p</w:t>
            </w:r>
            <w:r w:rsidRPr="003E3FB0">
              <w:rPr>
                <w:rFonts w:eastAsia="Times New Roman" w:cs="Times New Roman"/>
                <w:lang w:val="en-US"/>
              </w:rPr>
              <w:t>=0.339</w:t>
            </w:r>
          </w:p>
        </w:tc>
      </w:tr>
    </w:tbl>
    <w:p w14:paraId="6989F760" w14:textId="4FA41482" w:rsidR="00A9688C" w:rsidRDefault="006E29DA" w:rsidP="00A9688C">
      <w:pPr>
        <w:spacing w:after="0" w:line="480" w:lineRule="auto"/>
        <w:ind w:right="266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A9688C" w:rsidRPr="002C1BF1">
        <w:rPr>
          <w:rFonts w:ascii="Times New Roman" w:eastAsia="Times New Roman" w:hAnsi="Times New Roman" w:cs="Times New Roman"/>
        </w:rPr>
        <w:t>t-test or chi-squared test, as appropriate</w:t>
      </w:r>
    </w:p>
    <w:p w14:paraId="6CE4139F" w14:textId="77777777" w:rsidR="002C1BF1" w:rsidRDefault="002C1BF1" w:rsidP="002C1BF1"/>
    <w:p w14:paraId="04D1B8F2" w14:textId="107AA292" w:rsidR="005A5FF5" w:rsidRDefault="005A5FF5">
      <w:r>
        <w:br w:type="page"/>
      </w:r>
    </w:p>
    <w:p w14:paraId="4BBB6B84" w14:textId="4EB64D21" w:rsidR="00BE3787" w:rsidRDefault="005A5FF5" w:rsidP="002C1BF1">
      <w:pPr>
        <w:rPr>
          <w:b/>
        </w:rPr>
      </w:pPr>
      <w:r>
        <w:rPr>
          <w:b/>
        </w:rPr>
        <w:lastRenderedPageBreak/>
        <w:t>Comparison of BDI and BDII groups</w:t>
      </w:r>
      <w:r w:rsidR="00A43922">
        <w:rPr>
          <w:b/>
        </w:rPr>
        <w:t>: clinical and demographic variables</w:t>
      </w:r>
    </w:p>
    <w:p w14:paraId="1694E96D" w14:textId="1C5492FA" w:rsidR="005A5FF5" w:rsidRDefault="005A5FF5" w:rsidP="005A5FF5">
      <w:pPr>
        <w:spacing w:line="480" w:lineRule="auto"/>
      </w:pPr>
      <w:r w:rsidRPr="003952D7">
        <w:t xml:space="preserve">Participants diagnosed with BDI (N=164) and BDII (N=107) were well matched for gender </w:t>
      </w:r>
      <w:r w:rsidRPr="003952D7">
        <w:rPr>
          <w:lang w:eastAsia="en-GB"/>
        </w:rPr>
        <w:t>[χ</w:t>
      </w:r>
      <w:r w:rsidRPr="003952D7">
        <w:rPr>
          <w:vertAlign w:val="superscript"/>
          <w:lang w:eastAsia="en-GB"/>
        </w:rPr>
        <w:t>2</w:t>
      </w:r>
      <w:r w:rsidRPr="003952D7">
        <w:rPr>
          <w:lang w:eastAsia="en-GB"/>
        </w:rPr>
        <w:t xml:space="preserve">(1) =  0.273, </w:t>
      </w:r>
      <w:r w:rsidRPr="003952D7">
        <w:rPr>
          <w:i/>
          <w:lang w:eastAsia="en-GB"/>
        </w:rPr>
        <w:t>p</w:t>
      </w:r>
      <w:r w:rsidRPr="003952D7">
        <w:rPr>
          <w:lang w:eastAsia="en-GB"/>
        </w:rPr>
        <w:t xml:space="preserve"> = 0.602], age </w:t>
      </w:r>
      <w:r w:rsidRPr="003952D7">
        <w:t>[</w:t>
      </w:r>
      <w:r w:rsidRPr="003952D7">
        <w:rPr>
          <w:i/>
        </w:rPr>
        <w:t>t</w:t>
      </w:r>
      <w:r w:rsidRPr="003952D7">
        <w:t xml:space="preserve">(269) = 0.977, </w:t>
      </w:r>
      <w:r w:rsidRPr="003952D7">
        <w:rPr>
          <w:i/>
        </w:rPr>
        <w:t>p</w:t>
      </w:r>
      <w:r w:rsidRPr="003952D7">
        <w:t xml:space="preserve"> = 0.329],  ethnicity [</w:t>
      </w:r>
      <w:r w:rsidRPr="003952D7">
        <w:rPr>
          <w:lang w:eastAsia="en-GB"/>
        </w:rPr>
        <w:t>χ</w:t>
      </w:r>
      <w:r w:rsidRPr="003952D7">
        <w:rPr>
          <w:vertAlign w:val="superscript"/>
          <w:lang w:eastAsia="en-GB"/>
        </w:rPr>
        <w:t>2</w:t>
      </w:r>
      <w:r w:rsidRPr="003952D7">
        <w:rPr>
          <w:lang w:eastAsia="en-GB"/>
        </w:rPr>
        <w:t xml:space="preserve">(1) =  0.343, </w:t>
      </w:r>
      <w:r w:rsidRPr="003952D7">
        <w:rPr>
          <w:i/>
          <w:lang w:eastAsia="en-GB"/>
        </w:rPr>
        <w:t>p</w:t>
      </w:r>
      <w:r w:rsidRPr="003952D7">
        <w:rPr>
          <w:lang w:eastAsia="en-GB"/>
        </w:rPr>
        <w:t xml:space="preserve"> = 0.558], </w:t>
      </w:r>
      <w:r w:rsidRPr="003952D7">
        <w:t>education level [</w:t>
      </w:r>
      <w:r w:rsidRPr="003952D7">
        <w:rPr>
          <w:lang w:eastAsia="en-GB"/>
        </w:rPr>
        <w:t>χ</w:t>
      </w:r>
      <w:r w:rsidRPr="003952D7">
        <w:rPr>
          <w:vertAlign w:val="superscript"/>
          <w:lang w:eastAsia="en-GB"/>
        </w:rPr>
        <w:t>2</w:t>
      </w:r>
      <w:r w:rsidRPr="003952D7">
        <w:rPr>
          <w:lang w:eastAsia="en-GB"/>
        </w:rPr>
        <w:t>(4</w:t>
      </w:r>
      <w:r w:rsidRPr="003952D7">
        <w:t xml:space="preserve">) = 2.701, </w:t>
      </w:r>
      <w:r w:rsidRPr="003952D7">
        <w:rPr>
          <w:i/>
        </w:rPr>
        <w:t>p</w:t>
      </w:r>
      <w:r w:rsidRPr="003952D7">
        <w:t xml:space="preserve"> = 0.609], manic/hypomanic symptoms at the time of testing (as measured by the ASRM) [</w:t>
      </w:r>
      <w:r w:rsidRPr="003952D7">
        <w:rPr>
          <w:lang w:eastAsia="en-GB"/>
        </w:rPr>
        <w:t>χ</w:t>
      </w:r>
      <w:r w:rsidRPr="003952D7">
        <w:rPr>
          <w:vertAlign w:val="superscript"/>
          <w:lang w:eastAsia="en-GB"/>
        </w:rPr>
        <w:t>2</w:t>
      </w:r>
      <w:r>
        <w:rPr>
          <w:lang w:eastAsia="en-GB"/>
        </w:rPr>
        <w:t>(1) =  1.475</w:t>
      </w:r>
      <w:r w:rsidRPr="003952D7">
        <w:rPr>
          <w:lang w:eastAsia="en-GB"/>
        </w:rPr>
        <w:t xml:space="preserve">, </w:t>
      </w:r>
      <w:r w:rsidRPr="003952D7">
        <w:rPr>
          <w:i/>
          <w:lang w:eastAsia="en-GB"/>
        </w:rPr>
        <w:t>p</w:t>
      </w:r>
      <w:r>
        <w:rPr>
          <w:lang w:eastAsia="en-GB"/>
        </w:rPr>
        <w:t xml:space="preserve"> = 0.224</w:t>
      </w:r>
      <w:r w:rsidRPr="003952D7">
        <w:t>], depression impairment age [</w:t>
      </w:r>
      <w:r w:rsidRPr="003952D7">
        <w:rPr>
          <w:i/>
        </w:rPr>
        <w:t>t</w:t>
      </w:r>
      <w:r w:rsidRPr="003952D7">
        <w:t xml:space="preserve">(269) = 0.412, </w:t>
      </w:r>
      <w:r w:rsidRPr="003952D7">
        <w:rPr>
          <w:i/>
        </w:rPr>
        <w:t>p</w:t>
      </w:r>
      <w:r w:rsidRPr="003952D7">
        <w:t xml:space="preserve"> = 0.680] and mania impairment age [</w:t>
      </w:r>
      <w:r w:rsidRPr="003952D7">
        <w:rPr>
          <w:i/>
        </w:rPr>
        <w:t>t</w:t>
      </w:r>
      <w:r w:rsidRPr="003952D7">
        <w:t xml:space="preserve">(264) = 0.386, </w:t>
      </w:r>
      <w:r w:rsidRPr="003952D7">
        <w:rPr>
          <w:i/>
        </w:rPr>
        <w:t xml:space="preserve">p </w:t>
      </w:r>
      <w:r w:rsidRPr="003952D7">
        <w:t>=0.700]. However, the groups did differ in depressive symptoms at time of testing (as measured with the QIDS) [</w:t>
      </w:r>
      <w:proofErr w:type="gramStart"/>
      <w:r w:rsidRPr="003952D7">
        <w:rPr>
          <w:i/>
        </w:rPr>
        <w:t>t</w:t>
      </w:r>
      <w:r w:rsidRPr="003952D7">
        <w:t>(</w:t>
      </w:r>
      <w:proofErr w:type="gramEnd"/>
      <w:r w:rsidRPr="003952D7">
        <w:t xml:space="preserve">195) = -3.334, </w:t>
      </w:r>
      <w:r w:rsidRPr="003952D7">
        <w:rPr>
          <w:i/>
        </w:rPr>
        <w:t>p</w:t>
      </w:r>
      <w:r w:rsidRPr="003952D7">
        <w:t xml:space="preserve"> = .001] with BDII having a significantly higher level of residual depression. BDI and BDII groups did not differ by proportion that reported being hospitalized due to depression [</w:t>
      </w:r>
      <w:proofErr w:type="gramStart"/>
      <w:r w:rsidRPr="003952D7">
        <w:rPr>
          <w:lang w:eastAsia="en-GB"/>
        </w:rPr>
        <w:t>χ</w:t>
      </w:r>
      <w:r w:rsidRPr="003952D7">
        <w:rPr>
          <w:vertAlign w:val="superscript"/>
          <w:lang w:eastAsia="en-GB"/>
        </w:rPr>
        <w:t>2</w:t>
      </w:r>
      <w:r w:rsidRPr="003952D7">
        <w:rPr>
          <w:lang w:eastAsia="en-GB"/>
        </w:rPr>
        <w:t>(</w:t>
      </w:r>
      <w:proofErr w:type="gramEnd"/>
      <w:r w:rsidRPr="003952D7">
        <w:rPr>
          <w:lang w:eastAsia="en-GB"/>
        </w:rPr>
        <w:t xml:space="preserve">1) =  2.084, </w:t>
      </w:r>
      <w:r w:rsidRPr="003952D7">
        <w:rPr>
          <w:i/>
          <w:lang w:eastAsia="en-GB"/>
        </w:rPr>
        <w:t>p</w:t>
      </w:r>
      <w:r w:rsidRPr="003952D7">
        <w:rPr>
          <w:lang w:eastAsia="en-GB"/>
        </w:rPr>
        <w:t xml:space="preserve"> = 0.149]</w:t>
      </w:r>
      <w:r w:rsidRPr="003952D7">
        <w:t xml:space="preserve">. </w:t>
      </w:r>
      <w:r>
        <w:t xml:space="preserve">A total </w:t>
      </w:r>
      <w:r w:rsidRPr="00AC5133">
        <w:rPr>
          <w:color w:val="000000" w:themeColor="text1"/>
        </w:rPr>
        <w:t xml:space="preserve">of 109 of </w:t>
      </w:r>
      <w:r w:rsidRPr="003952D7">
        <w:t>BDI participants reported a manic hospitalization; consistent with diagnostic criteria no participant with BDII had been hospitalized for mania.</w:t>
      </w:r>
      <w:r w:rsidR="00D232FE">
        <w:t xml:space="preserve"> BDI participants were more likely than BDII to report at least one suicide attempt </w:t>
      </w:r>
      <w:r w:rsidR="00D232FE" w:rsidRPr="003952D7">
        <w:t>[</w:t>
      </w:r>
      <w:proofErr w:type="gramStart"/>
      <w:r w:rsidR="00D232FE" w:rsidRPr="003952D7">
        <w:rPr>
          <w:lang w:eastAsia="en-GB"/>
        </w:rPr>
        <w:t>χ</w:t>
      </w:r>
      <w:r w:rsidR="00D232FE" w:rsidRPr="003952D7">
        <w:rPr>
          <w:vertAlign w:val="superscript"/>
          <w:lang w:eastAsia="en-GB"/>
        </w:rPr>
        <w:t>2</w:t>
      </w:r>
      <w:r w:rsidR="00D232FE">
        <w:rPr>
          <w:lang w:eastAsia="en-GB"/>
        </w:rPr>
        <w:t>(</w:t>
      </w:r>
      <w:proofErr w:type="gramEnd"/>
      <w:r w:rsidR="00D232FE">
        <w:rPr>
          <w:lang w:eastAsia="en-GB"/>
        </w:rPr>
        <w:t>1) =  6.89</w:t>
      </w:r>
      <w:r w:rsidR="00D232FE" w:rsidRPr="003952D7">
        <w:rPr>
          <w:lang w:eastAsia="en-GB"/>
        </w:rPr>
        <w:t xml:space="preserve">, </w:t>
      </w:r>
      <w:r w:rsidR="00D232FE" w:rsidRPr="003952D7">
        <w:rPr>
          <w:i/>
          <w:lang w:eastAsia="en-GB"/>
        </w:rPr>
        <w:t>p</w:t>
      </w:r>
      <w:r w:rsidR="00D232FE">
        <w:rPr>
          <w:lang w:eastAsia="en-GB"/>
        </w:rPr>
        <w:t xml:space="preserve"> = 0.009].</w:t>
      </w:r>
    </w:p>
    <w:p w14:paraId="3EA760A3" w14:textId="64B39A1D" w:rsidR="00F60069" w:rsidRDefault="00F60069" w:rsidP="005A5FF5">
      <w:pPr>
        <w:spacing w:line="480" w:lineRule="auto"/>
        <w:rPr>
          <w:b/>
        </w:rPr>
      </w:pPr>
      <w:r>
        <w:rPr>
          <w:b/>
        </w:rPr>
        <w:t xml:space="preserve">Effects of demographic variables on </w:t>
      </w:r>
      <w:r w:rsidR="00A43922">
        <w:rPr>
          <w:b/>
        </w:rPr>
        <w:t xml:space="preserve">overall </w:t>
      </w:r>
      <w:r w:rsidR="00E74E41">
        <w:rPr>
          <w:b/>
        </w:rPr>
        <w:t xml:space="preserve">performance in the </w:t>
      </w:r>
      <w:r w:rsidR="00A43922">
        <w:rPr>
          <w:b/>
        </w:rPr>
        <w:t>Emotional Categori</w:t>
      </w:r>
      <w:r w:rsidR="0047659F">
        <w:rPr>
          <w:b/>
        </w:rPr>
        <w:t>s</w:t>
      </w:r>
      <w:r w:rsidR="00A43922">
        <w:rPr>
          <w:b/>
        </w:rPr>
        <w:t>ation and Memory Task</w:t>
      </w:r>
    </w:p>
    <w:p w14:paraId="17908616" w14:textId="2ECF8E28" w:rsidR="00D15D5A" w:rsidRDefault="00E74E41" w:rsidP="005031BF">
      <w:pPr>
        <w:spacing w:line="480" w:lineRule="auto"/>
        <w:ind w:right="266"/>
      </w:pPr>
      <w:r w:rsidRPr="003952D7">
        <w:t>A higher education level was associated with greater accuracy in the categori</w:t>
      </w:r>
      <w:r w:rsidR="0047659F">
        <w:t>s</w:t>
      </w:r>
      <w:r w:rsidRPr="003952D7">
        <w:t>ation task [</w:t>
      </w:r>
      <w:r w:rsidR="007E0311">
        <w:t>B=0.</w:t>
      </w:r>
      <w:r w:rsidR="005172F4">
        <w:t>494(0.129</w:t>
      </w:r>
      <w:r w:rsidR="007E0311">
        <w:t>), p&lt;0.001</w:t>
      </w:r>
      <w:r w:rsidRPr="003952D7">
        <w:t>], decreased reaction time (RT) in the categori</w:t>
      </w:r>
      <w:r w:rsidR="0047659F">
        <w:t>s</w:t>
      </w:r>
      <w:r w:rsidRPr="003952D7">
        <w:t>ation task [</w:t>
      </w:r>
      <w:r w:rsidR="005172F4">
        <w:t>B=-57.482(14.933), p&lt;0.001</w:t>
      </w:r>
      <w:r w:rsidRPr="003952D7">
        <w:t>], greater recall in the recall task [</w:t>
      </w:r>
      <w:r w:rsidR="005172F4">
        <w:t>B=0.445(0.088), p&lt;</w:t>
      </w:r>
      <w:r>
        <w:t>0.001</w:t>
      </w:r>
      <w:r w:rsidRPr="003952D7">
        <w:t>], and greater sensitivity in the recognition task [</w:t>
      </w:r>
      <w:r w:rsidR="005172F4">
        <w:t>B=0.016(0.004), p&lt;0.001</w:t>
      </w:r>
      <w:r w:rsidRPr="003952D7">
        <w:t>]. Increasing age was associated with increased RT in the categori</w:t>
      </w:r>
      <w:r w:rsidR="0047659F">
        <w:t>s</w:t>
      </w:r>
      <w:r w:rsidRPr="003952D7">
        <w:t>ation task [</w:t>
      </w:r>
      <w:r w:rsidR="005172F4">
        <w:t>B=5.785(1.276), p&lt;0.001</w:t>
      </w:r>
      <w:r>
        <w:t>]</w:t>
      </w:r>
      <w:r w:rsidRPr="003952D7">
        <w:t>, and decreased accurate free-recall [</w:t>
      </w:r>
      <w:r w:rsidR="005172F4">
        <w:t>B=-0.043(0.008</w:t>
      </w:r>
      <w:r>
        <w:t>), p&lt;0.001</w:t>
      </w:r>
      <w:r w:rsidRPr="003952D7">
        <w:t>], together with decreased sensitivity in the recognition task [</w:t>
      </w:r>
      <w:r>
        <w:t>B</w:t>
      </w:r>
      <w:r w:rsidR="005172F4">
        <w:t>=-0.002</w:t>
      </w:r>
      <w:r>
        <w:t>(</w:t>
      </w:r>
      <w:r w:rsidR="005172F4">
        <w:t>&lt;</w:t>
      </w:r>
      <w:r>
        <w:t>0.000</w:t>
      </w:r>
      <w:r w:rsidR="005172F4">
        <w:t>0</w:t>
      </w:r>
      <w:r>
        <w:t>), p</w:t>
      </w:r>
      <w:r w:rsidR="005172F4">
        <w:t>&lt;</w:t>
      </w:r>
      <w:r>
        <w:t>0.001</w:t>
      </w:r>
      <w:r w:rsidRPr="003952D7">
        <w:t>]. Female participants were quicker in the categori</w:t>
      </w:r>
      <w:r w:rsidR="0047659F">
        <w:t>s</w:t>
      </w:r>
      <w:r w:rsidRPr="003952D7">
        <w:t>ation task [</w:t>
      </w:r>
      <w:r w:rsidRPr="00380BD4">
        <w:t>B</w:t>
      </w:r>
      <w:r w:rsidR="005172F4">
        <w:t>=-81.810</w:t>
      </w:r>
      <w:r w:rsidRPr="00380BD4">
        <w:t>(</w:t>
      </w:r>
      <w:r w:rsidR="005172F4">
        <w:t>37.385), p=0.030]</w:t>
      </w:r>
      <w:r w:rsidRPr="003952D7">
        <w:t xml:space="preserve">, </w:t>
      </w:r>
      <w:r>
        <w:t xml:space="preserve">they </w:t>
      </w:r>
      <w:r w:rsidRPr="003952D7">
        <w:t>accurately free-recalled more words [</w:t>
      </w:r>
      <w:r w:rsidR="005172F4">
        <w:t>B=0.873(0.220), p&lt;0.001</w:t>
      </w:r>
      <w:r w:rsidRPr="003952D7">
        <w:t>], and were more sensitive in the recognition task [</w:t>
      </w:r>
      <w:r w:rsidR="005172F4">
        <w:t>B=0.023(0.009), p=0.012</w:t>
      </w:r>
      <w:r w:rsidRPr="003952D7">
        <w:t xml:space="preserve">]. </w:t>
      </w:r>
    </w:p>
    <w:p w14:paraId="62AA1EDD" w14:textId="77777777" w:rsidR="00D15D5A" w:rsidRDefault="00D15D5A">
      <w:r>
        <w:br w:type="page"/>
      </w:r>
    </w:p>
    <w:p w14:paraId="45F38243" w14:textId="4C2ECE6F" w:rsidR="00A43922" w:rsidRPr="00A43922" w:rsidRDefault="00A43922" w:rsidP="00A43922">
      <w:pPr>
        <w:spacing w:line="480" w:lineRule="auto"/>
        <w:rPr>
          <w:b/>
        </w:rPr>
      </w:pPr>
      <w:r>
        <w:rPr>
          <w:b/>
        </w:rPr>
        <w:lastRenderedPageBreak/>
        <w:t>Effects of demographic variables on emotional processing as measured in the Emotional Categori</w:t>
      </w:r>
      <w:r w:rsidR="0047659F">
        <w:rPr>
          <w:b/>
        </w:rPr>
        <w:t>s</w:t>
      </w:r>
      <w:r>
        <w:rPr>
          <w:b/>
        </w:rPr>
        <w:t>ation and Memory Task</w:t>
      </w:r>
    </w:p>
    <w:p w14:paraId="76153614" w14:textId="59A3CAB0" w:rsidR="00E10E57" w:rsidRDefault="005172F4" w:rsidP="000802F6">
      <w:pPr>
        <w:spacing w:line="480" w:lineRule="auto"/>
      </w:pPr>
      <w:r>
        <w:t>Age was significantly related to</w:t>
      </w:r>
      <w:r w:rsidR="00A43922">
        <w:t xml:space="preserve"> greater reaction times for negative words compared to positive words i</w:t>
      </w:r>
      <w:r w:rsidR="00CB0CBA">
        <w:t>n the recognition task [B=-4.297(1.448), p=0.003</w:t>
      </w:r>
      <w:r w:rsidR="00A43922">
        <w:t xml:space="preserve">]. </w:t>
      </w:r>
      <w:r w:rsidR="00A43922" w:rsidRPr="003952D7">
        <w:t>Females, compared to males, were more accurate at categori</w:t>
      </w:r>
      <w:r w:rsidR="0047659F">
        <w:t>s</w:t>
      </w:r>
      <w:r w:rsidR="00A43922" w:rsidRPr="003952D7">
        <w:t>ing negative words relative to positive words [</w:t>
      </w:r>
      <w:r w:rsidR="00CB0CBA">
        <w:t>B=-1.952(0.463</w:t>
      </w:r>
      <w:r w:rsidR="00A43922">
        <w:t>), p&lt;0.001]</w:t>
      </w:r>
      <w:r w:rsidR="00A43922" w:rsidRPr="003952D7">
        <w:t>.</w:t>
      </w:r>
      <w:r w:rsidR="00A43922">
        <w:t xml:space="preserve"> Males, as compared with females, were also slower at categori</w:t>
      </w:r>
      <w:r w:rsidR="0047659F">
        <w:t>s</w:t>
      </w:r>
      <w:r w:rsidR="00A43922">
        <w:t>ing negative words comp</w:t>
      </w:r>
      <w:r w:rsidR="00CB0CBA">
        <w:t>ared to positive words [B=54.874(18.960), p=0.004</w:t>
      </w:r>
      <w:r w:rsidR="00A43922">
        <w:t>].</w:t>
      </w:r>
    </w:p>
    <w:p w14:paraId="76326F82" w14:textId="77777777" w:rsidR="00E10E57" w:rsidRDefault="00E10E57">
      <w:r>
        <w:br w:type="page"/>
      </w:r>
    </w:p>
    <w:tbl>
      <w:tblPr>
        <w:tblStyle w:val="LightList-Accen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154"/>
        <w:gridCol w:w="3815"/>
      </w:tblGrid>
      <w:tr w:rsidR="00E10E57" w:rsidRPr="003E3FB0" w14:paraId="7A082E16" w14:textId="77777777" w:rsidTr="00C6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shd w:val="clear" w:color="auto" w:fill="auto"/>
          </w:tcPr>
          <w:p w14:paraId="6006A581" w14:textId="7F9AF5FD" w:rsidR="00E10E57" w:rsidRPr="00A9688C" w:rsidRDefault="00E10E57" w:rsidP="00D73D0E">
            <w:pPr>
              <w:spacing w:line="276" w:lineRule="auto"/>
              <w:rPr>
                <w:b w:val="0"/>
                <w:color w:val="auto"/>
              </w:rPr>
            </w:pPr>
            <w:r>
              <w:rPr>
                <w:color w:val="auto"/>
              </w:rPr>
              <w:lastRenderedPageBreak/>
              <w:t xml:space="preserve">Supplementary Table </w:t>
            </w:r>
            <w:r w:rsidR="003469B2">
              <w:rPr>
                <w:color w:val="auto"/>
              </w:rPr>
              <w:t>S</w:t>
            </w:r>
            <w:bookmarkStart w:id="0" w:name="_GoBack"/>
            <w:bookmarkEnd w:id="0"/>
            <w:r>
              <w:rPr>
                <w:color w:val="auto"/>
              </w:rPr>
              <w:t xml:space="preserve">2. </w:t>
            </w:r>
            <w:r>
              <w:rPr>
                <w:b w:val="0"/>
                <w:color w:val="auto"/>
              </w:rPr>
              <w:t xml:space="preserve"> </w:t>
            </w:r>
            <w:r w:rsidR="00D73D0E">
              <w:rPr>
                <w:b w:val="0"/>
                <w:color w:val="auto"/>
              </w:rPr>
              <w:t>Mean reaction times (standard error of the mean in brackets) for accurate categorization of</w:t>
            </w:r>
            <w:r>
              <w:rPr>
                <w:b w:val="0"/>
                <w:color w:val="auto"/>
              </w:rPr>
              <w:t xml:space="preserve"> positive and negative words for those </w:t>
            </w:r>
            <w:r w:rsidR="00D73D0E">
              <w:rPr>
                <w:b w:val="0"/>
                <w:color w:val="auto"/>
              </w:rPr>
              <w:t xml:space="preserve">bipolar disorder participants </w:t>
            </w:r>
            <w:r>
              <w:rPr>
                <w:b w:val="0"/>
                <w:color w:val="auto"/>
              </w:rPr>
              <w:t xml:space="preserve">who are drug free </w:t>
            </w:r>
            <w:r w:rsidR="00D73D0E">
              <w:rPr>
                <w:b w:val="0"/>
                <w:color w:val="auto"/>
              </w:rPr>
              <w:t>compared to those</w:t>
            </w:r>
            <w:r>
              <w:rPr>
                <w:b w:val="0"/>
                <w:color w:val="auto"/>
              </w:rPr>
              <w:t xml:space="preserve"> on medication. </w:t>
            </w:r>
          </w:p>
        </w:tc>
      </w:tr>
      <w:tr w:rsidR="00E10E57" w:rsidRPr="003E3FB0" w14:paraId="05B8C037" w14:textId="77777777" w:rsidTr="00C6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6DCF53C" w14:textId="77777777" w:rsidR="00E10E57" w:rsidRPr="003E3FB0" w:rsidRDefault="00E10E57" w:rsidP="00C66F53">
            <w:pPr>
              <w:spacing w:line="276" w:lineRule="auto"/>
              <w:jc w:val="center"/>
            </w:pPr>
            <w:r w:rsidRPr="003E3FB0">
              <w:t>Total N=271</w:t>
            </w:r>
          </w:p>
        </w:tc>
      </w:tr>
      <w:tr w:rsidR="00E10E57" w:rsidRPr="00D75234" w14:paraId="58250468" w14:textId="77777777" w:rsidTr="00E1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1BB2A10D" w14:textId="77777777" w:rsidR="00E10E57" w:rsidRPr="00D75234" w:rsidRDefault="00E10E57" w:rsidP="00C66F53">
            <w:pPr>
              <w:spacing w:line="276" w:lineRule="auto"/>
            </w:pPr>
          </w:p>
        </w:tc>
        <w:tc>
          <w:tcPr>
            <w:tcW w:w="3154" w:type="dxa"/>
          </w:tcPr>
          <w:p w14:paraId="2ED92380" w14:textId="69B7CE17" w:rsidR="00E10E57" w:rsidRPr="00D75234" w:rsidRDefault="00D73D0E" w:rsidP="00D73D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Positive words </w:t>
            </w:r>
          </w:p>
        </w:tc>
        <w:tc>
          <w:tcPr>
            <w:tcW w:w="3815" w:type="dxa"/>
          </w:tcPr>
          <w:p w14:paraId="2D868CFD" w14:textId="00F247C4" w:rsidR="00E10E57" w:rsidRPr="00D75234" w:rsidRDefault="00D73D0E" w:rsidP="00C66F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</w:t>
            </w:r>
            <w:r w:rsidR="00E10E57" w:rsidRPr="00D75234">
              <w:rPr>
                <w:b/>
              </w:rPr>
              <w:t xml:space="preserve">egative words </w:t>
            </w:r>
          </w:p>
          <w:p w14:paraId="68747E7A" w14:textId="733E3872" w:rsidR="00E10E57" w:rsidRPr="00D75234" w:rsidRDefault="00E10E57" w:rsidP="00C66F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0E57" w:rsidRPr="003E3FB0" w14:paraId="657B86B0" w14:textId="77777777" w:rsidTr="00E1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1F26EDD0" w14:textId="6C6D4FAE" w:rsidR="00E10E57" w:rsidRPr="003E3FB0" w:rsidRDefault="00E10E57" w:rsidP="00C66F53">
            <w:pPr>
              <w:spacing w:line="276" w:lineRule="auto"/>
            </w:pPr>
            <w:r>
              <w:t>On medication</w:t>
            </w:r>
          </w:p>
        </w:tc>
        <w:tc>
          <w:tcPr>
            <w:tcW w:w="3154" w:type="dxa"/>
          </w:tcPr>
          <w:p w14:paraId="337E0AD9" w14:textId="72039A5C" w:rsidR="00E10E57" w:rsidRPr="003E3FB0" w:rsidRDefault="00E10E57" w:rsidP="00C66F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1167.19 (20.38)</w:t>
            </w:r>
          </w:p>
        </w:tc>
        <w:tc>
          <w:tcPr>
            <w:tcW w:w="3815" w:type="dxa"/>
          </w:tcPr>
          <w:p w14:paraId="5FDDCB0C" w14:textId="0F45AD3E" w:rsidR="00E10E57" w:rsidRPr="003E3FB0" w:rsidRDefault="00E10E57" w:rsidP="00E10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1229.28 (20.50)</w:t>
            </w:r>
          </w:p>
          <w:p w14:paraId="245B8149" w14:textId="350853B1" w:rsidR="00E10E57" w:rsidRPr="003E3FB0" w:rsidRDefault="00E10E57" w:rsidP="00C66F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0E57" w:rsidRPr="003E3FB0" w14:paraId="6E1B81F7" w14:textId="77777777" w:rsidTr="00E1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4EEAFE7B" w14:textId="74BA557B" w:rsidR="00E10E57" w:rsidRPr="003E3FB0" w:rsidRDefault="00E10E57" w:rsidP="00C66F53">
            <w:pPr>
              <w:spacing w:line="276" w:lineRule="auto"/>
            </w:pPr>
            <w:r>
              <w:t>Drug free</w:t>
            </w:r>
          </w:p>
        </w:tc>
        <w:tc>
          <w:tcPr>
            <w:tcW w:w="3154" w:type="dxa"/>
          </w:tcPr>
          <w:p w14:paraId="283187C8" w14:textId="5C500220" w:rsidR="00E10E57" w:rsidRPr="003E3FB0" w:rsidRDefault="00E10E57" w:rsidP="00C66F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1156.07 (49.89)</w:t>
            </w:r>
          </w:p>
        </w:tc>
        <w:tc>
          <w:tcPr>
            <w:tcW w:w="3815" w:type="dxa"/>
          </w:tcPr>
          <w:p w14:paraId="1763CA75" w14:textId="1BDDAC8C" w:rsidR="00E10E57" w:rsidRPr="003E3FB0" w:rsidRDefault="00E10E57" w:rsidP="00E1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1175.01 (52.30)</w:t>
            </w:r>
          </w:p>
          <w:p w14:paraId="2A2F27ED" w14:textId="7259F620" w:rsidR="00E10E57" w:rsidRPr="003E3FB0" w:rsidRDefault="00E10E57" w:rsidP="00C66F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5CE510" w14:textId="77777777" w:rsidR="003527EE" w:rsidRDefault="003527EE" w:rsidP="000802F6">
      <w:pPr>
        <w:spacing w:line="480" w:lineRule="auto"/>
      </w:pPr>
    </w:p>
    <w:sectPr w:rsidR="00352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F1"/>
    <w:rsid w:val="000802F6"/>
    <w:rsid w:val="000C3B3B"/>
    <w:rsid w:val="00106285"/>
    <w:rsid w:val="00176943"/>
    <w:rsid w:val="001F439F"/>
    <w:rsid w:val="00215656"/>
    <w:rsid w:val="00231480"/>
    <w:rsid w:val="002C1BF1"/>
    <w:rsid w:val="002C450F"/>
    <w:rsid w:val="00324135"/>
    <w:rsid w:val="003302E7"/>
    <w:rsid w:val="00335998"/>
    <w:rsid w:val="003469B2"/>
    <w:rsid w:val="003527EE"/>
    <w:rsid w:val="0037015E"/>
    <w:rsid w:val="003E3FB0"/>
    <w:rsid w:val="003F5ED1"/>
    <w:rsid w:val="00422419"/>
    <w:rsid w:val="00445072"/>
    <w:rsid w:val="004522EA"/>
    <w:rsid w:val="0047659F"/>
    <w:rsid w:val="005031BF"/>
    <w:rsid w:val="00514876"/>
    <w:rsid w:val="00515195"/>
    <w:rsid w:val="005172F4"/>
    <w:rsid w:val="00585CB5"/>
    <w:rsid w:val="005A5FF5"/>
    <w:rsid w:val="0062216A"/>
    <w:rsid w:val="006B2576"/>
    <w:rsid w:val="006B62B5"/>
    <w:rsid w:val="006E29DA"/>
    <w:rsid w:val="006E3A88"/>
    <w:rsid w:val="00741869"/>
    <w:rsid w:val="00794F02"/>
    <w:rsid w:val="00796C1D"/>
    <w:rsid w:val="00797659"/>
    <w:rsid w:val="007A011E"/>
    <w:rsid w:val="007E0311"/>
    <w:rsid w:val="008A532B"/>
    <w:rsid w:val="0093042D"/>
    <w:rsid w:val="009318A4"/>
    <w:rsid w:val="00975E00"/>
    <w:rsid w:val="009C5762"/>
    <w:rsid w:val="00A43922"/>
    <w:rsid w:val="00A46DC3"/>
    <w:rsid w:val="00A9688C"/>
    <w:rsid w:val="00B24A92"/>
    <w:rsid w:val="00BE3787"/>
    <w:rsid w:val="00BF638E"/>
    <w:rsid w:val="00C15B65"/>
    <w:rsid w:val="00C60A52"/>
    <w:rsid w:val="00C61859"/>
    <w:rsid w:val="00C77CE7"/>
    <w:rsid w:val="00C81969"/>
    <w:rsid w:val="00CB0CBA"/>
    <w:rsid w:val="00CB21BA"/>
    <w:rsid w:val="00CB5380"/>
    <w:rsid w:val="00CE43F5"/>
    <w:rsid w:val="00CF2829"/>
    <w:rsid w:val="00D1178D"/>
    <w:rsid w:val="00D15D5A"/>
    <w:rsid w:val="00D232FE"/>
    <w:rsid w:val="00D67203"/>
    <w:rsid w:val="00D73D0E"/>
    <w:rsid w:val="00D75234"/>
    <w:rsid w:val="00D858BB"/>
    <w:rsid w:val="00E10E57"/>
    <w:rsid w:val="00E5620B"/>
    <w:rsid w:val="00E74E41"/>
    <w:rsid w:val="00EA5DB4"/>
    <w:rsid w:val="00EE1893"/>
    <w:rsid w:val="00F07931"/>
    <w:rsid w:val="00F17A05"/>
    <w:rsid w:val="00F36036"/>
    <w:rsid w:val="00F60069"/>
    <w:rsid w:val="00F7524A"/>
    <w:rsid w:val="00FB2184"/>
    <w:rsid w:val="00FD235C"/>
    <w:rsid w:val="00FF2C1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A754"/>
  <w15:docId w15:val="{CFC1D85C-42DA-41E7-89E5-9B30BF5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858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2795-23FA-4540-BA60-B03ACCF6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zreed</dc:creator>
  <cp:lastModifiedBy>User</cp:lastModifiedBy>
  <cp:revision>9</cp:revision>
  <dcterms:created xsi:type="dcterms:W3CDTF">2015-11-10T13:03:00Z</dcterms:created>
  <dcterms:modified xsi:type="dcterms:W3CDTF">2016-07-28T16:06:00Z</dcterms:modified>
</cp:coreProperties>
</file>