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21" w:rsidRDefault="00812921" w:rsidP="00812921">
      <w:pPr>
        <w:spacing w:line="480" w:lineRule="auto"/>
        <w:jc w:val="center"/>
        <w:rPr>
          <w:rFonts w:ascii="Arial" w:hAnsi="Arial" w:cs="Arial"/>
          <w:sz w:val="24"/>
          <w:szCs w:val="24"/>
        </w:rPr>
      </w:pPr>
      <w:r w:rsidRPr="00F16CE1">
        <w:rPr>
          <w:rFonts w:ascii="Arial" w:hAnsi="Arial" w:cs="Arial"/>
          <w:sz w:val="24"/>
          <w:szCs w:val="24"/>
        </w:rPr>
        <w:t>Longitudinal Associations between Posttraumatic Stress Disorder</w:t>
      </w:r>
    </w:p>
    <w:p w:rsidR="00812921" w:rsidRDefault="00812921" w:rsidP="00812921">
      <w:pPr>
        <w:spacing w:line="480" w:lineRule="auto"/>
        <w:jc w:val="center"/>
        <w:rPr>
          <w:rFonts w:ascii="Arial" w:hAnsi="Arial" w:cs="Arial"/>
          <w:sz w:val="24"/>
          <w:szCs w:val="24"/>
        </w:rPr>
      </w:pPr>
      <w:r w:rsidRPr="00F16CE1">
        <w:rPr>
          <w:rFonts w:ascii="Arial" w:hAnsi="Arial" w:cs="Arial"/>
          <w:sz w:val="24"/>
          <w:szCs w:val="24"/>
        </w:rPr>
        <w:t xml:space="preserve"> and Metabolic Syndrome Severity</w:t>
      </w:r>
    </w:p>
    <w:p w:rsidR="005215D9" w:rsidRDefault="005215D9" w:rsidP="005215D9">
      <w:pPr>
        <w:spacing w:line="480" w:lineRule="auto"/>
        <w:jc w:val="center"/>
        <w:rPr>
          <w:rFonts w:ascii="Arial" w:hAnsi="Arial" w:cs="Arial"/>
          <w:sz w:val="24"/>
          <w:szCs w:val="24"/>
        </w:rPr>
      </w:pPr>
    </w:p>
    <w:p w:rsidR="005215D9" w:rsidRDefault="005215D9" w:rsidP="005215D9">
      <w:pPr>
        <w:spacing w:line="480" w:lineRule="auto"/>
        <w:rPr>
          <w:rFonts w:ascii="Arial" w:hAnsi="Arial" w:cs="Arial"/>
          <w:sz w:val="24"/>
          <w:szCs w:val="24"/>
        </w:rPr>
      </w:pPr>
    </w:p>
    <w:p w:rsidR="005215D9" w:rsidRPr="005215D9" w:rsidRDefault="00183AE7" w:rsidP="005215D9">
      <w:pPr>
        <w:spacing w:line="480" w:lineRule="auto"/>
        <w:jc w:val="center"/>
        <w:rPr>
          <w:rFonts w:ascii="Arial" w:hAnsi="Arial" w:cs="Arial"/>
          <w:b/>
          <w:sz w:val="24"/>
          <w:szCs w:val="24"/>
        </w:rPr>
      </w:pPr>
      <w:r>
        <w:rPr>
          <w:rFonts w:ascii="Arial" w:hAnsi="Arial" w:cs="Arial"/>
          <w:b/>
          <w:sz w:val="24"/>
          <w:szCs w:val="24"/>
        </w:rPr>
        <w:t>Supplementary Material</w:t>
      </w:r>
    </w:p>
    <w:p w:rsidR="005215D9" w:rsidRDefault="005215D9" w:rsidP="005215D9">
      <w:pPr>
        <w:spacing w:line="480" w:lineRule="auto"/>
        <w:jc w:val="center"/>
        <w:rPr>
          <w:rFonts w:ascii="Arial" w:hAnsi="Arial" w:cs="Arial"/>
          <w:sz w:val="24"/>
          <w:szCs w:val="24"/>
        </w:rPr>
      </w:pPr>
    </w:p>
    <w:p w:rsidR="005215D9" w:rsidRDefault="005215D9">
      <w:pPr>
        <w:sectPr w:rsidR="005215D9">
          <w:headerReference w:type="default" r:id="rId7"/>
          <w:pgSz w:w="12240" w:h="15840"/>
          <w:pgMar w:top="1440" w:right="1440" w:bottom="1440" w:left="1440" w:header="720" w:footer="720" w:gutter="0"/>
          <w:cols w:space="720"/>
          <w:docGrid w:linePitch="360"/>
        </w:sectPr>
      </w:pPr>
    </w:p>
    <w:p w:rsidR="000C3E0A" w:rsidRDefault="005215D9" w:rsidP="005215D9">
      <w:pPr>
        <w:spacing w:line="480" w:lineRule="auto"/>
        <w:jc w:val="center"/>
        <w:rPr>
          <w:rFonts w:ascii="Arial" w:hAnsi="Arial" w:cs="Arial"/>
          <w:b/>
        </w:rPr>
      </w:pPr>
      <w:r w:rsidRPr="005215D9">
        <w:rPr>
          <w:rFonts w:ascii="Arial" w:hAnsi="Arial" w:cs="Arial"/>
          <w:b/>
        </w:rPr>
        <w:lastRenderedPageBreak/>
        <w:t>Supplementary Methods</w:t>
      </w:r>
    </w:p>
    <w:p w:rsidR="0048463C" w:rsidRPr="0048463C" w:rsidRDefault="00CF1771" w:rsidP="0048463C">
      <w:pPr>
        <w:spacing w:line="480" w:lineRule="auto"/>
        <w:rPr>
          <w:rFonts w:ascii="Arial" w:hAnsi="Arial" w:cs="Arial"/>
          <w:u w:val="single"/>
        </w:rPr>
      </w:pPr>
      <w:r>
        <w:rPr>
          <w:rFonts w:ascii="Arial" w:hAnsi="Arial" w:cs="Arial"/>
          <w:u w:val="single"/>
        </w:rPr>
        <w:t xml:space="preserve">Additional </w:t>
      </w:r>
      <w:r w:rsidR="0048463C" w:rsidRPr="0048463C">
        <w:rPr>
          <w:rFonts w:ascii="Arial" w:hAnsi="Arial" w:cs="Arial"/>
          <w:u w:val="single"/>
        </w:rPr>
        <w:t>Recruitment and Sampling Methods</w:t>
      </w:r>
    </w:p>
    <w:p w:rsidR="0048463C" w:rsidRDefault="0048463C" w:rsidP="0048463C">
      <w:pPr>
        <w:spacing w:line="480" w:lineRule="auto"/>
        <w:ind w:firstLine="720"/>
        <w:rPr>
          <w:rFonts w:ascii="Arial" w:hAnsi="Arial" w:cs="Arial"/>
        </w:rPr>
      </w:pPr>
      <w:r w:rsidRPr="0048463C">
        <w:rPr>
          <w:rFonts w:ascii="Arial" w:hAnsi="Arial" w:cs="Arial"/>
        </w:rPr>
        <w:t>Potential participants were recruited from a roster provided by the VA Environmental Epidemiology Service. Potential participants (n = 4,331) were contacted by phone; of these, 2712 (62.6%) consented to participate. Of consented participants, 2,169 (80.0%) completed the questionnaires and 1,649 (60.8%) completed both the questionnaires and the diagnostic interview and comprised the complete Project VALOR cohort.</w:t>
      </w:r>
    </w:p>
    <w:p w:rsidR="00FD41C9" w:rsidRPr="00FD41C9" w:rsidRDefault="00FD41C9" w:rsidP="00FD41C9">
      <w:pPr>
        <w:spacing w:line="480" w:lineRule="auto"/>
        <w:rPr>
          <w:rFonts w:ascii="Arial" w:hAnsi="Arial" w:cs="Arial"/>
          <w:u w:val="single"/>
        </w:rPr>
      </w:pPr>
      <w:r w:rsidRPr="00FD41C9">
        <w:rPr>
          <w:rFonts w:ascii="Arial" w:hAnsi="Arial" w:cs="Arial"/>
          <w:u w:val="single"/>
        </w:rPr>
        <w:t>Comparison of Subjects with versus without T2 Data</w:t>
      </w:r>
    </w:p>
    <w:p w:rsidR="00FD41C9" w:rsidRPr="0048463C" w:rsidRDefault="00FD41C9" w:rsidP="0048463C">
      <w:pPr>
        <w:spacing w:line="480" w:lineRule="auto"/>
        <w:ind w:firstLine="720"/>
        <w:rPr>
          <w:rFonts w:ascii="Arial" w:hAnsi="Arial" w:cs="Arial"/>
        </w:rPr>
      </w:pPr>
      <w:r w:rsidRPr="00FD41C9">
        <w:rPr>
          <w:rFonts w:ascii="Arial" w:hAnsi="Arial" w:cs="Arial"/>
        </w:rPr>
        <w:t>Those missing T2 MetS data were slightly younger (</w:t>
      </w:r>
      <w:r w:rsidRPr="00650DC9">
        <w:rPr>
          <w:rFonts w:ascii="Arial" w:hAnsi="Arial" w:cs="Arial"/>
          <w:i/>
        </w:rPr>
        <w:t>M</w:t>
      </w:r>
      <w:r w:rsidRPr="00FD41C9">
        <w:rPr>
          <w:rFonts w:ascii="Arial" w:hAnsi="Arial" w:cs="Arial"/>
        </w:rPr>
        <w:t xml:space="preserve"> = 36.36 years, </w:t>
      </w:r>
      <w:r w:rsidRPr="00650DC9">
        <w:rPr>
          <w:rFonts w:ascii="Arial" w:hAnsi="Arial" w:cs="Arial"/>
          <w:i/>
        </w:rPr>
        <w:t>SD</w:t>
      </w:r>
      <w:r w:rsidRPr="00FD41C9">
        <w:rPr>
          <w:rFonts w:ascii="Arial" w:hAnsi="Arial" w:cs="Arial"/>
        </w:rPr>
        <w:t xml:space="preserve"> = 9.42) than those who had T2 MetS data (</w:t>
      </w:r>
      <w:r w:rsidRPr="00650DC9">
        <w:rPr>
          <w:rFonts w:ascii="Arial" w:hAnsi="Arial" w:cs="Arial"/>
          <w:i/>
        </w:rPr>
        <w:t>M</w:t>
      </w:r>
      <w:r w:rsidRPr="00FD41C9">
        <w:rPr>
          <w:rFonts w:ascii="Arial" w:hAnsi="Arial" w:cs="Arial"/>
        </w:rPr>
        <w:t xml:space="preserve"> = 38.46, </w:t>
      </w:r>
      <w:r w:rsidRPr="00650DC9">
        <w:rPr>
          <w:rFonts w:ascii="Arial" w:hAnsi="Arial" w:cs="Arial"/>
          <w:i/>
        </w:rPr>
        <w:t>SD</w:t>
      </w:r>
      <w:r w:rsidRPr="00FD41C9">
        <w:rPr>
          <w:rFonts w:ascii="Arial" w:hAnsi="Arial" w:cs="Arial"/>
        </w:rPr>
        <w:t xml:space="preserve"> = 10.11, </w:t>
      </w:r>
      <w:r w:rsidRPr="00650DC9">
        <w:rPr>
          <w:rFonts w:ascii="Arial" w:hAnsi="Arial" w:cs="Arial"/>
          <w:i/>
        </w:rPr>
        <w:t>t</w:t>
      </w:r>
      <w:r w:rsidRPr="00FD41C9">
        <w:rPr>
          <w:rFonts w:ascii="Arial" w:hAnsi="Arial" w:cs="Arial"/>
        </w:rPr>
        <w:t xml:space="preserve"> [1,353] = 3.51, </w:t>
      </w:r>
      <w:r w:rsidRPr="00650DC9">
        <w:rPr>
          <w:rFonts w:ascii="Arial" w:hAnsi="Arial" w:cs="Arial"/>
          <w:i/>
        </w:rPr>
        <w:t>p</w:t>
      </w:r>
      <w:r w:rsidRPr="00FD41C9">
        <w:rPr>
          <w:rFonts w:ascii="Arial" w:hAnsi="Arial" w:cs="Arial"/>
        </w:rPr>
        <w:t xml:space="preserve"> &lt; .001) and they also had slightly lower PTSD severity scores (</w:t>
      </w:r>
      <w:r w:rsidRPr="00650DC9">
        <w:rPr>
          <w:rFonts w:ascii="Arial" w:hAnsi="Arial" w:cs="Arial"/>
          <w:i/>
        </w:rPr>
        <w:t>M</w:t>
      </w:r>
      <w:r w:rsidRPr="00FD41C9">
        <w:rPr>
          <w:rFonts w:ascii="Arial" w:hAnsi="Arial" w:cs="Arial"/>
        </w:rPr>
        <w:t xml:space="preserve"> = 9.55, </w:t>
      </w:r>
      <w:r w:rsidRPr="00650DC9">
        <w:rPr>
          <w:rFonts w:ascii="Arial" w:hAnsi="Arial" w:cs="Arial"/>
          <w:i/>
        </w:rPr>
        <w:t>SD</w:t>
      </w:r>
      <w:r w:rsidRPr="00FD41C9">
        <w:rPr>
          <w:rFonts w:ascii="Arial" w:hAnsi="Arial" w:cs="Arial"/>
        </w:rPr>
        <w:t xml:space="preserve"> = 4.87 vs </w:t>
      </w:r>
      <w:r w:rsidRPr="00650DC9">
        <w:rPr>
          <w:rFonts w:ascii="Arial" w:hAnsi="Arial" w:cs="Arial"/>
          <w:i/>
        </w:rPr>
        <w:t>M</w:t>
      </w:r>
      <w:r w:rsidRPr="00FD41C9">
        <w:rPr>
          <w:rFonts w:ascii="Arial" w:hAnsi="Arial" w:cs="Arial"/>
        </w:rPr>
        <w:t xml:space="preserve"> = 10.16, </w:t>
      </w:r>
      <w:r w:rsidRPr="00650DC9">
        <w:rPr>
          <w:rFonts w:ascii="Arial" w:hAnsi="Arial" w:cs="Arial"/>
          <w:i/>
        </w:rPr>
        <w:t>SD</w:t>
      </w:r>
      <w:r w:rsidRPr="00FD41C9">
        <w:rPr>
          <w:rFonts w:ascii="Arial" w:hAnsi="Arial" w:cs="Arial"/>
        </w:rPr>
        <w:t xml:space="preserve"> = 4.75; </w:t>
      </w:r>
      <w:r w:rsidRPr="00650DC9">
        <w:rPr>
          <w:rFonts w:ascii="Arial" w:hAnsi="Arial" w:cs="Arial"/>
          <w:i/>
        </w:rPr>
        <w:t>t</w:t>
      </w:r>
      <w:r w:rsidRPr="00FD41C9">
        <w:rPr>
          <w:rFonts w:ascii="Arial" w:hAnsi="Arial" w:cs="Arial"/>
        </w:rPr>
        <w:t xml:space="preserve"> [1,353] = 2.13, </w:t>
      </w:r>
      <w:r w:rsidRPr="00650DC9">
        <w:rPr>
          <w:rFonts w:ascii="Arial" w:hAnsi="Arial" w:cs="Arial"/>
          <w:i/>
        </w:rPr>
        <w:t>p</w:t>
      </w:r>
      <w:r w:rsidRPr="00FD41C9">
        <w:rPr>
          <w:rFonts w:ascii="Arial" w:hAnsi="Arial" w:cs="Arial"/>
        </w:rPr>
        <w:t xml:space="preserve"> = .03).  There were no differences between the two groups with respect to total number of T1 traumatic life events, MetS-related variables, sex, or race.</w:t>
      </w:r>
    </w:p>
    <w:p w:rsidR="005215D9" w:rsidRPr="008815F1" w:rsidRDefault="008815F1" w:rsidP="005215D9">
      <w:pPr>
        <w:spacing w:line="480" w:lineRule="auto"/>
        <w:rPr>
          <w:rFonts w:ascii="Arial" w:hAnsi="Arial" w:cs="Arial"/>
          <w:u w:val="single"/>
        </w:rPr>
      </w:pPr>
      <w:r w:rsidRPr="008815F1">
        <w:rPr>
          <w:rFonts w:ascii="Arial" w:hAnsi="Arial" w:cs="Arial"/>
          <w:u w:val="single"/>
        </w:rPr>
        <w:t xml:space="preserve">Time between </w:t>
      </w:r>
      <w:r w:rsidR="005A037E">
        <w:rPr>
          <w:rFonts w:ascii="Arial" w:hAnsi="Arial" w:cs="Arial"/>
          <w:u w:val="single"/>
        </w:rPr>
        <w:t>Posttraumatic Stress Disorder (PTSD)</w:t>
      </w:r>
      <w:r w:rsidRPr="008815F1">
        <w:rPr>
          <w:rFonts w:ascii="Arial" w:hAnsi="Arial" w:cs="Arial"/>
          <w:u w:val="single"/>
        </w:rPr>
        <w:t xml:space="preserve"> and </w:t>
      </w:r>
      <w:r w:rsidR="005A037E">
        <w:rPr>
          <w:rFonts w:ascii="Arial" w:hAnsi="Arial" w:cs="Arial"/>
          <w:u w:val="single"/>
        </w:rPr>
        <w:t>Metabolic Syndrome (</w:t>
      </w:r>
      <w:r w:rsidRPr="008815F1">
        <w:rPr>
          <w:rFonts w:ascii="Arial" w:hAnsi="Arial" w:cs="Arial"/>
          <w:u w:val="single"/>
        </w:rPr>
        <w:t>MetS</w:t>
      </w:r>
      <w:r w:rsidR="005A037E">
        <w:rPr>
          <w:rFonts w:ascii="Arial" w:hAnsi="Arial" w:cs="Arial"/>
          <w:u w:val="single"/>
        </w:rPr>
        <w:t>)</w:t>
      </w:r>
      <w:r w:rsidRPr="008815F1">
        <w:rPr>
          <w:rFonts w:ascii="Arial" w:hAnsi="Arial" w:cs="Arial"/>
          <w:u w:val="single"/>
        </w:rPr>
        <w:t xml:space="preserve"> </w:t>
      </w:r>
      <w:r w:rsidR="005A037E">
        <w:rPr>
          <w:rFonts w:ascii="Arial" w:hAnsi="Arial" w:cs="Arial"/>
          <w:u w:val="single"/>
        </w:rPr>
        <w:t>A</w:t>
      </w:r>
      <w:r w:rsidRPr="008815F1">
        <w:rPr>
          <w:rFonts w:ascii="Arial" w:hAnsi="Arial" w:cs="Arial"/>
          <w:u w:val="single"/>
        </w:rPr>
        <w:t>ssessments</w:t>
      </w:r>
    </w:p>
    <w:p w:rsidR="008815F1" w:rsidRDefault="008815F1" w:rsidP="005215D9">
      <w:pPr>
        <w:spacing w:line="480" w:lineRule="auto"/>
        <w:rPr>
          <w:rFonts w:ascii="Arial" w:hAnsi="Arial" w:cs="Arial"/>
          <w:u w:val="single"/>
        </w:rPr>
      </w:pPr>
      <w:r>
        <w:rPr>
          <w:rFonts w:ascii="Arial" w:hAnsi="Arial" w:cs="Arial"/>
        </w:rPr>
        <w:tab/>
      </w:r>
      <w:r w:rsidRPr="008815F1">
        <w:rPr>
          <w:rFonts w:ascii="Arial" w:hAnsi="Arial" w:cs="Arial"/>
        </w:rPr>
        <w:t xml:space="preserve">At </w:t>
      </w:r>
      <w:r>
        <w:rPr>
          <w:rFonts w:ascii="Arial" w:hAnsi="Arial" w:cs="Arial"/>
        </w:rPr>
        <w:t>Time 1 (T1)</w:t>
      </w:r>
      <w:r w:rsidRPr="008815F1">
        <w:rPr>
          <w:rFonts w:ascii="Arial" w:hAnsi="Arial" w:cs="Arial"/>
        </w:rPr>
        <w:t xml:space="preserve">, the mean time between </w:t>
      </w:r>
      <w:r w:rsidR="005A037E" w:rsidRPr="008815F1">
        <w:rPr>
          <w:rFonts w:ascii="Arial" w:hAnsi="Arial" w:cs="Arial"/>
        </w:rPr>
        <w:t>the</w:t>
      </w:r>
      <w:r w:rsidR="005A037E">
        <w:rPr>
          <w:rFonts w:ascii="Arial" w:hAnsi="Arial" w:cs="Arial"/>
        </w:rPr>
        <w:t xml:space="preserve"> </w:t>
      </w:r>
      <w:r w:rsidR="005A037E" w:rsidRPr="008815F1">
        <w:rPr>
          <w:rFonts w:ascii="Arial" w:hAnsi="Arial" w:cs="Arial"/>
        </w:rPr>
        <w:t>PTSD</w:t>
      </w:r>
      <w:r w:rsidRPr="008815F1">
        <w:rPr>
          <w:rFonts w:ascii="Arial" w:hAnsi="Arial" w:cs="Arial"/>
        </w:rPr>
        <w:t xml:space="preserve"> assessment and the date the </w:t>
      </w:r>
      <w:r>
        <w:rPr>
          <w:rFonts w:ascii="Arial" w:hAnsi="Arial" w:cs="Arial"/>
        </w:rPr>
        <w:t>biometric</w:t>
      </w:r>
      <w:r w:rsidRPr="008815F1">
        <w:rPr>
          <w:rFonts w:ascii="Arial" w:hAnsi="Arial" w:cs="Arial"/>
        </w:rPr>
        <w:t xml:space="preserve"> parameters were </w:t>
      </w:r>
      <w:r w:rsidR="00A74A81">
        <w:rPr>
          <w:rFonts w:ascii="Arial" w:hAnsi="Arial" w:cs="Arial"/>
        </w:rPr>
        <w:t>obtained</w:t>
      </w:r>
      <w:r w:rsidRPr="008815F1">
        <w:rPr>
          <w:rFonts w:ascii="Arial" w:hAnsi="Arial" w:cs="Arial"/>
        </w:rPr>
        <w:t xml:space="preserve"> was -.08 months (</w:t>
      </w:r>
      <w:r w:rsidRPr="00B90DFE">
        <w:rPr>
          <w:rFonts w:ascii="Arial" w:hAnsi="Arial" w:cs="Arial"/>
          <w:i/>
        </w:rPr>
        <w:t>SD</w:t>
      </w:r>
      <w:r w:rsidRPr="008815F1">
        <w:rPr>
          <w:rFonts w:ascii="Arial" w:hAnsi="Arial" w:cs="Arial"/>
        </w:rPr>
        <w:t xml:space="preserve"> = 2.25, range: -6.0 to 5.90), indicating that, on average, the MetS data were dated slightly prior to the PTSD assessment</w:t>
      </w:r>
      <w:r w:rsidR="00294CA7">
        <w:rPr>
          <w:rFonts w:ascii="Arial" w:hAnsi="Arial" w:cs="Arial"/>
        </w:rPr>
        <w:t>.  At</w:t>
      </w:r>
      <w:r w:rsidRPr="008815F1">
        <w:rPr>
          <w:rFonts w:ascii="Arial" w:hAnsi="Arial" w:cs="Arial"/>
        </w:rPr>
        <w:t xml:space="preserve"> </w:t>
      </w:r>
      <w:r>
        <w:rPr>
          <w:rFonts w:ascii="Arial" w:hAnsi="Arial" w:cs="Arial"/>
        </w:rPr>
        <w:t>Time 2 (</w:t>
      </w:r>
      <w:r w:rsidRPr="008815F1">
        <w:rPr>
          <w:rFonts w:ascii="Arial" w:hAnsi="Arial" w:cs="Arial"/>
        </w:rPr>
        <w:t>T2</w:t>
      </w:r>
      <w:r>
        <w:rPr>
          <w:rFonts w:ascii="Arial" w:hAnsi="Arial" w:cs="Arial"/>
        </w:rPr>
        <w:t>)</w:t>
      </w:r>
      <w:r w:rsidRPr="008815F1">
        <w:rPr>
          <w:rFonts w:ascii="Arial" w:hAnsi="Arial" w:cs="Arial"/>
        </w:rPr>
        <w:t>, the mean time between the PTSD and MetS assessments was -.10 months (</w:t>
      </w:r>
      <w:r w:rsidRPr="00B90DFE">
        <w:rPr>
          <w:rFonts w:ascii="Arial" w:hAnsi="Arial" w:cs="Arial"/>
          <w:i/>
        </w:rPr>
        <w:t>SD</w:t>
      </w:r>
      <w:r w:rsidRPr="008815F1">
        <w:rPr>
          <w:rFonts w:ascii="Arial" w:hAnsi="Arial" w:cs="Arial"/>
        </w:rPr>
        <w:t xml:space="preserve"> = 2.26, range: -5.87 to 5.80).  The time between PTSD assessments ranged from 18.80 to 56.50 months and </w:t>
      </w:r>
      <w:r w:rsidR="005A037E">
        <w:rPr>
          <w:rFonts w:ascii="Arial" w:hAnsi="Arial" w:cs="Arial"/>
        </w:rPr>
        <w:t>averaged</w:t>
      </w:r>
      <w:r w:rsidRPr="008815F1">
        <w:rPr>
          <w:rFonts w:ascii="Arial" w:hAnsi="Arial" w:cs="Arial"/>
        </w:rPr>
        <w:t xml:space="preserve"> 29.78 months (</w:t>
      </w:r>
      <w:r w:rsidRPr="00B90DFE">
        <w:rPr>
          <w:rFonts w:ascii="Arial" w:hAnsi="Arial" w:cs="Arial"/>
          <w:i/>
        </w:rPr>
        <w:t>SD</w:t>
      </w:r>
      <w:r w:rsidRPr="008815F1">
        <w:rPr>
          <w:rFonts w:ascii="Arial" w:hAnsi="Arial" w:cs="Arial"/>
        </w:rPr>
        <w:t xml:space="preserve"> = 6.89).</w:t>
      </w:r>
    </w:p>
    <w:p w:rsidR="005215D9" w:rsidRPr="005215D9" w:rsidRDefault="005215D9" w:rsidP="005215D9">
      <w:pPr>
        <w:spacing w:line="480" w:lineRule="auto"/>
        <w:rPr>
          <w:rFonts w:ascii="Arial" w:hAnsi="Arial" w:cs="Arial"/>
          <w:u w:val="single"/>
        </w:rPr>
      </w:pPr>
      <w:r w:rsidRPr="005215D9">
        <w:rPr>
          <w:rFonts w:ascii="Arial" w:hAnsi="Arial" w:cs="Arial"/>
          <w:u w:val="single"/>
        </w:rPr>
        <w:t xml:space="preserve">Additional </w:t>
      </w:r>
      <w:r w:rsidR="003C6A14">
        <w:rPr>
          <w:rFonts w:ascii="Arial" w:hAnsi="Arial" w:cs="Arial"/>
          <w:u w:val="single"/>
        </w:rPr>
        <w:t>m</w:t>
      </w:r>
      <w:r w:rsidRPr="005215D9">
        <w:rPr>
          <w:rFonts w:ascii="Arial" w:hAnsi="Arial" w:cs="Arial"/>
          <w:u w:val="single"/>
        </w:rPr>
        <w:t>easures that were the focus of secondary data analyses</w:t>
      </w:r>
    </w:p>
    <w:p w:rsidR="00D15163" w:rsidRDefault="005215D9" w:rsidP="005215D9">
      <w:pPr>
        <w:spacing w:line="480" w:lineRule="auto"/>
        <w:ind w:firstLine="720"/>
        <w:rPr>
          <w:rFonts w:ascii="Arial" w:hAnsi="Arial" w:cs="Arial"/>
        </w:rPr>
      </w:pPr>
      <w:r w:rsidRPr="005215D9">
        <w:rPr>
          <w:rFonts w:ascii="Arial" w:hAnsi="Arial" w:cs="Arial"/>
          <w:b/>
        </w:rPr>
        <w:t>The Patient Health Questionnaire</w:t>
      </w:r>
      <w:r>
        <w:rPr>
          <w:rFonts w:ascii="Arial" w:hAnsi="Arial" w:cs="Arial"/>
          <w:b/>
        </w:rPr>
        <w:t xml:space="preserve"> (PHQ)</w:t>
      </w:r>
      <w:r w:rsidRPr="005215D9">
        <w:rPr>
          <w:rFonts w:ascii="Arial" w:hAnsi="Arial" w:cs="Arial"/>
        </w:rPr>
        <w:t>. The PHQ (Spitzer</w:t>
      </w:r>
      <w:r w:rsidR="00656EC6">
        <w:rPr>
          <w:rFonts w:ascii="Arial" w:hAnsi="Arial" w:cs="Arial"/>
        </w:rPr>
        <w:t xml:space="preserve"> et al.</w:t>
      </w:r>
      <w:r w:rsidRPr="005215D9">
        <w:rPr>
          <w:rFonts w:ascii="Arial" w:hAnsi="Arial" w:cs="Arial"/>
        </w:rPr>
        <w:t xml:space="preserve">, 1999) is a self-report version of the PRIME-MD. The PHQ is a 58-item questionnaire, which assesses eight somatic diagnoses divided into threshold and subthreshold disorders. One of these diagnoses is depression, which is assessed using the PHQ-9.  The PHQ-9 is a nine item scale </w:t>
      </w:r>
      <w:r w:rsidR="00294CA7">
        <w:rPr>
          <w:rFonts w:ascii="Arial" w:hAnsi="Arial" w:cs="Arial"/>
        </w:rPr>
        <w:t xml:space="preserve">with response </w:t>
      </w:r>
      <w:r w:rsidR="00650DC9">
        <w:rPr>
          <w:rFonts w:ascii="Arial" w:hAnsi="Arial" w:cs="Arial"/>
        </w:rPr>
        <w:lastRenderedPageBreak/>
        <w:t>scores</w:t>
      </w:r>
      <w:r w:rsidR="00294CA7">
        <w:rPr>
          <w:rFonts w:ascii="Arial" w:hAnsi="Arial" w:cs="Arial"/>
        </w:rPr>
        <w:t xml:space="preserve"> ranging</w:t>
      </w:r>
      <w:r w:rsidRPr="005215D9">
        <w:rPr>
          <w:rFonts w:ascii="Arial" w:hAnsi="Arial" w:cs="Arial"/>
        </w:rPr>
        <w:t xml:space="preserve"> from 0 to 3. The PHQ-9 can be used either dichotomously (to identify probable depression) or continuously (as a meas</w:t>
      </w:r>
      <w:r w:rsidR="00A74A81">
        <w:rPr>
          <w:rFonts w:ascii="Arial" w:hAnsi="Arial" w:cs="Arial"/>
        </w:rPr>
        <w:t>ure of severity). In this</w:t>
      </w:r>
      <w:r w:rsidRPr="005215D9">
        <w:rPr>
          <w:rFonts w:ascii="Arial" w:hAnsi="Arial" w:cs="Arial"/>
        </w:rPr>
        <w:t xml:space="preserve"> study, it </w:t>
      </w:r>
      <w:r w:rsidRPr="00D15163">
        <w:rPr>
          <w:rFonts w:ascii="Arial" w:hAnsi="Arial" w:cs="Arial"/>
        </w:rPr>
        <w:t>was used as a di</w:t>
      </w:r>
      <w:r w:rsidR="00D15163">
        <w:rPr>
          <w:rFonts w:ascii="Arial" w:hAnsi="Arial" w:cs="Arial"/>
        </w:rPr>
        <w:t xml:space="preserve">chotomous measure </w:t>
      </w:r>
      <w:r w:rsidR="003509F5">
        <w:rPr>
          <w:rFonts w:ascii="Arial" w:hAnsi="Arial" w:cs="Arial"/>
        </w:rPr>
        <w:t>based on</w:t>
      </w:r>
      <w:r w:rsidR="00307D1E" w:rsidRPr="00307D1E">
        <w:rPr>
          <w:rFonts w:ascii="Arial" w:hAnsi="Arial" w:cs="Arial"/>
        </w:rPr>
        <w:t xml:space="preserve"> </w:t>
      </w:r>
      <w:r w:rsidR="0083037D">
        <w:rPr>
          <w:rFonts w:ascii="Arial" w:hAnsi="Arial" w:cs="Arial"/>
        </w:rPr>
        <w:t xml:space="preserve">the </w:t>
      </w:r>
      <w:r w:rsidR="0083037D" w:rsidRPr="00874219">
        <w:rPr>
          <w:rFonts w:ascii="Arial" w:hAnsi="Arial" w:cs="Arial"/>
          <w:i/>
        </w:rPr>
        <w:t>DSM</w:t>
      </w:r>
      <w:r w:rsidR="00A74A81">
        <w:rPr>
          <w:rFonts w:ascii="Arial" w:hAnsi="Arial" w:cs="Arial"/>
          <w:i/>
        </w:rPr>
        <w:t>-IV</w:t>
      </w:r>
      <w:r w:rsidR="00307D1E" w:rsidRPr="00307D1E">
        <w:rPr>
          <w:rFonts w:ascii="Arial" w:hAnsi="Arial" w:cs="Arial"/>
        </w:rPr>
        <w:t xml:space="preserve"> </w:t>
      </w:r>
      <w:r w:rsidR="00D15163">
        <w:rPr>
          <w:rFonts w:ascii="Arial" w:hAnsi="Arial" w:cs="Arial"/>
        </w:rPr>
        <w:t xml:space="preserve">major depressive disorder </w:t>
      </w:r>
      <w:r w:rsidR="00307D1E" w:rsidRPr="00307D1E">
        <w:rPr>
          <w:rFonts w:ascii="Arial" w:hAnsi="Arial" w:cs="Arial"/>
        </w:rPr>
        <w:t xml:space="preserve">diagnostic criteria (i.e., endorsement of little interest or pleasure in doing things or feeling down, depressed, or hopeless, as well as endorsement of </w:t>
      </w:r>
      <w:r w:rsidR="00D15163">
        <w:rPr>
          <w:rFonts w:ascii="Arial" w:hAnsi="Arial" w:cs="Arial"/>
        </w:rPr>
        <w:t xml:space="preserve">at least </w:t>
      </w:r>
      <w:r w:rsidR="00307D1E" w:rsidRPr="0083037D">
        <w:rPr>
          <w:rFonts w:ascii="Arial" w:hAnsi="Arial" w:cs="Arial"/>
        </w:rPr>
        <w:t>5</w:t>
      </w:r>
      <w:r w:rsidR="00307D1E" w:rsidRPr="00307D1E">
        <w:rPr>
          <w:rFonts w:ascii="Arial" w:hAnsi="Arial" w:cs="Arial"/>
        </w:rPr>
        <w:t xml:space="preserve"> </w:t>
      </w:r>
      <w:r w:rsidR="00294CA7">
        <w:rPr>
          <w:rFonts w:ascii="Arial" w:hAnsi="Arial" w:cs="Arial"/>
        </w:rPr>
        <w:t xml:space="preserve">total </w:t>
      </w:r>
      <w:r w:rsidR="00307D1E" w:rsidRPr="00307D1E">
        <w:rPr>
          <w:rFonts w:ascii="Arial" w:hAnsi="Arial" w:cs="Arial"/>
        </w:rPr>
        <w:t xml:space="preserve">depressive symptoms </w:t>
      </w:r>
      <w:r w:rsidR="0083037D">
        <w:rPr>
          <w:rFonts w:ascii="Arial" w:hAnsi="Arial" w:cs="Arial"/>
        </w:rPr>
        <w:t xml:space="preserve">occurring </w:t>
      </w:r>
      <w:r w:rsidR="00307D1E" w:rsidRPr="00307D1E">
        <w:rPr>
          <w:rFonts w:ascii="Arial" w:hAnsi="Arial" w:cs="Arial"/>
        </w:rPr>
        <w:t>more than half the days</w:t>
      </w:r>
      <w:r w:rsidR="00B90DFE">
        <w:rPr>
          <w:rFonts w:ascii="Arial" w:hAnsi="Arial" w:cs="Arial"/>
        </w:rPr>
        <w:t xml:space="preserve"> in the past-two weeks</w:t>
      </w:r>
      <w:r w:rsidR="00307D1E" w:rsidRPr="00307D1E">
        <w:rPr>
          <w:rFonts w:ascii="Arial" w:hAnsi="Arial" w:cs="Arial"/>
        </w:rPr>
        <w:t>; see Spitzer et al., 1999)</w:t>
      </w:r>
      <w:r w:rsidR="00D15163">
        <w:rPr>
          <w:rFonts w:ascii="Arial" w:hAnsi="Arial" w:cs="Arial"/>
        </w:rPr>
        <w:t xml:space="preserve">.  </w:t>
      </w:r>
      <w:r w:rsidR="00307D1E" w:rsidRPr="00307D1E">
        <w:rPr>
          <w:rFonts w:ascii="Arial" w:hAnsi="Arial" w:cs="Arial"/>
        </w:rPr>
        <w:t xml:space="preserve"> </w:t>
      </w:r>
    </w:p>
    <w:p w:rsidR="005215D9" w:rsidRDefault="005215D9" w:rsidP="005215D9">
      <w:pPr>
        <w:spacing w:line="480" w:lineRule="auto"/>
        <w:ind w:firstLine="720"/>
        <w:rPr>
          <w:rFonts w:ascii="Arial" w:hAnsi="Arial" w:cs="Arial"/>
        </w:rPr>
      </w:pPr>
      <w:r w:rsidRPr="005215D9">
        <w:rPr>
          <w:rFonts w:ascii="Arial" w:hAnsi="Arial" w:cs="Arial"/>
          <w:b/>
        </w:rPr>
        <w:t>Combat Experiences Scale of the Deployment Risk and Resilience Inventory</w:t>
      </w:r>
      <w:r w:rsidRPr="005215D9">
        <w:rPr>
          <w:rFonts w:ascii="Arial" w:hAnsi="Arial" w:cs="Arial"/>
        </w:rPr>
        <w:t xml:space="preserve">. We assessed the extent of combat exposure at postdeployment using a modified version of the Combat Experiences Scale of the Deployment Risk and Resilience Inventory (DRRI; King et al., 2006). The modified scale consists of the same 15 items from the original measure except that it utilizes a 5-point Likert-type scale (1 = never and 5 = daily or almost daily) to determine the extent of combat </w:t>
      </w:r>
      <w:r w:rsidR="00A74A81">
        <w:rPr>
          <w:rFonts w:ascii="Arial" w:hAnsi="Arial" w:cs="Arial"/>
        </w:rPr>
        <w:t>exposure severity</w:t>
      </w:r>
      <w:r w:rsidRPr="005215D9">
        <w:rPr>
          <w:rFonts w:ascii="Arial" w:hAnsi="Arial" w:cs="Arial"/>
        </w:rPr>
        <w:t xml:space="preserve">. It also included an additional item to assess the extent to which </w:t>
      </w:r>
      <w:r w:rsidR="006F62BD">
        <w:rPr>
          <w:rFonts w:ascii="Arial" w:hAnsi="Arial" w:cs="Arial"/>
        </w:rPr>
        <w:t>military members</w:t>
      </w:r>
      <w:r w:rsidRPr="005215D9">
        <w:rPr>
          <w:rFonts w:ascii="Arial" w:hAnsi="Arial" w:cs="Arial"/>
        </w:rPr>
        <w:t xml:space="preserve"> participated in a support convoy. Item scores on this measure were summed (range = 16–80), with higher scores indicating greater combat </w:t>
      </w:r>
      <w:r w:rsidR="00A74A81">
        <w:rPr>
          <w:rFonts w:ascii="Arial" w:hAnsi="Arial" w:cs="Arial"/>
        </w:rPr>
        <w:t>exposure severity</w:t>
      </w:r>
      <w:r w:rsidRPr="005215D9">
        <w:rPr>
          <w:rFonts w:ascii="Arial" w:hAnsi="Arial" w:cs="Arial"/>
        </w:rPr>
        <w:t>.</w:t>
      </w:r>
    </w:p>
    <w:p w:rsidR="003C6A14" w:rsidRDefault="00307D1E" w:rsidP="00954ECF">
      <w:pPr>
        <w:spacing w:line="480" w:lineRule="auto"/>
        <w:ind w:firstLine="720"/>
        <w:rPr>
          <w:rFonts w:ascii="Arial" w:hAnsi="Arial" w:cs="Arial"/>
        </w:rPr>
      </w:pPr>
      <w:r w:rsidRPr="00307D1E">
        <w:rPr>
          <w:rFonts w:ascii="Arial" w:hAnsi="Arial" w:cs="Arial"/>
          <w:b/>
        </w:rPr>
        <w:t>The Alcohol Use Disorders Identification Test</w:t>
      </w:r>
      <w:r w:rsidR="00D15163">
        <w:rPr>
          <w:rFonts w:ascii="Arial" w:hAnsi="Arial" w:cs="Arial"/>
          <w:b/>
        </w:rPr>
        <w:t xml:space="preserve"> (AUDIT)</w:t>
      </w:r>
      <w:r w:rsidRPr="00307D1E">
        <w:rPr>
          <w:rFonts w:ascii="Arial" w:hAnsi="Arial" w:cs="Arial"/>
        </w:rPr>
        <w:t>.</w:t>
      </w:r>
      <w:r>
        <w:rPr>
          <w:rFonts w:ascii="Arial" w:hAnsi="Arial" w:cs="Arial"/>
          <w:b/>
        </w:rPr>
        <w:t xml:space="preserve"> </w:t>
      </w:r>
      <w:r>
        <w:rPr>
          <w:rFonts w:ascii="Arial" w:hAnsi="Arial" w:cs="Arial"/>
        </w:rPr>
        <w:t>The AUDIT (</w:t>
      </w:r>
      <w:r w:rsidRPr="00307D1E">
        <w:rPr>
          <w:rFonts w:ascii="Arial" w:hAnsi="Arial" w:cs="Arial"/>
        </w:rPr>
        <w:t>Saunders, Aasland,</w:t>
      </w:r>
      <w:r w:rsidR="00D15163">
        <w:rPr>
          <w:rFonts w:ascii="Arial" w:hAnsi="Arial" w:cs="Arial"/>
        </w:rPr>
        <w:t xml:space="preserve"> Babor, Fuente, &amp; Grant, 1993) </w:t>
      </w:r>
      <w:r w:rsidRPr="00307D1E">
        <w:rPr>
          <w:rFonts w:ascii="Arial" w:hAnsi="Arial" w:cs="Arial"/>
        </w:rPr>
        <w:t>is a 10-item questionnaire</w:t>
      </w:r>
      <w:r w:rsidR="00D15163">
        <w:rPr>
          <w:rFonts w:ascii="Arial" w:hAnsi="Arial" w:cs="Arial"/>
        </w:rPr>
        <w:t xml:space="preserve"> of alcohol misuse</w:t>
      </w:r>
      <w:r>
        <w:rPr>
          <w:rFonts w:ascii="Arial" w:hAnsi="Arial" w:cs="Arial"/>
        </w:rPr>
        <w:t xml:space="preserve">, with </w:t>
      </w:r>
      <w:r w:rsidR="00D15163">
        <w:rPr>
          <w:rFonts w:ascii="Arial" w:hAnsi="Arial" w:cs="Arial"/>
        </w:rPr>
        <w:t>item</w:t>
      </w:r>
      <w:r>
        <w:rPr>
          <w:rFonts w:ascii="Arial" w:hAnsi="Arial" w:cs="Arial"/>
        </w:rPr>
        <w:t xml:space="preserve"> </w:t>
      </w:r>
      <w:r w:rsidR="00294CA7">
        <w:rPr>
          <w:rFonts w:ascii="Arial" w:hAnsi="Arial" w:cs="Arial"/>
        </w:rPr>
        <w:t>response option</w:t>
      </w:r>
      <w:r w:rsidR="00044E31">
        <w:rPr>
          <w:rFonts w:ascii="Arial" w:hAnsi="Arial" w:cs="Arial"/>
        </w:rPr>
        <w:t>s</w:t>
      </w:r>
      <w:r w:rsidR="00294CA7">
        <w:rPr>
          <w:rFonts w:ascii="Arial" w:hAnsi="Arial" w:cs="Arial"/>
        </w:rPr>
        <w:t xml:space="preserve"> ra</w:t>
      </w:r>
      <w:r w:rsidR="006F62BD">
        <w:rPr>
          <w:rFonts w:ascii="Arial" w:hAnsi="Arial" w:cs="Arial"/>
        </w:rPr>
        <w:t>n</w:t>
      </w:r>
      <w:r w:rsidR="00294CA7">
        <w:rPr>
          <w:rFonts w:ascii="Arial" w:hAnsi="Arial" w:cs="Arial"/>
        </w:rPr>
        <w:t>ging</w:t>
      </w:r>
      <w:r>
        <w:rPr>
          <w:rFonts w:ascii="Arial" w:hAnsi="Arial" w:cs="Arial"/>
        </w:rPr>
        <w:t xml:space="preserve"> from 0 to 4. </w:t>
      </w:r>
      <w:r w:rsidR="00954ECF">
        <w:rPr>
          <w:rFonts w:ascii="Arial" w:hAnsi="Arial" w:cs="Arial"/>
        </w:rPr>
        <w:t xml:space="preserve">Items are totaled to indicate severity of problematic alcohol use, with higher scores indicative of greater severity. </w:t>
      </w:r>
    </w:p>
    <w:p w:rsidR="00691AF2" w:rsidRDefault="00691AF2" w:rsidP="00954ECF">
      <w:pPr>
        <w:spacing w:line="480" w:lineRule="auto"/>
        <w:ind w:firstLine="720"/>
        <w:rPr>
          <w:rFonts w:ascii="Arial" w:hAnsi="Arial" w:cs="Arial"/>
        </w:rPr>
      </w:pPr>
      <w:r w:rsidRPr="00BB771E">
        <w:rPr>
          <w:rFonts w:ascii="Arial" w:hAnsi="Arial" w:cs="Arial"/>
          <w:b/>
        </w:rPr>
        <w:t>Smoking Assessment</w:t>
      </w:r>
      <w:r>
        <w:rPr>
          <w:rFonts w:ascii="Arial" w:hAnsi="Arial" w:cs="Arial"/>
        </w:rPr>
        <w:t xml:space="preserve">.  We did not have data pertaining to T1 cigarette use but at T2, cigarette use was assessed via </w:t>
      </w:r>
      <w:r w:rsidR="00BB771E">
        <w:rPr>
          <w:rFonts w:ascii="Arial" w:hAnsi="Arial" w:cs="Arial"/>
        </w:rPr>
        <w:t xml:space="preserve">5 </w:t>
      </w:r>
      <w:r>
        <w:rPr>
          <w:rFonts w:ascii="Arial" w:hAnsi="Arial" w:cs="Arial"/>
        </w:rPr>
        <w:t xml:space="preserve">self-report </w:t>
      </w:r>
      <w:r w:rsidR="00BB771E">
        <w:rPr>
          <w:rFonts w:ascii="Arial" w:hAnsi="Arial" w:cs="Arial"/>
        </w:rPr>
        <w:t xml:space="preserve">items </w:t>
      </w:r>
      <w:r w:rsidR="009030FF">
        <w:rPr>
          <w:rFonts w:ascii="Arial" w:hAnsi="Arial" w:cs="Arial"/>
        </w:rPr>
        <w:t xml:space="preserve">from the Smoking and Tobacco Use Questionnaire </w:t>
      </w:r>
      <w:r w:rsidR="008E5C33">
        <w:rPr>
          <w:rFonts w:ascii="Arial" w:hAnsi="Arial" w:cs="Arial"/>
        </w:rPr>
        <w:t xml:space="preserve">that is </w:t>
      </w:r>
      <w:r w:rsidR="009030FF">
        <w:rPr>
          <w:rFonts w:ascii="Arial" w:hAnsi="Arial" w:cs="Arial"/>
        </w:rPr>
        <w:t xml:space="preserve">embedded in the </w:t>
      </w:r>
      <w:r w:rsidR="009030FF" w:rsidRPr="009030FF">
        <w:rPr>
          <w:rFonts w:ascii="Arial" w:hAnsi="Arial" w:cs="Arial"/>
        </w:rPr>
        <w:t>National Health and Nutrition E</w:t>
      </w:r>
      <w:r w:rsidR="009030FF">
        <w:rPr>
          <w:rFonts w:ascii="Arial" w:hAnsi="Arial" w:cs="Arial"/>
        </w:rPr>
        <w:t>xamination Survey Questionnaire (NHANES; Center</w:t>
      </w:r>
      <w:r w:rsidR="00520866">
        <w:rPr>
          <w:rFonts w:ascii="Arial" w:hAnsi="Arial" w:cs="Arial"/>
        </w:rPr>
        <w:t>s</w:t>
      </w:r>
      <w:r w:rsidR="009030FF">
        <w:rPr>
          <w:rFonts w:ascii="Arial" w:hAnsi="Arial" w:cs="Arial"/>
        </w:rPr>
        <w:t xml:space="preserve"> for Disease Control, 2009).  This </w:t>
      </w:r>
      <w:r w:rsidR="00BB771E">
        <w:rPr>
          <w:rFonts w:ascii="Arial" w:hAnsi="Arial" w:cs="Arial"/>
        </w:rPr>
        <w:t>included an assessment of lifetime and current cigarette use (yes/no)</w:t>
      </w:r>
      <w:r>
        <w:rPr>
          <w:rFonts w:ascii="Arial" w:hAnsi="Arial" w:cs="Arial"/>
        </w:rPr>
        <w:t xml:space="preserve">.  </w:t>
      </w:r>
      <w:r w:rsidR="00BB771E">
        <w:rPr>
          <w:rFonts w:ascii="Arial" w:hAnsi="Arial" w:cs="Arial"/>
        </w:rPr>
        <w:t>These two items were included in analyses described below.</w:t>
      </w:r>
    </w:p>
    <w:p w:rsidR="00E607F6" w:rsidRDefault="00E607F6" w:rsidP="00954ECF">
      <w:pPr>
        <w:spacing w:line="480" w:lineRule="auto"/>
        <w:ind w:firstLine="720"/>
        <w:rPr>
          <w:rFonts w:ascii="Arial" w:hAnsi="Arial" w:cs="Arial"/>
        </w:rPr>
      </w:pPr>
      <w:r w:rsidRPr="00E607F6">
        <w:rPr>
          <w:rFonts w:ascii="Arial" w:hAnsi="Arial" w:cs="Arial"/>
          <w:b/>
        </w:rPr>
        <w:t>Psychotropic Medication Use</w:t>
      </w:r>
      <w:r>
        <w:rPr>
          <w:rFonts w:ascii="Arial" w:hAnsi="Arial" w:cs="Arial"/>
        </w:rPr>
        <w:t xml:space="preserve">.  We extracted data regarding psychotropic medication use from the VA electronic medical record.  We </w:t>
      </w:r>
      <w:r w:rsidR="00A74A81">
        <w:rPr>
          <w:rFonts w:ascii="Arial" w:hAnsi="Arial" w:cs="Arial"/>
        </w:rPr>
        <w:t>created</w:t>
      </w:r>
      <w:r>
        <w:rPr>
          <w:rFonts w:ascii="Arial" w:hAnsi="Arial" w:cs="Arial"/>
        </w:rPr>
        <w:t xml:space="preserve"> dichotomous variables that reflected </w:t>
      </w:r>
      <w:r>
        <w:rPr>
          <w:rFonts w:ascii="Arial" w:hAnsi="Arial" w:cs="Arial"/>
        </w:rPr>
        <w:lastRenderedPageBreak/>
        <w:t xml:space="preserve">use of anti-depressants, sedatives, anti-psychotics, or opioids in the 6 months </w:t>
      </w:r>
      <w:r w:rsidR="00874219">
        <w:rPr>
          <w:rFonts w:ascii="Arial" w:hAnsi="Arial" w:cs="Arial"/>
        </w:rPr>
        <w:t>before or after</w:t>
      </w:r>
      <w:r>
        <w:rPr>
          <w:rFonts w:ascii="Arial" w:hAnsi="Arial" w:cs="Arial"/>
        </w:rPr>
        <w:t xml:space="preserve"> the SCID-based PTSD assessments.   These were included in potential confounder analyses described below.</w:t>
      </w:r>
    </w:p>
    <w:p w:rsidR="003C6A14" w:rsidRDefault="003C6A14" w:rsidP="003C6A14">
      <w:pPr>
        <w:spacing w:line="480" w:lineRule="auto"/>
        <w:ind w:firstLine="720"/>
        <w:jc w:val="center"/>
        <w:rPr>
          <w:rFonts w:ascii="Arial" w:hAnsi="Arial" w:cs="Arial"/>
          <w:b/>
        </w:rPr>
      </w:pPr>
      <w:r w:rsidRPr="003C6A14">
        <w:rPr>
          <w:rFonts w:ascii="Arial" w:hAnsi="Arial" w:cs="Arial"/>
          <w:b/>
        </w:rPr>
        <w:t>Supplementary Results</w:t>
      </w:r>
    </w:p>
    <w:p w:rsidR="000715BD" w:rsidRPr="000715BD" w:rsidRDefault="000715BD" w:rsidP="000715BD">
      <w:pPr>
        <w:spacing w:line="480" w:lineRule="auto"/>
        <w:rPr>
          <w:rFonts w:ascii="Arial" w:hAnsi="Arial" w:cs="Arial"/>
          <w:u w:val="single"/>
        </w:rPr>
      </w:pPr>
      <w:r w:rsidRPr="000715BD">
        <w:rPr>
          <w:rFonts w:ascii="Arial" w:hAnsi="Arial" w:cs="Arial"/>
          <w:u w:val="single"/>
        </w:rPr>
        <w:t>Bivariate Correlations between PTSD and MetS Severity</w:t>
      </w:r>
    </w:p>
    <w:p w:rsidR="000715BD" w:rsidRPr="000715BD" w:rsidRDefault="000715BD" w:rsidP="000715BD">
      <w:pPr>
        <w:spacing w:line="480" w:lineRule="auto"/>
        <w:ind w:firstLine="720"/>
        <w:rPr>
          <w:rFonts w:ascii="Arial" w:hAnsi="Arial" w:cs="Arial"/>
        </w:rPr>
      </w:pPr>
      <w:r w:rsidRPr="000715BD">
        <w:rPr>
          <w:rFonts w:ascii="Arial" w:hAnsi="Arial" w:cs="Arial"/>
        </w:rPr>
        <w:t xml:space="preserve">As shown in </w:t>
      </w:r>
      <w:r>
        <w:rPr>
          <w:rFonts w:ascii="Arial" w:hAnsi="Arial" w:cs="Arial"/>
        </w:rPr>
        <w:t>Supplementary Table 1</w:t>
      </w:r>
      <w:r w:rsidR="004B2191">
        <w:rPr>
          <w:rFonts w:ascii="Arial" w:hAnsi="Arial" w:cs="Arial"/>
        </w:rPr>
        <w:t xml:space="preserve"> (below)</w:t>
      </w:r>
      <w:r w:rsidRPr="000715BD">
        <w:rPr>
          <w:rFonts w:ascii="Arial" w:hAnsi="Arial" w:cs="Arial"/>
        </w:rPr>
        <w:t>, PTSD and MetS severity were concurrently associated with each other at each time point.  In addition, T1 PTSD severity was associated with T2 MetS severity and T1 MetS was associated with T2 PTSD severity.  The total number of different T1 traumatic experiences was weakly associated with T1 but not T2 MetS severity.</w:t>
      </w:r>
    </w:p>
    <w:p w:rsidR="002E48D9" w:rsidRDefault="002E48D9" w:rsidP="00F54C73">
      <w:pPr>
        <w:spacing w:line="480" w:lineRule="auto"/>
        <w:rPr>
          <w:rFonts w:ascii="Arial" w:hAnsi="Arial" w:cs="Arial"/>
          <w:u w:val="single"/>
        </w:rPr>
      </w:pPr>
      <w:r>
        <w:rPr>
          <w:rFonts w:ascii="Arial" w:hAnsi="Arial" w:cs="Arial"/>
          <w:u w:val="single"/>
        </w:rPr>
        <w:t>Analyses of potential covariates of T1/T2 PTSD and MetS</w:t>
      </w:r>
    </w:p>
    <w:p w:rsidR="002E48D9" w:rsidRPr="002E48D9" w:rsidRDefault="002E48D9" w:rsidP="002E48D9">
      <w:pPr>
        <w:spacing w:line="480" w:lineRule="auto"/>
        <w:ind w:firstLine="720"/>
        <w:rPr>
          <w:rFonts w:ascii="Arial" w:hAnsi="Arial" w:cs="Arial"/>
        </w:rPr>
      </w:pPr>
      <w:r>
        <w:rPr>
          <w:rFonts w:ascii="Arial" w:hAnsi="Arial" w:cs="Arial"/>
        </w:rPr>
        <w:t>Bivar</w:t>
      </w:r>
      <w:r w:rsidR="00044E31">
        <w:rPr>
          <w:rFonts w:ascii="Arial" w:hAnsi="Arial" w:cs="Arial"/>
        </w:rPr>
        <w:t xml:space="preserve">iate correlations revealed that: (a) </w:t>
      </w:r>
      <w:r>
        <w:rPr>
          <w:rFonts w:ascii="Arial" w:hAnsi="Arial" w:cs="Arial"/>
        </w:rPr>
        <w:t xml:space="preserve">race </w:t>
      </w:r>
      <w:r w:rsidRPr="002E48D9">
        <w:rPr>
          <w:rFonts w:ascii="Arial" w:hAnsi="Arial" w:cs="Arial"/>
        </w:rPr>
        <w:t>(dichotomized into majority/minority</w:t>
      </w:r>
      <w:r w:rsidR="00874219">
        <w:rPr>
          <w:rFonts w:ascii="Arial" w:hAnsi="Arial" w:cs="Arial"/>
        </w:rPr>
        <w:t xml:space="preserve"> with minorities as the reference group</w:t>
      </w:r>
      <w:r w:rsidRPr="002E48D9">
        <w:rPr>
          <w:rFonts w:ascii="Arial" w:hAnsi="Arial" w:cs="Arial"/>
        </w:rPr>
        <w:t>) was associated with PTSD severity at T1 (</w:t>
      </w:r>
      <w:r w:rsidRPr="002E48D9">
        <w:rPr>
          <w:rFonts w:ascii="Arial" w:hAnsi="Arial" w:cs="Arial"/>
          <w:i/>
        </w:rPr>
        <w:t>r</w:t>
      </w:r>
      <w:r w:rsidRPr="002E48D9">
        <w:rPr>
          <w:rFonts w:ascii="Arial" w:hAnsi="Arial" w:cs="Arial"/>
        </w:rPr>
        <w:t xml:space="preserve"> = -.05, </w:t>
      </w:r>
      <w:r w:rsidRPr="002E48D9">
        <w:rPr>
          <w:rFonts w:ascii="Arial" w:hAnsi="Arial" w:cs="Arial"/>
          <w:i/>
        </w:rPr>
        <w:t>p</w:t>
      </w:r>
      <w:r w:rsidRPr="002E48D9">
        <w:rPr>
          <w:rFonts w:ascii="Arial" w:hAnsi="Arial" w:cs="Arial"/>
        </w:rPr>
        <w:t xml:space="preserve"> = .047) and T2 (</w:t>
      </w:r>
      <w:r w:rsidRPr="002E48D9">
        <w:rPr>
          <w:rFonts w:ascii="Arial" w:hAnsi="Arial" w:cs="Arial"/>
          <w:i/>
        </w:rPr>
        <w:t>r</w:t>
      </w:r>
      <w:r w:rsidRPr="002E48D9">
        <w:rPr>
          <w:rFonts w:ascii="Arial" w:hAnsi="Arial" w:cs="Arial"/>
        </w:rPr>
        <w:t xml:space="preserve"> = -.12, </w:t>
      </w:r>
      <w:r w:rsidRPr="002E48D9">
        <w:rPr>
          <w:rFonts w:ascii="Arial" w:hAnsi="Arial" w:cs="Arial"/>
          <w:i/>
        </w:rPr>
        <w:t>p</w:t>
      </w:r>
      <w:r w:rsidRPr="002E48D9">
        <w:rPr>
          <w:rFonts w:ascii="Arial" w:hAnsi="Arial" w:cs="Arial"/>
        </w:rPr>
        <w:t xml:space="preserve"> &lt; .001)</w:t>
      </w:r>
      <w:r w:rsidR="00044E31">
        <w:rPr>
          <w:rFonts w:ascii="Arial" w:hAnsi="Arial" w:cs="Arial"/>
        </w:rPr>
        <w:t>; (b)</w:t>
      </w:r>
      <w:r w:rsidRPr="002E48D9">
        <w:rPr>
          <w:rFonts w:ascii="Arial" w:hAnsi="Arial" w:cs="Arial"/>
        </w:rPr>
        <w:t xml:space="preserve"> sex </w:t>
      </w:r>
      <w:r w:rsidR="0000024F">
        <w:rPr>
          <w:rFonts w:ascii="Arial" w:hAnsi="Arial" w:cs="Arial"/>
        </w:rPr>
        <w:t xml:space="preserve">(women as reference group) </w:t>
      </w:r>
      <w:r w:rsidRPr="002E48D9">
        <w:rPr>
          <w:rFonts w:ascii="Arial" w:hAnsi="Arial" w:cs="Arial"/>
        </w:rPr>
        <w:t>was associated with MetS at T1 (</w:t>
      </w:r>
      <w:r w:rsidRPr="002E48D9">
        <w:rPr>
          <w:rFonts w:ascii="Arial" w:hAnsi="Arial" w:cs="Arial"/>
          <w:i/>
        </w:rPr>
        <w:t>r</w:t>
      </w:r>
      <w:r w:rsidRPr="002E48D9">
        <w:rPr>
          <w:rFonts w:ascii="Arial" w:hAnsi="Arial" w:cs="Arial"/>
        </w:rPr>
        <w:t xml:space="preserve"> = .23, </w:t>
      </w:r>
      <w:r w:rsidRPr="002E48D9">
        <w:rPr>
          <w:rFonts w:ascii="Arial" w:hAnsi="Arial" w:cs="Arial"/>
          <w:i/>
        </w:rPr>
        <w:t>p</w:t>
      </w:r>
      <w:r w:rsidRPr="002E48D9">
        <w:rPr>
          <w:rFonts w:ascii="Arial" w:hAnsi="Arial" w:cs="Arial"/>
        </w:rPr>
        <w:t xml:space="preserve"> &lt; .001) and T2 (</w:t>
      </w:r>
      <w:r w:rsidRPr="002E48D9">
        <w:rPr>
          <w:rFonts w:ascii="Arial" w:hAnsi="Arial" w:cs="Arial"/>
          <w:i/>
        </w:rPr>
        <w:t xml:space="preserve">r </w:t>
      </w:r>
      <w:r w:rsidRPr="002E48D9">
        <w:rPr>
          <w:rFonts w:ascii="Arial" w:hAnsi="Arial" w:cs="Arial"/>
        </w:rPr>
        <w:t xml:space="preserve">= .19, </w:t>
      </w:r>
      <w:r w:rsidRPr="002E48D9">
        <w:rPr>
          <w:rFonts w:ascii="Arial" w:hAnsi="Arial" w:cs="Arial"/>
          <w:i/>
        </w:rPr>
        <w:t>p</w:t>
      </w:r>
      <w:r w:rsidRPr="002E48D9">
        <w:rPr>
          <w:rFonts w:ascii="Arial" w:hAnsi="Arial" w:cs="Arial"/>
        </w:rPr>
        <w:t xml:space="preserve"> &lt; .001)</w:t>
      </w:r>
      <w:r w:rsidR="00044E31">
        <w:rPr>
          <w:rFonts w:ascii="Arial" w:hAnsi="Arial" w:cs="Arial"/>
        </w:rPr>
        <w:t xml:space="preserve">; (c) </w:t>
      </w:r>
      <w:r w:rsidRPr="002E48D9">
        <w:rPr>
          <w:rFonts w:ascii="Arial" w:hAnsi="Arial" w:cs="Arial"/>
        </w:rPr>
        <w:t>age was associated with T1 PTSD (</w:t>
      </w:r>
      <w:r w:rsidRPr="002E48D9">
        <w:rPr>
          <w:rFonts w:ascii="Arial" w:hAnsi="Arial" w:cs="Arial"/>
          <w:i/>
        </w:rPr>
        <w:t>r</w:t>
      </w:r>
      <w:r w:rsidRPr="002E48D9">
        <w:rPr>
          <w:rFonts w:ascii="Arial" w:hAnsi="Arial" w:cs="Arial"/>
        </w:rPr>
        <w:t xml:space="preserve"> = .08, </w:t>
      </w:r>
      <w:r w:rsidRPr="002E48D9">
        <w:rPr>
          <w:rFonts w:ascii="Arial" w:hAnsi="Arial" w:cs="Arial"/>
          <w:i/>
        </w:rPr>
        <w:t>p</w:t>
      </w:r>
      <w:r w:rsidRPr="002E48D9">
        <w:rPr>
          <w:rFonts w:ascii="Arial" w:hAnsi="Arial" w:cs="Arial"/>
        </w:rPr>
        <w:t xml:space="preserve"> = .003), and with MetS at T1 (</w:t>
      </w:r>
      <w:r w:rsidRPr="002E48D9">
        <w:rPr>
          <w:rFonts w:ascii="Arial" w:hAnsi="Arial" w:cs="Arial"/>
          <w:i/>
        </w:rPr>
        <w:t>r</w:t>
      </w:r>
      <w:r w:rsidRPr="002E48D9">
        <w:rPr>
          <w:rFonts w:ascii="Arial" w:hAnsi="Arial" w:cs="Arial"/>
        </w:rPr>
        <w:t xml:space="preserve"> = .25, </w:t>
      </w:r>
      <w:r w:rsidRPr="002E48D9">
        <w:rPr>
          <w:rFonts w:ascii="Arial" w:hAnsi="Arial" w:cs="Arial"/>
          <w:i/>
        </w:rPr>
        <w:t xml:space="preserve">p </w:t>
      </w:r>
      <w:r w:rsidRPr="002E48D9">
        <w:rPr>
          <w:rFonts w:ascii="Arial" w:hAnsi="Arial" w:cs="Arial"/>
        </w:rPr>
        <w:t>&lt; .001) and T2 (</w:t>
      </w:r>
      <w:r w:rsidRPr="002E48D9">
        <w:rPr>
          <w:rFonts w:ascii="Arial" w:hAnsi="Arial" w:cs="Arial"/>
          <w:i/>
        </w:rPr>
        <w:t>r</w:t>
      </w:r>
      <w:r w:rsidRPr="002E48D9">
        <w:rPr>
          <w:rFonts w:ascii="Arial" w:hAnsi="Arial" w:cs="Arial"/>
        </w:rPr>
        <w:t xml:space="preserve"> = .25, </w:t>
      </w:r>
      <w:r w:rsidRPr="002E48D9">
        <w:rPr>
          <w:rFonts w:ascii="Arial" w:hAnsi="Arial" w:cs="Arial"/>
          <w:i/>
        </w:rPr>
        <w:t>p</w:t>
      </w:r>
      <w:r w:rsidRPr="002E48D9">
        <w:rPr>
          <w:rFonts w:ascii="Arial" w:hAnsi="Arial" w:cs="Arial"/>
        </w:rPr>
        <w:t xml:space="preserve"> &lt; .001)</w:t>
      </w:r>
      <w:r w:rsidR="00044E31">
        <w:rPr>
          <w:rFonts w:ascii="Arial" w:hAnsi="Arial" w:cs="Arial"/>
        </w:rPr>
        <w:t>;</w:t>
      </w:r>
      <w:r w:rsidRPr="002E48D9">
        <w:rPr>
          <w:rFonts w:ascii="Arial" w:hAnsi="Arial" w:cs="Arial"/>
        </w:rPr>
        <w:t xml:space="preserve"> and</w:t>
      </w:r>
      <w:r w:rsidR="00044E31">
        <w:rPr>
          <w:rFonts w:ascii="Arial" w:hAnsi="Arial" w:cs="Arial"/>
        </w:rPr>
        <w:t xml:space="preserve"> (d) </w:t>
      </w:r>
      <w:r w:rsidRPr="002E48D9">
        <w:rPr>
          <w:rFonts w:ascii="Arial" w:hAnsi="Arial" w:cs="Arial"/>
        </w:rPr>
        <w:t>educational attainment was associated with PTSD at T1 (</w:t>
      </w:r>
      <w:r w:rsidRPr="002E48D9">
        <w:rPr>
          <w:rFonts w:ascii="Arial" w:hAnsi="Arial" w:cs="Arial"/>
          <w:i/>
        </w:rPr>
        <w:t>r</w:t>
      </w:r>
      <w:r w:rsidRPr="002E48D9">
        <w:rPr>
          <w:rFonts w:ascii="Arial" w:hAnsi="Arial" w:cs="Arial"/>
        </w:rPr>
        <w:t xml:space="preserve"> = -.10, </w:t>
      </w:r>
      <w:r w:rsidRPr="002E48D9">
        <w:rPr>
          <w:rFonts w:ascii="Arial" w:hAnsi="Arial" w:cs="Arial"/>
          <w:i/>
        </w:rPr>
        <w:t>p</w:t>
      </w:r>
      <w:r w:rsidRPr="002E48D9">
        <w:rPr>
          <w:rFonts w:ascii="Arial" w:hAnsi="Arial" w:cs="Arial"/>
        </w:rPr>
        <w:t xml:space="preserve"> &lt; .001) and T2 (</w:t>
      </w:r>
      <w:r w:rsidRPr="002E48D9">
        <w:rPr>
          <w:rFonts w:ascii="Arial" w:hAnsi="Arial" w:cs="Arial"/>
          <w:i/>
        </w:rPr>
        <w:t>r</w:t>
      </w:r>
      <w:r w:rsidRPr="002E48D9">
        <w:rPr>
          <w:rFonts w:ascii="Arial" w:hAnsi="Arial" w:cs="Arial"/>
        </w:rPr>
        <w:t xml:space="preserve"> = -.10, </w:t>
      </w:r>
      <w:r w:rsidRPr="002E48D9">
        <w:rPr>
          <w:rFonts w:ascii="Arial" w:hAnsi="Arial" w:cs="Arial"/>
          <w:i/>
        </w:rPr>
        <w:t>p</w:t>
      </w:r>
      <w:r w:rsidRPr="002E48D9">
        <w:rPr>
          <w:rFonts w:ascii="Arial" w:hAnsi="Arial" w:cs="Arial"/>
        </w:rPr>
        <w:t xml:space="preserve"> = .001) and with MetS at T1 (</w:t>
      </w:r>
      <w:r w:rsidRPr="002E48D9">
        <w:rPr>
          <w:rFonts w:ascii="Arial" w:hAnsi="Arial" w:cs="Arial"/>
          <w:i/>
        </w:rPr>
        <w:t>r</w:t>
      </w:r>
      <w:r w:rsidRPr="002E48D9">
        <w:rPr>
          <w:rFonts w:ascii="Arial" w:hAnsi="Arial" w:cs="Arial"/>
        </w:rPr>
        <w:t xml:space="preserve"> = -.10, </w:t>
      </w:r>
      <w:r w:rsidRPr="002E48D9">
        <w:rPr>
          <w:rFonts w:ascii="Arial" w:hAnsi="Arial" w:cs="Arial"/>
          <w:i/>
        </w:rPr>
        <w:t>p</w:t>
      </w:r>
      <w:r w:rsidRPr="002E48D9">
        <w:rPr>
          <w:rFonts w:ascii="Arial" w:hAnsi="Arial" w:cs="Arial"/>
        </w:rPr>
        <w:t xml:space="preserve"> &lt; .001) and T2 (</w:t>
      </w:r>
      <w:r w:rsidRPr="002E48D9">
        <w:rPr>
          <w:rFonts w:ascii="Arial" w:hAnsi="Arial" w:cs="Arial"/>
          <w:i/>
        </w:rPr>
        <w:t>r</w:t>
      </w:r>
      <w:r w:rsidRPr="002E48D9">
        <w:rPr>
          <w:rFonts w:ascii="Arial" w:hAnsi="Arial" w:cs="Arial"/>
        </w:rPr>
        <w:t xml:space="preserve"> = -.11, </w:t>
      </w:r>
      <w:r w:rsidRPr="002E48D9">
        <w:rPr>
          <w:rFonts w:ascii="Arial" w:hAnsi="Arial" w:cs="Arial"/>
          <w:i/>
        </w:rPr>
        <w:t>p</w:t>
      </w:r>
      <w:r w:rsidRPr="002E48D9">
        <w:rPr>
          <w:rFonts w:ascii="Arial" w:hAnsi="Arial" w:cs="Arial"/>
        </w:rPr>
        <w:t xml:space="preserve"> = .001).</w:t>
      </w:r>
      <w:r>
        <w:rPr>
          <w:rFonts w:ascii="Arial" w:hAnsi="Arial" w:cs="Arial"/>
        </w:rPr>
        <w:t xml:space="preserve">  Based on th</w:t>
      </w:r>
      <w:r w:rsidR="00A74A81">
        <w:rPr>
          <w:rFonts w:ascii="Arial" w:hAnsi="Arial" w:cs="Arial"/>
        </w:rPr>
        <w:t>ese results</w:t>
      </w:r>
      <w:r>
        <w:rPr>
          <w:rFonts w:ascii="Arial" w:hAnsi="Arial" w:cs="Arial"/>
        </w:rPr>
        <w:t xml:space="preserve">, as detailed in the main text, </w:t>
      </w:r>
      <w:r w:rsidR="00A74A81">
        <w:rPr>
          <w:rFonts w:ascii="Arial" w:hAnsi="Arial" w:cs="Arial"/>
        </w:rPr>
        <w:t xml:space="preserve">we included </w:t>
      </w:r>
      <w:r>
        <w:rPr>
          <w:rFonts w:ascii="Arial" w:hAnsi="Arial" w:cs="Arial"/>
        </w:rPr>
        <w:t>these demographic variables in the primary path models.</w:t>
      </w:r>
      <w:r w:rsidRPr="002E48D9">
        <w:rPr>
          <w:rFonts w:ascii="Arial" w:hAnsi="Arial" w:cs="Arial"/>
        </w:rPr>
        <w:t xml:space="preserve">  </w:t>
      </w:r>
      <w:r w:rsidR="006F62BD">
        <w:rPr>
          <w:rFonts w:ascii="Arial" w:hAnsi="Arial" w:cs="Arial"/>
        </w:rPr>
        <w:t>None of the time difference variables were significantly correlated with MetS or PTSD severity.</w:t>
      </w:r>
    </w:p>
    <w:p w:rsidR="003C6A14" w:rsidRPr="002C798D" w:rsidRDefault="003C6A14" w:rsidP="00F54C73">
      <w:pPr>
        <w:spacing w:line="480" w:lineRule="auto"/>
        <w:rPr>
          <w:rFonts w:ascii="Arial" w:hAnsi="Arial" w:cs="Arial"/>
          <w:u w:val="single"/>
        </w:rPr>
      </w:pPr>
      <w:r w:rsidRPr="002C798D">
        <w:rPr>
          <w:rFonts w:ascii="Arial" w:hAnsi="Arial" w:cs="Arial"/>
          <w:u w:val="single"/>
        </w:rPr>
        <w:t xml:space="preserve">Analyses of potential </w:t>
      </w:r>
      <w:r w:rsidR="00C01728">
        <w:rPr>
          <w:rFonts w:ascii="Arial" w:hAnsi="Arial" w:cs="Arial"/>
          <w:u w:val="single"/>
        </w:rPr>
        <w:t>psychological confound</w:t>
      </w:r>
      <w:r w:rsidRPr="002C798D">
        <w:rPr>
          <w:rFonts w:ascii="Arial" w:hAnsi="Arial" w:cs="Arial"/>
          <w:u w:val="single"/>
        </w:rPr>
        <w:t>s of our primary results</w:t>
      </w:r>
    </w:p>
    <w:p w:rsidR="00EC4B2C" w:rsidRDefault="002C798D" w:rsidP="002C798D">
      <w:pPr>
        <w:spacing w:line="480" w:lineRule="auto"/>
        <w:ind w:firstLine="720"/>
        <w:rPr>
          <w:rFonts w:ascii="Arial" w:hAnsi="Arial" w:cs="Arial"/>
        </w:rPr>
      </w:pPr>
      <w:r w:rsidRPr="002C798D">
        <w:rPr>
          <w:rFonts w:ascii="Arial" w:hAnsi="Arial" w:cs="Arial"/>
        </w:rPr>
        <w:t>We wondered if other forms of trauma exposure (combat</w:t>
      </w:r>
      <w:r w:rsidR="001250F2">
        <w:rPr>
          <w:rFonts w:ascii="Arial" w:hAnsi="Arial" w:cs="Arial"/>
        </w:rPr>
        <w:t>,</w:t>
      </w:r>
      <w:r>
        <w:rPr>
          <w:rFonts w:ascii="Arial" w:hAnsi="Arial" w:cs="Arial"/>
        </w:rPr>
        <w:t xml:space="preserve"> as assessed on the DRRI</w:t>
      </w:r>
      <w:r w:rsidRPr="002C798D">
        <w:rPr>
          <w:rFonts w:ascii="Arial" w:hAnsi="Arial" w:cs="Arial"/>
        </w:rPr>
        <w:t>)</w:t>
      </w:r>
      <w:r w:rsidR="00A23587">
        <w:rPr>
          <w:rFonts w:ascii="Arial" w:hAnsi="Arial" w:cs="Arial"/>
        </w:rPr>
        <w:t xml:space="preserve">, </w:t>
      </w:r>
      <w:r w:rsidR="005D1DAB">
        <w:rPr>
          <w:rFonts w:ascii="Arial" w:hAnsi="Arial" w:cs="Arial"/>
        </w:rPr>
        <w:t xml:space="preserve">lifetime and current </w:t>
      </w:r>
      <w:r w:rsidR="00A23587">
        <w:rPr>
          <w:rFonts w:ascii="Arial" w:hAnsi="Arial" w:cs="Arial"/>
        </w:rPr>
        <w:t xml:space="preserve">cigarette use (as assessed via </w:t>
      </w:r>
      <w:r w:rsidR="003523D9">
        <w:rPr>
          <w:rFonts w:ascii="Arial" w:hAnsi="Arial" w:cs="Arial"/>
        </w:rPr>
        <w:t>self-report</w:t>
      </w:r>
      <w:r w:rsidR="00044E31">
        <w:rPr>
          <w:rFonts w:ascii="Arial" w:hAnsi="Arial" w:cs="Arial"/>
        </w:rPr>
        <w:t xml:space="preserve"> at T2</w:t>
      </w:r>
      <w:r w:rsidR="00A23587">
        <w:rPr>
          <w:rFonts w:ascii="Arial" w:hAnsi="Arial" w:cs="Arial"/>
        </w:rPr>
        <w:t>)</w:t>
      </w:r>
      <w:r w:rsidRPr="002C798D">
        <w:rPr>
          <w:rFonts w:ascii="Arial" w:hAnsi="Arial" w:cs="Arial"/>
        </w:rPr>
        <w:t xml:space="preserve"> and other psychopathology (</w:t>
      </w:r>
      <w:r w:rsidR="006F62BD">
        <w:rPr>
          <w:rFonts w:ascii="Arial" w:hAnsi="Arial" w:cs="Arial"/>
        </w:rPr>
        <w:t xml:space="preserve">T1/T2 </w:t>
      </w:r>
      <w:r w:rsidRPr="002C798D">
        <w:rPr>
          <w:rFonts w:ascii="Arial" w:hAnsi="Arial" w:cs="Arial"/>
        </w:rPr>
        <w:t>depression</w:t>
      </w:r>
      <w:r w:rsidR="003523D9">
        <w:rPr>
          <w:rFonts w:ascii="Arial" w:hAnsi="Arial" w:cs="Arial"/>
        </w:rPr>
        <w:t>,</w:t>
      </w:r>
      <w:r>
        <w:rPr>
          <w:rFonts w:ascii="Arial" w:hAnsi="Arial" w:cs="Arial"/>
        </w:rPr>
        <w:t xml:space="preserve"> as assessed </w:t>
      </w:r>
      <w:r w:rsidR="003509F5">
        <w:rPr>
          <w:rFonts w:ascii="Arial" w:hAnsi="Arial" w:cs="Arial"/>
        </w:rPr>
        <w:t>with</w:t>
      </w:r>
      <w:r>
        <w:rPr>
          <w:rFonts w:ascii="Arial" w:hAnsi="Arial" w:cs="Arial"/>
        </w:rPr>
        <w:t xml:space="preserve"> the PHQ-9</w:t>
      </w:r>
      <w:r w:rsidR="003523D9">
        <w:rPr>
          <w:rFonts w:ascii="Arial" w:hAnsi="Arial" w:cs="Arial"/>
        </w:rPr>
        <w:t>,</w:t>
      </w:r>
      <w:r w:rsidR="00951587">
        <w:rPr>
          <w:rFonts w:ascii="Arial" w:hAnsi="Arial" w:cs="Arial"/>
        </w:rPr>
        <w:t xml:space="preserve"> and </w:t>
      </w:r>
      <w:r w:rsidR="006F62BD">
        <w:rPr>
          <w:rFonts w:ascii="Arial" w:hAnsi="Arial" w:cs="Arial"/>
        </w:rPr>
        <w:t xml:space="preserve">T1/T2 </w:t>
      </w:r>
      <w:r w:rsidR="00951587">
        <w:rPr>
          <w:rFonts w:ascii="Arial" w:hAnsi="Arial" w:cs="Arial"/>
        </w:rPr>
        <w:t>alcohol misuse as assessed by the AUDIT total score</w:t>
      </w:r>
      <w:r w:rsidRPr="002C798D">
        <w:rPr>
          <w:rFonts w:ascii="Arial" w:hAnsi="Arial" w:cs="Arial"/>
        </w:rPr>
        <w:t xml:space="preserve">) might account for our primary PTSD to MetS cross-lagged effects. To investigate this, we first computed partial correlations between </w:t>
      </w:r>
      <w:r w:rsidR="00951587">
        <w:rPr>
          <w:rFonts w:ascii="Arial" w:hAnsi="Arial" w:cs="Arial"/>
        </w:rPr>
        <w:t>each potential confounding variable</w:t>
      </w:r>
      <w:r w:rsidRPr="002C798D">
        <w:rPr>
          <w:rFonts w:ascii="Arial" w:hAnsi="Arial" w:cs="Arial"/>
        </w:rPr>
        <w:t xml:space="preserve"> </w:t>
      </w:r>
      <w:r w:rsidR="003523D9">
        <w:rPr>
          <w:rFonts w:ascii="Arial" w:hAnsi="Arial" w:cs="Arial"/>
        </w:rPr>
        <w:t>and</w:t>
      </w:r>
      <w:r w:rsidRPr="002C798D">
        <w:rPr>
          <w:rFonts w:ascii="Arial" w:hAnsi="Arial" w:cs="Arial"/>
        </w:rPr>
        <w:t xml:space="preserve"> MetS at T1 and T2 controlling for age, sex, race, education, and T1</w:t>
      </w:r>
      <w:r w:rsidR="00951587">
        <w:rPr>
          <w:rFonts w:ascii="Arial" w:hAnsi="Arial" w:cs="Arial"/>
        </w:rPr>
        <w:t xml:space="preserve"> or </w:t>
      </w:r>
      <w:r w:rsidRPr="002C798D">
        <w:rPr>
          <w:rFonts w:ascii="Arial" w:hAnsi="Arial" w:cs="Arial"/>
        </w:rPr>
        <w:t xml:space="preserve">T2 PTSD </w:t>
      </w:r>
      <w:r w:rsidRPr="002C798D">
        <w:rPr>
          <w:rFonts w:ascii="Arial" w:hAnsi="Arial" w:cs="Arial"/>
        </w:rPr>
        <w:lastRenderedPageBreak/>
        <w:t xml:space="preserve">severity.  There were no significant partial correlations between combat exposure </w:t>
      </w:r>
      <w:r w:rsidR="00A23587">
        <w:rPr>
          <w:rFonts w:ascii="Arial" w:hAnsi="Arial" w:cs="Arial"/>
        </w:rPr>
        <w:t xml:space="preserve">or cigarette use </w:t>
      </w:r>
      <w:r w:rsidRPr="002C798D">
        <w:rPr>
          <w:rFonts w:ascii="Arial" w:hAnsi="Arial" w:cs="Arial"/>
        </w:rPr>
        <w:t>and MetS</w:t>
      </w:r>
      <w:r w:rsidR="00A74A81">
        <w:rPr>
          <w:rFonts w:ascii="Arial" w:hAnsi="Arial" w:cs="Arial"/>
        </w:rPr>
        <w:t xml:space="preserve">; </w:t>
      </w:r>
      <w:r w:rsidRPr="002C798D">
        <w:rPr>
          <w:rFonts w:ascii="Arial" w:hAnsi="Arial" w:cs="Arial"/>
        </w:rPr>
        <w:t>however, major depression at T2 was significantly associated with MetS at T2 (</w:t>
      </w:r>
      <w:r w:rsidRPr="002C798D">
        <w:rPr>
          <w:rFonts w:ascii="Arial" w:hAnsi="Arial" w:cs="Arial"/>
          <w:i/>
        </w:rPr>
        <w:t>r</w:t>
      </w:r>
      <w:r w:rsidRPr="002C798D">
        <w:rPr>
          <w:rFonts w:ascii="Arial" w:hAnsi="Arial" w:cs="Arial"/>
        </w:rPr>
        <w:t xml:space="preserve"> = .08, </w:t>
      </w:r>
      <w:r w:rsidRPr="002C798D">
        <w:rPr>
          <w:rFonts w:ascii="Arial" w:hAnsi="Arial" w:cs="Arial"/>
          <w:i/>
        </w:rPr>
        <w:t>p</w:t>
      </w:r>
      <w:r w:rsidRPr="002C798D">
        <w:rPr>
          <w:rFonts w:ascii="Arial" w:hAnsi="Arial" w:cs="Arial"/>
        </w:rPr>
        <w:t xml:space="preserve"> = .019), controlling for age, race, sex, education, and T2 PTSD severity.</w:t>
      </w:r>
      <w:r w:rsidR="00384743">
        <w:rPr>
          <w:rFonts w:ascii="Arial" w:hAnsi="Arial" w:cs="Arial"/>
        </w:rPr>
        <w:t xml:space="preserve"> In addition</w:t>
      </w:r>
      <w:r w:rsidR="00951587">
        <w:rPr>
          <w:rFonts w:ascii="Arial" w:hAnsi="Arial" w:cs="Arial"/>
        </w:rPr>
        <w:t xml:space="preserve">, alcohol misuse at T1 was </w:t>
      </w:r>
      <w:r w:rsidR="00A23587">
        <w:rPr>
          <w:rFonts w:ascii="Arial" w:hAnsi="Arial" w:cs="Arial"/>
        </w:rPr>
        <w:t xml:space="preserve">negatively </w:t>
      </w:r>
      <w:r w:rsidR="00951587">
        <w:rPr>
          <w:rFonts w:ascii="Arial" w:hAnsi="Arial" w:cs="Arial"/>
        </w:rPr>
        <w:t>correlated with MetS severity at T1 (</w:t>
      </w:r>
      <w:r w:rsidR="00951587" w:rsidRPr="00384743">
        <w:rPr>
          <w:rFonts w:ascii="Arial" w:hAnsi="Arial" w:cs="Arial"/>
          <w:i/>
        </w:rPr>
        <w:t xml:space="preserve">r </w:t>
      </w:r>
      <w:r w:rsidR="00951587">
        <w:rPr>
          <w:rFonts w:ascii="Arial" w:hAnsi="Arial" w:cs="Arial"/>
        </w:rPr>
        <w:t xml:space="preserve">= -.08, </w:t>
      </w:r>
      <w:r w:rsidR="00951587" w:rsidRPr="00384743">
        <w:rPr>
          <w:rFonts w:ascii="Arial" w:hAnsi="Arial" w:cs="Arial"/>
          <w:i/>
        </w:rPr>
        <w:t>p</w:t>
      </w:r>
      <w:r w:rsidR="00951587">
        <w:rPr>
          <w:rFonts w:ascii="Arial" w:hAnsi="Arial" w:cs="Arial"/>
        </w:rPr>
        <w:t xml:space="preserve"> = .002) and at T2 (</w:t>
      </w:r>
      <w:r w:rsidR="00951587" w:rsidRPr="00A23587">
        <w:rPr>
          <w:rFonts w:ascii="Arial" w:hAnsi="Arial" w:cs="Arial"/>
          <w:i/>
        </w:rPr>
        <w:t>r</w:t>
      </w:r>
      <w:r w:rsidR="00951587">
        <w:rPr>
          <w:rFonts w:ascii="Arial" w:hAnsi="Arial" w:cs="Arial"/>
        </w:rPr>
        <w:t xml:space="preserve"> = -.08, </w:t>
      </w:r>
      <w:r w:rsidR="00951587" w:rsidRPr="00A23587">
        <w:rPr>
          <w:rFonts w:ascii="Arial" w:hAnsi="Arial" w:cs="Arial"/>
          <w:i/>
        </w:rPr>
        <w:t>p</w:t>
      </w:r>
      <w:r w:rsidR="00951587">
        <w:rPr>
          <w:rFonts w:ascii="Arial" w:hAnsi="Arial" w:cs="Arial"/>
        </w:rPr>
        <w:t xml:space="preserve"> = .014), </w:t>
      </w:r>
      <w:r w:rsidR="00384743">
        <w:rPr>
          <w:rFonts w:ascii="Arial" w:hAnsi="Arial" w:cs="Arial"/>
        </w:rPr>
        <w:t xml:space="preserve">controlling for age, sex, education, race, and T1 PTSD severity.  </w:t>
      </w:r>
      <w:r w:rsidR="00D67851">
        <w:rPr>
          <w:rFonts w:ascii="Arial" w:hAnsi="Arial" w:cs="Arial"/>
        </w:rPr>
        <w:t>Alcohol</w:t>
      </w:r>
      <w:r w:rsidR="00951587">
        <w:rPr>
          <w:rFonts w:ascii="Arial" w:hAnsi="Arial" w:cs="Arial"/>
        </w:rPr>
        <w:t xml:space="preserve"> misuse at T2 was not significantly associated with MetS severity at T2 (</w:t>
      </w:r>
      <w:r w:rsidR="00951587" w:rsidRPr="00384743">
        <w:rPr>
          <w:rFonts w:ascii="Arial" w:hAnsi="Arial" w:cs="Arial"/>
          <w:i/>
        </w:rPr>
        <w:t>r</w:t>
      </w:r>
      <w:r w:rsidR="00951587">
        <w:rPr>
          <w:rFonts w:ascii="Arial" w:hAnsi="Arial" w:cs="Arial"/>
        </w:rPr>
        <w:t xml:space="preserve"> = -.06, </w:t>
      </w:r>
      <w:r w:rsidR="00951587" w:rsidRPr="00384743">
        <w:rPr>
          <w:rFonts w:ascii="Arial" w:hAnsi="Arial" w:cs="Arial"/>
          <w:i/>
        </w:rPr>
        <w:t>p</w:t>
      </w:r>
      <w:r w:rsidR="00951587">
        <w:rPr>
          <w:rFonts w:ascii="Arial" w:hAnsi="Arial" w:cs="Arial"/>
        </w:rPr>
        <w:t xml:space="preserve"> = .079)</w:t>
      </w:r>
      <w:r w:rsidR="00A23587">
        <w:rPr>
          <w:rFonts w:ascii="Arial" w:hAnsi="Arial" w:cs="Arial"/>
        </w:rPr>
        <w:t>, controlling for age, sex, race, education and T2 PTSD severity</w:t>
      </w:r>
      <w:r w:rsidR="00951587">
        <w:rPr>
          <w:rFonts w:ascii="Arial" w:hAnsi="Arial" w:cs="Arial"/>
        </w:rPr>
        <w:t xml:space="preserve">.  </w:t>
      </w:r>
    </w:p>
    <w:p w:rsidR="00A23587" w:rsidRDefault="002C798D" w:rsidP="002C798D">
      <w:pPr>
        <w:spacing w:line="480" w:lineRule="auto"/>
        <w:ind w:firstLine="720"/>
        <w:rPr>
          <w:rFonts w:ascii="Arial" w:hAnsi="Arial" w:cs="Arial"/>
        </w:rPr>
      </w:pPr>
      <w:r w:rsidRPr="002C798D">
        <w:rPr>
          <w:rFonts w:ascii="Arial" w:hAnsi="Arial" w:cs="Arial"/>
        </w:rPr>
        <w:t>Given this</w:t>
      </w:r>
      <w:r w:rsidR="00951587">
        <w:rPr>
          <w:rFonts w:ascii="Arial" w:hAnsi="Arial" w:cs="Arial"/>
        </w:rPr>
        <w:t xml:space="preserve"> pattern</w:t>
      </w:r>
      <w:r w:rsidR="00EC4B2C">
        <w:rPr>
          <w:rFonts w:ascii="Arial" w:hAnsi="Arial" w:cs="Arial"/>
        </w:rPr>
        <w:t xml:space="preserve"> of results</w:t>
      </w:r>
      <w:r w:rsidR="001250F2">
        <w:rPr>
          <w:rFonts w:ascii="Arial" w:hAnsi="Arial" w:cs="Arial"/>
        </w:rPr>
        <w:t xml:space="preserve"> and our primary concern about potential confounds in our T1 PTSD to T2 Mets cross-lagged associations</w:t>
      </w:r>
      <w:r w:rsidRPr="002C798D">
        <w:rPr>
          <w:rFonts w:ascii="Arial" w:hAnsi="Arial" w:cs="Arial"/>
        </w:rPr>
        <w:t>, we</w:t>
      </w:r>
      <w:r w:rsidR="00A23587">
        <w:rPr>
          <w:rFonts w:ascii="Arial" w:hAnsi="Arial" w:cs="Arial"/>
        </w:rPr>
        <w:t xml:space="preserve"> ran a series of follow-up linear regressions.  In the first, we included T1 depression as a predictor of T2 MetS severity with age, sex, race, education, T1 MetS severity, and T1 PTSD severity in the model.  There were no significant effects of T1 depression (β = .002, </w:t>
      </w:r>
      <w:r w:rsidR="00A23587" w:rsidRPr="003523D9">
        <w:rPr>
          <w:rFonts w:ascii="Arial" w:hAnsi="Arial" w:cs="Arial"/>
          <w:i/>
        </w:rPr>
        <w:t>p</w:t>
      </w:r>
      <w:r w:rsidR="00A23587">
        <w:rPr>
          <w:rFonts w:ascii="Arial" w:hAnsi="Arial" w:cs="Arial"/>
        </w:rPr>
        <w:t xml:space="preserve"> = .947).  In the second, we included T2 depression as a predictor of T2 MetS severity with age, sex, race, education, T1 MetS severity and T1 PTSD severity in the model and found that T2 depression was not significantly related to T2 MetS (β = .034, </w:t>
      </w:r>
      <w:r w:rsidR="00A23587" w:rsidRPr="003523D9">
        <w:rPr>
          <w:rFonts w:ascii="Arial" w:hAnsi="Arial" w:cs="Arial"/>
          <w:i/>
        </w:rPr>
        <w:t>p</w:t>
      </w:r>
      <w:r w:rsidR="00A23587">
        <w:rPr>
          <w:rFonts w:ascii="Arial" w:hAnsi="Arial" w:cs="Arial"/>
        </w:rPr>
        <w:t xml:space="preserve"> = .20). In both instances, T1 PTSD severity continued to evidence a significant association with T2 MetS.  In a third regression, we included total T1 AUDIT score</w:t>
      </w:r>
      <w:r w:rsidR="001250F2">
        <w:rPr>
          <w:rFonts w:ascii="Arial" w:hAnsi="Arial" w:cs="Arial"/>
        </w:rPr>
        <w:t>s</w:t>
      </w:r>
      <w:r w:rsidR="00A23587">
        <w:rPr>
          <w:rFonts w:ascii="Arial" w:hAnsi="Arial" w:cs="Arial"/>
        </w:rPr>
        <w:t xml:space="preserve"> as a predictor of T2 MetS severity controlling for age, sex, race, education, T1 MetS severity, and T1 PTSD severity.  Results indicated that T1 alcohol misuse was not a </w:t>
      </w:r>
      <w:r w:rsidR="003523D9">
        <w:rPr>
          <w:rFonts w:ascii="Arial" w:hAnsi="Arial" w:cs="Arial"/>
        </w:rPr>
        <w:t xml:space="preserve">significant </w:t>
      </w:r>
      <w:r w:rsidR="00A23587">
        <w:rPr>
          <w:rFonts w:ascii="Arial" w:hAnsi="Arial" w:cs="Arial"/>
        </w:rPr>
        <w:t xml:space="preserve">predictor of MetS (β = -.04, </w:t>
      </w:r>
      <w:r w:rsidR="00A23587" w:rsidRPr="003523D9">
        <w:rPr>
          <w:rFonts w:ascii="Arial" w:hAnsi="Arial" w:cs="Arial"/>
          <w:i/>
        </w:rPr>
        <w:t>p</w:t>
      </w:r>
      <w:r w:rsidR="00A23587">
        <w:rPr>
          <w:rFonts w:ascii="Arial" w:hAnsi="Arial" w:cs="Arial"/>
        </w:rPr>
        <w:t xml:space="preserve"> = .10)</w:t>
      </w:r>
      <w:r w:rsidR="003509F5">
        <w:rPr>
          <w:rFonts w:ascii="Arial" w:hAnsi="Arial" w:cs="Arial"/>
        </w:rPr>
        <w:t>,</w:t>
      </w:r>
      <w:r w:rsidR="00A23587">
        <w:rPr>
          <w:rFonts w:ascii="Arial" w:hAnsi="Arial" w:cs="Arial"/>
        </w:rPr>
        <w:t xml:space="preserve"> while T1 PTSD remained significantly associated (β = .07, </w:t>
      </w:r>
      <w:r w:rsidR="00A23587" w:rsidRPr="003523D9">
        <w:rPr>
          <w:rFonts w:ascii="Arial" w:hAnsi="Arial" w:cs="Arial"/>
          <w:i/>
        </w:rPr>
        <w:t>p</w:t>
      </w:r>
      <w:r w:rsidR="00A23587">
        <w:rPr>
          <w:rFonts w:ascii="Arial" w:hAnsi="Arial" w:cs="Arial"/>
        </w:rPr>
        <w:t xml:space="preserve"> = .004).</w:t>
      </w:r>
      <w:r w:rsidR="00F42516">
        <w:rPr>
          <w:rFonts w:ascii="Arial" w:hAnsi="Arial" w:cs="Arial"/>
        </w:rPr>
        <w:t xml:space="preserve">  </w:t>
      </w:r>
      <w:r w:rsidR="003523D9">
        <w:rPr>
          <w:rFonts w:ascii="Arial" w:hAnsi="Arial" w:cs="Arial"/>
        </w:rPr>
        <w:t>In sum</w:t>
      </w:r>
      <w:r w:rsidR="00F42516">
        <w:rPr>
          <w:rFonts w:ascii="Arial" w:hAnsi="Arial" w:cs="Arial"/>
        </w:rPr>
        <w:t>, none of the</w:t>
      </w:r>
      <w:r w:rsidR="00874219">
        <w:rPr>
          <w:rFonts w:ascii="Arial" w:hAnsi="Arial" w:cs="Arial"/>
        </w:rPr>
        <w:t>se</w:t>
      </w:r>
      <w:r w:rsidR="00F42516">
        <w:rPr>
          <w:rFonts w:ascii="Arial" w:hAnsi="Arial" w:cs="Arial"/>
        </w:rPr>
        <w:t xml:space="preserve"> potential confounding variables altered our main pattern of results.</w:t>
      </w:r>
      <w:r w:rsidR="00A23587">
        <w:rPr>
          <w:rFonts w:ascii="Arial" w:hAnsi="Arial" w:cs="Arial"/>
        </w:rPr>
        <w:t xml:space="preserve">  </w:t>
      </w:r>
    </w:p>
    <w:p w:rsidR="00C01728" w:rsidRDefault="00C01728" w:rsidP="00C01728">
      <w:pPr>
        <w:spacing w:line="480" w:lineRule="auto"/>
        <w:rPr>
          <w:rFonts w:ascii="Arial" w:hAnsi="Arial" w:cs="Arial"/>
          <w:u w:val="single"/>
        </w:rPr>
      </w:pPr>
      <w:r w:rsidRPr="002C798D">
        <w:rPr>
          <w:rFonts w:ascii="Arial" w:hAnsi="Arial" w:cs="Arial"/>
          <w:u w:val="single"/>
        </w:rPr>
        <w:t xml:space="preserve">Analyses of potential </w:t>
      </w:r>
      <w:r>
        <w:rPr>
          <w:rFonts w:ascii="Arial" w:hAnsi="Arial" w:cs="Arial"/>
          <w:u w:val="single"/>
        </w:rPr>
        <w:t>psychotropic medication use confound</w:t>
      </w:r>
      <w:r w:rsidRPr="002C798D">
        <w:rPr>
          <w:rFonts w:ascii="Arial" w:hAnsi="Arial" w:cs="Arial"/>
          <w:u w:val="single"/>
        </w:rPr>
        <w:t>s of our primary results</w:t>
      </w:r>
    </w:p>
    <w:p w:rsidR="00C01728" w:rsidRDefault="00C01728" w:rsidP="00C01728">
      <w:pPr>
        <w:spacing w:line="480" w:lineRule="auto"/>
        <w:rPr>
          <w:rFonts w:ascii="Arial" w:hAnsi="Arial" w:cs="Arial"/>
        </w:rPr>
      </w:pPr>
      <w:r>
        <w:rPr>
          <w:rFonts w:ascii="Arial" w:hAnsi="Arial" w:cs="Arial"/>
        </w:rPr>
        <w:tab/>
        <w:t xml:space="preserve">At T1, </w:t>
      </w:r>
      <w:r w:rsidR="00754F59">
        <w:rPr>
          <w:rFonts w:ascii="Arial" w:hAnsi="Arial" w:cs="Arial"/>
        </w:rPr>
        <w:t>the use</w:t>
      </w:r>
      <w:r>
        <w:rPr>
          <w:rFonts w:ascii="Arial" w:hAnsi="Arial" w:cs="Arial"/>
        </w:rPr>
        <w:t xml:space="preserve"> of psychotropic medications</w:t>
      </w:r>
      <w:r w:rsidR="00754F59">
        <w:rPr>
          <w:rFonts w:ascii="Arial" w:hAnsi="Arial" w:cs="Arial"/>
        </w:rPr>
        <w:t xml:space="preserve"> per the medical record</w:t>
      </w:r>
      <w:r>
        <w:rPr>
          <w:rFonts w:ascii="Arial" w:hAnsi="Arial" w:cs="Arial"/>
        </w:rPr>
        <w:t xml:space="preserve"> (</w:t>
      </w:r>
      <w:r w:rsidR="00754F59">
        <w:rPr>
          <w:rFonts w:ascii="Arial" w:hAnsi="Arial" w:cs="Arial"/>
        </w:rPr>
        <w:t xml:space="preserve">within </w:t>
      </w:r>
      <w:r>
        <w:rPr>
          <w:rFonts w:ascii="Arial" w:hAnsi="Arial" w:cs="Arial"/>
        </w:rPr>
        <w:t xml:space="preserve">+/- 6 months of the PTSD interview) was as follows: opioid prescription = 26.5%, sedative prescription = 31.9%, antidepressant prescription = 66.8%, and antipsychotic prescription = 13.5%.  At T2, among the 971 participants with T2 data, use of </w:t>
      </w:r>
      <w:r w:rsidR="00754F59">
        <w:rPr>
          <w:rFonts w:ascii="Arial" w:hAnsi="Arial" w:cs="Arial"/>
        </w:rPr>
        <w:t>these medications</w:t>
      </w:r>
      <w:r>
        <w:rPr>
          <w:rFonts w:ascii="Arial" w:hAnsi="Arial" w:cs="Arial"/>
        </w:rPr>
        <w:t xml:space="preserve"> was as follows:  opioid prescription = </w:t>
      </w:r>
      <w:r>
        <w:rPr>
          <w:rFonts w:ascii="Arial" w:hAnsi="Arial" w:cs="Arial"/>
        </w:rPr>
        <w:lastRenderedPageBreak/>
        <w:t>15.3%, sedative prescription = 20.8%, antidepressant prescription = 49.9%, and antipsychotic prescription = 9.1%.</w:t>
      </w:r>
    </w:p>
    <w:p w:rsidR="00754F59" w:rsidRDefault="00754F59" w:rsidP="00C01728">
      <w:pPr>
        <w:spacing w:line="480" w:lineRule="auto"/>
        <w:rPr>
          <w:rFonts w:ascii="Arial" w:hAnsi="Arial" w:cs="Arial"/>
        </w:rPr>
      </w:pPr>
      <w:r>
        <w:rPr>
          <w:rFonts w:ascii="Arial" w:hAnsi="Arial" w:cs="Arial"/>
        </w:rPr>
        <w:tab/>
        <w:t xml:space="preserve">As before, we computed partial correlations between use of each medication class at T1 and T2 and T1/T2 MetS severity controlling for age, sex, education, and PTSD severity (at T1 or T2, as appropriate).  Cross-sectional partial correlations revealed that T1 </w:t>
      </w:r>
      <w:r w:rsidR="00874219">
        <w:rPr>
          <w:rFonts w:ascii="Arial" w:hAnsi="Arial" w:cs="Arial"/>
        </w:rPr>
        <w:t>opioid</w:t>
      </w:r>
      <w:r>
        <w:rPr>
          <w:rFonts w:ascii="Arial" w:hAnsi="Arial" w:cs="Arial"/>
        </w:rPr>
        <w:t xml:space="preserve"> (</w:t>
      </w:r>
      <w:r w:rsidRPr="00874219">
        <w:rPr>
          <w:rFonts w:ascii="Arial" w:hAnsi="Arial" w:cs="Arial"/>
          <w:i/>
        </w:rPr>
        <w:t>r</w:t>
      </w:r>
      <w:r>
        <w:rPr>
          <w:rFonts w:ascii="Arial" w:hAnsi="Arial" w:cs="Arial"/>
        </w:rPr>
        <w:t xml:space="preserve"> = .13, </w:t>
      </w:r>
      <w:r w:rsidRPr="00874219">
        <w:rPr>
          <w:rFonts w:ascii="Arial" w:hAnsi="Arial" w:cs="Arial"/>
          <w:i/>
        </w:rPr>
        <w:t>p</w:t>
      </w:r>
      <w:r>
        <w:rPr>
          <w:rFonts w:ascii="Arial" w:hAnsi="Arial" w:cs="Arial"/>
        </w:rPr>
        <w:t xml:space="preserve"> &lt; .001), sedative (</w:t>
      </w:r>
      <w:r w:rsidRPr="00874219">
        <w:rPr>
          <w:rFonts w:ascii="Arial" w:hAnsi="Arial" w:cs="Arial"/>
          <w:i/>
        </w:rPr>
        <w:t>r</w:t>
      </w:r>
      <w:r>
        <w:rPr>
          <w:rFonts w:ascii="Arial" w:hAnsi="Arial" w:cs="Arial"/>
        </w:rPr>
        <w:t xml:space="preserve"> = .07, </w:t>
      </w:r>
      <w:r w:rsidRPr="00874219">
        <w:rPr>
          <w:rFonts w:ascii="Arial" w:hAnsi="Arial" w:cs="Arial"/>
          <w:i/>
        </w:rPr>
        <w:t>p</w:t>
      </w:r>
      <w:r>
        <w:rPr>
          <w:rFonts w:ascii="Arial" w:hAnsi="Arial" w:cs="Arial"/>
        </w:rPr>
        <w:t xml:space="preserve"> = .012), anti-depressant (</w:t>
      </w:r>
      <w:r w:rsidRPr="00874219">
        <w:rPr>
          <w:rFonts w:ascii="Arial" w:hAnsi="Arial" w:cs="Arial"/>
          <w:i/>
        </w:rPr>
        <w:t>r</w:t>
      </w:r>
      <w:r>
        <w:rPr>
          <w:rFonts w:ascii="Arial" w:hAnsi="Arial" w:cs="Arial"/>
        </w:rPr>
        <w:t xml:space="preserve"> = .11, </w:t>
      </w:r>
      <w:r w:rsidRPr="00874219">
        <w:rPr>
          <w:rFonts w:ascii="Arial" w:hAnsi="Arial" w:cs="Arial"/>
          <w:i/>
        </w:rPr>
        <w:t>p</w:t>
      </w:r>
      <w:r>
        <w:rPr>
          <w:rFonts w:ascii="Arial" w:hAnsi="Arial" w:cs="Arial"/>
        </w:rPr>
        <w:t xml:space="preserve"> &lt; .001) and </w:t>
      </w:r>
      <w:r w:rsidR="00874219">
        <w:rPr>
          <w:rFonts w:ascii="Arial" w:hAnsi="Arial" w:cs="Arial"/>
        </w:rPr>
        <w:t>antipsychotic</w:t>
      </w:r>
      <w:r>
        <w:rPr>
          <w:rFonts w:ascii="Arial" w:hAnsi="Arial" w:cs="Arial"/>
        </w:rPr>
        <w:t xml:space="preserve"> (</w:t>
      </w:r>
      <w:r w:rsidRPr="00874219">
        <w:rPr>
          <w:rFonts w:ascii="Arial" w:hAnsi="Arial" w:cs="Arial"/>
          <w:i/>
        </w:rPr>
        <w:t xml:space="preserve">r </w:t>
      </w:r>
      <w:r>
        <w:rPr>
          <w:rFonts w:ascii="Arial" w:hAnsi="Arial" w:cs="Arial"/>
        </w:rPr>
        <w:t xml:space="preserve">= .10, </w:t>
      </w:r>
      <w:r w:rsidRPr="00874219">
        <w:rPr>
          <w:rFonts w:ascii="Arial" w:hAnsi="Arial" w:cs="Arial"/>
          <w:i/>
        </w:rPr>
        <w:t>p</w:t>
      </w:r>
      <w:r>
        <w:rPr>
          <w:rFonts w:ascii="Arial" w:hAnsi="Arial" w:cs="Arial"/>
        </w:rPr>
        <w:t xml:space="preserve"> &lt; .001) medication classes were significantly associated with T1 Mets severity, controlling for the aforementioned variables.  At T2, cross-sectional partial correlations revealed that opioid (</w:t>
      </w:r>
      <w:r w:rsidRPr="00874219">
        <w:rPr>
          <w:rFonts w:ascii="Arial" w:hAnsi="Arial" w:cs="Arial"/>
          <w:i/>
        </w:rPr>
        <w:t>r</w:t>
      </w:r>
      <w:r>
        <w:rPr>
          <w:rFonts w:ascii="Arial" w:hAnsi="Arial" w:cs="Arial"/>
        </w:rPr>
        <w:t xml:space="preserve"> = .08, </w:t>
      </w:r>
      <w:r w:rsidRPr="00874219">
        <w:rPr>
          <w:rFonts w:ascii="Arial" w:hAnsi="Arial" w:cs="Arial"/>
          <w:i/>
        </w:rPr>
        <w:t>p</w:t>
      </w:r>
      <w:r>
        <w:rPr>
          <w:rFonts w:ascii="Arial" w:hAnsi="Arial" w:cs="Arial"/>
        </w:rPr>
        <w:t xml:space="preserve"> = .015), </w:t>
      </w:r>
      <w:r w:rsidR="00874219">
        <w:rPr>
          <w:rFonts w:ascii="Arial" w:hAnsi="Arial" w:cs="Arial"/>
        </w:rPr>
        <w:t>sedative</w:t>
      </w:r>
      <w:r>
        <w:rPr>
          <w:rFonts w:ascii="Arial" w:hAnsi="Arial" w:cs="Arial"/>
        </w:rPr>
        <w:t xml:space="preserve"> (</w:t>
      </w:r>
      <w:r w:rsidRPr="00874219">
        <w:rPr>
          <w:rFonts w:ascii="Arial" w:hAnsi="Arial" w:cs="Arial"/>
          <w:i/>
        </w:rPr>
        <w:t>r</w:t>
      </w:r>
      <w:r>
        <w:rPr>
          <w:rFonts w:ascii="Arial" w:hAnsi="Arial" w:cs="Arial"/>
        </w:rPr>
        <w:t xml:space="preserve"> = .09, </w:t>
      </w:r>
      <w:r w:rsidRPr="00874219">
        <w:rPr>
          <w:rFonts w:ascii="Arial" w:hAnsi="Arial" w:cs="Arial"/>
          <w:i/>
        </w:rPr>
        <w:t>p</w:t>
      </w:r>
      <w:r>
        <w:rPr>
          <w:rFonts w:ascii="Arial" w:hAnsi="Arial" w:cs="Arial"/>
        </w:rPr>
        <w:t xml:space="preserve"> = .004), antidepressant (</w:t>
      </w:r>
      <w:r w:rsidRPr="00874219">
        <w:rPr>
          <w:rFonts w:ascii="Arial" w:hAnsi="Arial" w:cs="Arial"/>
          <w:i/>
        </w:rPr>
        <w:t>r</w:t>
      </w:r>
      <w:r>
        <w:rPr>
          <w:rFonts w:ascii="Arial" w:hAnsi="Arial" w:cs="Arial"/>
        </w:rPr>
        <w:t xml:space="preserve"> = .14, </w:t>
      </w:r>
      <w:r w:rsidRPr="00874219">
        <w:rPr>
          <w:rFonts w:ascii="Arial" w:hAnsi="Arial" w:cs="Arial"/>
          <w:i/>
        </w:rPr>
        <w:t>p</w:t>
      </w:r>
      <w:r>
        <w:rPr>
          <w:rFonts w:ascii="Arial" w:hAnsi="Arial" w:cs="Arial"/>
        </w:rPr>
        <w:t xml:space="preserve"> &lt; .001), and antipsychotic (</w:t>
      </w:r>
      <w:r w:rsidRPr="00874219">
        <w:rPr>
          <w:rFonts w:ascii="Arial" w:hAnsi="Arial" w:cs="Arial"/>
          <w:i/>
        </w:rPr>
        <w:t>r</w:t>
      </w:r>
      <w:r>
        <w:rPr>
          <w:rFonts w:ascii="Arial" w:hAnsi="Arial" w:cs="Arial"/>
        </w:rPr>
        <w:t xml:space="preserve"> = .08, </w:t>
      </w:r>
      <w:r w:rsidRPr="00874219">
        <w:rPr>
          <w:rFonts w:ascii="Arial" w:hAnsi="Arial" w:cs="Arial"/>
          <w:i/>
        </w:rPr>
        <w:t>p</w:t>
      </w:r>
      <w:r>
        <w:rPr>
          <w:rFonts w:ascii="Arial" w:hAnsi="Arial" w:cs="Arial"/>
        </w:rPr>
        <w:t xml:space="preserve"> = .017) use were also associated with T2 MetS severity controlling for the aforementioned variables.  </w:t>
      </w:r>
    </w:p>
    <w:p w:rsidR="00754F59" w:rsidRDefault="00754F59" w:rsidP="00C01728">
      <w:pPr>
        <w:spacing w:line="480" w:lineRule="auto"/>
        <w:rPr>
          <w:rFonts w:ascii="Arial" w:hAnsi="Arial" w:cs="Arial"/>
        </w:rPr>
      </w:pPr>
      <w:r>
        <w:rPr>
          <w:rFonts w:ascii="Arial" w:hAnsi="Arial" w:cs="Arial"/>
        </w:rPr>
        <w:tab/>
        <w:t xml:space="preserve">As the primary association of interest was longitudinal in nature, we also computed the partial correlations between T1 psychotropic use and T2 MetS severity controlling for T1 PTSD severity and the other </w:t>
      </w:r>
      <w:r w:rsidR="00874219">
        <w:rPr>
          <w:rFonts w:ascii="Arial" w:hAnsi="Arial" w:cs="Arial"/>
        </w:rPr>
        <w:t xml:space="preserve">demographic </w:t>
      </w:r>
      <w:r>
        <w:rPr>
          <w:rFonts w:ascii="Arial" w:hAnsi="Arial" w:cs="Arial"/>
        </w:rPr>
        <w:t>covariates name</w:t>
      </w:r>
      <w:r w:rsidR="00874219">
        <w:rPr>
          <w:rFonts w:ascii="Arial" w:hAnsi="Arial" w:cs="Arial"/>
        </w:rPr>
        <w:t>d</w:t>
      </w:r>
      <w:r>
        <w:rPr>
          <w:rFonts w:ascii="Arial" w:hAnsi="Arial" w:cs="Arial"/>
        </w:rPr>
        <w:t xml:space="preserve"> above.  Doing so revealed partial correlations between opioid, antidepressant, and antipsychotic use and T2 MetS severity.  Based on this, we then ran a regression analysis in which we included these three classes of T1 medications, T1 PTSD and MetS severity, and the demographic covariates as predictors of T2 MetS severity. Doing so revealed that none of the medication classes were significantly associated with subsequent MetS severity (smallest </w:t>
      </w:r>
      <w:r w:rsidRPr="00874219">
        <w:rPr>
          <w:rFonts w:ascii="Arial" w:hAnsi="Arial" w:cs="Arial"/>
          <w:i/>
        </w:rPr>
        <w:t>p</w:t>
      </w:r>
      <w:r>
        <w:rPr>
          <w:rFonts w:ascii="Arial" w:hAnsi="Arial" w:cs="Arial"/>
        </w:rPr>
        <w:t xml:space="preserve"> was for antidepressant use, </w:t>
      </w:r>
      <w:r w:rsidRPr="00874219">
        <w:rPr>
          <w:rFonts w:ascii="Arial" w:hAnsi="Arial" w:cs="Arial"/>
          <w:i/>
        </w:rPr>
        <w:t>p</w:t>
      </w:r>
      <w:r>
        <w:rPr>
          <w:rFonts w:ascii="Arial" w:hAnsi="Arial" w:cs="Arial"/>
        </w:rPr>
        <w:t xml:space="preserve"> = .054)</w:t>
      </w:r>
      <w:r w:rsidR="004B202C">
        <w:rPr>
          <w:rFonts w:ascii="Arial" w:hAnsi="Arial" w:cs="Arial"/>
        </w:rPr>
        <w:t>,</w:t>
      </w:r>
      <w:r>
        <w:rPr>
          <w:rFonts w:ascii="Arial" w:hAnsi="Arial" w:cs="Arial"/>
        </w:rPr>
        <w:t xml:space="preserve"> while T1 PTSD severity remained significantly associated with </w:t>
      </w:r>
      <w:r w:rsidR="00EF3BEF">
        <w:rPr>
          <w:rFonts w:ascii="Arial" w:hAnsi="Arial" w:cs="Arial"/>
        </w:rPr>
        <w:t>T2 MetS severity (</w:t>
      </w:r>
      <w:r w:rsidR="00EF3BEF" w:rsidRPr="00874219">
        <w:rPr>
          <w:rFonts w:ascii="Arial" w:hAnsi="Arial" w:cs="Arial"/>
          <w:i/>
        </w:rPr>
        <w:t>p</w:t>
      </w:r>
      <w:r w:rsidR="00EF3BEF">
        <w:rPr>
          <w:rFonts w:ascii="Arial" w:hAnsi="Arial" w:cs="Arial"/>
        </w:rPr>
        <w:t xml:space="preserve"> = .04).</w:t>
      </w:r>
    </w:p>
    <w:p w:rsidR="00C01728" w:rsidRDefault="008604A1" w:rsidP="008C02BA">
      <w:pPr>
        <w:spacing w:line="480" w:lineRule="auto"/>
        <w:rPr>
          <w:rFonts w:ascii="Arial" w:hAnsi="Arial" w:cs="Arial"/>
        </w:rPr>
      </w:pPr>
      <w:r>
        <w:rPr>
          <w:rFonts w:ascii="Arial" w:hAnsi="Arial" w:cs="Arial"/>
        </w:rPr>
        <w:tab/>
        <w:t>To be thorough, we also ran the same regression but included T2 psychotropic medication use in the model</w:t>
      </w:r>
      <w:r w:rsidR="00874219">
        <w:rPr>
          <w:rFonts w:ascii="Arial" w:hAnsi="Arial" w:cs="Arial"/>
        </w:rPr>
        <w:t xml:space="preserve"> instead of T1</w:t>
      </w:r>
      <w:r>
        <w:rPr>
          <w:rFonts w:ascii="Arial" w:hAnsi="Arial" w:cs="Arial"/>
        </w:rPr>
        <w:t xml:space="preserve">. In this analysis, only T2 antidepressant use was significantly associated with T2 MetS severity (β = .06, </w:t>
      </w:r>
      <w:r w:rsidRPr="00874219">
        <w:rPr>
          <w:rFonts w:ascii="Arial" w:hAnsi="Arial" w:cs="Arial"/>
          <w:i/>
        </w:rPr>
        <w:t>p</w:t>
      </w:r>
      <w:r>
        <w:rPr>
          <w:rFonts w:ascii="Arial" w:hAnsi="Arial" w:cs="Arial"/>
        </w:rPr>
        <w:t xml:space="preserve"> = .019), but T1 </w:t>
      </w:r>
      <w:r w:rsidR="00650DC9">
        <w:rPr>
          <w:rFonts w:ascii="Arial" w:hAnsi="Arial" w:cs="Arial"/>
        </w:rPr>
        <w:t>PTSD</w:t>
      </w:r>
      <w:r>
        <w:rPr>
          <w:rFonts w:ascii="Arial" w:hAnsi="Arial" w:cs="Arial"/>
        </w:rPr>
        <w:t xml:space="preserve"> severity continued to be associated with increased MetS severity at T2 (</w:t>
      </w:r>
      <w:r w:rsidRPr="00874219">
        <w:rPr>
          <w:rFonts w:ascii="Arial" w:hAnsi="Arial" w:cs="Arial"/>
        </w:rPr>
        <w:t>β</w:t>
      </w:r>
      <w:r>
        <w:rPr>
          <w:rFonts w:ascii="Arial" w:hAnsi="Arial" w:cs="Arial"/>
        </w:rPr>
        <w:t xml:space="preserve"> = .05, </w:t>
      </w:r>
      <w:r w:rsidRPr="00874219">
        <w:rPr>
          <w:rFonts w:ascii="Arial" w:hAnsi="Arial" w:cs="Arial"/>
          <w:i/>
        </w:rPr>
        <w:t>p</w:t>
      </w:r>
      <w:r>
        <w:rPr>
          <w:rFonts w:ascii="Arial" w:hAnsi="Arial" w:cs="Arial"/>
        </w:rPr>
        <w:t xml:space="preserve"> = .04).</w:t>
      </w:r>
      <w:r w:rsidR="00874219">
        <w:rPr>
          <w:rFonts w:ascii="Arial" w:hAnsi="Arial" w:cs="Arial"/>
        </w:rPr>
        <w:t xml:space="preserve"> In sum, while psychotropic medication use was associated with MetS severity, inclusion of psychotropic </w:t>
      </w:r>
      <w:r w:rsidR="00874219">
        <w:rPr>
          <w:rFonts w:ascii="Arial" w:hAnsi="Arial" w:cs="Arial"/>
        </w:rPr>
        <w:lastRenderedPageBreak/>
        <w:t>medication use in the model did not alter our primary findings with respect to PTSD predicting increasing MetS severity over time.</w:t>
      </w:r>
    </w:p>
    <w:p w:rsidR="00A3711D" w:rsidRPr="00A3711D" w:rsidRDefault="00A3711D" w:rsidP="008C02BA">
      <w:pPr>
        <w:spacing w:line="480" w:lineRule="auto"/>
        <w:jc w:val="center"/>
        <w:rPr>
          <w:rFonts w:ascii="Arial" w:hAnsi="Arial" w:cs="Arial"/>
          <w:b/>
        </w:rPr>
      </w:pPr>
      <w:r>
        <w:rPr>
          <w:rFonts w:ascii="Arial" w:hAnsi="Arial" w:cs="Arial"/>
        </w:rPr>
        <w:br w:type="page"/>
      </w:r>
      <w:r w:rsidRPr="00A3711D">
        <w:rPr>
          <w:rFonts w:ascii="Arial" w:hAnsi="Arial" w:cs="Arial"/>
          <w:b/>
        </w:rPr>
        <w:lastRenderedPageBreak/>
        <w:t>References</w:t>
      </w:r>
    </w:p>
    <w:p w:rsidR="008E5C33" w:rsidRPr="008E5C33" w:rsidRDefault="008E5C33" w:rsidP="00656EC6">
      <w:pPr>
        <w:spacing w:line="480" w:lineRule="auto"/>
        <w:ind w:left="720" w:hanging="720"/>
        <w:rPr>
          <w:rFonts w:ascii="Arial" w:hAnsi="Arial" w:cs="Arial"/>
        </w:rPr>
      </w:pPr>
      <w:r w:rsidRPr="008E5C33">
        <w:rPr>
          <w:rFonts w:ascii="Arial" w:hAnsi="Arial" w:cs="Arial"/>
          <w:b/>
        </w:rPr>
        <w:t>Centers for Disease Control and Prevention (CDC)</w:t>
      </w:r>
      <w:r w:rsidRPr="008E5C33">
        <w:rPr>
          <w:rFonts w:ascii="Arial" w:hAnsi="Arial" w:cs="Arial"/>
        </w:rPr>
        <w:t xml:space="preserve">. </w:t>
      </w:r>
      <w:r w:rsidRPr="008E5C33">
        <w:rPr>
          <w:rFonts w:ascii="Arial" w:hAnsi="Arial" w:cs="Arial"/>
          <w:b/>
        </w:rPr>
        <w:t>National Center for Health Statistics (NCHS)</w:t>
      </w:r>
      <w:r w:rsidRPr="008E5C33">
        <w:rPr>
          <w:rFonts w:ascii="Arial" w:hAnsi="Arial" w:cs="Arial"/>
        </w:rPr>
        <w:t xml:space="preserve"> </w:t>
      </w:r>
      <w:r>
        <w:rPr>
          <w:rFonts w:ascii="Arial" w:hAnsi="Arial" w:cs="Arial"/>
        </w:rPr>
        <w:t xml:space="preserve">(2009). </w:t>
      </w:r>
      <w:r w:rsidRPr="008E5C33">
        <w:rPr>
          <w:rFonts w:ascii="Arial" w:hAnsi="Arial" w:cs="Arial"/>
          <w:i/>
        </w:rPr>
        <w:t>National Health and Nutrition Examination Survey Questionnaire</w:t>
      </w:r>
      <w:r w:rsidRPr="008E5C33">
        <w:rPr>
          <w:rFonts w:ascii="Arial" w:hAnsi="Arial" w:cs="Arial"/>
        </w:rPr>
        <w:t>. Hyattsville, MD: U.S. Department of Health and Human Services, Centers for Disease Control and P</w:t>
      </w:r>
      <w:r>
        <w:rPr>
          <w:rFonts w:ascii="Arial" w:hAnsi="Arial" w:cs="Arial"/>
        </w:rPr>
        <w:t>revention.</w:t>
      </w:r>
      <w:r w:rsidRPr="008E5C33">
        <w:rPr>
          <w:rFonts w:ascii="Arial" w:hAnsi="Arial" w:cs="Arial"/>
        </w:rPr>
        <w:t xml:space="preserve"> </w:t>
      </w:r>
    </w:p>
    <w:p w:rsidR="00656EC6" w:rsidRPr="00242CFB" w:rsidRDefault="00656EC6" w:rsidP="00656EC6">
      <w:pPr>
        <w:spacing w:line="480" w:lineRule="auto"/>
        <w:ind w:left="720" w:hanging="720"/>
        <w:rPr>
          <w:rFonts w:ascii="Arial" w:hAnsi="Arial" w:cs="Arial"/>
        </w:rPr>
      </w:pPr>
      <w:r w:rsidRPr="00242CFB">
        <w:rPr>
          <w:rFonts w:ascii="Arial" w:hAnsi="Arial" w:cs="Arial"/>
          <w:b/>
        </w:rPr>
        <w:t>King L, King D, Vogt D, Knight J, Samper R</w:t>
      </w:r>
      <w:r w:rsidRPr="00242CFB">
        <w:rPr>
          <w:rFonts w:ascii="Arial" w:hAnsi="Arial" w:cs="Arial"/>
        </w:rPr>
        <w:t xml:space="preserve"> (2006). Deployment Risk and Resilience Inventory: A collection of measures for studying deployment-related experiences of military personnel and veterans. </w:t>
      </w:r>
      <w:r w:rsidRPr="00242CFB">
        <w:rPr>
          <w:rFonts w:ascii="Arial" w:hAnsi="Arial" w:cs="Arial"/>
          <w:i/>
        </w:rPr>
        <w:t>Military Psychology</w:t>
      </w:r>
      <w:r w:rsidRPr="00242CFB">
        <w:rPr>
          <w:rFonts w:ascii="Arial" w:hAnsi="Arial" w:cs="Arial"/>
        </w:rPr>
        <w:t xml:space="preserve"> </w:t>
      </w:r>
      <w:r w:rsidRPr="00242CFB">
        <w:rPr>
          <w:rFonts w:ascii="Arial" w:hAnsi="Arial" w:cs="Arial"/>
          <w:b/>
        </w:rPr>
        <w:t>18</w:t>
      </w:r>
      <w:r w:rsidRPr="00242CFB">
        <w:rPr>
          <w:rFonts w:ascii="Arial" w:hAnsi="Arial" w:cs="Arial"/>
        </w:rPr>
        <w:t>, 89-120.</w:t>
      </w:r>
    </w:p>
    <w:p w:rsidR="00656EC6" w:rsidRPr="00242CFB" w:rsidRDefault="00656EC6" w:rsidP="00656EC6">
      <w:pPr>
        <w:spacing w:line="480" w:lineRule="auto"/>
        <w:ind w:left="720" w:hanging="720"/>
        <w:rPr>
          <w:rFonts w:ascii="Arial" w:hAnsi="Arial" w:cs="Arial"/>
        </w:rPr>
      </w:pPr>
      <w:r w:rsidRPr="00242CFB">
        <w:rPr>
          <w:rFonts w:ascii="Arial" w:hAnsi="Arial" w:cs="Arial"/>
          <w:b/>
        </w:rPr>
        <w:t xml:space="preserve">Saunders JB, Aasland OG, Babor TF, de la Fuente JR, Grant M </w:t>
      </w:r>
      <w:r w:rsidRPr="00242CFB">
        <w:rPr>
          <w:rFonts w:ascii="Arial" w:hAnsi="Arial" w:cs="Arial"/>
        </w:rPr>
        <w:t xml:space="preserve">(1993). Development of the Alcohol Use Disorders Identification Test (AUDIT): WHO collaborative project on early detection of persons with harmful alcohol consumption—II. </w:t>
      </w:r>
      <w:r w:rsidRPr="00242CFB">
        <w:rPr>
          <w:rFonts w:ascii="Arial" w:hAnsi="Arial" w:cs="Arial"/>
          <w:i/>
        </w:rPr>
        <w:t>Addiction</w:t>
      </w:r>
      <w:r w:rsidRPr="00242CFB">
        <w:rPr>
          <w:rFonts w:ascii="Arial" w:hAnsi="Arial" w:cs="Arial"/>
        </w:rPr>
        <w:t xml:space="preserve"> </w:t>
      </w:r>
      <w:r w:rsidRPr="00242CFB">
        <w:rPr>
          <w:rFonts w:ascii="Arial" w:hAnsi="Arial" w:cs="Arial"/>
          <w:b/>
        </w:rPr>
        <w:t>88</w:t>
      </w:r>
      <w:r w:rsidRPr="00242CFB">
        <w:rPr>
          <w:rFonts w:ascii="Arial" w:hAnsi="Arial" w:cs="Arial"/>
        </w:rPr>
        <w:t>, 791-804.</w:t>
      </w:r>
    </w:p>
    <w:p w:rsidR="00656EC6" w:rsidRPr="00242CFB" w:rsidRDefault="00656EC6" w:rsidP="00656EC6">
      <w:pPr>
        <w:spacing w:line="480" w:lineRule="auto"/>
        <w:ind w:left="720" w:hanging="720"/>
        <w:rPr>
          <w:rFonts w:ascii="Arial" w:hAnsi="Arial" w:cs="Arial"/>
        </w:rPr>
      </w:pPr>
      <w:r w:rsidRPr="00242CFB">
        <w:rPr>
          <w:rFonts w:ascii="Arial" w:hAnsi="Arial" w:cs="Arial"/>
          <w:b/>
        </w:rPr>
        <w:t>Spitzer RL, Kroenke K, Williams JB</w:t>
      </w:r>
      <w:r w:rsidRPr="00242CFB">
        <w:rPr>
          <w:rFonts w:ascii="Arial" w:hAnsi="Arial" w:cs="Arial"/>
        </w:rPr>
        <w:t xml:space="preserve"> (1999). Validation and utility of a self-report version of PRIME-MD: the PHQ primary care study. Primary Care Evaluation of Mental Disorders. Patient Health Questionnaire. </w:t>
      </w:r>
      <w:r w:rsidRPr="00242CFB">
        <w:rPr>
          <w:rFonts w:ascii="Arial" w:hAnsi="Arial" w:cs="Arial"/>
          <w:i/>
        </w:rPr>
        <w:t xml:space="preserve">JAMA </w:t>
      </w:r>
      <w:r w:rsidRPr="00242CFB">
        <w:rPr>
          <w:rFonts w:ascii="Arial" w:hAnsi="Arial" w:cs="Arial"/>
          <w:b/>
        </w:rPr>
        <w:t>282</w:t>
      </w:r>
      <w:r w:rsidRPr="00242CFB">
        <w:rPr>
          <w:rFonts w:ascii="Arial" w:hAnsi="Arial" w:cs="Arial"/>
        </w:rPr>
        <w:t>, 1737-1744.</w:t>
      </w:r>
    </w:p>
    <w:p w:rsidR="00E63231" w:rsidRDefault="00E63231" w:rsidP="002C798D">
      <w:pPr>
        <w:spacing w:line="480" w:lineRule="auto"/>
        <w:ind w:firstLine="720"/>
        <w:rPr>
          <w:rFonts w:ascii="Arial" w:hAnsi="Arial" w:cs="Arial"/>
        </w:rPr>
        <w:sectPr w:rsidR="00E63231" w:rsidSect="0048463C">
          <w:pgSz w:w="12240" w:h="15840"/>
          <w:pgMar w:top="1440" w:right="1440" w:bottom="1440" w:left="1440" w:header="720" w:footer="720" w:gutter="0"/>
          <w:cols w:space="720"/>
          <w:docGrid w:linePitch="360"/>
        </w:sectPr>
      </w:pPr>
    </w:p>
    <w:p w:rsidR="003C6A14" w:rsidRPr="00070362" w:rsidRDefault="00FC4FD6" w:rsidP="002C798D">
      <w:pPr>
        <w:spacing w:line="480" w:lineRule="auto"/>
        <w:rPr>
          <w:rFonts w:ascii="Arial" w:hAnsi="Arial" w:cs="Arial"/>
          <w:b/>
        </w:rPr>
      </w:pPr>
      <w:r w:rsidRPr="00070362">
        <w:rPr>
          <w:rFonts w:ascii="Arial" w:hAnsi="Arial" w:cs="Arial"/>
          <w:b/>
        </w:rPr>
        <w:lastRenderedPageBreak/>
        <w:t xml:space="preserve">Supplementary Table </w:t>
      </w:r>
      <w:r w:rsidR="00183AE7">
        <w:rPr>
          <w:rFonts w:ascii="Arial" w:hAnsi="Arial" w:cs="Arial"/>
          <w:b/>
        </w:rPr>
        <w:t>S</w:t>
      </w:r>
      <w:bookmarkStart w:id="0" w:name="_GoBack"/>
      <w:bookmarkEnd w:id="0"/>
      <w:r w:rsidRPr="00070362">
        <w:rPr>
          <w:rFonts w:ascii="Arial" w:hAnsi="Arial" w:cs="Arial"/>
          <w:b/>
        </w:rPr>
        <w:t>1</w:t>
      </w:r>
    </w:p>
    <w:p w:rsidR="00FC4FD6" w:rsidRDefault="00FC4FD6" w:rsidP="00FC4FD6">
      <w:pPr>
        <w:spacing w:line="480" w:lineRule="auto"/>
        <w:rPr>
          <w:rFonts w:ascii="Arial" w:hAnsi="Arial" w:cs="Arial"/>
          <w:i/>
          <w:sz w:val="24"/>
          <w:szCs w:val="24"/>
        </w:rPr>
      </w:pPr>
      <w:r w:rsidRPr="00954647">
        <w:rPr>
          <w:rFonts w:ascii="Arial" w:hAnsi="Arial" w:cs="Arial"/>
          <w:i/>
          <w:sz w:val="24"/>
          <w:szCs w:val="24"/>
        </w:rPr>
        <w:t xml:space="preserve">Bivariate Correlations </w:t>
      </w:r>
      <w:r>
        <w:rPr>
          <w:rFonts w:ascii="Arial" w:hAnsi="Arial" w:cs="Arial"/>
          <w:i/>
          <w:sz w:val="24"/>
          <w:szCs w:val="24"/>
        </w:rPr>
        <w:t xml:space="preserve">(and n) </w:t>
      </w:r>
      <w:r w:rsidRPr="00954647">
        <w:rPr>
          <w:rFonts w:ascii="Arial" w:hAnsi="Arial" w:cs="Arial"/>
          <w:i/>
          <w:sz w:val="24"/>
          <w:szCs w:val="24"/>
        </w:rPr>
        <w:t>Among Trauma Exposure, PTSD Severity, and MetS Severity at Each Time Point</w:t>
      </w:r>
    </w:p>
    <w:tbl>
      <w:tblPr>
        <w:tblStyle w:val="TableGrid"/>
        <w:tblpPr w:leftFromText="187" w:rightFromText="187" w:vertAnchor="page" w:horzAnchor="margin" w:tblpY="2622"/>
        <w:tblOverlap w:val="never"/>
        <w:tblW w:w="0" w:type="auto"/>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08"/>
        <w:gridCol w:w="990"/>
        <w:gridCol w:w="990"/>
        <w:gridCol w:w="990"/>
        <w:gridCol w:w="810"/>
        <w:gridCol w:w="900"/>
      </w:tblGrid>
      <w:tr w:rsidR="00FC4FD6" w:rsidRPr="00EA5B32" w:rsidTr="00A74A81">
        <w:trPr>
          <w:trHeight w:val="332"/>
        </w:trPr>
        <w:tc>
          <w:tcPr>
            <w:tcW w:w="2808" w:type="dxa"/>
            <w:tcBorders>
              <w:top w:val="single" w:sz="4" w:space="0" w:color="auto"/>
              <w:bottom w:val="single" w:sz="4" w:space="0" w:color="auto"/>
            </w:tcBorders>
          </w:tcPr>
          <w:p w:rsidR="00FC4FD6" w:rsidRPr="00EA5B32" w:rsidRDefault="00FC4FD6" w:rsidP="00A74A81">
            <w:pPr>
              <w:rPr>
                <w:rFonts w:ascii="Arial" w:hAnsi="Arial" w:cs="Arial"/>
                <w:sz w:val="20"/>
                <w:szCs w:val="20"/>
              </w:rPr>
            </w:pPr>
            <w:r>
              <w:rPr>
                <w:rFonts w:ascii="Arial" w:hAnsi="Arial" w:cs="Arial"/>
                <w:sz w:val="20"/>
                <w:szCs w:val="20"/>
              </w:rPr>
              <w:t>Variable</w:t>
            </w:r>
          </w:p>
        </w:tc>
        <w:tc>
          <w:tcPr>
            <w:tcW w:w="990" w:type="dxa"/>
            <w:tcBorders>
              <w:top w:val="single" w:sz="4" w:space="0" w:color="auto"/>
              <w:bottom w:val="single" w:sz="4" w:space="0" w:color="auto"/>
            </w:tcBorders>
          </w:tcPr>
          <w:p w:rsidR="00FC4FD6" w:rsidRPr="00EA5B32" w:rsidRDefault="00FC4FD6" w:rsidP="00A74A81">
            <w:pPr>
              <w:jc w:val="center"/>
              <w:rPr>
                <w:rFonts w:ascii="Arial" w:hAnsi="Arial" w:cs="Arial"/>
                <w:sz w:val="20"/>
                <w:szCs w:val="20"/>
              </w:rPr>
            </w:pPr>
            <w:r w:rsidRPr="00EA5B32">
              <w:rPr>
                <w:rFonts w:ascii="Arial" w:hAnsi="Arial" w:cs="Arial"/>
                <w:sz w:val="20"/>
                <w:szCs w:val="20"/>
              </w:rPr>
              <w:t>1</w:t>
            </w:r>
          </w:p>
        </w:tc>
        <w:tc>
          <w:tcPr>
            <w:tcW w:w="990" w:type="dxa"/>
            <w:tcBorders>
              <w:top w:val="single" w:sz="4" w:space="0" w:color="auto"/>
              <w:bottom w:val="single" w:sz="4" w:space="0" w:color="auto"/>
            </w:tcBorders>
          </w:tcPr>
          <w:p w:rsidR="00FC4FD6" w:rsidRPr="00EA5B32" w:rsidRDefault="00FC4FD6" w:rsidP="00A74A81">
            <w:pPr>
              <w:jc w:val="center"/>
              <w:rPr>
                <w:rFonts w:ascii="Arial" w:hAnsi="Arial" w:cs="Arial"/>
                <w:sz w:val="20"/>
                <w:szCs w:val="20"/>
              </w:rPr>
            </w:pPr>
            <w:r w:rsidRPr="00EA5B32">
              <w:rPr>
                <w:rFonts w:ascii="Arial" w:hAnsi="Arial" w:cs="Arial"/>
                <w:sz w:val="20"/>
                <w:szCs w:val="20"/>
              </w:rPr>
              <w:t>2</w:t>
            </w:r>
          </w:p>
        </w:tc>
        <w:tc>
          <w:tcPr>
            <w:tcW w:w="990" w:type="dxa"/>
            <w:tcBorders>
              <w:top w:val="single" w:sz="4" w:space="0" w:color="auto"/>
              <w:bottom w:val="single" w:sz="4" w:space="0" w:color="auto"/>
            </w:tcBorders>
          </w:tcPr>
          <w:p w:rsidR="00FC4FD6" w:rsidRPr="00EA5B32" w:rsidRDefault="00FC4FD6" w:rsidP="00A74A81">
            <w:pPr>
              <w:jc w:val="center"/>
              <w:rPr>
                <w:rFonts w:ascii="Arial" w:hAnsi="Arial" w:cs="Arial"/>
                <w:sz w:val="20"/>
                <w:szCs w:val="20"/>
              </w:rPr>
            </w:pPr>
            <w:r w:rsidRPr="00EA5B32">
              <w:rPr>
                <w:rFonts w:ascii="Arial" w:hAnsi="Arial" w:cs="Arial"/>
                <w:sz w:val="20"/>
                <w:szCs w:val="20"/>
              </w:rPr>
              <w:t>3</w:t>
            </w:r>
          </w:p>
        </w:tc>
        <w:tc>
          <w:tcPr>
            <w:tcW w:w="810" w:type="dxa"/>
            <w:tcBorders>
              <w:top w:val="single" w:sz="4" w:space="0" w:color="auto"/>
              <w:bottom w:val="single" w:sz="4" w:space="0" w:color="auto"/>
            </w:tcBorders>
          </w:tcPr>
          <w:p w:rsidR="00FC4FD6" w:rsidRPr="00EA5B32" w:rsidRDefault="00FC4FD6" w:rsidP="00A74A81">
            <w:pPr>
              <w:jc w:val="center"/>
              <w:rPr>
                <w:rFonts w:ascii="Arial" w:hAnsi="Arial" w:cs="Arial"/>
                <w:sz w:val="20"/>
                <w:szCs w:val="20"/>
              </w:rPr>
            </w:pPr>
            <w:r w:rsidRPr="00EA5B32">
              <w:rPr>
                <w:rFonts w:ascii="Arial" w:hAnsi="Arial" w:cs="Arial"/>
                <w:sz w:val="20"/>
                <w:szCs w:val="20"/>
              </w:rPr>
              <w:t>4</w:t>
            </w:r>
          </w:p>
        </w:tc>
        <w:tc>
          <w:tcPr>
            <w:tcW w:w="900" w:type="dxa"/>
            <w:tcBorders>
              <w:top w:val="single" w:sz="4" w:space="0" w:color="auto"/>
              <w:bottom w:val="single" w:sz="4" w:space="0" w:color="auto"/>
            </w:tcBorders>
          </w:tcPr>
          <w:p w:rsidR="00FC4FD6" w:rsidRPr="00EA5B32" w:rsidRDefault="00FC4FD6" w:rsidP="00A74A81">
            <w:pPr>
              <w:jc w:val="center"/>
              <w:rPr>
                <w:rFonts w:ascii="Arial" w:hAnsi="Arial" w:cs="Arial"/>
                <w:sz w:val="20"/>
                <w:szCs w:val="20"/>
              </w:rPr>
            </w:pPr>
            <w:r w:rsidRPr="00EA5B32">
              <w:rPr>
                <w:rFonts w:ascii="Arial" w:hAnsi="Arial" w:cs="Arial"/>
                <w:sz w:val="20"/>
                <w:szCs w:val="20"/>
              </w:rPr>
              <w:t>5</w:t>
            </w:r>
          </w:p>
        </w:tc>
      </w:tr>
      <w:tr w:rsidR="00FC4FD6" w:rsidRPr="00EA5B32" w:rsidTr="00A74A81">
        <w:trPr>
          <w:trHeight w:val="422"/>
        </w:trPr>
        <w:tc>
          <w:tcPr>
            <w:tcW w:w="2808" w:type="dxa"/>
            <w:tcBorders>
              <w:top w:val="single" w:sz="4" w:space="0" w:color="auto"/>
            </w:tcBorders>
          </w:tcPr>
          <w:p w:rsidR="00FC4FD6" w:rsidRPr="00EA5B32" w:rsidRDefault="00FC4FD6" w:rsidP="00A74A81">
            <w:pPr>
              <w:rPr>
                <w:rFonts w:ascii="Arial" w:hAnsi="Arial" w:cs="Arial"/>
                <w:sz w:val="20"/>
                <w:szCs w:val="20"/>
              </w:rPr>
            </w:pPr>
            <w:r w:rsidRPr="00EA5B32">
              <w:rPr>
                <w:rFonts w:ascii="Arial" w:hAnsi="Arial" w:cs="Arial"/>
                <w:sz w:val="20"/>
                <w:szCs w:val="20"/>
              </w:rPr>
              <w:t>1. T1 PTSD Severity</w:t>
            </w:r>
          </w:p>
        </w:tc>
        <w:tc>
          <w:tcPr>
            <w:tcW w:w="990" w:type="dxa"/>
            <w:tcBorders>
              <w:top w:val="single" w:sz="4" w:space="0" w:color="auto"/>
            </w:tcBorders>
          </w:tcPr>
          <w:p w:rsidR="00FC4FD6" w:rsidRPr="00EA5B32" w:rsidRDefault="00FC4FD6" w:rsidP="00A74A81">
            <w:pPr>
              <w:tabs>
                <w:tab w:val="decimal" w:pos="252"/>
              </w:tabs>
              <w:rPr>
                <w:rFonts w:ascii="Arial" w:hAnsi="Arial" w:cs="Arial"/>
                <w:sz w:val="20"/>
                <w:szCs w:val="20"/>
              </w:rPr>
            </w:pPr>
            <w:r w:rsidRPr="00EA5B32">
              <w:rPr>
                <w:rFonts w:ascii="Arial" w:hAnsi="Arial" w:cs="Arial"/>
                <w:sz w:val="20"/>
                <w:szCs w:val="20"/>
              </w:rPr>
              <w:t>1.00</w:t>
            </w:r>
          </w:p>
        </w:tc>
        <w:tc>
          <w:tcPr>
            <w:tcW w:w="990" w:type="dxa"/>
            <w:tcBorders>
              <w:top w:val="single" w:sz="4" w:space="0" w:color="auto"/>
            </w:tcBorders>
          </w:tcPr>
          <w:p w:rsidR="00FC4FD6" w:rsidRPr="00EA5B32" w:rsidRDefault="00FC4FD6" w:rsidP="00A74A81">
            <w:pPr>
              <w:tabs>
                <w:tab w:val="decimal" w:pos="162"/>
              </w:tabs>
              <w:rPr>
                <w:rFonts w:ascii="Arial" w:hAnsi="Arial" w:cs="Arial"/>
                <w:sz w:val="20"/>
                <w:szCs w:val="20"/>
              </w:rPr>
            </w:pPr>
            <w:r>
              <w:rPr>
                <w:rFonts w:ascii="Arial" w:hAnsi="Arial" w:cs="Arial"/>
                <w:sz w:val="20"/>
                <w:szCs w:val="20"/>
              </w:rPr>
              <w:t>1,355</w:t>
            </w:r>
          </w:p>
        </w:tc>
        <w:tc>
          <w:tcPr>
            <w:tcW w:w="990" w:type="dxa"/>
            <w:tcBorders>
              <w:top w:val="single" w:sz="4" w:space="0" w:color="auto"/>
            </w:tcBorders>
          </w:tcPr>
          <w:p w:rsidR="00FC4FD6" w:rsidRPr="00EA5B32" w:rsidRDefault="00FC4FD6" w:rsidP="00A74A81">
            <w:pPr>
              <w:tabs>
                <w:tab w:val="decimal" w:pos="162"/>
              </w:tabs>
              <w:rPr>
                <w:rFonts w:ascii="Arial" w:hAnsi="Arial" w:cs="Arial"/>
                <w:sz w:val="20"/>
                <w:szCs w:val="20"/>
              </w:rPr>
            </w:pPr>
            <w:r>
              <w:rPr>
                <w:rFonts w:ascii="Arial" w:hAnsi="Arial" w:cs="Arial"/>
                <w:sz w:val="20"/>
                <w:szCs w:val="20"/>
              </w:rPr>
              <w:t>1,124</w:t>
            </w:r>
          </w:p>
        </w:tc>
        <w:tc>
          <w:tcPr>
            <w:tcW w:w="810" w:type="dxa"/>
            <w:tcBorders>
              <w:top w:val="single" w:sz="4" w:space="0" w:color="auto"/>
            </w:tcBorders>
          </w:tcPr>
          <w:p w:rsidR="00FC4FD6" w:rsidRPr="00EA5B32" w:rsidRDefault="00FC4FD6" w:rsidP="00A74A81">
            <w:pPr>
              <w:tabs>
                <w:tab w:val="decimal" w:pos="432"/>
              </w:tabs>
              <w:rPr>
                <w:rFonts w:ascii="Arial" w:hAnsi="Arial" w:cs="Arial"/>
                <w:sz w:val="20"/>
                <w:szCs w:val="20"/>
              </w:rPr>
            </w:pPr>
            <w:r>
              <w:rPr>
                <w:rFonts w:ascii="Arial" w:hAnsi="Arial" w:cs="Arial"/>
                <w:sz w:val="20"/>
                <w:szCs w:val="20"/>
              </w:rPr>
              <w:t>971</w:t>
            </w:r>
          </w:p>
        </w:tc>
        <w:tc>
          <w:tcPr>
            <w:tcW w:w="900" w:type="dxa"/>
            <w:tcBorders>
              <w:top w:val="single" w:sz="4" w:space="0" w:color="auto"/>
            </w:tcBorders>
          </w:tcPr>
          <w:p w:rsidR="00FC4FD6" w:rsidRPr="00EA5B32" w:rsidRDefault="00FC4FD6" w:rsidP="00A74A81">
            <w:pPr>
              <w:tabs>
                <w:tab w:val="decimal" w:pos="522"/>
              </w:tabs>
              <w:rPr>
                <w:rFonts w:ascii="Arial" w:hAnsi="Arial" w:cs="Arial"/>
                <w:sz w:val="20"/>
                <w:szCs w:val="20"/>
              </w:rPr>
            </w:pPr>
            <w:r>
              <w:rPr>
                <w:rFonts w:ascii="Arial" w:hAnsi="Arial" w:cs="Arial"/>
                <w:sz w:val="20"/>
                <w:szCs w:val="20"/>
              </w:rPr>
              <w:t>1,353</w:t>
            </w:r>
          </w:p>
        </w:tc>
      </w:tr>
      <w:tr w:rsidR="00FC4FD6" w:rsidRPr="00EA5B32" w:rsidTr="00A74A81">
        <w:trPr>
          <w:trHeight w:val="449"/>
        </w:trPr>
        <w:tc>
          <w:tcPr>
            <w:tcW w:w="2808" w:type="dxa"/>
          </w:tcPr>
          <w:p w:rsidR="00FC4FD6" w:rsidRPr="00EA5B32" w:rsidRDefault="00FC4FD6" w:rsidP="00A74A81">
            <w:pPr>
              <w:rPr>
                <w:rFonts w:ascii="Arial" w:hAnsi="Arial" w:cs="Arial"/>
                <w:sz w:val="20"/>
                <w:szCs w:val="20"/>
              </w:rPr>
            </w:pPr>
            <w:r w:rsidRPr="00EA5B32">
              <w:rPr>
                <w:rFonts w:ascii="Arial" w:hAnsi="Arial" w:cs="Arial"/>
                <w:sz w:val="20"/>
                <w:szCs w:val="20"/>
              </w:rPr>
              <w:t>2. T1 MetS Severity</w:t>
            </w:r>
          </w:p>
        </w:tc>
        <w:tc>
          <w:tcPr>
            <w:tcW w:w="990" w:type="dxa"/>
          </w:tcPr>
          <w:p w:rsidR="00FC4FD6" w:rsidRPr="00EA5B32" w:rsidRDefault="00FC4FD6" w:rsidP="00A74A81">
            <w:pPr>
              <w:tabs>
                <w:tab w:val="decimal" w:pos="252"/>
              </w:tabs>
              <w:rPr>
                <w:rFonts w:ascii="Arial" w:hAnsi="Arial" w:cs="Arial"/>
                <w:sz w:val="20"/>
                <w:szCs w:val="20"/>
              </w:rPr>
            </w:pPr>
            <w:r w:rsidRPr="00EA5B32">
              <w:rPr>
                <w:rFonts w:ascii="Arial" w:hAnsi="Arial" w:cs="Arial"/>
                <w:sz w:val="20"/>
                <w:szCs w:val="20"/>
              </w:rPr>
              <w:t>.15***</w:t>
            </w:r>
          </w:p>
        </w:tc>
        <w:tc>
          <w:tcPr>
            <w:tcW w:w="990" w:type="dxa"/>
          </w:tcPr>
          <w:p w:rsidR="00FC4FD6" w:rsidRPr="00EA5B32" w:rsidRDefault="00FC4FD6" w:rsidP="00A74A81">
            <w:pPr>
              <w:tabs>
                <w:tab w:val="decimal" w:pos="162"/>
              </w:tabs>
              <w:rPr>
                <w:rFonts w:ascii="Arial" w:hAnsi="Arial" w:cs="Arial"/>
                <w:sz w:val="20"/>
                <w:szCs w:val="20"/>
              </w:rPr>
            </w:pPr>
            <w:r w:rsidRPr="00EA5B32">
              <w:rPr>
                <w:rFonts w:ascii="Arial" w:hAnsi="Arial" w:cs="Arial"/>
                <w:sz w:val="20"/>
                <w:szCs w:val="20"/>
              </w:rPr>
              <w:t>1.00</w:t>
            </w:r>
          </w:p>
        </w:tc>
        <w:tc>
          <w:tcPr>
            <w:tcW w:w="990" w:type="dxa"/>
          </w:tcPr>
          <w:p w:rsidR="00FC4FD6" w:rsidRPr="00EA5B32" w:rsidRDefault="00FC4FD6" w:rsidP="00A74A81">
            <w:pPr>
              <w:tabs>
                <w:tab w:val="decimal" w:pos="162"/>
              </w:tabs>
              <w:rPr>
                <w:rFonts w:ascii="Arial" w:hAnsi="Arial" w:cs="Arial"/>
                <w:sz w:val="20"/>
                <w:szCs w:val="20"/>
              </w:rPr>
            </w:pPr>
            <w:r>
              <w:rPr>
                <w:rFonts w:ascii="Arial" w:hAnsi="Arial" w:cs="Arial"/>
                <w:sz w:val="20"/>
                <w:szCs w:val="20"/>
              </w:rPr>
              <w:t>1,124</w:t>
            </w:r>
          </w:p>
        </w:tc>
        <w:tc>
          <w:tcPr>
            <w:tcW w:w="810" w:type="dxa"/>
          </w:tcPr>
          <w:p w:rsidR="00FC4FD6" w:rsidRPr="00EA5B32" w:rsidRDefault="00FC4FD6" w:rsidP="00A74A81">
            <w:pPr>
              <w:tabs>
                <w:tab w:val="decimal" w:pos="432"/>
              </w:tabs>
              <w:rPr>
                <w:rFonts w:ascii="Arial" w:hAnsi="Arial" w:cs="Arial"/>
                <w:sz w:val="20"/>
                <w:szCs w:val="20"/>
              </w:rPr>
            </w:pPr>
            <w:r>
              <w:rPr>
                <w:rFonts w:ascii="Arial" w:hAnsi="Arial" w:cs="Arial"/>
                <w:sz w:val="20"/>
                <w:szCs w:val="20"/>
              </w:rPr>
              <w:t>971</w:t>
            </w:r>
          </w:p>
        </w:tc>
        <w:tc>
          <w:tcPr>
            <w:tcW w:w="900" w:type="dxa"/>
          </w:tcPr>
          <w:p w:rsidR="00FC4FD6" w:rsidRPr="00EA5B32" w:rsidRDefault="00FC4FD6" w:rsidP="00A74A81">
            <w:pPr>
              <w:tabs>
                <w:tab w:val="decimal" w:pos="522"/>
              </w:tabs>
              <w:rPr>
                <w:rFonts w:ascii="Arial" w:hAnsi="Arial" w:cs="Arial"/>
                <w:sz w:val="20"/>
                <w:szCs w:val="20"/>
              </w:rPr>
            </w:pPr>
            <w:r>
              <w:rPr>
                <w:rFonts w:ascii="Arial" w:hAnsi="Arial" w:cs="Arial"/>
                <w:sz w:val="20"/>
                <w:szCs w:val="20"/>
              </w:rPr>
              <w:t>1,353</w:t>
            </w:r>
          </w:p>
        </w:tc>
      </w:tr>
      <w:tr w:rsidR="00FC4FD6" w:rsidRPr="00EA5B32" w:rsidTr="00A74A81">
        <w:trPr>
          <w:trHeight w:val="449"/>
        </w:trPr>
        <w:tc>
          <w:tcPr>
            <w:tcW w:w="2808" w:type="dxa"/>
          </w:tcPr>
          <w:p w:rsidR="00FC4FD6" w:rsidRPr="00EA5B32" w:rsidRDefault="00FC4FD6" w:rsidP="00A74A81">
            <w:pPr>
              <w:rPr>
                <w:rFonts w:ascii="Arial" w:hAnsi="Arial" w:cs="Arial"/>
                <w:sz w:val="20"/>
                <w:szCs w:val="20"/>
              </w:rPr>
            </w:pPr>
            <w:r w:rsidRPr="00EA5B32">
              <w:rPr>
                <w:rFonts w:ascii="Arial" w:hAnsi="Arial" w:cs="Arial"/>
                <w:sz w:val="20"/>
                <w:szCs w:val="20"/>
              </w:rPr>
              <w:t>3. T2 PTSD Severity</w:t>
            </w:r>
          </w:p>
        </w:tc>
        <w:tc>
          <w:tcPr>
            <w:tcW w:w="990" w:type="dxa"/>
          </w:tcPr>
          <w:p w:rsidR="00FC4FD6" w:rsidRPr="00EA5B32" w:rsidRDefault="00FC4FD6" w:rsidP="00A74A81">
            <w:pPr>
              <w:tabs>
                <w:tab w:val="decimal" w:pos="252"/>
              </w:tabs>
              <w:rPr>
                <w:rFonts w:ascii="Arial" w:hAnsi="Arial" w:cs="Arial"/>
                <w:sz w:val="20"/>
                <w:szCs w:val="20"/>
              </w:rPr>
            </w:pPr>
            <w:r w:rsidRPr="00EA5B32">
              <w:rPr>
                <w:rFonts w:ascii="Arial" w:hAnsi="Arial" w:cs="Arial"/>
                <w:sz w:val="20"/>
                <w:szCs w:val="20"/>
              </w:rPr>
              <w:t>.67***</w:t>
            </w:r>
          </w:p>
        </w:tc>
        <w:tc>
          <w:tcPr>
            <w:tcW w:w="990" w:type="dxa"/>
          </w:tcPr>
          <w:p w:rsidR="00FC4FD6" w:rsidRPr="00EA5B32" w:rsidRDefault="00FC4FD6" w:rsidP="00A74A81">
            <w:pPr>
              <w:tabs>
                <w:tab w:val="decimal" w:pos="162"/>
              </w:tabs>
              <w:rPr>
                <w:rFonts w:ascii="Arial" w:hAnsi="Arial" w:cs="Arial"/>
                <w:sz w:val="20"/>
                <w:szCs w:val="20"/>
              </w:rPr>
            </w:pPr>
            <w:r w:rsidRPr="00EA5B32">
              <w:rPr>
                <w:rFonts w:ascii="Arial" w:hAnsi="Arial" w:cs="Arial"/>
                <w:sz w:val="20"/>
                <w:szCs w:val="20"/>
              </w:rPr>
              <w:t>.11***</w:t>
            </w:r>
          </w:p>
        </w:tc>
        <w:tc>
          <w:tcPr>
            <w:tcW w:w="990" w:type="dxa"/>
          </w:tcPr>
          <w:p w:rsidR="00FC4FD6" w:rsidRPr="00EA5B32" w:rsidRDefault="00FC4FD6" w:rsidP="00A74A81">
            <w:pPr>
              <w:tabs>
                <w:tab w:val="decimal" w:pos="162"/>
              </w:tabs>
              <w:rPr>
                <w:rFonts w:ascii="Arial" w:hAnsi="Arial" w:cs="Arial"/>
                <w:sz w:val="20"/>
                <w:szCs w:val="20"/>
              </w:rPr>
            </w:pPr>
            <w:r w:rsidRPr="00EA5B32">
              <w:rPr>
                <w:rFonts w:ascii="Arial" w:hAnsi="Arial" w:cs="Arial"/>
                <w:sz w:val="20"/>
                <w:szCs w:val="20"/>
              </w:rPr>
              <w:t>1.00</w:t>
            </w:r>
          </w:p>
        </w:tc>
        <w:tc>
          <w:tcPr>
            <w:tcW w:w="810" w:type="dxa"/>
          </w:tcPr>
          <w:p w:rsidR="00FC4FD6" w:rsidRPr="00EA5B32" w:rsidRDefault="00FC4FD6" w:rsidP="00A74A81">
            <w:pPr>
              <w:tabs>
                <w:tab w:val="decimal" w:pos="432"/>
              </w:tabs>
              <w:rPr>
                <w:rFonts w:ascii="Arial" w:hAnsi="Arial" w:cs="Arial"/>
                <w:sz w:val="20"/>
                <w:szCs w:val="20"/>
              </w:rPr>
            </w:pPr>
            <w:r>
              <w:rPr>
                <w:rFonts w:ascii="Arial" w:hAnsi="Arial" w:cs="Arial"/>
                <w:sz w:val="20"/>
                <w:szCs w:val="20"/>
              </w:rPr>
              <w:t>971</w:t>
            </w:r>
          </w:p>
        </w:tc>
        <w:tc>
          <w:tcPr>
            <w:tcW w:w="900" w:type="dxa"/>
          </w:tcPr>
          <w:p w:rsidR="00FC4FD6" w:rsidRPr="00EA5B32" w:rsidRDefault="00FC4FD6" w:rsidP="00A74A81">
            <w:pPr>
              <w:tabs>
                <w:tab w:val="decimal" w:pos="522"/>
              </w:tabs>
              <w:rPr>
                <w:rFonts w:ascii="Arial" w:hAnsi="Arial" w:cs="Arial"/>
                <w:sz w:val="20"/>
                <w:szCs w:val="20"/>
              </w:rPr>
            </w:pPr>
            <w:r>
              <w:rPr>
                <w:rFonts w:ascii="Arial" w:hAnsi="Arial" w:cs="Arial"/>
                <w:sz w:val="20"/>
                <w:szCs w:val="20"/>
              </w:rPr>
              <w:t>1,122</w:t>
            </w:r>
          </w:p>
        </w:tc>
      </w:tr>
      <w:tr w:rsidR="00FC4FD6" w:rsidRPr="00EA5B32" w:rsidTr="00A74A81">
        <w:trPr>
          <w:trHeight w:val="431"/>
        </w:trPr>
        <w:tc>
          <w:tcPr>
            <w:tcW w:w="2808" w:type="dxa"/>
          </w:tcPr>
          <w:p w:rsidR="00FC4FD6" w:rsidRPr="00EA5B32" w:rsidRDefault="00FC4FD6" w:rsidP="00A74A81">
            <w:pPr>
              <w:rPr>
                <w:rFonts w:ascii="Arial" w:hAnsi="Arial" w:cs="Arial"/>
                <w:sz w:val="20"/>
                <w:szCs w:val="20"/>
              </w:rPr>
            </w:pPr>
            <w:r w:rsidRPr="00EA5B32">
              <w:rPr>
                <w:rFonts w:ascii="Arial" w:hAnsi="Arial" w:cs="Arial"/>
                <w:sz w:val="20"/>
                <w:szCs w:val="20"/>
              </w:rPr>
              <w:t>4. T2 MetS Severity</w:t>
            </w:r>
          </w:p>
        </w:tc>
        <w:tc>
          <w:tcPr>
            <w:tcW w:w="990" w:type="dxa"/>
          </w:tcPr>
          <w:p w:rsidR="00FC4FD6" w:rsidRPr="00EA5B32" w:rsidRDefault="00FC4FD6" w:rsidP="00A74A81">
            <w:pPr>
              <w:tabs>
                <w:tab w:val="decimal" w:pos="252"/>
              </w:tabs>
              <w:rPr>
                <w:rFonts w:ascii="Arial" w:hAnsi="Arial" w:cs="Arial"/>
                <w:sz w:val="20"/>
                <w:szCs w:val="20"/>
              </w:rPr>
            </w:pPr>
            <w:r w:rsidRPr="00EA5B32">
              <w:rPr>
                <w:rFonts w:ascii="Arial" w:hAnsi="Arial" w:cs="Arial"/>
                <w:sz w:val="20"/>
                <w:szCs w:val="20"/>
              </w:rPr>
              <w:t>.17***</w:t>
            </w:r>
          </w:p>
        </w:tc>
        <w:tc>
          <w:tcPr>
            <w:tcW w:w="990" w:type="dxa"/>
          </w:tcPr>
          <w:p w:rsidR="00FC4FD6" w:rsidRPr="00EA5B32" w:rsidRDefault="00FC4FD6" w:rsidP="00A74A81">
            <w:pPr>
              <w:tabs>
                <w:tab w:val="decimal" w:pos="162"/>
              </w:tabs>
              <w:rPr>
                <w:rFonts w:ascii="Arial" w:hAnsi="Arial" w:cs="Arial"/>
                <w:sz w:val="20"/>
                <w:szCs w:val="20"/>
              </w:rPr>
            </w:pPr>
            <w:r w:rsidRPr="00EA5B32">
              <w:rPr>
                <w:rFonts w:ascii="Arial" w:hAnsi="Arial" w:cs="Arial"/>
                <w:sz w:val="20"/>
                <w:szCs w:val="20"/>
              </w:rPr>
              <w:t>.63***</w:t>
            </w:r>
          </w:p>
        </w:tc>
        <w:tc>
          <w:tcPr>
            <w:tcW w:w="990" w:type="dxa"/>
          </w:tcPr>
          <w:p w:rsidR="00FC4FD6" w:rsidRPr="00EA5B32" w:rsidRDefault="00FC4FD6" w:rsidP="00A74A81">
            <w:pPr>
              <w:tabs>
                <w:tab w:val="decimal" w:pos="162"/>
              </w:tabs>
              <w:rPr>
                <w:rFonts w:ascii="Arial" w:hAnsi="Arial" w:cs="Arial"/>
                <w:sz w:val="20"/>
                <w:szCs w:val="20"/>
              </w:rPr>
            </w:pPr>
            <w:r w:rsidRPr="00EA5B32">
              <w:rPr>
                <w:rFonts w:ascii="Arial" w:hAnsi="Arial" w:cs="Arial"/>
                <w:sz w:val="20"/>
                <w:szCs w:val="20"/>
              </w:rPr>
              <w:t>.10**</w:t>
            </w:r>
          </w:p>
        </w:tc>
        <w:tc>
          <w:tcPr>
            <w:tcW w:w="810" w:type="dxa"/>
          </w:tcPr>
          <w:p w:rsidR="00FC4FD6" w:rsidRPr="00EA5B32" w:rsidRDefault="00FC4FD6" w:rsidP="00A74A81">
            <w:pPr>
              <w:tabs>
                <w:tab w:val="decimal" w:pos="162"/>
              </w:tabs>
              <w:rPr>
                <w:rFonts w:ascii="Arial" w:hAnsi="Arial" w:cs="Arial"/>
                <w:sz w:val="20"/>
                <w:szCs w:val="20"/>
              </w:rPr>
            </w:pPr>
            <w:r w:rsidRPr="00EA5B32">
              <w:rPr>
                <w:rFonts w:ascii="Arial" w:hAnsi="Arial" w:cs="Arial"/>
                <w:sz w:val="20"/>
                <w:szCs w:val="20"/>
              </w:rPr>
              <w:t>1.00</w:t>
            </w:r>
          </w:p>
        </w:tc>
        <w:tc>
          <w:tcPr>
            <w:tcW w:w="900" w:type="dxa"/>
          </w:tcPr>
          <w:p w:rsidR="00FC4FD6" w:rsidRPr="00EA5B32" w:rsidRDefault="00FC4FD6" w:rsidP="00A74A81">
            <w:pPr>
              <w:tabs>
                <w:tab w:val="decimal" w:pos="522"/>
              </w:tabs>
              <w:rPr>
                <w:rFonts w:ascii="Arial" w:hAnsi="Arial" w:cs="Arial"/>
                <w:sz w:val="20"/>
                <w:szCs w:val="20"/>
              </w:rPr>
            </w:pPr>
            <w:r>
              <w:rPr>
                <w:rFonts w:ascii="Arial" w:hAnsi="Arial" w:cs="Arial"/>
                <w:sz w:val="20"/>
                <w:szCs w:val="20"/>
              </w:rPr>
              <w:t>969</w:t>
            </w:r>
          </w:p>
        </w:tc>
      </w:tr>
      <w:tr w:rsidR="00FC4FD6" w:rsidRPr="00EA5B32" w:rsidTr="00A74A81">
        <w:trPr>
          <w:trHeight w:val="431"/>
        </w:trPr>
        <w:tc>
          <w:tcPr>
            <w:tcW w:w="2808" w:type="dxa"/>
          </w:tcPr>
          <w:p w:rsidR="00FC4FD6" w:rsidRPr="00EA5B32" w:rsidRDefault="00FC4FD6" w:rsidP="00A74A81">
            <w:pPr>
              <w:rPr>
                <w:rFonts w:ascii="Arial" w:hAnsi="Arial" w:cs="Arial"/>
                <w:sz w:val="20"/>
                <w:szCs w:val="20"/>
              </w:rPr>
            </w:pPr>
            <w:r w:rsidRPr="00EA5B32">
              <w:rPr>
                <w:rFonts w:ascii="Arial" w:hAnsi="Arial" w:cs="Arial"/>
                <w:sz w:val="20"/>
                <w:szCs w:val="20"/>
              </w:rPr>
              <w:t>5. T1 Traumatic Experiences</w:t>
            </w:r>
          </w:p>
        </w:tc>
        <w:tc>
          <w:tcPr>
            <w:tcW w:w="990" w:type="dxa"/>
          </w:tcPr>
          <w:p w:rsidR="00FC4FD6" w:rsidRPr="00EA5B32" w:rsidRDefault="00FC4FD6" w:rsidP="00A74A81">
            <w:pPr>
              <w:tabs>
                <w:tab w:val="decimal" w:pos="252"/>
              </w:tabs>
              <w:rPr>
                <w:rFonts w:ascii="Arial" w:hAnsi="Arial" w:cs="Arial"/>
                <w:sz w:val="20"/>
                <w:szCs w:val="20"/>
              </w:rPr>
            </w:pPr>
            <w:r w:rsidRPr="00EA5B32">
              <w:rPr>
                <w:rFonts w:ascii="Arial" w:hAnsi="Arial" w:cs="Arial"/>
                <w:sz w:val="20"/>
                <w:szCs w:val="20"/>
              </w:rPr>
              <w:t>.32***</w:t>
            </w:r>
          </w:p>
        </w:tc>
        <w:tc>
          <w:tcPr>
            <w:tcW w:w="990" w:type="dxa"/>
          </w:tcPr>
          <w:p w:rsidR="00FC4FD6" w:rsidRPr="00EA5B32" w:rsidRDefault="00FC4FD6" w:rsidP="00A74A81">
            <w:pPr>
              <w:tabs>
                <w:tab w:val="decimal" w:pos="162"/>
              </w:tabs>
              <w:rPr>
                <w:rFonts w:ascii="Arial" w:hAnsi="Arial" w:cs="Arial"/>
                <w:sz w:val="20"/>
                <w:szCs w:val="20"/>
              </w:rPr>
            </w:pPr>
            <w:r w:rsidRPr="00EA5B32">
              <w:rPr>
                <w:rFonts w:ascii="Arial" w:hAnsi="Arial" w:cs="Arial"/>
                <w:sz w:val="20"/>
                <w:szCs w:val="20"/>
              </w:rPr>
              <w:t>.06*</w:t>
            </w:r>
          </w:p>
        </w:tc>
        <w:tc>
          <w:tcPr>
            <w:tcW w:w="990" w:type="dxa"/>
          </w:tcPr>
          <w:p w:rsidR="00FC4FD6" w:rsidRPr="00EA5B32" w:rsidRDefault="00FC4FD6" w:rsidP="00A74A81">
            <w:pPr>
              <w:tabs>
                <w:tab w:val="decimal" w:pos="162"/>
              </w:tabs>
              <w:rPr>
                <w:rFonts w:ascii="Arial" w:hAnsi="Arial" w:cs="Arial"/>
                <w:sz w:val="20"/>
                <w:szCs w:val="20"/>
              </w:rPr>
            </w:pPr>
            <w:r w:rsidRPr="00EA5B32">
              <w:rPr>
                <w:rFonts w:ascii="Arial" w:hAnsi="Arial" w:cs="Arial"/>
                <w:sz w:val="20"/>
                <w:szCs w:val="20"/>
              </w:rPr>
              <w:t>.30***</w:t>
            </w:r>
          </w:p>
        </w:tc>
        <w:tc>
          <w:tcPr>
            <w:tcW w:w="810" w:type="dxa"/>
          </w:tcPr>
          <w:p w:rsidR="00FC4FD6" w:rsidRPr="00EA5B32" w:rsidRDefault="00FC4FD6" w:rsidP="00A74A81">
            <w:pPr>
              <w:tabs>
                <w:tab w:val="decimal" w:pos="162"/>
              </w:tabs>
              <w:rPr>
                <w:rFonts w:ascii="Arial" w:hAnsi="Arial" w:cs="Arial"/>
                <w:sz w:val="20"/>
                <w:szCs w:val="20"/>
              </w:rPr>
            </w:pPr>
            <w:r w:rsidRPr="00EA5B32">
              <w:rPr>
                <w:rFonts w:ascii="Arial" w:hAnsi="Arial" w:cs="Arial"/>
                <w:sz w:val="20"/>
                <w:szCs w:val="20"/>
              </w:rPr>
              <w:t>.03</w:t>
            </w:r>
          </w:p>
        </w:tc>
        <w:tc>
          <w:tcPr>
            <w:tcW w:w="900" w:type="dxa"/>
          </w:tcPr>
          <w:p w:rsidR="00FC4FD6" w:rsidRPr="00EA5B32" w:rsidRDefault="00FC4FD6" w:rsidP="00A74A81">
            <w:pPr>
              <w:tabs>
                <w:tab w:val="decimal" w:pos="252"/>
              </w:tabs>
              <w:rPr>
                <w:rFonts w:ascii="Arial" w:hAnsi="Arial" w:cs="Arial"/>
                <w:sz w:val="20"/>
                <w:szCs w:val="20"/>
              </w:rPr>
            </w:pPr>
            <w:r w:rsidRPr="00EA5B32">
              <w:rPr>
                <w:rFonts w:ascii="Arial" w:hAnsi="Arial" w:cs="Arial"/>
                <w:sz w:val="20"/>
                <w:szCs w:val="20"/>
              </w:rPr>
              <w:t>1.00</w:t>
            </w:r>
          </w:p>
        </w:tc>
      </w:tr>
    </w:tbl>
    <w:p w:rsidR="00FC4FD6" w:rsidRDefault="00FC4FD6" w:rsidP="002C798D">
      <w:pPr>
        <w:spacing w:line="480" w:lineRule="auto"/>
        <w:rPr>
          <w:rFonts w:ascii="Arial" w:hAnsi="Arial" w:cs="Arial"/>
        </w:rPr>
      </w:pPr>
    </w:p>
    <w:p w:rsidR="00FC4FD6" w:rsidRDefault="00FC4FD6" w:rsidP="002C798D">
      <w:pPr>
        <w:spacing w:line="480" w:lineRule="auto"/>
        <w:rPr>
          <w:rFonts w:ascii="Arial" w:hAnsi="Arial" w:cs="Arial"/>
        </w:rPr>
      </w:pPr>
    </w:p>
    <w:p w:rsidR="00FC4FD6" w:rsidRDefault="00FC4FD6" w:rsidP="002C798D">
      <w:pPr>
        <w:spacing w:line="480" w:lineRule="auto"/>
        <w:rPr>
          <w:rFonts w:ascii="Arial" w:hAnsi="Arial" w:cs="Arial"/>
        </w:rPr>
      </w:pPr>
    </w:p>
    <w:p w:rsidR="00FC4FD6" w:rsidRDefault="00FC4FD6" w:rsidP="002C798D">
      <w:pPr>
        <w:spacing w:line="480" w:lineRule="auto"/>
        <w:rPr>
          <w:rFonts w:ascii="Arial" w:hAnsi="Arial" w:cs="Arial"/>
        </w:rPr>
      </w:pPr>
    </w:p>
    <w:p w:rsidR="00FC4FD6" w:rsidRDefault="00FC4FD6" w:rsidP="002C798D">
      <w:pPr>
        <w:spacing w:line="480" w:lineRule="auto"/>
        <w:rPr>
          <w:rFonts w:ascii="Arial" w:hAnsi="Arial" w:cs="Arial"/>
        </w:rPr>
      </w:pPr>
    </w:p>
    <w:p w:rsidR="00FC4FD6" w:rsidRDefault="00FC4FD6" w:rsidP="002C798D">
      <w:pPr>
        <w:spacing w:line="480" w:lineRule="auto"/>
        <w:rPr>
          <w:rFonts w:ascii="Arial" w:hAnsi="Arial" w:cs="Arial"/>
        </w:rPr>
      </w:pPr>
    </w:p>
    <w:p w:rsidR="00FC4FD6" w:rsidRDefault="00FC4FD6" w:rsidP="00FC4FD6">
      <w:pPr>
        <w:spacing w:line="480" w:lineRule="auto"/>
        <w:rPr>
          <w:rFonts w:ascii="Arial" w:hAnsi="Arial" w:cs="Arial"/>
          <w:sz w:val="24"/>
          <w:szCs w:val="24"/>
        </w:rPr>
      </w:pPr>
      <w:r>
        <w:rPr>
          <w:rFonts w:ascii="Arial" w:hAnsi="Arial" w:cs="Arial"/>
          <w:i/>
          <w:sz w:val="24"/>
          <w:szCs w:val="24"/>
        </w:rPr>
        <w:t xml:space="preserve">Note.  </w:t>
      </w:r>
      <w:r w:rsidRPr="005D1CC2">
        <w:rPr>
          <w:rFonts w:ascii="Arial" w:hAnsi="Arial" w:cs="Arial"/>
          <w:sz w:val="24"/>
          <w:szCs w:val="24"/>
        </w:rPr>
        <w:t xml:space="preserve">The numbers in the bottom half of the triangle reflect Pearson correlation coefficients.   The numbers in the top half of the triangle reflect the sample size for each correlation, given missing data. </w:t>
      </w:r>
      <w:r>
        <w:rPr>
          <w:rFonts w:ascii="Arial" w:hAnsi="Arial" w:cs="Arial"/>
          <w:i/>
          <w:sz w:val="24"/>
          <w:szCs w:val="24"/>
        </w:rPr>
        <w:t xml:space="preserve"> </w:t>
      </w:r>
      <w:r>
        <w:rPr>
          <w:rFonts w:ascii="Arial" w:hAnsi="Arial" w:cs="Arial"/>
          <w:sz w:val="24"/>
          <w:szCs w:val="24"/>
        </w:rPr>
        <w:t>The number of traumatic experiences reflects the total number of events endorsed on the Life Events Checklist. T1 = time 1; T2 = time 2; PTSD = posttraumatic stress disorder; MetS = metabolic syndrome.</w:t>
      </w:r>
    </w:p>
    <w:p w:rsidR="00FC4FD6" w:rsidRPr="003C6A14" w:rsidRDefault="00FC4FD6" w:rsidP="00FC4FD6">
      <w:pPr>
        <w:spacing w:line="480" w:lineRule="auto"/>
        <w:rPr>
          <w:rFonts w:ascii="Arial" w:hAnsi="Arial" w:cs="Arial"/>
        </w:rPr>
      </w:pPr>
      <w:r>
        <w:rPr>
          <w:rFonts w:ascii="Arial" w:hAnsi="Arial" w:cs="Arial"/>
          <w:sz w:val="24"/>
          <w:szCs w:val="24"/>
        </w:rPr>
        <w:t>*</w:t>
      </w:r>
      <w:r w:rsidRPr="005D1CC2">
        <w:rPr>
          <w:rFonts w:ascii="Arial" w:hAnsi="Arial" w:cs="Arial"/>
          <w:i/>
          <w:sz w:val="24"/>
          <w:szCs w:val="24"/>
        </w:rPr>
        <w:t>p</w:t>
      </w:r>
      <w:r>
        <w:rPr>
          <w:rFonts w:ascii="Arial" w:hAnsi="Arial" w:cs="Arial"/>
          <w:sz w:val="24"/>
          <w:szCs w:val="24"/>
        </w:rPr>
        <w:t xml:space="preserve"> &lt; .05. **</w:t>
      </w:r>
      <w:r w:rsidRPr="005D1CC2">
        <w:rPr>
          <w:rFonts w:ascii="Arial" w:hAnsi="Arial" w:cs="Arial"/>
          <w:i/>
          <w:sz w:val="24"/>
          <w:szCs w:val="24"/>
        </w:rPr>
        <w:t>p</w:t>
      </w:r>
      <w:r>
        <w:rPr>
          <w:rFonts w:ascii="Arial" w:hAnsi="Arial" w:cs="Arial"/>
          <w:sz w:val="24"/>
          <w:szCs w:val="24"/>
        </w:rPr>
        <w:t xml:space="preserve"> &lt; .01. ***</w:t>
      </w:r>
      <w:r w:rsidRPr="005D1CC2">
        <w:rPr>
          <w:rFonts w:ascii="Arial" w:hAnsi="Arial" w:cs="Arial"/>
          <w:i/>
          <w:sz w:val="24"/>
          <w:szCs w:val="24"/>
        </w:rPr>
        <w:t>p</w:t>
      </w:r>
      <w:r>
        <w:rPr>
          <w:rFonts w:ascii="Arial" w:hAnsi="Arial" w:cs="Arial"/>
          <w:sz w:val="24"/>
          <w:szCs w:val="24"/>
        </w:rPr>
        <w:t xml:space="preserve"> &lt; .001.</w:t>
      </w:r>
    </w:p>
    <w:sectPr w:rsidR="00FC4FD6" w:rsidRPr="003C6A14" w:rsidSect="00E632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55" w:rsidRDefault="00916055" w:rsidP="005215D9">
      <w:r>
        <w:separator/>
      </w:r>
    </w:p>
  </w:endnote>
  <w:endnote w:type="continuationSeparator" w:id="0">
    <w:p w:rsidR="00916055" w:rsidRDefault="00916055" w:rsidP="0052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55" w:rsidRDefault="00916055" w:rsidP="005215D9">
      <w:r>
        <w:separator/>
      </w:r>
    </w:p>
  </w:footnote>
  <w:footnote w:type="continuationSeparator" w:id="0">
    <w:p w:rsidR="00916055" w:rsidRDefault="00916055" w:rsidP="0052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81" w:rsidRDefault="00A74A81">
    <w:pPr>
      <w:pStyle w:val="Header"/>
    </w:pPr>
    <w:r>
      <w:tab/>
    </w:r>
    <w:r>
      <w:tab/>
      <w:t xml:space="preserve">PTSD &amp; MetS Supp, </w:t>
    </w:r>
    <w:r>
      <w:fldChar w:fldCharType="begin"/>
    </w:r>
    <w:r>
      <w:instrText xml:space="preserve"> PAGE   \* MERGEFORMAT </w:instrText>
    </w:r>
    <w:r>
      <w:fldChar w:fldCharType="separate"/>
    </w:r>
    <w:r w:rsidR="00183AE7">
      <w:rPr>
        <w:noProof/>
      </w:rPr>
      <w:t>4</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D9"/>
    <w:rsid w:val="0000024F"/>
    <w:rsid w:val="00044E31"/>
    <w:rsid w:val="00070362"/>
    <w:rsid w:val="00070476"/>
    <w:rsid w:val="000715BD"/>
    <w:rsid w:val="000C3E0A"/>
    <w:rsid w:val="001250F2"/>
    <w:rsid w:val="00183AE7"/>
    <w:rsid w:val="001A6180"/>
    <w:rsid w:val="00294CA7"/>
    <w:rsid w:val="002C798D"/>
    <w:rsid w:val="002E48D9"/>
    <w:rsid w:val="00307D1E"/>
    <w:rsid w:val="003509F5"/>
    <w:rsid w:val="003523D9"/>
    <w:rsid w:val="00384743"/>
    <w:rsid w:val="003C6A14"/>
    <w:rsid w:val="0048463C"/>
    <w:rsid w:val="004B202C"/>
    <w:rsid w:val="004B2191"/>
    <w:rsid w:val="00520866"/>
    <w:rsid w:val="005215D9"/>
    <w:rsid w:val="005A037E"/>
    <w:rsid w:val="005D1DAB"/>
    <w:rsid w:val="005D7645"/>
    <w:rsid w:val="00650DC9"/>
    <w:rsid w:val="00656EC6"/>
    <w:rsid w:val="00691AF2"/>
    <w:rsid w:val="006F62BD"/>
    <w:rsid w:val="00754F59"/>
    <w:rsid w:val="00782C0C"/>
    <w:rsid w:val="007C4A8B"/>
    <w:rsid w:val="00812921"/>
    <w:rsid w:val="0083037D"/>
    <w:rsid w:val="008604A1"/>
    <w:rsid w:val="00874219"/>
    <w:rsid w:val="008815F1"/>
    <w:rsid w:val="008C02BA"/>
    <w:rsid w:val="008E5C33"/>
    <w:rsid w:val="009030FF"/>
    <w:rsid w:val="00916055"/>
    <w:rsid w:val="00951587"/>
    <w:rsid w:val="00954ECF"/>
    <w:rsid w:val="00A14BB3"/>
    <w:rsid w:val="00A23587"/>
    <w:rsid w:val="00A3711D"/>
    <w:rsid w:val="00A74A81"/>
    <w:rsid w:val="00B90DFE"/>
    <w:rsid w:val="00BA662D"/>
    <w:rsid w:val="00BB729E"/>
    <w:rsid w:val="00BB771E"/>
    <w:rsid w:val="00BF5F9A"/>
    <w:rsid w:val="00C01728"/>
    <w:rsid w:val="00CF1771"/>
    <w:rsid w:val="00CF7B6D"/>
    <w:rsid w:val="00D15163"/>
    <w:rsid w:val="00D5241B"/>
    <w:rsid w:val="00D67851"/>
    <w:rsid w:val="00E04548"/>
    <w:rsid w:val="00E5670B"/>
    <w:rsid w:val="00E607F6"/>
    <w:rsid w:val="00E63231"/>
    <w:rsid w:val="00EC4B2C"/>
    <w:rsid w:val="00EF3BEF"/>
    <w:rsid w:val="00F42516"/>
    <w:rsid w:val="00F54C73"/>
    <w:rsid w:val="00FB7103"/>
    <w:rsid w:val="00FC4FD6"/>
    <w:rsid w:val="00FD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7AE0D6-D103-4E8A-866F-0288D1A3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5D9"/>
    <w:rPr>
      <w:sz w:val="16"/>
      <w:szCs w:val="16"/>
    </w:rPr>
  </w:style>
  <w:style w:type="paragraph" w:styleId="CommentText">
    <w:name w:val="annotation text"/>
    <w:basedOn w:val="Normal"/>
    <w:link w:val="CommentTextChar"/>
    <w:uiPriority w:val="99"/>
    <w:unhideWhenUsed/>
    <w:rsid w:val="005215D9"/>
    <w:rPr>
      <w:sz w:val="20"/>
      <w:szCs w:val="20"/>
    </w:rPr>
  </w:style>
  <w:style w:type="character" w:customStyle="1" w:styleId="CommentTextChar">
    <w:name w:val="Comment Text Char"/>
    <w:basedOn w:val="DefaultParagraphFont"/>
    <w:link w:val="CommentText"/>
    <w:uiPriority w:val="99"/>
    <w:rsid w:val="005215D9"/>
    <w:rPr>
      <w:sz w:val="20"/>
      <w:szCs w:val="20"/>
    </w:rPr>
  </w:style>
  <w:style w:type="paragraph" w:styleId="BalloonText">
    <w:name w:val="Balloon Text"/>
    <w:basedOn w:val="Normal"/>
    <w:link w:val="BalloonTextChar"/>
    <w:uiPriority w:val="99"/>
    <w:semiHidden/>
    <w:unhideWhenUsed/>
    <w:rsid w:val="005215D9"/>
    <w:rPr>
      <w:rFonts w:ascii="Tahoma" w:hAnsi="Tahoma" w:cs="Tahoma"/>
      <w:sz w:val="16"/>
      <w:szCs w:val="16"/>
    </w:rPr>
  </w:style>
  <w:style w:type="character" w:customStyle="1" w:styleId="BalloonTextChar">
    <w:name w:val="Balloon Text Char"/>
    <w:basedOn w:val="DefaultParagraphFont"/>
    <w:link w:val="BalloonText"/>
    <w:uiPriority w:val="99"/>
    <w:semiHidden/>
    <w:rsid w:val="005215D9"/>
    <w:rPr>
      <w:rFonts w:ascii="Tahoma" w:hAnsi="Tahoma" w:cs="Tahoma"/>
      <w:sz w:val="16"/>
      <w:szCs w:val="16"/>
    </w:rPr>
  </w:style>
  <w:style w:type="paragraph" w:styleId="Header">
    <w:name w:val="header"/>
    <w:basedOn w:val="Normal"/>
    <w:link w:val="HeaderChar"/>
    <w:uiPriority w:val="99"/>
    <w:unhideWhenUsed/>
    <w:rsid w:val="005215D9"/>
    <w:pPr>
      <w:tabs>
        <w:tab w:val="center" w:pos="4680"/>
        <w:tab w:val="right" w:pos="9360"/>
      </w:tabs>
    </w:pPr>
  </w:style>
  <w:style w:type="character" w:customStyle="1" w:styleId="HeaderChar">
    <w:name w:val="Header Char"/>
    <w:basedOn w:val="DefaultParagraphFont"/>
    <w:link w:val="Header"/>
    <w:uiPriority w:val="99"/>
    <w:rsid w:val="005215D9"/>
  </w:style>
  <w:style w:type="paragraph" w:styleId="Footer">
    <w:name w:val="footer"/>
    <w:basedOn w:val="Normal"/>
    <w:link w:val="FooterChar"/>
    <w:uiPriority w:val="99"/>
    <w:unhideWhenUsed/>
    <w:rsid w:val="005215D9"/>
    <w:pPr>
      <w:tabs>
        <w:tab w:val="center" w:pos="4680"/>
        <w:tab w:val="right" w:pos="9360"/>
      </w:tabs>
    </w:pPr>
  </w:style>
  <w:style w:type="character" w:customStyle="1" w:styleId="FooterChar">
    <w:name w:val="Footer Char"/>
    <w:basedOn w:val="DefaultParagraphFont"/>
    <w:link w:val="Footer"/>
    <w:uiPriority w:val="99"/>
    <w:rsid w:val="005215D9"/>
  </w:style>
  <w:style w:type="paragraph" w:styleId="CommentSubject">
    <w:name w:val="annotation subject"/>
    <w:basedOn w:val="CommentText"/>
    <w:next w:val="CommentText"/>
    <w:link w:val="CommentSubjectChar"/>
    <w:uiPriority w:val="99"/>
    <w:semiHidden/>
    <w:unhideWhenUsed/>
    <w:rsid w:val="00954ECF"/>
    <w:rPr>
      <w:b/>
      <w:bCs/>
    </w:rPr>
  </w:style>
  <w:style w:type="character" w:customStyle="1" w:styleId="CommentSubjectChar">
    <w:name w:val="Comment Subject Char"/>
    <w:basedOn w:val="CommentTextChar"/>
    <w:link w:val="CommentSubject"/>
    <w:uiPriority w:val="99"/>
    <w:semiHidden/>
    <w:rsid w:val="00954ECF"/>
    <w:rPr>
      <w:b/>
      <w:bCs/>
      <w:sz w:val="20"/>
      <w:szCs w:val="20"/>
    </w:rPr>
  </w:style>
  <w:style w:type="table" w:styleId="TableGrid">
    <w:name w:val="Table Grid"/>
    <w:basedOn w:val="TableNormal"/>
    <w:uiPriority w:val="59"/>
    <w:rsid w:val="00FC4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2D53-7FF1-4C65-A732-7B4ADBF5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Erika</dc:creator>
  <cp:lastModifiedBy>User</cp:lastModifiedBy>
  <cp:revision>10</cp:revision>
  <dcterms:created xsi:type="dcterms:W3CDTF">2016-03-07T15:18:00Z</dcterms:created>
  <dcterms:modified xsi:type="dcterms:W3CDTF">2016-04-04T11:43:00Z</dcterms:modified>
</cp:coreProperties>
</file>