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8C33F" w14:textId="3EBB5486" w:rsidR="00D218F6" w:rsidRPr="009B57FA" w:rsidRDefault="009B57FA" w:rsidP="00D218F6">
      <w:pPr>
        <w:spacing w:line="480" w:lineRule="auto"/>
        <w:rPr>
          <w:b/>
        </w:rPr>
      </w:pPr>
      <w:r w:rsidRPr="009B57FA">
        <w:rPr>
          <w:b/>
        </w:rPr>
        <w:t xml:space="preserve">Supplemental table 1: Pivotal sentence(s) from the abstract of the 13 negative studies with a positive focus. </w:t>
      </w:r>
    </w:p>
    <w:p w14:paraId="28C7119E" w14:textId="77777777" w:rsidR="00D218F6" w:rsidRDefault="00D218F6" w:rsidP="00D218F6">
      <w:pPr>
        <w:spacing w:line="480" w:lineRule="auto"/>
      </w:pPr>
    </w:p>
    <w:tbl>
      <w:tblPr>
        <w:tblStyle w:val="Tabelraster"/>
        <w:tblpPr w:leftFromText="141" w:rightFromText="141" w:vertAnchor="text" w:tblpY="1"/>
        <w:tblOverlap w:val="never"/>
        <w:tblW w:w="0" w:type="auto"/>
        <w:tblLook w:val="00A0" w:firstRow="1" w:lastRow="0" w:firstColumn="1" w:lastColumn="0" w:noHBand="0" w:noVBand="0"/>
      </w:tblPr>
      <w:tblGrid>
        <w:gridCol w:w="1951"/>
        <w:gridCol w:w="7088"/>
      </w:tblGrid>
      <w:tr w:rsidR="00D218F6" w14:paraId="73A0D8C9" w14:textId="77777777" w:rsidTr="00C33E6B">
        <w:tc>
          <w:tcPr>
            <w:tcW w:w="1951" w:type="dxa"/>
          </w:tcPr>
          <w:p w14:paraId="77FBAA0B" w14:textId="77777777" w:rsidR="00D218F6" w:rsidRPr="00797A21" w:rsidRDefault="00D218F6" w:rsidP="00C33E6B">
            <w:pPr>
              <w:tabs>
                <w:tab w:val="center" w:pos="1426"/>
              </w:tabs>
              <w:spacing w:line="480" w:lineRule="auto"/>
              <w:rPr>
                <w:b/>
              </w:rPr>
            </w:pPr>
            <w:r w:rsidRPr="00797A21">
              <w:rPr>
                <w:b/>
              </w:rPr>
              <w:t>Study</w:t>
            </w:r>
          </w:p>
        </w:tc>
        <w:tc>
          <w:tcPr>
            <w:tcW w:w="7088" w:type="dxa"/>
          </w:tcPr>
          <w:p w14:paraId="0CB76B6C" w14:textId="77777777" w:rsidR="00D218F6" w:rsidRPr="00797A21" w:rsidRDefault="00D218F6" w:rsidP="00C33E6B">
            <w:pPr>
              <w:spacing w:line="480" w:lineRule="auto"/>
              <w:rPr>
                <w:b/>
              </w:rPr>
            </w:pPr>
            <w:r>
              <w:rPr>
                <w:b/>
              </w:rPr>
              <w:t>Sentence(s) from abstract</w:t>
            </w:r>
          </w:p>
        </w:tc>
      </w:tr>
      <w:tr w:rsidR="00D218F6" w14:paraId="587F726C" w14:textId="77777777" w:rsidTr="00C33E6B">
        <w:tc>
          <w:tcPr>
            <w:tcW w:w="1951" w:type="dxa"/>
          </w:tcPr>
          <w:p w14:paraId="7CA98CF4" w14:textId="026F2A40" w:rsidR="00D218F6" w:rsidRDefault="007015CA" w:rsidP="00C33E6B">
            <w:pPr>
              <w:spacing w:line="480" w:lineRule="auto"/>
            </w:pPr>
            <w:r>
              <w:t>Brown (2013)</w:t>
            </w:r>
          </w:p>
        </w:tc>
        <w:tc>
          <w:tcPr>
            <w:tcW w:w="7088" w:type="dxa"/>
          </w:tcPr>
          <w:p w14:paraId="0F916940" w14:textId="50CFCC56" w:rsidR="00D218F6" w:rsidRDefault="00D218F6" w:rsidP="007015CA">
            <w:pPr>
              <w:spacing w:line="480" w:lineRule="auto"/>
            </w:pPr>
            <w:r>
              <w:t>“</w:t>
            </w:r>
            <w:r w:rsidR="007015CA">
              <w:t xml:space="preserve">The short variant of the serotonin transporter gene specifically sensitizes to the effect of early-life experience of abuse or neglect on whether an adult depressive episode takes a chronic course. This interaction may be responsible for a substantial proportion of cases of chronic depression in the general population.” </w:t>
            </w:r>
          </w:p>
        </w:tc>
      </w:tr>
      <w:tr w:rsidR="007015CA" w14:paraId="64FD0188" w14:textId="77777777" w:rsidTr="00C33E6B">
        <w:tc>
          <w:tcPr>
            <w:tcW w:w="1951" w:type="dxa"/>
          </w:tcPr>
          <w:p w14:paraId="2C557F97" w14:textId="31E17131" w:rsidR="007015CA" w:rsidRDefault="007015CA" w:rsidP="007015CA">
            <w:pPr>
              <w:spacing w:line="480" w:lineRule="auto"/>
            </w:pPr>
            <w:proofErr w:type="spellStart"/>
            <w:r>
              <w:t>Cichetti</w:t>
            </w:r>
            <w:proofErr w:type="spellEnd"/>
            <w:r>
              <w:t xml:space="preserve"> (2007)</w:t>
            </w:r>
          </w:p>
        </w:tc>
        <w:tc>
          <w:tcPr>
            <w:tcW w:w="7088" w:type="dxa"/>
          </w:tcPr>
          <w:p w14:paraId="670C7BFA" w14:textId="5894DDBE" w:rsidR="007015CA" w:rsidRDefault="007015CA" w:rsidP="007015CA">
            <w:pPr>
              <w:spacing w:line="480" w:lineRule="auto"/>
            </w:pPr>
            <w:r>
              <w:t>“Gene x environment interactions were observed. (…) Sexual abuse and the 5-HTT short/short genotype predicted higher depression, anxiety, and somatic symptoms.”</w:t>
            </w:r>
          </w:p>
        </w:tc>
      </w:tr>
      <w:tr w:rsidR="007015CA" w14:paraId="6D9916F8" w14:textId="77777777" w:rsidTr="00C33E6B">
        <w:tc>
          <w:tcPr>
            <w:tcW w:w="1951" w:type="dxa"/>
          </w:tcPr>
          <w:p w14:paraId="5930A4D5" w14:textId="7469C7CE" w:rsidR="007015CA" w:rsidRDefault="007015CA" w:rsidP="007015CA">
            <w:pPr>
              <w:spacing w:line="480" w:lineRule="auto"/>
            </w:pPr>
            <w:proofErr w:type="spellStart"/>
            <w:r>
              <w:t>Eley</w:t>
            </w:r>
            <w:proofErr w:type="spellEnd"/>
            <w:r>
              <w:t xml:space="preserve"> (2004)</w:t>
            </w:r>
          </w:p>
        </w:tc>
        <w:tc>
          <w:tcPr>
            <w:tcW w:w="7088" w:type="dxa"/>
          </w:tcPr>
          <w:p w14:paraId="3A3064D5" w14:textId="73AF0335" w:rsidR="007015CA" w:rsidRDefault="007015CA" w:rsidP="007015CA">
            <w:pPr>
              <w:spacing w:line="480" w:lineRule="auto"/>
            </w:pPr>
            <w:r>
              <w:t>“Furthermore, there was a significant genotype-environmental risk interaction for 5HTTLPR in female subjects only, with the effect being in the same direction as another recent study, reaffirming that an important source of genetic heterogeneity is exposure to environmental risk.”</w:t>
            </w:r>
          </w:p>
        </w:tc>
      </w:tr>
      <w:tr w:rsidR="007015CA" w14:paraId="1C15139D" w14:textId="77777777" w:rsidTr="00C33E6B">
        <w:tc>
          <w:tcPr>
            <w:tcW w:w="1951" w:type="dxa"/>
          </w:tcPr>
          <w:p w14:paraId="25130EE6" w14:textId="55485501" w:rsidR="007015CA" w:rsidRDefault="007015CA" w:rsidP="007015CA">
            <w:pPr>
              <w:spacing w:line="480" w:lineRule="auto"/>
            </w:pPr>
            <w:proofErr w:type="spellStart"/>
            <w:r>
              <w:t>Hankin</w:t>
            </w:r>
            <w:proofErr w:type="spellEnd"/>
            <w:r>
              <w:t xml:space="preserve"> (2011)</w:t>
            </w:r>
          </w:p>
        </w:tc>
        <w:tc>
          <w:tcPr>
            <w:tcW w:w="7088" w:type="dxa"/>
          </w:tcPr>
          <w:p w14:paraId="672F491F" w14:textId="25FFE68E" w:rsidR="007015CA" w:rsidRDefault="007015CA" w:rsidP="007015CA">
            <w:pPr>
              <w:spacing w:line="480" w:lineRule="auto"/>
            </w:pPr>
            <w:r>
              <w:t>“These findings suggest that 5-HTTLPR confers susceptibility to depression via stress reactivity.”</w:t>
            </w:r>
          </w:p>
        </w:tc>
      </w:tr>
      <w:tr w:rsidR="007015CA" w14:paraId="11ED7A15" w14:textId="77777777" w:rsidTr="00C33E6B">
        <w:tc>
          <w:tcPr>
            <w:tcW w:w="1951" w:type="dxa"/>
          </w:tcPr>
          <w:p w14:paraId="6F9E3058" w14:textId="5F854F6C" w:rsidR="007015CA" w:rsidRDefault="007015CA" w:rsidP="007015CA">
            <w:pPr>
              <w:spacing w:line="480" w:lineRule="auto"/>
            </w:pPr>
            <w:r>
              <w:t>Mitchell (2011)</w:t>
            </w:r>
          </w:p>
        </w:tc>
        <w:tc>
          <w:tcPr>
            <w:tcW w:w="7088" w:type="dxa"/>
          </w:tcPr>
          <w:p w14:paraId="22B196A8" w14:textId="20BC0D65" w:rsidR="007015CA" w:rsidRDefault="007015CA" w:rsidP="007015CA">
            <w:pPr>
              <w:spacing w:line="480" w:lineRule="auto"/>
            </w:pPr>
            <w:r>
              <w:t xml:space="preserve">“Using a </w:t>
            </w:r>
            <w:proofErr w:type="spellStart"/>
            <w:r>
              <w:t>nontruncated</w:t>
            </w:r>
            <w:proofErr w:type="spellEnd"/>
            <w:r>
              <w:t xml:space="preserve"> measure of a chronic environmental stressor—socioeconomic status—measured by education, and two polymorphisms (5-HTTLPR and STin2 VNTR) of the serotonin transporter gene (5-HTT), we find strong evidence that some women are genetically more reactive to the environment, resulting </w:t>
            </w:r>
            <w:r>
              <w:lastRenderedPageBreak/>
              <w:t>in a crossover of risks of postpartum depression for the most reactive groups.”</w:t>
            </w:r>
          </w:p>
        </w:tc>
      </w:tr>
      <w:tr w:rsidR="007015CA" w14:paraId="68291BC7" w14:textId="77777777" w:rsidTr="00C33E6B">
        <w:tc>
          <w:tcPr>
            <w:tcW w:w="1951" w:type="dxa"/>
          </w:tcPr>
          <w:p w14:paraId="0C9A5CA0" w14:textId="73766D80" w:rsidR="007015CA" w:rsidRDefault="007015CA" w:rsidP="007015CA">
            <w:pPr>
              <w:spacing w:line="480" w:lineRule="auto"/>
            </w:pPr>
            <w:proofErr w:type="spellStart"/>
            <w:r>
              <w:lastRenderedPageBreak/>
              <w:t>Scheid</w:t>
            </w:r>
            <w:proofErr w:type="spellEnd"/>
            <w:r>
              <w:t xml:space="preserve"> (2007)</w:t>
            </w:r>
          </w:p>
        </w:tc>
        <w:tc>
          <w:tcPr>
            <w:tcW w:w="7088" w:type="dxa"/>
          </w:tcPr>
          <w:p w14:paraId="18E018EE" w14:textId="276027DC" w:rsidR="007015CA" w:rsidRDefault="007015CA" w:rsidP="007015CA">
            <w:pPr>
              <w:spacing w:line="480" w:lineRule="auto"/>
            </w:pPr>
            <w:r>
              <w:t>“These data offer modest support to other reports of gene-environment interaction and highlight the importance of considering specific stressful life events.”</w:t>
            </w:r>
          </w:p>
        </w:tc>
      </w:tr>
      <w:tr w:rsidR="007015CA" w14:paraId="4E2E991A" w14:textId="77777777" w:rsidTr="00C33E6B">
        <w:tc>
          <w:tcPr>
            <w:tcW w:w="1951" w:type="dxa"/>
          </w:tcPr>
          <w:p w14:paraId="0C1B9FC7" w14:textId="44D45C67" w:rsidR="007015CA" w:rsidRDefault="007015CA" w:rsidP="007015CA">
            <w:pPr>
              <w:spacing w:line="480" w:lineRule="auto"/>
            </w:pPr>
            <w:proofErr w:type="spellStart"/>
            <w:r>
              <w:t>Stefanis</w:t>
            </w:r>
            <w:proofErr w:type="spellEnd"/>
            <w:r>
              <w:t xml:space="preserve"> (2011)</w:t>
            </w:r>
          </w:p>
        </w:tc>
        <w:tc>
          <w:tcPr>
            <w:tcW w:w="7088" w:type="dxa"/>
          </w:tcPr>
          <w:p w14:paraId="1ACD39C9" w14:textId="2084B800" w:rsidR="007015CA" w:rsidRDefault="007015CA" w:rsidP="007015CA">
            <w:pPr>
              <w:spacing w:line="480" w:lineRule="auto"/>
            </w:pPr>
            <w:r>
              <w:t>“Despite limitations linked to the evaluation of psychopathology by a single general scale and multiple comparisons, the present study supports a role of SLC6A4 in modulating abnormal responses to environmental stress.”</w:t>
            </w:r>
          </w:p>
        </w:tc>
      </w:tr>
      <w:tr w:rsidR="007015CA" w14:paraId="5FABB8BB" w14:textId="77777777" w:rsidTr="00C33E6B">
        <w:tc>
          <w:tcPr>
            <w:tcW w:w="1951" w:type="dxa"/>
          </w:tcPr>
          <w:p w14:paraId="6CB4666A" w14:textId="206595F2" w:rsidR="007015CA" w:rsidRDefault="007015CA" w:rsidP="007015CA">
            <w:pPr>
              <w:spacing w:line="480" w:lineRule="auto"/>
            </w:pPr>
            <w:r>
              <w:t>Sugden (2010)</w:t>
            </w:r>
          </w:p>
        </w:tc>
        <w:tc>
          <w:tcPr>
            <w:tcW w:w="7088" w:type="dxa"/>
          </w:tcPr>
          <w:p w14:paraId="5FC9E6E5" w14:textId="5F5D2BEE" w:rsidR="007015CA" w:rsidRDefault="007015CA" w:rsidP="007015CA">
            <w:pPr>
              <w:spacing w:line="480" w:lineRule="auto"/>
            </w:pPr>
            <w:r>
              <w:t>“These findings are further evidence that the 5-HTTLPR moderates the risk of emotional disturbance after exposure to stressful events.”</w:t>
            </w:r>
          </w:p>
        </w:tc>
      </w:tr>
      <w:tr w:rsidR="007015CA" w14:paraId="317CD7F2" w14:textId="77777777" w:rsidTr="00C33E6B">
        <w:tc>
          <w:tcPr>
            <w:tcW w:w="1951" w:type="dxa"/>
          </w:tcPr>
          <w:p w14:paraId="59DABA18" w14:textId="71916077" w:rsidR="007015CA" w:rsidRDefault="007015CA" w:rsidP="007015CA">
            <w:pPr>
              <w:spacing w:line="480" w:lineRule="auto"/>
            </w:pPr>
            <w:proofErr w:type="spellStart"/>
            <w:r>
              <w:t>Uher</w:t>
            </w:r>
            <w:proofErr w:type="spellEnd"/>
            <w:r>
              <w:t xml:space="preserve"> (2011)</w:t>
            </w:r>
          </w:p>
        </w:tc>
        <w:tc>
          <w:tcPr>
            <w:tcW w:w="7088" w:type="dxa"/>
          </w:tcPr>
          <w:p w14:paraId="37221498" w14:textId="23F9A2DB" w:rsidR="007015CA" w:rsidRDefault="007015CA" w:rsidP="007015CA">
            <w:pPr>
              <w:spacing w:line="480" w:lineRule="auto"/>
            </w:pPr>
            <w:r>
              <w:t>“The specific effect on persistent depression increases the significance of this G x E for public health. Research that does not distinguish persistent course may underestimate G x E effects and account for some replication failures in G x E research.”</w:t>
            </w:r>
          </w:p>
        </w:tc>
      </w:tr>
      <w:tr w:rsidR="007015CA" w14:paraId="1EC39969" w14:textId="77777777" w:rsidTr="00C33E6B">
        <w:tc>
          <w:tcPr>
            <w:tcW w:w="1951" w:type="dxa"/>
          </w:tcPr>
          <w:p w14:paraId="1D7538C1" w14:textId="2714E0C1" w:rsidR="007015CA" w:rsidRDefault="007015CA" w:rsidP="007015CA">
            <w:pPr>
              <w:spacing w:line="480" w:lineRule="auto"/>
            </w:pPr>
            <w:r>
              <w:t>Wilhelm (2006)</w:t>
            </w:r>
          </w:p>
        </w:tc>
        <w:tc>
          <w:tcPr>
            <w:tcW w:w="7088" w:type="dxa"/>
          </w:tcPr>
          <w:p w14:paraId="350F15C9" w14:textId="5FCE1375" w:rsidR="007015CA" w:rsidRDefault="007015CA" w:rsidP="007015CA">
            <w:pPr>
              <w:spacing w:line="480" w:lineRule="auto"/>
            </w:pPr>
            <w:r>
              <w:t>“The 5-HTTLPR genotype is a significant predictor of onset of major depression following multiple adverse events. This is one of the more robust findings concerning specific biological risk factors for depression.”</w:t>
            </w:r>
          </w:p>
        </w:tc>
      </w:tr>
      <w:tr w:rsidR="007015CA" w14:paraId="4CBD3BAE" w14:textId="77777777" w:rsidTr="00C33E6B">
        <w:tc>
          <w:tcPr>
            <w:tcW w:w="1951" w:type="dxa"/>
          </w:tcPr>
          <w:p w14:paraId="50E11F5E" w14:textId="031034CC" w:rsidR="007015CA" w:rsidRDefault="007015CA" w:rsidP="007015CA">
            <w:pPr>
              <w:spacing w:line="480" w:lineRule="auto"/>
            </w:pPr>
            <w:r>
              <w:t>Wilhelm (2012)</w:t>
            </w:r>
          </w:p>
        </w:tc>
        <w:tc>
          <w:tcPr>
            <w:tcW w:w="7088" w:type="dxa"/>
          </w:tcPr>
          <w:p w14:paraId="677D4B43" w14:textId="1127A64E" w:rsidR="007015CA" w:rsidRDefault="007015CA" w:rsidP="007015CA">
            <w:pPr>
              <w:spacing w:line="480" w:lineRule="auto"/>
            </w:pPr>
            <w:r>
              <w:t>“Findings suggest that 5HTTLPR/rs25531 genotype is associated with psychological distress in a sample of subjects with diabetes.”</w:t>
            </w:r>
          </w:p>
        </w:tc>
      </w:tr>
      <w:tr w:rsidR="007015CA" w14:paraId="76BF4DCD" w14:textId="77777777" w:rsidTr="00C33E6B">
        <w:tc>
          <w:tcPr>
            <w:tcW w:w="1951" w:type="dxa"/>
          </w:tcPr>
          <w:p w14:paraId="12A76319" w14:textId="2CA804DC" w:rsidR="007015CA" w:rsidRDefault="007015CA" w:rsidP="007015CA">
            <w:pPr>
              <w:spacing w:line="480" w:lineRule="auto"/>
            </w:pPr>
            <w:proofErr w:type="spellStart"/>
            <w:r>
              <w:t>Zalsman</w:t>
            </w:r>
            <w:proofErr w:type="spellEnd"/>
            <w:r>
              <w:t xml:space="preserve"> (2006)</w:t>
            </w:r>
          </w:p>
        </w:tc>
        <w:tc>
          <w:tcPr>
            <w:tcW w:w="7088" w:type="dxa"/>
          </w:tcPr>
          <w:p w14:paraId="3A91643D" w14:textId="5E60BF43" w:rsidR="007015CA" w:rsidRDefault="007015CA" w:rsidP="007015CA">
            <w:pPr>
              <w:spacing w:line="480" w:lineRule="auto"/>
            </w:pPr>
            <w:r>
              <w:t xml:space="preserve">“Lower-expressing transporter alleles, directly and by increasing the impact of stressful life events on severity, explain 31% of the </w:t>
            </w:r>
            <w:r>
              <w:lastRenderedPageBreak/>
              <w:t xml:space="preserve">variance in major depression severity.” </w:t>
            </w:r>
          </w:p>
        </w:tc>
      </w:tr>
      <w:tr w:rsidR="007015CA" w14:paraId="64D1D16C" w14:textId="77777777" w:rsidTr="00C33E6B">
        <w:tc>
          <w:tcPr>
            <w:tcW w:w="1951" w:type="dxa"/>
          </w:tcPr>
          <w:p w14:paraId="1B80BB29" w14:textId="40964B26" w:rsidR="007015CA" w:rsidRDefault="007015CA" w:rsidP="007015CA">
            <w:pPr>
              <w:spacing w:line="480" w:lineRule="auto"/>
            </w:pPr>
            <w:r>
              <w:lastRenderedPageBreak/>
              <w:t>Zhang (2009)</w:t>
            </w:r>
          </w:p>
        </w:tc>
        <w:tc>
          <w:tcPr>
            <w:tcW w:w="7088" w:type="dxa"/>
          </w:tcPr>
          <w:p w14:paraId="3498CBDE" w14:textId="60CDDA87" w:rsidR="007015CA" w:rsidRDefault="007015CA" w:rsidP="007015CA">
            <w:pPr>
              <w:spacing w:line="480" w:lineRule="auto"/>
            </w:pPr>
            <w:r>
              <w:t>“The 5-HTTLPR polymorphism may modify the interaction between negative life events and MDD in the Chinese population.”</w:t>
            </w:r>
          </w:p>
        </w:tc>
      </w:tr>
    </w:tbl>
    <w:p w14:paraId="2418A2EB" w14:textId="77777777" w:rsidR="00D218F6" w:rsidRDefault="00D218F6" w:rsidP="00D218F6">
      <w:pPr>
        <w:spacing w:line="480" w:lineRule="auto"/>
      </w:pPr>
    </w:p>
    <w:p w14:paraId="748960DB" w14:textId="71568965" w:rsidR="009B57FA" w:rsidRDefault="009B57FA" w:rsidP="00D218F6">
      <w:pPr>
        <w:spacing w:line="480" w:lineRule="auto"/>
        <w:sectPr w:rsidR="009B57FA">
          <w:pgSz w:w="11906" w:h="16838"/>
          <w:pgMar w:top="1417" w:right="1417" w:bottom="1417" w:left="1417" w:header="0" w:footer="0" w:gutter="0"/>
          <w:cols w:space="708"/>
          <w:formProt w:val="0"/>
          <w:docGrid w:linePitch="240" w:charSpace="-6145"/>
        </w:sectPr>
      </w:pPr>
      <w:r>
        <w:t>Caption:</w:t>
      </w:r>
      <w:r w:rsidR="00D218F6">
        <w:t xml:space="preserve"> </w:t>
      </w:r>
      <w:r>
        <w:t>The table provides the p</w:t>
      </w:r>
      <w:r w:rsidR="00D218F6">
        <w:t>ivotal sentence(s) from the abstract of the 1</w:t>
      </w:r>
      <w:r w:rsidR="002E00FB">
        <w:t>3</w:t>
      </w:r>
      <w:r w:rsidR="00D218F6">
        <w:t xml:space="preserve"> negative studies that were coded as </w:t>
      </w:r>
      <w:r>
        <w:t>having a positive focus</w:t>
      </w:r>
      <w:r w:rsidR="00D218F6">
        <w:t>. These sentences suggest that the results support the 5-HTTLPR x stress hypothesis, even though the results were actually coded as negative.</w:t>
      </w:r>
    </w:p>
    <w:p w14:paraId="24B3777B" w14:textId="5C9715C8" w:rsidR="00BA71C8" w:rsidRPr="009B57FA" w:rsidRDefault="009B57FA" w:rsidP="00B838ED">
      <w:pPr>
        <w:spacing w:line="480" w:lineRule="auto"/>
        <w:rPr>
          <w:b/>
        </w:rPr>
      </w:pPr>
      <w:r w:rsidRPr="009B57FA">
        <w:rPr>
          <w:b/>
        </w:rPr>
        <w:lastRenderedPageBreak/>
        <w:t xml:space="preserve">Supplemental table 2. </w:t>
      </w:r>
      <w:r w:rsidR="00D218F6" w:rsidRPr="009B57FA">
        <w:rPr>
          <w:b/>
        </w:rPr>
        <w:t>Preferential citation by study category</w:t>
      </w:r>
    </w:p>
    <w:p w14:paraId="756929BA" w14:textId="77777777" w:rsidR="00BA71C8" w:rsidRDefault="00BA71C8" w:rsidP="00B838ED">
      <w:pPr>
        <w:spacing w:line="480" w:lineRule="auto"/>
        <w:rPr>
          <w:i/>
        </w:rPr>
      </w:pPr>
    </w:p>
    <w:tbl>
      <w:tblPr>
        <w:tblStyle w:val="Tabelraster"/>
        <w:tblW w:w="0" w:type="auto"/>
        <w:tblLayout w:type="fixed"/>
        <w:tblLook w:val="04A0" w:firstRow="1" w:lastRow="0" w:firstColumn="1" w:lastColumn="0" w:noHBand="0" w:noVBand="1"/>
      </w:tblPr>
      <w:tblGrid>
        <w:gridCol w:w="817"/>
        <w:gridCol w:w="2977"/>
        <w:gridCol w:w="1843"/>
        <w:gridCol w:w="2126"/>
        <w:gridCol w:w="2977"/>
        <w:gridCol w:w="1417"/>
        <w:gridCol w:w="1843"/>
      </w:tblGrid>
      <w:tr w:rsidR="002565C0" w14:paraId="462406D4" w14:textId="77777777" w:rsidTr="009B57FA">
        <w:tc>
          <w:tcPr>
            <w:tcW w:w="3794" w:type="dxa"/>
            <w:gridSpan w:val="2"/>
            <w:vMerge w:val="restart"/>
          </w:tcPr>
          <w:p w14:paraId="28B66022" w14:textId="1BBF4EC0" w:rsidR="002565C0" w:rsidRDefault="002565C0" w:rsidP="00B838ED">
            <w:pPr>
              <w:spacing w:line="480" w:lineRule="auto"/>
            </w:pPr>
          </w:p>
        </w:tc>
        <w:tc>
          <w:tcPr>
            <w:tcW w:w="10206" w:type="dxa"/>
            <w:gridSpan w:val="5"/>
          </w:tcPr>
          <w:p w14:paraId="383E392B" w14:textId="0EAAE32A" w:rsidR="002565C0" w:rsidRPr="002565C0" w:rsidRDefault="002565C0" w:rsidP="00B838ED">
            <w:pPr>
              <w:spacing w:line="480" w:lineRule="auto"/>
              <w:rPr>
                <w:b/>
              </w:rPr>
            </w:pPr>
            <w:r w:rsidRPr="002565C0">
              <w:rPr>
                <w:b/>
              </w:rPr>
              <w:t>Cited studies</w:t>
            </w:r>
          </w:p>
        </w:tc>
      </w:tr>
      <w:tr w:rsidR="002565C0" w14:paraId="51819A28" w14:textId="77777777" w:rsidTr="009B57FA">
        <w:tc>
          <w:tcPr>
            <w:tcW w:w="3794" w:type="dxa"/>
            <w:gridSpan w:val="2"/>
            <w:vMerge/>
          </w:tcPr>
          <w:p w14:paraId="6F26D58B" w14:textId="58095FB3" w:rsidR="002565C0" w:rsidRDefault="002565C0" w:rsidP="00B838ED">
            <w:pPr>
              <w:spacing w:line="480" w:lineRule="auto"/>
            </w:pPr>
          </w:p>
        </w:tc>
        <w:tc>
          <w:tcPr>
            <w:tcW w:w="1843" w:type="dxa"/>
          </w:tcPr>
          <w:p w14:paraId="3FDB303B" w14:textId="7D40C400" w:rsidR="002565C0" w:rsidRPr="002565C0" w:rsidRDefault="002565C0" w:rsidP="00B838ED">
            <w:pPr>
              <w:spacing w:line="480" w:lineRule="auto"/>
              <w:rPr>
                <w:b/>
              </w:rPr>
            </w:pPr>
            <w:r w:rsidRPr="002565C0">
              <w:rPr>
                <w:b/>
              </w:rPr>
              <w:t>Positive</w:t>
            </w:r>
          </w:p>
        </w:tc>
        <w:tc>
          <w:tcPr>
            <w:tcW w:w="2126" w:type="dxa"/>
          </w:tcPr>
          <w:p w14:paraId="56D60F4A" w14:textId="134E856C" w:rsidR="002565C0" w:rsidRPr="002565C0" w:rsidRDefault="002565C0" w:rsidP="009B57FA">
            <w:pPr>
              <w:spacing w:line="480" w:lineRule="auto"/>
              <w:rPr>
                <w:b/>
              </w:rPr>
            </w:pPr>
            <w:r>
              <w:rPr>
                <w:b/>
              </w:rPr>
              <w:t xml:space="preserve">Negative </w:t>
            </w:r>
            <w:r w:rsidR="009B57FA">
              <w:rPr>
                <w:b/>
              </w:rPr>
              <w:t>without</w:t>
            </w:r>
            <w:r>
              <w:rPr>
                <w:b/>
              </w:rPr>
              <w:t xml:space="preserve"> </w:t>
            </w:r>
            <w:r w:rsidRPr="002565C0">
              <w:rPr>
                <w:b/>
              </w:rPr>
              <w:t>positive focus</w:t>
            </w:r>
          </w:p>
        </w:tc>
        <w:tc>
          <w:tcPr>
            <w:tcW w:w="2977" w:type="dxa"/>
          </w:tcPr>
          <w:p w14:paraId="6D156B23" w14:textId="75A828C4" w:rsidR="002565C0" w:rsidRPr="002565C0" w:rsidRDefault="009B57FA" w:rsidP="002565C0">
            <w:pPr>
              <w:spacing w:line="480" w:lineRule="auto"/>
              <w:rPr>
                <w:b/>
              </w:rPr>
            </w:pPr>
            <w:r>
              <w:rPr>
                <w:b/>
              </w:rPr>
              <w:t>Negative with</w:t>
            </w:r>
            <w:r w:rsidR="002565C0">
              <w:rPr>
                <w:b/>
              </w:rPr>
              <w:t xml:space="preserve"> (partially) </w:t>
            </w:r>
            <w:r w:rsidR="002565C0" w:rsidRPr="002565C0">
              <w:rPr>
                <w:b/>
              </w:rPr>
              <w:t>positive focus</w:t>
            </w:r>
          </w:p>
        </w:tc>
        <w:tc>
          <w:tcPr>
            <w:tcW w:w="1417" w:type="dxa"/>
          </w:tcPr>
          <w:p w14:paraId="69BC1513" w14:textId="6485E1CD" w:rsidR="002565C0" w:rsidRPr="002565C0" w:rsidRDefault="002565C0" w:rsidP="00B838ED">
            <w:pPr>
              <w:spacing w:line="480" w:lineRule="auto"/>
              <w:rPr>
                <w:b/>
              </w:rPr>
            </w:pPr>
            <w:r w:rsidRPr="002565C0">
              <w:rPr>
                <w:b/>
              </w:rPr>
              <w:t>Unclear</w:t>
            </w:r>
          </w:p>
        </w:tc>
        <w:tc>
          <w:tcPr>
            <w:tcW w:w="1843" w:type="dxa"/>
          </w:tcPr>
          <w:p w14:paraId="6F816160" w14:textId="6D7FE8AA" w:rsidR="002565C0" w:rsidRPr="002565C0" w:rsidRDefault="002565C0" w:rsidP="00B838ED">
            <w:pPr>
              <w:spacing w:line="480" w:lineRule="auto"/>
              <w:rPr>
                <w:b/>
              </w:rPr>
            </w:pPr>
            <w:r w:rsidRPr="002565C0">
              <w:rPr>
                <w:b/>
              </w:rPr>
              <w:t>Total</w:t>
            </w:r>
          </w:p>
        </w:tc>
      </w:tr>
      <w:tr w:rsidR="009B57FA" w14:paraId="0FB44525" w14:textId="77777777" w:rsidTr="009B57FA">
        <w:tc>
          <w:tcPr>
            <w:tcW w:w="817" w:type="dxa"/>
            <w:textDirection w:val="btLr"/>
          </w:tcPr>
          <w:p w14:paraId="5FFDDD74" w14:textId="77777777" w:rsidR="00D218F6" w:rsidRPr="002565C0" w:rsidRDefault="00D218F6" w:rsidP="00D218F6">
            <w:pPr>
              <w:spacing w:line="480" w:lineRule="auto"/>
              <w:jc w:val="center"/>
              <w:rPr>
                <w:b/>
              </w:rPr>
            </w:pPr>
          </w:p>
        </w:tc>
        <w:tc>
          <w:tcPr>
            <w:tcW w:w="2977" w:type="dxa"/>
          </w:tcPr>
          <w:p w14:paraId="29258355" w14:textId="28FF43E9" w:rsidR="00D218F6" w:rsidRPr="00D218F6" w:rsidRDefault="00D218F6" w:rsidP="00B838ED">
            <w:pPr>
              <w:spacing w:line="480" w:lineRule="auto"/>
              <w:rPr>
                <w:b/>
                <w:i/>
              </w:rPr>
            </w:pPr>
            <w:r w:rsidRPr="00D218F6">
              <w:rPr>
                <w:b/>
                <w:i/>
              </w:rPr>
              <w:t>Number of studies</w:t>
            </w:r>
          </w:p>
        </w:tc>
        <w:tc>
          <w:tcPr>
            <w:tcW w:w="1843" w:type="dxa"/>
          </w:tcPr>
          <w:p w14:paraId="1F2C25B4" w14:textId="63DD1869" w:rsidR="00D218F6" w:rsidRPr="00D218F6" w:rsidRDefault="00D218F6" w:rsidP="00B838ED">
            <w:pPr>
              <w:spacing w:line="480" w:lineRule="auto"/>
              <w:rPr>
                <w:i/>
              </w:rPr>
            </w:pPr>
            <w:r w:rsidRPr="00D218F6">
              <w:rPr>
                <w:i/>
              </w:rPr>
              <w:t>24 (33%)</w:t>
            </w:r>
          </w:p>
        </w:tc>
        <w:tc>
          <w:tcPr>
            <w:tcW w:w="2126" w:type="dxa"/>
          </w:tcPr>
          <w:p w14:paraId="7BAF2B5A" w14:textId="33FE5B06" w:rsidR="00D218F6" w:rsidRPr="00D218F6" w:rsidRDefault="00D218F6" w:rsidP="00B838ED">
            <w:pPr>
              <w:spacing w:line="480" w:lineRule="auto"/>
              <w:rPr>
                <w:i/>
              </w:rPr>
            </w:pPr>
            <w:r w:rsidRPr="00D218F6">
              <w:rPr>
                <w:i/>
              </w:rPr>
              <w:t>16 (22%)</w:t>
            </w:r>
          </w:p>
        </w:tc>
        <w:tc>
          <w:tcPr>
            <w:tcW w:w="2977" w:type="dxa"/>
          </w:tcPr>
          <w:p w14:paraId="0A1F080C" w14:textId="5101FB6D" w:rsidR="00D218F6" w:rsidRPr="00D218F6" w:rsidRDefault="00D218F6" w:rsidP="00431849">
            <w:pPr>
              <w:spacing w:line="480" w:lineRule="auto"/>
              <w:rPr>
                <w:i/>
              </w:rPr>
            </w:pPr>
            <w:r w:rsidRPr="00D218F6">
              <w:rPr>
                <w:i/>
              </w:rPr>
              <w:t>2</w:t>
            </w:r>
            <w:r w:rsidR="00431849">
              <w:rPr>
                <w:i/>
              </w:rPr>
              <w:t>1</w:t>
            </w:r>
            <w:r w:rsidRPr="00D218F6">
              <w:rPr>
                <w:i/>
              </w:rPr>
              <w:t xml:space="preserve"> (</w:t>
            </w:r>
            <w:r w:rsidR="00431849">
              <w:rPr>
                <w:i/>
              </w:rPr>
              <w:t>29</w:t>
            </w:r>
            <w:r w:rsidRPr="00D218F6">
              <w:rPr>
                <w:i/>
              </w:rPr>
              <w:t>%)</w:t>
            </w:r>
          </w:p>
        </w:tc>
        <w:tc>
          <w:tcPr>
            <w:tcW w:w="1417" w:type="dxa"/>
          </w:tcPr>
          <w:p w14:paraId="63845AA5" w14:textId="76F2CCB5" w:rsidR="00D218F6" w:rsidRPr="00D218F6" w:rsidRDefault="00D218F6" w:rsidP="00B838ED">
            <w:pPr>
              <w:spacing w:line="480" w:lineRule="auto"/>
              <w:rPr>
                <w:i/>
              </w:rPr>
            </w:pPr>
            <w:r w:rsidRPr="00D218F6">
              <w:rPr>
                <w:i/>
              </w:rPr>
              <w:t>11 (15%)</w:t>
            </w:r>
          </w:p>
        </w:tc>
        <w:tc>
          <w:tcPr>
            <w:tcW w:w="1843" w:type="dxa"/>
          </w:tcPr>
          <w:p w14:paraId="6796652C" w14:textId="5BA424CD" w:rsidR="00D218F6" w:rsidRPr="00D218F6" w:rsidRDefault="00D218F6" w:rsidP="00B838ED">
            <w:pPr>
              <w:spacing w:line="480" w:lineRule="auto"/>
              <w:rPr>
                <w:i/>
              </w:rPr>
            </w:pPr>
            <w:r w:rsidRPr="00D218F6">
              <w:rPr>
                <w:i/>
              </w:rPr>
              <w:t>73 (100%)</w:t>
            </w:r>
          </w:p>
        </w:tc>
      </w:tr>
      <w:tr w:rsidR="009B57FA" w14:paraId="2B63CCDC" w14:textId="77777777" w:rsidTr="009B57FA">
        <w:tc>
          <w:tcPr>
            <w:tcW w:w="817" w:type="dxa"/>
            <w:vMerge w:val="restart"/>
            <w:textDirection w:val="btLr"/>
          </w:tcPr>
          <w:p w14:paraId="64390BB6" w14:textId="26A48D52" w:rsidR="00D218F6" w:rsidRPr="002565C0" w:rsidRDefault="00D218F6" w:rsidP="00D218F6">
            <w:pPr>
              <w:spacing w:line="480" w:lineRule="auto"/>
              <w:jc w:val="center"/>
              <w:rPr>
                <w:b/>
              </w:rPr>
            </w:pPr>
            <w:r w:rsidRPr="002565C0">
              <w:rPr>
                <w:b/>
              </w:rPr>
              <w:t>Citing studies</w:t>
            </w:r>
          </w:p>
        </w:tc>
        <w:tc>
          <w:tcPr>
            <w:tcW w:w="2977" w:type="dxa"/>
          </w:tcPr>
          <w:p w14:paraId="7403DB27" w14:textId="648C9649" w:rsidR="00D218F6" w:rsidRPr="00D218F6" w:rsidRDefault="00D218F6" w:rsidP="00D218F6">
            <w:pPr>
              <w:spacing w:line="480" w:lineRule="auto"/>
              <w:rPr>
                <w:b/>
                <w:i/>
              </w:rPr>
            </w:pPr>
            <w:r w:rsidRPr="002565C0">
              <w:rPr>
                <w:b/>
              </w:rPr>
              <w:t xml:space="preserve">Positive </w:t>
            </w:r>
          </w:p>
        </w:tc>
        <w:tc>
          <w:tcPr>
            <w:tcW w:w="1843" w:type="dxa"/>
          </w:tcPr>
          <w:p w14:paraId="52FB5337" w14:textId="7AC9717B" w:rsidR="00D218F6" w:rsidRPr="00D218F6" w:rsidRDefault="00D218F6" w:rsidP="00B838ED">
            <w:pPr>
              <w:spacing w:line="480" w:lineRule="auto"/>
              <w:rPr>
                <w:i/>
              </w:rPr>
            </w:pPr>
            <w:r>
              <w:t>80 (55%)</w:t>
            </w:r>
          </w:p>
        </w:tc>
        <w:tc>
          <w:tcPr>
            <w:tcW w:w="2126" w:type="dxa"/>
          </w:tcPr>
          <w:p w14:paraId="0EB43C20" w14:textId="0F1A2A13" w:rsidR="00D218F6" w:rsidRPr="00D218F6" w:rsidRDefault="00D218F6" w:rsidP="00B838ED">
            <w:pPr>
              <w:spacing w:line="480" w:lineRule="auto"/>
              <w:rPr>
                <w:i/>
              </w:rPr>
            </w:pPr>
            <w:r>
              <w:t>26 (18%)</w:t>
            </w:r>
          </w:p>
        </w:tc>
        <w:tc>
          <w:tcPr>
            <w:tcW w:w="2977" w:type="dxa"/>
          </w:tcPr>
          <w:p w14:paraId="3373549E" w14:textId="42F63B50" w:rsidR="00D218F6" w:rsidRPr="00D218F6" w:rsidRDefault="00D218F6" w:rsidP="00B838ED">
            <w:pPr>
              <w:spacing w:line="480" w:lineRule="auto"/>
              <w:rPr>
                <w:i/>
              </w:rPr>
            </w:pPr>
            <w:r>
              <w:t>28 (19%)</w:t>
            </w:r>
          </w:p>
        </w:tc>
        <w:tc>
          <w:tcPr>
            <w:tcW w:w="1417" w:type="dxa"/>
          </w:tcPr>
          <w:p w14:paraId="6A8205B1" w14:textId="05273D3B" w:rsidR="00D218F6" w:rsidRPr="00D218F6" w:rsidRDefault="00D218F6" w:rsidP="00B838ED">
            <w:pPr>
              <w:spacing w:line="480" w:lineRule="auto"/>
              <w:rPr>
                <w:i/>
              </w:rPr>
            </w:pPr>
            <w:r>
              <w:t>11 (8%)</w:t>
            </w:r>
          </w:p>
        </w:tc>
        <w:tc>
          <w:tcPr>
            <w:tcW w:w="1843" w:type="dxa"/>
          </w:tcPr>
          <w:p w14:paraId="19213E68" w14:textId="2C763663" w:rsidR="00D218F6" w:rsidRPr="00D218F6" w:rsidRDefault="00D218F6" w:rsidP="00B838ED">
            <w:pPr>
              <w:spacing w:line="480" w:lineRule="auto"/>
              <w:rPr>
                <w:i/>
              </w:rPr>
            </w:pPr>
            <w:r>
              <w:t>145 (100%)</w:t>
            </w:r>
          </w:p>
        </w:tc>
      </w:tr>
      <w:tr w:rsidR="009B57FA" w14:paraId="071FEE49" w14:textId="77777777" w:rsidTr="009B57FA">
        <w:tc>
          <w:tcPr>
            <w:tcW w:w="817" w:type="dxa"/>
            <w:vMerge/>
          </w:tcPr>
          <w:p w14:paraId="714D02E8" w14:textId="6D81C662" w:rsidR="00D218F6" w:rsidRPr="002565C0" w:rsidRDefault="00D218F6" w:rsidP="00B838ED">
            <w:pPr>
              <w:spacing w:line="480" w:lineRule="auto"/>
              <w:rPr>
                <w:b/>
              </w:rPr>
            </w:pPr>
          </w:p>
        </w:tc>
        <w:tc>
          <w:tcPr>
            <w:tcW w:w="2977" w:type="dxa"/>
          </w:tcPr>
          <w:p w14:paraId="2EB6ECCA" w14:textId="5F5ECEF2" w:rsidR="00D218F6" w:rsidRPr="002565C0" w:rsidRDefault="00D218F6" w:rsidP="009B57FA">
            <w:pPr>
              <w:spacing w:line="480" w:lineRule="auto"/>
              <w:rPr>
                <w:b/>
              </w:rPr>
            </w:pPr>
            <w:r w:rsidRPr="002565C0">
              <w:rPr>
                <w:b/>
              </w:rPr>
              <w:t xml:space="preserve">Negative </w:t>
            </w:r>
            <w:r w:rsidR="009B57FA">
              <w:rPr>
                <w:b/>
              </w:rPr>
              <w:t>without</w:t>
            </w:r>
            <w:r>
              <w:rPr>
                <w:b/>
              </w:rPr>
              <w:t xml:space="preserve"> </w:t>
            </w:r>
            <w:r w:rsidRPr="002565C0">
              <w:rPr>
                <w:b/>
              </w:rPr>
              <w:t>positive focus</w:t>
            </w:r>
          </w:p>
        </w:tc>
        <w:tc>
          <w:tcPr>
            <w:tcW w:w="1843" w:type="dxa"/>
          </w:tcPr>
          <w:p w14:paraId="3AA6C532" w14:textId="5C99EE7C" w:rsidR="00D218F6" w:rsidRDefault="00D218F6" w:rsidP="00431849">
            <w:pPr>
              <w:spacing w:line="480" w:lineRule="auto"/>
            </w:pPr>
            <w:r>
              <w:t>4</w:t>
            </w:r>
            <w:r w:rsidR="00431849">
              <w:t>3</w:t>
            </w:r>
            <w:r>
              <w:t xml:space="preserve"> (4</w:t>
            </w:r>
            <w:r w:rsidR="00431849">
              <w:t>2</w:t>
            </w:r>
            <w:r>
              <w:t>%)</w:t>
            </w:r>
          </w:p>
        </w:tc>
        <w:tc>
          <w:tcPr>
            <w:tcW w:w="2126" w:type="dxa"/>
          </w:tcPr>
          <w:p w14:paraId="2AE7D167" w14:textId="17489F81" w:rsidR="00D218F6" w:rsidRDefault="00D218F6" w:rsidP="00431849">
            <w:pPr>
              <w:spacing w:line="480" w:lineRule="auto"/>
            </w:pPr>
            <w:r>
              <w:t>31 (</w:t>
            </w:r>
            <w:r w:rsidR="00431849">
              <w:t>30</w:t>
            </w:r>
            <w:r>
              <w:t>%)</w:t>
            </w:r>
          </w:p>
        </w:tc>
        <w:tc>
          <w:tcPr>
            <w:tcW w:w="2977" w:type="dxa"/>
          </w:tcPr>
          <w:p w14:paraId="1A5925C7" w14:textId="5D9E9AD0" w:rsidR="00D218F6" w:rsidRDefault="00431849" w:rsidP="00431849">
            <w:pPr>
              <w:spacing w:line="480" w:lineRule="auto"/>
            </w:pPr>
            <w:r>
              <w:t>19</w:t>
            </w:r>
            <w:r w:rsidR="00D218F6">
              <w:t xml:space="preserve"> (</w:t>
            </w:r>
            <w:r>
              <w:t>19</w:t>
            </w:r>
            <w:r w:rsidR="00D218F6">
              <w:t>%)</w:t>
            </w:r>
          </w:p>
        </w:tc>
        <w:tc>
          <w:tcPr>
            <w:tcW w:w="1417" w:type="dxa"/>
          </w:tcPr>
          <w:p w14:paraId="690AF019" w14:textId="4522A451" w:rsidR="00D218F6" w:rsidRDefault="00431849" w:rsidP="00B838ED">
            <w:pPr>
              <w:spacing w:line="480" w:lineRule="auto"/>
            </w:pPr>
            <w:r>
              <w:t>9</w:t>
            </w:r>
            <w:r w:rsidR="00D218F6">
              <w:t xml:space="preserve"> (9%)</w:t>
            </w:r>
          </w:p>
        </w:tc>
        <w:tc>
          <w:tcPr>
            <w:tcW w:w="1843" w:type="dxa"/>
          </w:tcPr>
          <w:p w14:paraId="63A9E0BF" w14:textId="06FDFABE" w:rsidR="00D218F6" w:rsidRDefault="00D218F6" w:rsidP="00431849">
            <w:pPr>
              <w:spacing w:line="480" w:lineRule="auto"/>
            </w:pPr>
            <w:r>
              <w:t>10</w:t>
            </w:r>
            <w:r w:rsidR="00431849">
              <w:t>2</w:t>
            </w:r>
            <w:r>
              <w:t xml:space="preserve"> (100%)</w:t>
            </w:r>
          </w:p>
        </w:tc>
      </w:tr>
      <w:tr w:rsidR="009B57FA" w14:paraId="1C0C634C" w14:textId="77777777" w:rsidTr="009B57FA">
        <w:tc>
          <w:tcPr>
            <w:tcW w:w="817" w:type="dxa"/>
            <w:vMerge/>
          </w:tcPr>
          <w:p w14:paraId="5BFEA0C8" w14:textId="6A10DEA2" w:rsidR="00D218F6" w:rsidRPr="002565C0" w:rsidRDefault="00D218F6" w:rsidP="00B838ED">
            <w:pPr>
              <w:spacing w:line="480" w:lineRule="auto"/>
              <w:rPr>
                <w:b/>
              </w:rPr>
            </w:pPr>
          </w:p>
        </w:tc>
        <w:tc>
          <w:tcPr>
            <w:tcW w:w="2977" w:type="dxa"/>
          </w:tcPr>
          <w:p w14:paraId="6F051366" w14:textId="22064F4E" w:rsidR="00D218F6" w:rsidRPr="002565C0" w:rsidRDefault="00D218F6" w:rsidP="009B57FA">
            <w:pPr>
              <w:spacing w:line="480" w:lineRule="auto"/>
              <w:rPr>
                <w:b/>
              </w:rPr>
            </w:pPr>
            <w:r>
              <w:rPr>
                <w:b/>
              </w:rPr>
              <w:t xml:space="preserve">Negative </w:t>
            </w:r>
            <w:r w:rsidR="009B57FA">
              <w:rPr>
                <w:b/>
              </w:rPr>
              <w:t xml:space="preserve">with </w:t>
            </w:r>
            <w:r>
              <w:rPr>
                <w:b/>
              </w:rPr>
              <w:t xml:space="preserve">(partially) </w:t>
            </w:r>
            <w:r w:rsidRPr="002565C0">
              <w:rPr>
                <w:b/>
              </w:rPr>
              <w:t>positive focus</w:t>
            </w:r>
          </w:p>
        </w:tc>
        <w:tc>
          <w:tcPr>
            <w:tcW w:w="1843" w:type="dxa"/>
          </w:tcPr>
          <w:p w14:paraId="30C628B1" w14:textId="34AD5356" w:rsidR="00D218F6" w:rsidRDefault="00D218F6" w:rsidP="00431849">
            <w:pPr>
              <w:spacing w:line="480" w:lineRule="auto"/>
            </w:pPr>
            <w:r>
              <w:t>7</w:t>
            </w:r>
            <w:r w:rsidR="00431849">
              <w:t>7</w:t>
            </w:r>
            <w:r>
              <w:t xml:space="preserve"> (4</w:t>
            </w:r>
            <w:r w:rsidR="00431849">
              <w:t>6</w:t>
            </w:r>
            <w:r>
              <w:t>%)</w:t>
            </w:r>
          </w:p>
        </w:tc>
        <w:tc>
          <w:tcPr>
            <w:tcW w:w="2126" w:type="dxa"/>
          </w:tcPr>
          <w:p w14:paraId="3D13D2DC" w14:textId="0289FE52" w:rsidR="00D218F6" w:rsidRDefault="00D218F6" w:rsidP="00B838ED">
            <w:pPr>
              <w:spacing w:line="480" w:lineRule="auto"/>
            </w:pPr>
            <w:r>
              <w:t>28 (17%)</w:t>
            </w:r>
          </w:p>
        </w:tc>
        <w:tc>
          <w:tcPr>
            <w:tcW w:w="2977" w:type="dxa"/>
          </w:tcPr>
          <w:p w14:paraId="3C8D237B" w14:textId="5B0C5DAF" w:rsidR="00D218F6" w:rsidRDefault="00D218F6" w:rsidP="00431849">
            <w:pPr>
              <w:spacing w:line="480" w:lineRule="auto"/>
            </w:pPr>
            <w:r>
              <w:t>4</w:t>
            </w:r>
            <w:r w:rsidR="00431849">
              <w:t>3</w:t>
            </w:r>
            <w:r>
              <w:t xml:space="preserve"> (2</w:t>
            </w:r>
            <w:r w:rsidR="00431849">
              <w:t>6</w:t>
            </w:r>
            <w:r>
              <w:t>%)</w:t>
            </w:r>
          </w:p>
        </w:tc>
        <w:tc>
          <w:tcPr>
            <w:tcW w:w="1417" w:type="dxa"/>
          </w:tcPr>
          <w:p w14:paraId="0D96EC32" w14:textId="6272532E" w:rsidR="00D218F6" w:rsidRDefault="00D218F6" w:rsidP="00431849">
            <w:pPr>
              <w:spacing w:line="480" w:lineRule="auto"/>
            </w:pPr>
            <w:r>
              <w:t>1</w:t>
            </w:r>
            <w:r w:rsidR="00431849">
              <w:t>8</w:t>
            </w:r>
            <w:r>
              <w:t xml:space="preserve"> (11%)</w:t>
            </w:r>
          </w:p>
        </w:tc>
        <w:tc>
          <w:tcPr>
            <w:tcW w:w="1843" w:type="dxa"/>
          </w:tcPr>
          <w:p w14:paraId="71EFEAB7" w14:textId="18E359D5" w:rsidR="00D218F6" w:rsidRDefault="00D218F6" w:rsidP="00431849">
            <w:pPr>
              <w:spacing w:line="480" w:lineRule="auto"/>
            </w:pPr>
            <w:r>
              <w:t>16</w:t>
            </w:r>
            <w:r w:rsidR="00431849">
              <w:t>6</w:t>
            </w:r>
            <w:r>
              <w:t xml:space="preserve"> (100%)</w:t>
            </w:r>
          </w:p>
        </w:tc>
      </w:tr>
      <w:tr w:rsidR="009B57FA" w14:paraId="476E7F11" w14:textId="77777777" w:rsidTr="009B57FA">
        <w:tc>
          <w:tcPr>
            <w:tcW w:w="817" w:type="dxa"/>
            <w:vMerge/>
          </w:tcPr>
          <w:p w14:paraId="6DEE0C66" w14:textId="26DC6D3D" w:rsidR="00D218F6" w:rsidRPr="002565C0" w:rsidRDefault="00D218F6" w:rsidP="00B838ED">
            <w:pPr>
              <w:spacing w:line="480" w:lineRule="auto"/>
              <w:rPr>
                <w:b/>
              </w:rPr>
            </w:pPr>
          </w:p>
        </w:tc>
        <w:tc>
          <w:tcPr>
            <w:tcW w:w="2977" w:type="dxa"/>
          </w:tcPr>
          <w:p w14:paraId="224A14FB" w14:textId="006E5061" w:rsidR="00D218F6" w:rsidRPr="002565C0" w:rsidRDefault="00D218F6" w:rsidP="00D218F6">
            <w:pPr>
              <w:spacing w:line="480" w:lineRule="auto"/>
              <w:rPr>
                <w:b/>
              </w:rPr>
            </w:pPr>
            <w:r w:rsidRPr="002565C0">
              <w:rPr>
                <w:b/>
              </w:rPr>
              <w:t xml:space="preserve">Unclear </w:t>
            </w:r>
          </w:p>
        </w:tc>
        <w:tc>
          <w:tcPr>
            <w:tcW w:w="1843" w:type="dxa"/>
          </w:tcPr>
          <w:p w14:paraId="0F13A7C5" w14:textId="5C98DAB8" w:rsidR="00D218F6" w:rsidRDefault="00D218F6" w:rsidP="00B838ED">
            <w:pPr>
              <w:spacing w:line="480" w:lineRule="auto"/>
            </w:pPr>
            <w:r>
              <w:t>36 (48%)</w:t>
            </w:r>
          </w:p>
        </w:tc>
        <w:tc>
          <w:tcPr>
            <w:tcW w:w="2126" w:type="dxa"/>
          </w:tcPr>
          <w:p w14:paraId="0017E818" w14:textId="2F7C8716" w:rsidR="00D218F6" w:rsidRDefault="00D218F6" w:rsidP="00B838ED">
            <w:pPr>
              <w:spacing w:line="480" w:lineRule="auto"/>
            </w:pPr>
            <w:r>
              <w:t>12 (16%)</w:t>
            </w:r>
          </w:p>
        </w:tc>
        <w:tc>
          <w:tcPr>
            <w:tcW w:w="2977" w:type="dxa"/>
          </w:tcPr>
          <w:p w14:paraId="302F84B0" w14:textId="46CB2F1F" w:rsidR="00D218F6" w:rsidRDefault="00D218F6" w:rsidP="00B838ED">
            <w:pPr>
              <w:spacing w:line="480" w:lineRule="auto"/>
            </w:pPr>
            <w:r>
              <w:t>18 (24%)</w:t>
            </w:r>
          </w:p>
        </w:tc>
        <w:tc>
          <w:tcPr>
            <w:tcW w:w="1417" w:type="dxa"/>
          </w:tcPr>
          <w:p w14:paraId="2A020E9C" w14:textId="2FD19484" w:rsidR="00D218F6" w:rsidRDefault="00D218F6" w:rsidP="00B838ED">
            <w:pPr>
              <w:spacing w:line="480" w:lineRule="auto"/>
            </w:pPr>
            <w:r>
              <w:t>9 (12%)</w:t>
            </w:r>
          </w:p>
        </w:tc>
        <w:tc>
          <w:tcPr>
            <w:tcW w:w="1843" w:type="dxa"/>
          </w:tcPr>
          <w:p w14:paraId="2BF74067" w14:textId="005267B2" w:rsidR="00D218F6" w:rsidRDefault="00D218F6" w:rsidP="00B838ED">
            <w:pPr>
              <w:spacing w:line="480" w:lineRule="auto"/>
            </w:pPr>
            <w:r>
              <w:t>75 (100%)</w:t>
            </w:r>
          </w:p>
        </w:tc>
      </w:tr>
      <w:tr w:rsidR="009B57FA" w14:paraId="322B435D" w14:textId="77777777" w:rsidTr="009B57FA">
        <w:tc>
          <w:tcPr>
            <w:tcW w:w="817" w:type="dxa"/>
            <w:vMerge/>
          </w:tcPr>
          <w:p w14:paraId="2758E4EF" w14:textId="77777777" w:rsidR="00D218F6" w:rsidRPr="002565C0" w:rsidRDefault="00D218F6" w:rsidP="00B838ED">
            <w:pPr>
              <w:spacing w:line="480" w:lineRule="auto"/>
              <w:rPr>
                <w:b/>
              </w:rPr>
            </w:pPr>
          </w:p>
        </w:tc>
        <w:tc>
          <w:tcPr>
            <w:tcW w:w="2977" w:type="dxa"/>
          </w:tcPr>
          <w:p w14:paraId="57DC5B2C" w14:textId="42AE1B1C" w:rsidR="00D218F6" w:rsidRPr="002565C0" w:rsidRDefault="00D218F6" w:rsidP="00B838ED">
            <w:pPr>
              <w:spacing w:line="480" w:lineRule="auto"/>
              <w:rPr>
                <w:b/>
              </w:rPr>
            </w:pPr>
            <w:r>
              <w:rPr>
                <w:b/>
              </w:rPr>
              <w:t>Overall</w:t>
            </w:r>
          </w:p>
        </w:tc>
        <w:tc>
          <w:tcPr>
            <w:tcW w:w="1843" w:type="dxa"/>
          </w:tcPr>
          <w:p w14:paraId="3BA28804" w14:textId="4429CB45" w:rsidR="00D218F6" w:rsidRDefault="00D218F6" w:rsidP="00431849">
            <w:pPr>
              <w:spacing w:line="480" w:lineRule="auto"/>
            </w:pPr>
            <w:r>
              <w:t>23</w:t>
            </w:r>
            <w:r w:rsidR="00431849">
              <w:t>6</w:t>
            </w:r>
            <w:r>
              <w:t xml:space="preserve"> (48%)</w:t>
            </w:r>
          </w:p>
        </w:tc>
        <w:tc>
          <w:tcPr>
            <w:tcW w:w="2126" w:type="dxa"/>
          </w:tcPr>
          <w:p w14:paraId="6548E3E8" w14:textId="222472FF" w:rsidR="00D218F6" w:rsidRDefault="00D218F6" w:rsidP="00B838ED">
            <w:pPr>
              <w:spacing w:line="480" w:lineRule="auto"/>
            </w:pPr>
            <w:r>
              <w:t>97 (20%)</w:t>
            </w:r>
          </w:p>
        </w:tc>
        <w:tc>
          <w:tcPr>
            <w:tcW w:w="2977" w:type="dxa"/>
          </w:tcPr>
          <w:p w14:paraId="385C2F0C" w14:textId="33639ACE" w:rsidR="00D218F6" w:rsidRDefault="00D218F6" w:rsidP="00431849">
            <w:pPr>
              <w:spacing w:line="480" w:lineRule="auto"/>
            </w:pPr>
            <w:r>
              <w:t>1</w:t>
            </w:r>
            <w:r w:rsidR="00431849">
              <w:t>08</w:t>
            </w:r>
            <w:r>
              <w:t xml:space="preserve"> (22%)</w:t>
            </w:r>
          </w:p>
        </w:tc>
        <w:tc>
          <w:tcPr>
            <w:tcW w:w="1417" w:type="dxa"/>
          </w:tcPr>
          <w:p w14:paraId="4385AB30" w14:textId="3E55AAFF" w:rsidR="00D218F6" w:rsidRDefault="00D218F6" w:rsidP="00431849">
            <w:pPr>
              <w:spacing w:line="480" w:lineRule="auto"/>
            </w:pPr>
            <w:r>
              <w:t>4</w:t>
            </w:r>
            <w:r w:rsidR="00431849">
              <w:t>7</w:t>
            </w:r>
            <w:r>
              <w:t xml:space="preserve"> (10%)</w:t>
            </w:r>
          </w:p>
        </w:tc>
        <w:tc>
          <w:tcPr>
            <w:tcW w:w="1843" w:type="dxa"/>
          </w:tcPr>
          <w:p w14:paraId="7A052361" w14:textId="2711B51D" w:rsidR="00D218F6" w:rsidRDefault="00D218F6" w:rsidP="00431849">
            <w:pPr>
              <w:spacing w:line="480" w:lineRule="auto"/>
            </w:pPr>
            <w:r>
              <w:t>4</w:t>
            </w:r>
            <w:r w:rsidR="00431849">
              <w:t>88</w:t>
            </w:r>
            <w:r>
              <w:t xml:space="preserve"> </w:t>
            </w:r>
          </w:p>
        </w:tc>
      </w:tr>
    </w:tbl>
    <w:p w14:paraId="5FFE1AB9" w14:textId="77777777" w:rsidR="000C4B59" w:rsidRDefault="000C4B59" w:rsidP="00B838ED">
      <w:pPr>
        <w:spacing w:line="480" w:lineRule="auto"/>
      </w:pPr>
    </w:p>
    <w:p w14:paraId="07B4D793" w14:textId="77777777" w:rsidR="009B57FA" w:rsidRDefault="009B57FA" w:rsidP="00B838ED">
      <w:pPr>
        <w:spacing w:line="480" w:lineRule="auto"/>
        <w:sectPr w:rsidR="009B57FA" w:rsidSect="009B57FA">
          <w:pgSz w:w="16838" w:h="11906" w:orient="landscape"/>
          <w:pgMar w:top="1417" w:right="1417" w:bottom="1417" w:left="1417" w:header="0" w:footer="0" w:gutter="0"/>
          <w:cols w:space="708"/>
          <w:formProt w:val="0"/>
          <w:docGrid w:linePitch="326" w:charSpace="-6145"/>
        </w:sectPr>
      </w:pPr>
      <w:r>
        <w:t>Caption:</w:t>
      </w:r>
      <w:r w:rsidR="002565C0">
        <w:t xml:space="preserve"> Number of </w:t>
      </w:r>
      <w:r w:rsidR="00D218F6">
        <w:t xml:space="preserve">within-network </w:t>
      </w:r>
      <w:r w:rsidR="002565C0">
        <w:t xml:space="preserve">citations by each study category (in rows) given to </w:t>
      </w:r>
      <w:r w:rsidR="00D218F6">
        <w:t>studies</w:t>
      </w:r>
      <w:r w:rsidR="002565C0">
        <w:t xml:space="preserve"> of each category (in columns). </w:t>
      </w:r>
    </w:p>
    <w:p w14:paraId="6E3656A6" w14:textId="04164C02" w:rsidR="00D218F6" w:rsidRPr="00D218F6" w:rsidRDefault="009B57FA" w:rsidP="009B57FA">
      <w:pPr>
        <w:suppressAutoHyphens w:val="0"/>
        <w:spacing w:line="480" w:lineRule="auto"/>
        <w:rPr>
          <w:b/>
        </w:rPr>
      </w:pPr>
      <w:r>
        <w:rPr>
          <w:b/>
        </w:rPr>
        <w:lastRenderedPageBreak/>
        <w:t xml:space="preserve">Supplemental Table 3. Sensitivity analysis of mean and median number of citations (raw and year-adjusted) for negative, unclear, and positive studies. </w:t>
      </w:r>
    </w:p>
    <w:p w14:paraId="35A70927" w14:textId="77777777" w:rsidR="00D218F6" w:rsidRDefault="00D218F6">
      <w:pPr>
        <w:suppressAutoHyphens w:val="0"/>
      </w:pPr>
    </w:p>
    <w:tbl>
      <w:tblPr>
        <w:tblStyle w:val="Tabelraster"/>
        <w:tblpPr w:leftFromText="141" w:rightFromText="141" w:vertAnchor="text" w:horzAnchor="margin" w:tblpY="190"/>
        <w:tblW w:w="9180" w:type="dxa"/>
        <w:tblBorders>
          <w:top w:val="single" w:sz="12" w:space="0" w:color="000001"/>
          <w:left w:val="single" w:sz="12" w:space="0" w:color="000001"/>
          <w:bottom w:val="nil"/>
          <w:right w:val="single" w:sz="12" w:space="0" w:color="000001"/>
          <w:insideH w:val="nil"/>
          <w:insideV w:val="single" w:sz="12" w:space="0" w:color="000001"/>
        </w:tblBorders>
        <w:tblCellMar>
          <w:left w:w="93" w:type="dxa"/>
        </w:tblCellMar>
        <w:tblLook w:val="04A0" w:firstRow="1" w:lastRow="0" w:firstColumn="1" w:lastColumn="0" w:noHBand="0" w:noVBand="1"/>
      </w:tblPr>
      <w:tblGrid>
        <w:gridCol w:w="2092"/>
        <w:gridCol w:w="1134"/>
        <w:gridCol w:w="1276"/>
        <w:gridCol w:w="1559"/>
        <w:gridCol w:w="1559"/>
        <w:gridCol w:w="1560"/>
      </w:tblGrid>
      <w:tr w:rsidR="00B7575A" w14:paraId="3AF1182A" w14:textId="77777777" w:rsidTr="003B29EA">
        <w:tc>
          <w:tcPr>
            <w:tcW w:w="3226" w:type="dxa"/>
            <w:gridSpan w:val="2"/>
            <w:vMerge w:val="restart"/>
            <w:tcBorders>
              <w:top w:val="single" w:sz="8" w:space="0" w:color="000001"/>
              <w:left w:val="single" w:sz="8" w:space="0" w:color="000001"/>
              <w:bottom w:val="nil"/>
              <w:right w:val="single" w:sz="8" w:space="0" w:color="000001"/>
            </w:tcBorders>
            <w:shd w:val="clear" w:color="auto" w:fill="auto"/>
            <w:tcMar>
              <w:left w:w="93" w:type="dxa"/>
            </w:tcMar>
            <w:vAlign w:val="center"/>
          </w:tcPr>
          <w:p w14:paraId="6BF5C902" w14:textId="77777777" w:rsidR="00B7575A" w:rsidRDefault="00B7575A" w:rsidP="00B7575A">
            <w:pPr>
              <w:jc w:val="center"/>
              <w:rPr>
                <w:b/>
              </w:rPr>
            </w:pPr>
          </w:p>
        </w:tc>
        <w:tc>
          <w:tcPr>
            <w:tcW w:w="1276" w:type="dxa"/>
            <w:vMerge w:val="restart"/>
            <w:tcBorders>
              <w:top w:val="single" w:sz="8" w:space="0" w:color="000001"/>
              <w:left w:val="single" w:sz="8" w:space="0" w:color="000001"/>
              <w:bottom w:val="nil"/>
              <w:right w:val="single" w:sz="8" w:space="0" w:color="000001"/>
            </w:tcBorders>
            <w:shd w:val="clear" w:color="auto" w:fill="auto"/>
            <w:tcMar>
              <w:left w:w="93" w:type="dxa"/>
            </w:tcMar>
            <w:vAlign w:val="center"/>
          </w:tcPr>
          <w:p w14:paraId="4F2D3FDF" w14:textId="77777777" w:rsidR="00B7575A" w:rsidRDefault="00B7575A" w:rsidP="00B7575A">
            <w:pPr>
              <w:jc w:val="center"/>
              <w:rPr>
                <w:b/>
              </w:rPr>
            </w:pPr>
            <w:r>
              <w:rPr>
                <w:b/>
              </w:rPr>
              <w:t>Negative</w:t>
            </w:r>
          </w:p>
        </w:tc>
        <w:tc>
          <w:tcPr>
            <w:tcW w:w="1559" w:type="dxa"/>
            <w:vMerge w:val="restart"/>
            <w:tcBorders>
              <w:top w:val="single" w:sz="8" w:space="0" w:color="000001"/>
              <w:left w:val="single" w:sz="8" w:space="0" w:color="000001"/>
              <w:bottom w:val="nil"/>
              <w:right w:val="single" w:sz="8" w:space="0" w:color="000001"/>
            </w:tcBorders>
            <w:shd w:val="clear" w:color="auto" w:fill="auto"/>
            <w:tcMar>
              <w:left w:w="103" w:type="dxa"/>
            </w:tcMar>
            <w:vAlign w:val="center"/>
          </w:tcPr>
          <w:p w14:paraId="15F82874" w14:textId="77777777" w:rsidR="00B7575A" w:rsidRDefault="00B7575A" w:rsidP="00B7575A">
            <w:pPr>
              <w:jc w:val="center"/>
              <w:rPr>
                <w:b/>
              </w:rPr>
            </w:pPr>
            <w:r>
              <w:rPr>
                <w:b/>
              </w:rPr>
              <w:t>Unclear</w:t>
            </w:r>
          </w:p>
        </w:tc>
        <w:tc>
          <w:tcPr>
            <w:tcW w:w="3119" w:type="dxa"/>
            <w:gridSpan w:val="2"/>
            <w:tcBorders>
              <w:top w:val="single" w:sz="8" w:space="0" w:color="000001"/>
              <w:left w:val="single" w:sz="8" w:space="0" w:color="000001"/>
              <w:bottom w:val="nil"/>
              <w:right w:val="single" w:sz="8" w:space="0" w:color="000001"/>
            </w:tcBorders>
            <w:shd w:val="clear" w:color="auto" w:fill="auto"/>
            <w:tcMar>
              <w:left w:w="103" w:type="dxa"/>
            </w:tcMar>
            <w:vAlign w:val="center"/>
          </w:tcPr>
          <w:p w14:paraId="6C34A6D5" w14:textId="77777777" w:rsidR="00B7575A" w:rsidRDefault="00B7575A" w:rsidP="00B7575A">
            <w:pPr>
              <w:jc w:val="center"/>
              <w:rPr>
                <w:b/>
              </w:rPr>
            </w:pPr>
            <w:r>
              <w:rPr>
                <w:b/>
              </w:rPr>
              <w:t>Positive</w:t>
            </w:r>
          </w:p>
        </w:tc>
      </w:tr>
      <w:tr w:rsidR="00B7575A" w14:paraId="5B199FB4" w14:textId="77777777" w:rsidTr="003B29EA">
        <w:tc>
          <w:tcPr>
            <w:tcW w:w="3226" w:type="dxa"/>
            <w:gridSpan w:val="2"/>
            <w:vMerge/>
            <w:tcBorders>
              <w:top w:val="nil"/>
              <w:left w:val="single" w:sz="8" w:space="0" w:color="000001"/>
              <w:bottom w:val="single" w:sz="8" w:space="0" w:color="000001"/>
              <w:right w:val="single" w:sz="8" w:space="0" w:color="000001"/>
            </w:tcBorders>
            <w:shd w:val="clear" w:color="auto" w:fill="auto"/>
            <w:tcMar>
              <w:left w:w="93" w:type="dxa"/>
            </w:tcMar>
            <w:vAlign w:val="center"/>
          </w:tcPr>
          <w:p w14:paraId="4E38D48E" w14:textId="77777777" w:rsidR="00B7575A" w:rsidRDefault="00B7575A" w:rsidP="00B7575A">
            <w:pPr>
              <w:jc w:val="center"/>
              <w:rPr>
                <w:b/>
              </w:rPr>
            </w:pPr>
          </w:p>
        </w:tc>
        <w:tc>
          <w:tcPr>
            <w:tcW w:w="1276" w:type="dxa"/>
            <w:vMerge/>
            <w:tcBorders>
              <w:top w:val="nil"/>
              <w:left w:val="single" w:sz="8" w:space="0" w:color="000001"/>
              <w:bottom w:val="single" w:sz="8" w:space="0" w:color="000001"/>
              <w:right w:val="single" w:sz="8" w:space="0" w:color="000001"/>
            </w:tcBorders>
            <w:shd w:val="clear" w:color="auto" w:fill="auto"/>
            <w:tcMar>
              <w:left w:w="93" w:type="dxa"/>
            </w:tcMar>
            <w:vAlign w:val="center"/>
          </w:tcPr>
          <w:p w14:paraId="753F287E" w14:textId="77777777" w:rsidR="00B7575A" w:rsidRDefault="00B7575A" w:rsidP="00B7575A">
            <w:pPr>
              <w:jc w:val="center"/>
              <w:rPr>
                <w:b/>
              </w:rPr>
            </w:pPr>
          </w:p>
        </w:tc>
        <w:tc>
          <w:tcPr>
            <w:tcW w:w="1559" w:type="dxa"/>
            <w:vMerge/>
            <w:tcBorders>
              <w:top w:val="nil"/>
              <w:left w:val="single" w:sz="8" w:space="0" w:color="000001"/>
              <w:bottom w:val="single" w:sz="8" w:space="0" w:color="000001"/>
              <w:right w:val="single" w:sz="8" w:space="0" w:color="000001"/>
            </w:tcBorders>
            <w:shd w:val="clear" w:color="auto" w:fill="auto"/>
            <w:tcMar>
              <w:left w:w="103" w:type="dxa"/>
            </w:tcMar>
            <w:vAlign w:val="center"/>
          </w:tcPr>
          <w:p w14:paraId="130172F8" w14:textId="77777777" w:rsidR="00B7575A" w:rsidRDefault="00B7575A" w:rsidP="00B7575A">
            <w:pPr>
              <w:jc w:val="center"/>
              <w:rPr>
                <w:b/>
              </w:rPr>
            </w:pPr>
          </w:p>
        </w:tc>
        <w:tc>
          <w:tcPr>
            <w:tcW w:w="1559" w:type="dxa"/>
            <w:tcBorders>
              <w:top w:val="nil"/>
              <w:left w:val="single" w:sz="8" w:space="0" w:color="000001"/>
              <w:bottom w:val="single" w:sz="8" w:space="0" w:color="000001"/>
              <w:right w:val="single" w:sz="8" w:space="0" w:color="000001"/>
            </w:tcBorders>
            <w:shd w:val="clear" w:color="auto" w:fill="auto"/>
            <w:tcMar>
              <w:left w:w="103" w:type="dxa"/>
            </w:tcMar>
            <w:vAlign w:val="center"/>
          </w:tcPr>
          <w:p w14:paraId="39A45E0C" w14:textId="77777777" w:rsidR="00B7575A" w:rsidRDefault="00B7575A" w:rsidP="00B7575A">
            <w:pPr>
              <w:jc w:val="center"/>
              <w:rPr>
                <w:b/>
                <w:sz w:val="22"/>
                <w:szCs w:val="22"/>
              </w:rPr>
            </w:pPr>
            <w:r>
              <w:rPr>
                <w:b/>
                <w:sz w:val="22"/>
                <w:szCs w:val="22"/>
              </w:rPr>
              <w:t xml:space="preserve">With </w:t>
            </w:r>
            <w:proofErr w:type="spellStart"/>
            <w:r>
              <w:rPr>
                <w:b/>
                <w:sz w:val="22"/>
                <w:szCs w:val="22"/>
              </w:rPr>
              <w:t>Caspi</w:t>
            </w:r>
            <w:proofErr w:type="spellEnd"/>
          </w:p>
        </w:tc>
        <w:tc>
          <w:tcPr>
            <w:tcW w:w="1560" w:type="dxa"/>
            <w:tcBorders>
              <w:top w:val="nil"/>
              <w:left w:val="single" w:sz="8" w:space="0" w:color="000001"/>
              <w:bottom w:val="single" w:sz="8" w:space="0" w:color="000001"/>
              <w:right w:val="single" w:sz="8" w:space="0" w:color="000001"/>
            </w:tcBorders>
            <w:shd w:val="clear" w:color="auto" w:fill="auto"/>
            <w:tcMar>
              <w:left w:w="103" w:type="dxa"/>
            </w:tcMar>
            <w:vAlign w:val="center"/>
          </w:tcPr>
          <w:p w14:paraId="71B8D6E9" w14:textId="77777777" w:rsidR="00B7575A" w:rsidRDefault="00B7575A" w:rsidP="00B7575A">
            <w:pPr>
              <w:jc w:val="center"/>
              <w:rPr>
                <w:b/>
                <w:sz w:val="22"/>
                <w:szCs w:val="22"/>
              </w:rPr>
            </w:pPr>
            <w:r>
              <w:rPr>
                <w:b/>
                <w:sz w:val="22"/>
                <w:szCs w:val="22"/>
              </w:rPr>
              <w:t xml:space="preserve">Without </w:t>
            </w:r>
            <w:proofErr w:type="spellStart"/>
            <w:r>
              <w:rPr>
                <w:b/>
                <w:sz w:val="22"/>
                <w:szCs w:val="22"/>
              </w:rPr>
              <w:t>Caspi</w:t>
            </w:r>
            <w:proofErr w:type="spellEnd"/>
          </w:p>
        </w:tc>
      </w:tr>
      <w:tr w:rsidR="00B7575A" w14:paraId="2076E540" w14:textId="77777777" w:rsidTr="003B29EA">
        <w:tc>
          <w:tcPr>
            <w:tcW w:w="2092" w:type="dxa"/>
            <w:vMerge w:val="restart"/>
            <w:tcBorders>
              <w:top w:val="single" w:sz="8" w:space="0" w:color="000001"/>
              <w:left w:val="single" w:sz="8" w:space="0" w:color="000001"/>
              <w:bottom w:val="single" w:sz="12" w:space="0" w:color="000001"/>
              <w:right w:val="single" w:sz="8" w:space="0" w:color="000001"/>
            </w:tcBorders>
            <w:shd w:val="clear" w:color="auto" w:fill="auto"/>
            <w:tcMar>
              <w:left w:w="93" w:type="dxa"/>
            </w:tcMar>
            <w:vAlign w:val="center"/>
          </w:tcPr>
          <w:p w14:paraId="0110AE5C" w14:textId="77777777" w:rsidR="00B7575A" w:rsidRDefault="00B7575A" w:rsidP="00B7575A">
            <w:pPr>
              <w:jc w:val="center"/>
              <w:rPr>
                <w:b/>
              </w:rPr>
            </w:pPr>
            <w:r>
              <w:rPr>
                <w:b/>
              </w:rPr>
              <w:t>Within-network citations</w:t>
            </w:r>
          </w:p>
        </w:tc>
        <w:tc>
          <w:tcPr>
            <w:tcW w:w="1134" w:type="dxa"/>
            <w:tcBorders>
              <w:top w:val="single" w:sz="8" w:space="0" w:color="000001"/>
              <w:left w:val="single" w:sz="8" w:space="0" w:color="000001"/>
              <w:right w:val="single" w:sz="8" w:space="0" w:color="000001"/>
            </w:tcBorders>
            <w:shd w:val="clear" w:color="auto" w:fill="auto"/>
            <w:tcMar>
              <w:left w:w="103" w:type="dxa"/>
            </w:tcMar>
            <w:vAlign w:val="center"/>
          </w:tcPr>
          <w:p w14:paraId="77FDBD76" w14:textId="77777777" w:rsidR="00B7575A" w:rsidRDefault="00B7575A" w:rsidP="00B7575A">
            <w:pPr>
              <w:jc w:val="center"/>
            </w:pPr>
            <w:r>
              <w:t>Mean (SD)</w:t>
            </w:r>
          </w:p>
        </w:tc>
        <w:tc>
          <w:tcPr>
            <w:tcW w:w="1276" w:type="dxa"/>
            <w:tcBorders>
              <w:top w:val="single" w:sz="8" w:space="0" w:color="000001"/>
              <w:left w:val="single" w:sz="8" w:space="0" w:color="000001"/>
              <w:right w:val="single" w:sz="8" w:space="0" w:color="000001"/>
            </w:tcBorders>
            <w:shd w:val="clear" w:color="auto" w:fill="auto"/>
            <w:tcMar>
              <w:left w:w="93" w:type="dxa"/>
            </w:tcMar>
            <w:vAlign w:val="center"/>
          </w:tcPr>
          <w:p w14:paraId="5C5A40FE" w14:textId="6BDD806D" w:rsidR="00B7575A" w:rsidRDefault="00A858A3" w:rsidP="008A0542">
            <w:pPr>
              <w:jc w:val="center"/>
            </w:pPr>
            <w:r>
              <w:t>5.</w:t>
            </w:r>
            <w:r w:rsidR="008A0542">
              <w:t xml:space="preserve">5 </w:t>
            </w:r>
            <w:r>
              <w:t>(9.</w:t>
            </w:r>
            <w:r w:rsidR="00E17E83">
              <w:t>3</w:t>
            </w:r>
            <w:r w:rsidR="00B7575A">
              <w:t>)</w:t>
            </w:r>
          </w:p>
        </w:tc>
        <w:tc>
          <w:tcPr>
            <w:tcW w:w="1559" w:type="dxa"/>
            <w:tcBorders>
              <w:top w:val="single" w:sz="8" w:space="0" w:color="000001"/>
              <w:left w:val="single" w:sz="8" w:space="0" w:color="000001"/>
              <w:right w:val="single" w:sz="8" w:space="0" w:color="000001"/>
            </w:tcBorders>
            <w:shd w:val="clear" w:color="auto" w:fill="auto"/>
            <w:tcMar>
              <w:left w:w="103" w:type="dxa"/>
            </w:tcMar>
            <w:vAlign w:val="center"/>
          </w:tcPr>
          <w:p w14:paraId="0D7C2FA9" w14:textId="0473F256" w:rsidR="00B7575A" w:rsidRDefault="00A858A3" w:rsidP="008A0542">
            <w:pPr>
              <w:jc w:val="center"/>
            </w:pPr>
            <w:r>
              <w:t>4.</w:t>
            </w:r>
            <w:r w:rsidR="008A0542">
              <w:t xml:space="preserve">3 </w:t>
            </w:r>
            <w:r>
              <w:t>(6.</w:t>
            </w:r>
            <w:r w:rsidR="008A0542">
              <w:t>2</w:t>
            </w:r>
            <w:r w:rsidR="00B7575A">
              <w:t>)</w:t>
            </w:r>
          </w:p>
        </w:tc>
        <w:tc>
          <w:tcPr>
            <w:tcW w:w="1559" w:type="dxa"/>
            <w:tcBorders>
              <w:top w:val="single" w:sz="8" w:space="0" w:color="000001"/>
              <w:left w:val="single" w:sz="8" w:space="0" w:color="000001"/>
              <w:right w:val="single" w:sz="8" w:space="0" w:color="000001"/>
            </w:tcBorders>
            <w:shd w:val="clear" w:color="auto" w:fill="auto"/>
            <w:tcMar>
              <w:left w:w="103" w:type="dxa"/>
            </w:tcMar>
            <w:vAlign w:val="center"/>
          </w:tcPr>
          <w:p w14:paraId="703D22A2" w14:textId="63C1A32A" w:rsidR="00B7575A" w:rsidRDefault="00A858A3" w:rsidP="008A0542">
            <w:pPr>
              <w:jc w:val="center"/>
            </w:pPr>
            <w:r>
              <w:t>9.</w:t>
            </w:r>
            <w:r w:rsidR="008A0542">
              <w:t xml:space="preserve">8 </w:t>
            </w:r>
            <w:r>
              <w:t>(14.</w:t>
            </w:r>
            <w:r w:rsidR="008A0542">
              <w:t>6</w:t>
            </w:r>
            <w:r w:rsidR="00B7575A">
              <w:t>)</w:t>
            </w:r>
          </w:p>
        </w:tc>
        <w:tc>
          <w:tcPr>
            <w:tcW w:w="1560" w:type="dxa"/>
            <w:tcBorders>
              <w:top w:val="single" w:sz="8" w:space="0" w:color="000001"/>
              <w:left w:val="single" w:sz="8" w:space="0" w:color="000001"/>
              <w:right w:val="single" w:sz="8" w:space="0" w:color="000001"/>
            </w:tcBorders>
            <w:shd w:val="clear" w:color="auto" w:fill="auto"/>
            <w:tcMar>
              <w:left w:w="103" w:type="dxa"/>
            </w:tcMar>
            <w:vAlign w:val="center"/>
          </w:tcPr>
          <w:p w14:paraId="7466A28D" w14:textId="169D6D55" w:rsidR="00B7575A" w:rsidRDefault="000C29AB" w:rsidP="008A0542">
            <w:pPr>
              <w:jc w:val="center"/>
            </w:pPr>
            <w:r>
              <w:t>7.</w:t>
            </w:r>
            <w:r w:rsidR="008A0542">
              <w:t xml:space="preserve">4 </w:t>
            </w:r>
            <w:r>
              <w:t>(8.9</w:t>
            </w:r>
            <w:r w:rsidR="00B7575A">
              <w:t>)</w:t>
            </w:r>
          </w:p>
        </w:tc>
      </w:tr>
      <w:tr w:rsidR="00B7575A" w14:paraId="1FB9147B" w14:textId="77777777" w:rsidTr="003B29EA">
        <w:tc>
          <w:tcPr>
            <w:tcW w:w="2092" w:type="dxa"/>
            <w:vMerge/>
            <w:tcBorders>
              <w:left w:val="single" w:sz="8" w:space="0" w:color="000001"/>
              <w:bottom w:val="single" w:sz="8" w:space="0" w:color="000001"/>
              <w:right w:val="single" w:sz="8" w:space="0" w:color="000001"/>
            </w:tcBorders>
            <w:shd w:val="clear" w:color="auto" w:fill="auto"/>
            <w:tcMar>
              <w:left w:w="93" w:type="dxa"/>
            </w:tcMar>
            <w:vAlign w:val="center"/>
          </w:tcPr>
          <w:p w14:paraId="0C457CA1" w14:textId="77777777" w:rsidR="00B7575A" w:rsidRDefault="00B7575A" w:rsidP="00B7575A">
            <w:pPr>
              <w:jc w:val="center"/>
              <w:rPr>
                <w:b/>
              </w:rPr>
            </w:pPr>
          </w:p>
        </w:tc>
        <w:tc>
          <w:tcPr>
            <w:tcW w:w="1134" w:type="dxa"/>
            <w:tcBorders>
              <w:left w:val="single" w:sz="8" w:space="0" w:color="000001"/>
              <w:bottom w:val="single" w:sz="8" w:space="0" w:color="000001"/>
              <w:right w:val="single" w:sz="8" w:space="0" w:color="000001"/>
            </w:tcBorders>
            <w:shd w:val="clear" w:color="auto" w:fill="auto"/>
            <w:tcMar>
              <w:left w:w="103" w:type="dxa"/>
            </w:tcMar>
            <w:vAlign w:val="center"/>
          </w:tcPr>
          <w:p w14:paraId="60CADEB0" w14:textId="77777777" w:rsidR="00B7575A" w:rsidRDefault="00B7575A" w:rsidP="00B7575A">
            <w:pPr>
              <w:jc w:val="center"/>
            </w:pPr>
            <w:r>
              <w:t>Median (IQR)</w:t>
            </w:r>
          </w:p>
        </w:tc>
        <w:tc>
          <w:tcPr>
            <w:tcW w:w="1276" w:type="dxa"/>
            <w:tcBorders>
              <w:left w:val="single" w:sz="8" w:space="0" w:color="000001"/>
              <w:bottom w:val="single" w:sz="8" w:space="0" w:color="000001"/>
              <w:right w:val="single" w:sz="8" w:space="0" w:color="000001"/>
            </w:tcBorders>
            <w:shd w:val="clear" w:color="auto" w:fill="auto"/>
            <w:tcMar>
              <w:left w:w="93" w:type="dxa"/>
            </w:tcMar>
            <w:vAlign w:val="center"/>
          </w:tcPr>
          <w:p w14:paraId="61CDFA99" w14:textId="77777777" w:rsidR="00B7575A" w:rsidRDefault="00B7575A" w:rsidP="00B7575A">
            <w:pPr>
              <w:jc w:val="center"/>
            </w:pPr>
            <w:r>
              <w:t xml:space="preserve">1 </w:t>
            </w:r>
          </w:p>
          <w:p w14:paraId="3613B8AB" w14:textId="61D9E5B4" w:rsidR="00B7575A" w:rsidRDefault="00E17E83" w:rsidP="00E17E83">
            <w:pPr>
              <w:jc w:val="center"/>
            </w:pPr>
            <w:r>
              <w:t>(0 – 6</w:t>
            </w:r>
            <w:r w:rsidR="00B7575A">
              <w:t>)</w:t>
            </w:r>
          </w:p>
        </w:tc>
        <w:tc>
          <w:tcPr>
            <w:tcW w:w="1559" w:type="dxa"/>
            <w:tcBorders>
              <w:left w:val="single" w:sz="8" w:space="0" w:color="000001"/>
              <w:bottom w:val="single" w:sz="8" w:space="0" w:color="000001"/>
              <w:right w:val="single" w:sz="8" w:space="0" w:color="000001"/>
            </w:tcBorders>
            <w:shd w:val="clear" w:color="auto" w:fill="auto"/>
            <w:tcMar>
              <w:left w:w="103" w:type="dxa"/>
            </w:tcMar>
            <w:vAlign w:val="center"/>
          </w:tcPr>
          <w:p w14:paraId="2DA03FFB" w14:textId="77777777" w:rsidR="00B7575A" w:rsidRDefault="00A858A3" w:rsidP="00B7575A">
            <w:pPr>
              <w:jc w:val="center"/>
            </w:pPr>
            <w:r>
              <w:t>2</w:t>
            </w:r>
            <w:r w:rsidR="00B7575A">
              <w:t xml:space="preserve"> </w:t>
            </w:r>
          </w:p>
          <w:p w14:paraId="77C33B13" w14:textId="30781F03" w:rsidR="00B7575A" w:rsidRDefault="00A858A3" w:rsidP="008A0542">
            <w:pPr>
              <w:jc w:val="center"/>
            </w:pPr>
            <w:r>
              <w:t xml:space="preserve">(1 – </w:t>
            </w:r>
            <w:r w:rsidR="008A0542">
              <w:t>3.5</w:t>
            </w:r>
            <w:r w:rsidR="00B7575A">
              <w:t>)</w:t>
            </w:r>
          </w:p>
        </w:tc>
        <w:tc>
          <w:tcPr>
            <w:tcW w:w="1559" w:type="dxa"/>
            <w:tcBorders>
              <w:left w:val="single" w:sz="8" w:space="0" w:color="000001"/>
              <w:bottom w:val="single" w:sz="8" w:space="0" w:color="000001"/>
              <w:right w:val="single" w:sz="8" w:space="0" w:color="000001"/>
            </w:tcBorders>
            <w:shd w:val="clear" w:color="auto" w:fill="auto"/>
            <w:tcMar>
              <w:left w:w="103" w:type="dxa"/>
            </w:tcMar>
            <w:vAlign w:val="center"/>
          </w:tcPr>
          <w:p w14:paraId="17BE3F44" w14:textId="77777777" w:rsidR="00B7575A" w:rsidRDefault="00A858A3" w:rsidP="00B7575A">
            <w:pPr>
              <w:jc w:val="center"/>
            </w:pPr>
            <w:r>
              <w:t>5</w:t>
            </w:r>
            <w:r w:rsidR="00B7575A">
              <w:t xml:space="preserve"> </w:t>
            </w:r>
          </w:p>
          <w:p w14:paraId="788DD4D0" w14:textId="77777777" w:rsidR="00B7575A" w:rsidRDefault="00A858A3" w:rsidP="00B7575A">
            <w:pPr>
              <w:jc w:val="center"/>
            </w:pPr>
            <w:r>
              <w:t>(2 – 10</w:t>
            </w:r>
            <w:r w:rsidR="00B7575A">
              <w:t>.5)</w:t>
            </w:r>
          </w:p>
        </w:tc>
        <w:tc>
          <w:tcPr>
            <w:tcW w:w="1560" w:type="dxa"/>
            <w:tcBorders>
              <w:left w:val="single" w:sz="8" w:space="0" w:color="000001"/>
              <w:bottom w:val="single" w:sz="8" w:space="0" w:color="000001"/>
              <w:right w:val="single" w:sz="8" w:space="0" w:color="000001"/>
            </w:tcBorders>
            <w:shd w:val="clear" w:color="auto" w:fill="auto"/>
            <w:tcMar>
              <w:left w:w="103" w:type="dxa"/>
            </w:tcMar>
            <w:vAlign w:val="center"/>
          </w:tcPr>
          <w:p w14:paraId="742A29D8" w14:textId="77777777" w:rsidR="00B7575A" w:rsidRDefault="000C29AB" w:rsidP="00B7575A">
            <w:pPr>
              <w:jc w:val="center"/>
            </w:pPr>
            <w:r>
              <w:t>5</w:t>
            </w:r>
            <w:r w:rsidR="00B7575A">
              <w:t xml:space="preserve"> </w:t>
            </w:r>
          </w:p>
          <w:p w14:paraId="10942E18" w14:textId="77777777" w:rsidR="00B7575A" w:rsidRDefault="00B7575A" w:rsidP="00B7575A">
            <w:pPr>
              <w:jc w:val="center"/>
            </w:pPr>
            <w:r>
              <w:t>(2 – 8.5)</w:t>
            </w:r>
          </w:p>
        </w:tc>
      </w:tr>
      <w:tr w:rsidR="00B7575A" w14:paraId="31BB9ABF" w14:textId="77777777" w:rsidTr="003B29EA">
        <w:tc>
          <w:tcPr>
            <w:tcW w:w="2092" w:type="dxa"/>
            <w:vMerge w:val="restart"/>
            <w:tcBorders>
              <w:top w:val="single" w:sz="8" w:space="0" w:color="000001"/>
              <w:left w:val="single" w:sz="8" w:space="0" w:color="000001"/>
              <w:bottom w:val="single" w:sz="12" w:space="0" w:color="000001"/>
              <w:right w:val="single" w:sz="8" w:space="0" w:color="000001"/>
            </w:tcBorders>
            <w:shd w:val="clear" w:color="auto" w:fill="auto"/>
            <w:tcMar>
              <w:left w:w="93" w:type="dxa"/>
            </w:tcMar>
            <w:vAlign w:val="center"/>
          </w:tcPr>
          <w:p w14:paraId="1A536A48" w14:textId="77777777" w:rsidR="00B7575A" w:rsidRDefault="00B7575A" w:rsidP="00B7575A">
            <w:pPr>
              <w:jc w:val="center"/>
              <w:rPr>
                <w:b/>
              </w:rPr>
            </w:pPr>
            <w:r>
              <w:rPr>
                <w:b/>
              </w:rPr>
              <w:t>% of subsequent studies citing</w:t>
            </w:r>
          </w:p>
        </w:tc>
        <w:tc>
          <w:tcPr>
            <w:tcW w:w="1134" w:type="dxa"/>
            <w:tcBorders>
              <w:top w:val="single" w:sz="8" w:space="0" w:color="000001"/>
              <w:left w:val="single" w:sz="8" w:space="0" w:color="000001"/>
              <w:right w:val="single" w:sz="8" w:space="0" w:color="000001"/>
            </w:tcBorders>
            <w:shd w:val="clear" w:color="auto" w:fill="auto"/>
            <w:tcMar>
              <w:left w:w="103" w:type="dxa"/>
            </w:tcMar>
            <w:vAlign w:val="center"/>
          </w:tcPr>
          <w:p w14:paraId="0D211D75" w14:textId="77777777" w:rsidR="00B7575A" w:rsidRDefault="00B7575A" w:rsidP="00B7575A">
            <w:pPr>
              <w:jc w:val="center"/>
            </w:pPr>
            <w:r>
              <w:t>Mean (SD)</w:t>
            </w:r>
          </w:p>
        </w:tc>
        <w:tc>
          <w:tcPr>
            <w:tcW w:w="1276" w:type="dxa"/>
            <w:tcBorders>
              <w:top w:val="single" w:sz="8" w:space="0" w:color="000001"/>
              <w:left w:val="single" w:sz="8" w:space="0" w:color="000001"/>
              <w:right w:val="single" w:sz="8" w:space="0" w:color="000001"/>
            </w:tcBorders>
            <w:shd w:val="clear" w:color="auto" w:fill="auto"/>
            <w:tcMar>
              <w:left w:w="93" w:type="dxa"/>
            </w:tcMar>
            <w:vAlign w:val="center"/>
          </w:tcPr>
          <w:p w14:paraId="4A73C80D" w14:textId="42FC0CFA" w:rsidR="00B7575A" w:rsidRDefault="00E17E83" w:rsidP="008A0542">
            <w:pPr>
              <w:jc w:val="center"/>
            </w:pPr>
            <w:r>
              <w:t>10.</w:t>
            </w:r>
            <w:r w:rsidR="008A0542">
              <w:t xml:space="preserve">5 </w:t>
            </w:r>
            <w:r>
              <w:t>(</w:t>
            </w:r>
            <w:r w:rsidR="008A0542">
              <w:t>13</w:t>
            </w:r>
            <w:r>
              <w:t>.</w:t>
            </w:r>
            <w:r w:rsidR="008A0542">
              <w:t>9</w:t>
            </w:r>
            <w:r w:rsidR="00B7575A">
              <w:t>)</w:t>
            </w:r>
          </w:p>
        </w:tc>
        <w:tc>
          <w:tcPr>
            <w:tcW w:w="1559" w:type="dxa"/>
            <w:tcBorders>
              <w:top w:val="single" w:sz="8" w:space="0" w:color="000001"/>
              <w:left w:val="single" w:sz="8" w:space="0" w:color="000001"/>
              <w:right w:val="single" w:sz="8" w:space="0" w:color="000001"/>
            </w:tcBorders>
            <w:shd w:val="clear" w:color="auto" w:fill="auto"/>
            <w:tcMar>
              <w:left w:w="103" w:type="dxa"/>
            </w:tcMar>
            <w:vAlign w:val="center"/>
          </w:tcPr>
          <w:p w14:paraId="56CE7D8D" w14:textId="41D9CEC5" w:rsidR="00B7575A" w:rsidRDefault="00A858A3" w:rsidP="008A0542">
            <w:pPr>
              <w:jc w:val="center"/>
            </w:pPr>
            <w:r>
              <w:t>9.</w:t>
            </w:r>
            <w:r w:rsidR="008A0542">
              <w:t xml:space="preserve">2 </w:t>
            </w:r>
            <w:r>
              <w:t>(9.</w:t>
            </w:r>
            <w:r w:rsidR="008A0542">
              <w:t>1</w:t>
            </w:r>
            <w:r w:rsidR="00B7575A">
              <w:t>)</w:t>
            </w:r>
          </w:p>
        </w:tc>
        <w:tc>
          <w:tcPr>
            <w:tcW w:w="1559" w:type="dxa"/>
            <w:tcBorders>
              <w:top w:val="single" w:sz="8" w:space="0" w:color="000001"/>
              <w:left w:val="single" w:sz="8" w:space="0" w:color="000001"/>
              <w:right w:val="single" w:sz="8" w:space="0" w:color="000001"/>
            </w:tcBorders>
            <w:shd w:val="clear" w:color="auto" w:fill="auto"/>
            <w:tcMar>
              <w:left w:w="103" w:type="dxa"/>
            </w:tcMar>
            <w:vAlign w:val="center"/>
          </w:tcPr>
          <w:p w14:paraId="4AB37A77" w14:textId="77EFDA39" w:rsidR="00B7575A" w:rsidRPr="00E17E83" w:rsidRDefault="008A0542" w:rsidP="00B7575A">
            <w:pPr>
              <w:jc w:val="center"/>
            </w:pPr>
            <w:r>
              <w:t>16.8</w:t>
            </w:r>
            <w:r w:rsidR="00E17E83" w:rsidRPr="00E17E83">
              <w:t xml:space="preserve"> (20.</w:t>
            </w:r>
            <w:r>
              <w:t>6</w:t>
            </w:r>
            <w:r w:rsidR="00B7575A" w:rsidRPr="00E17E83">
              <w:t>)</w:t>
            </w:r>
          </w:p>
        </w:tc>
        <w:tc>
          <w:tcPr>
            <w:tcW w:w="1560" w:type="dxa"/>
            <w:tcBorders>
              <w:top w:val="single" w:sz="8" w:space="0" w:color="000001"/>
              <w:left w:val="single" w:sz="8" w:space="0" w:color="000001"/>
              <w:right w:val="single" w:sz="8" w:space="0" w:color="000001"/>
            </w:tcBorders>
            <w:shd w:val="clear" w:color="auto" w:fill="auto"/>
            <w:tcMar>
              <w:left w:w="103" w:type="dxa"/>
            </w:tcMar>
            <w:vAlign w:val="center"/>
          </w:tcPr>
          <w:p w14:paraId="626E04D0" w14:textId="0ABFFD04" w:rsidR="00B7575A" w:rsidRDefault="00E17E83" w:rsidP="008A0542">
            <w:pPr>
              <w:jc w:val="center"/>
            </w:pPr>
            <w:r>
              <w:t>13.</w:t>
            </w:r>
            <w:r w:rsidR="008A0542">
              <w:t xml:space="preserve">6 </w:t>
            </w:r>
            <w:r w:rsidR="000C29AB">
              <w:t>(13.</w:t>
            </w:r>
            <w:r>
              <w:t>3</w:t>
            </w:r>
            <w:r w:rsidR="00B7575A">
              <w:t>)</w:t>
            </w:r>
          </w:p>
        </w:tc>
      </w:tr>
      <w:tr w:rsidR="00B7575A" w14:paraId="3455E884" w14:textId="77777777" w:rsidTr="003B29EA">
        <w:tc>
          <w:tcPr>
            <w:tcW w:w="2092" w:type="dxa"/>
            <w:vMerge/>
            <w:tcBorders>
              <w:left w:val="single" w:sz="8" w:space="0" w:color="000001"/>
              <w:bottom w:val="single" w:sz="8" w:space="0" w:color="000001"/>
              <w:right w:val="single" w:sz="8" w:space="0" w:color="000001"/>
            </w:tcBorders>
            <w:shd w:val="clear" w:color="auto" w:fill="auto"/>
            <w:tcMar>
              <w:left w:w="93" w:type="dxa"/>
            </w:tcMar>
            <w:vAlign w:val="center"/>
          </w:tcPr>
          <w:p w14:paraId="052C5C8B" w14:textId="77777777" w:rsidR="00B7575A" w:rsidRDefault="00B7575A" w:rsidP="00B7575A">
            <w:pPr>
              <w:jc w:val="center"/>
              <w:rPr>
                <w:b/>
              </w:rPr>
            </w:pPr>
          </w:p>
        </w:tc>
        <w:tc>
          <w:tcPr>
            <w:tcW w:w="1134" w:type="dxa"/>
            <w:tcBorders>
              <w:left w:val="single" w:sz="8" w:space="0" w:color="000001"/>
              <w:bottom w:val="single" w:sz="8" w:space="0" w:color="000001"/>
              <w:right w:val="single" w:sz="8" w:space="0" w:color="000001"/>
            </w:tcBorders>
            <w:shd w:val="clear" w:color="auto" w:fill="auto"/>
            <w:tcMar>
              <w:left w:w="103" w:type="dxa"/>
            </w:tcMar>
            <w:vAlign w:val="center"/>
          </w:tcPr>
          <w:p w14:paraId="11E6FB18" w14:textId="77777777" w:rsidR="00B7575A" w:rsidRDefault="00B7575A" w:rsidP="00B7575A">
            <w:pPr>
              <w:jc w:val="center"/>
            </w:pPr>
            <w:r>
              <w:t>Median (IQR)</w:t>
            </w:r>
          </w:p>
        </w:tc>
        <w:tc>
          <w:tcPr>
            <w:tcW w:w="1276" w:type="dxa"/>
            <w:tcBorders>
              <w:left w:val="single" w:sz="8" w:space="0" w:color="000001"/>
              <w:bottom w:val="single" w:sz="8" w:space="0" w:color="000001"/>
              <w:right w:val="single" w:sz="8" w:space="0" w:color="000001"/>
            </w:tcBorders>
            <w:shd w:val="clear" w:color="auto" w:fill="auto"/>
            <w:tcMar>
              <w:left w:w="93" w:type="dxa"/>
            </w:tcMar>
            <w:vAlign w:val="center"/>
          </w:tcPr>
          <w:p w14:paraId="653B7CD7" w14:textId="05B37DDF" w:rsidR="00B7575A" w:rsidRDefault="00E17E83" w:rsidP="00B7575A">
            <w:pPr>
              <w:jc w:val="center"/>
            </w:pPr>
            <w:r>
              <w:t>6.3</w:t>
            </w:r>
            <w:r w:rsidR="00B7575A">
              <w:t xml:space="preserve"> </w:t>
            </w:r>
          </w:p>
          <w:p w14:paraId="36313BFE" w14:textId="78A8B0A4" w:rsidR="00B7575A" w:rsidRDefault="00E17E83" w:rsidP="00B7575A">
            <w:pPr>
              <w:jc w:val="center"/>
            </w:pPr>
            <w:r>
              <w:t>(0 – 14.6</w:t>
            </w:r>
            <w:r w:rsidR="00B7575A">
              <w:t>)</w:t>
            </w:r>
          </w:p>
        </w:tc>
        <w:tc>
          <w:tcPr>
            <w:tcW w:w="1559" w:type="dxa"/>
            <w:tcBorders>
              <w:left w:val="single" w:sz="8" w:space="0" w:color="000001"/>
              <w:bottom w:val="single" w:sz="8" w:space="0" w:color="000001"/>
              <w:right w:val="single" w:sz="8" w:space="0" w:color="000001"/>
            </w:tcBorders>
            <w:shd w:val="clear" w:color="auto" w:fill="auto"/>
            <w:tcMar>
              <w:left w:w="103" w:type="dxa"/>
            </w:tcMar>
            <w:vAlign w:val="center"/>
          </w:tcPr>
          <w:p w14:paraId="19D74ABB" w14:textId="275CE9E2" w:rsidR="00B7575A" w:rsidRDefault="00E17E83" w:rsidP="00B7575A">
            <w:pPr>
              <w:jc w:val="center"/>
            </w:pPr>
            <w:r>
              <w:t>5.9</w:t>
            </w:r>
            <w:r w:rsidR="00B7575A">
              <w:t xml:space="preserve"> </w:t>
            </w:r>
          </w:p>
          <w:p w14:paraId="735A9809" w14:textId="025A2B11" w:rsidR="00B7575A" w:rsidRDefault="00E17E83" w:rsidP="008A0542">
            <w:pPr>
              <w:jc w:val="center"/>
            </w:pPr>
            <w:r>
              <w:t>(3.1 – 11.</w:t>
            </w:r>
            <w:r w:rsidR="008A0542">
              <w:t>4</w:t>
            </w:r>
            <w:r w:rsidR="00B7575A">
              <w:t>)</w:t>
            </w:r>
          </w:p>
        </w:tc>
        <w:tc>
          <w:tcPr>
            <w:tcW w:w="1559" w:type="dxa"/>
            <w:tcBorders>
              <w:left w:val="single" w:sz="8" w:space="0" w:color="000001"/>
              <w:bottom w:val="single" w:sz="8" w:space="0" w:color="000001"/>
              <w:right w:val="single" w:sz="8" w:space="0" w:color="000001"/>
            </w:tcBorders>
            <w:shd w:val="clear" w:color="auto" w:fill="auto"/>
            <w:tcMar>
              <w:left w:w="103" w:type="dxa"/>
            </w:tcMar>
            <w:vAlign w:val="center"/>
          </w:tcPr>
          <w:p w14:paraId="758782A2" w14:textId="1902E2DA" w:rsidR="00B7575A" w:rsidRPr="00E17E83" w:rsidRDefault="008A0542" w:rsidP="00B7575A">
            <w:pPr>
              <w:jc w:val="center"/>
            </w:pPr>
            <w:r>
              <w:t>9</w:t>
            </w:r>
            <w:r w:rsidR="00E17E83" w:rsidRPr="00E17E83">
              <w:t>.</w:t>
            </w:r>
            <w:r>
              <w:t>6</w:t>
            </w:r>
            <w:r w:rsidR="00B7575A" w:rsidRPr="00E17E83">
              <w:t xml:space="preserve"> </w:t>
            </w:r>
          </w:p>
          <w:p w14:paraId="6AAB7A4F" w14:textId="5B726510" w:rsidR="00B7575A" w:rsidRPr="00E17E83" w:rsidRDefault="00E17E83" w:rsidP="00E17E83">
            <w:pPr>
              <w:jc w:val="center"/>
            </w:pPr>
            <w:r w:rsidRPr="00E17E83">
              <w:t>(6.2</w:t>
            </w:r>
            <w:r w:rsidR="00B7575A" w:rsidRPr="00E17E83">
              <w:t xml:space="preserve"> – 20.</w:t>
            </w:r>
            <w:r w:rsidRPr="00E17E83">
              <w:t>4</w:t>
            </w:r>
            <w:r w:rsidR="00B7575A" w:rsidRPr="00E17E83">
              <w:t>)</w:t>
            </w:r>
          </w:p>
        </w:tc>
        <w:tc>
          <w:tcPr>
            <w:tcW w:w="1560" w:type="dxa"/>
            <w:tcBorders>
              <w:left w:val="single" w:sz="8" w:space="0" w:color="000001"/>
              <w:bottom w:val="single" w:sz="8" w:space="0" w:color="000001"/>
              <w:right w:val="single" w:sz="8" w:space="0" w:color="000001"/>
            </w:tcBorders>
            <w:shd w:val="clear" w:color="auto" w:fill="auto"/>
            <w:tcMar>
              <w:left w:w="103" w:type="dxa"/>
            </w:tcMar>
            <w:vAlign w:val="center"/>
          </w:tcPr>
          <w:p w14:paraId="4F801379" w14:textId="1CC3C158" w:rsidR="00B7575A" w:rsidRDefault="00E17E83" w:rsidP="00B7575A">
            <w:pPr>
              <w:jc w:val="center"/>
            </w:pPr>
            <w:r>
              <w:t>9.</w:t>
            </w:r>
            <w:r w:rsidR="008A0542">
              <w:t xml:space="preserve">5 </w:t>
            </w:r>
          </w:p>
          <w:p w14:paraId="7F77DC93" w14:textId="2F294F89" w:rsidR="00B7575A" w:rsidRDefault="00E17E83" w:rsidP="00B7575A">
            <w:pPr>
              <w:jc w:val="center"/>
            </w:pPr>
            <w:r>
              <w:t>(5.7 – 19.8</w:t>
            </w:r>
            <w:r w:rsidR="00B7575A">
              <w:t>)</w:t>
            </w:r>
          </w:p>
        </w:tc>
      </w:tr>
      <w:tr w:rsidR="00B7575A" w14:paraId="61AEC5A7" w14:textId="77777777" w:rsidTr="003B29EA">
        <w:tc>
          <w:tcPr>
            <w:tcW w:w="2092" w:type="dxa"/>
            <w:vMerge w:val="restart"/>
            <w:tcBorders>
              <w:top w:val="single" w:sz="8" w:space="0" w:color="000001"/>
              <w:left w:val="single" w:sz="8" w:space="0" w:color="000001"/>
              <w:bottom w:val="single" w:sz="12" w:space="0" w:color="000001"/>
              <w:right w:val="single" w:sz="8" w:space="0" w:color="000001"/>
            </w:tcBorders>
            <w:shd w:val="clear" w:color="auto" w:fill="auto"/>
            <w:tcMar>
              <w:left w:w="93" w:type="dxa"/>
            </w:tcMar>
            <w:vAlign w:val="center"/>
          </w:tcPr>
          <w:p w14:paraId="5EC5E632" w14:textId="77777777" w:rsidR="00B7575A" w:rsidRDefault="00B7575A" w:rsidP="00B7575A">
            <w:pPr>
              <w:jc w:val="center"/>
              <w:rPr>
                <w:b/>
              </w:rPr>
            </w:pPr>
            <w:r>
              <w:rPr>
                <w:b/>
              </w:rPr>
              <w:t>Web of Science citations</w:t>
            </w:r>
          </w:p>
        </w:tc>
        <w:tc>
          <w:tcPr>
            <w:tcW w:w="1134" w:type="dxa"/>
            <w:tcBorders>
              <w:top w:val="single" w:sz="8" w:space="0" w:color="000001"/>
              <w:left w:val="single" w:sz="8" w:space="0" w:color="000001"/>
              <w:right w:val="single" w:sz="8" w:space="0" w:color="000001"/>
            </w:tcBorders>
            <w:shd w:val="clear" w:color="auto" w:fill="auto"/>
            <w:tcMar>
              <w:left w:w="103" w:type="dxa"/>
            </w:tcMar>
            <w:vAlign w:val="center"/>
          </w:tcPr>
          <w:p w14:paraId="691CE8A0" w14:textId="77777777" w:rsidR="00B7575A" w:rsidRDefault="00B7575A" w:rsidP="00B7575A">
            <w:pPr>
              <w:jc w:val="center"/>
            </w:pPr>
            <w:r>
              <w:t>Mean (SD)</w:t>
            </w:r>
          </w:p>
        </w:tc>
        <w:tc>
          <w:tcPr>
            <w:tcW w:w="1276" w:type="dxa"/>
            <w:tcBorders>
              <w:top w:val="single" w:sz="8" w:space="0" w:color="000001"/>
              <w:left w:val="single" w:sz="8" w:space="0" w:color="000001"/>
              <w:right w:val="single" w:sz="8" w:space="0" w:color="000001"/>
            </w:tcBorders>
            <w:shd w:val="clear" w:color="auto" w:fill="auto"/>
            <w:tcMar>
              <w:left w:w="93" w:type="dxa"/>
            </w:tcMar>
            <w:vAlign w:val="center"/>
          </w:tcPr>
          <w:p w14:paraId="15152183" w14:textId="0146469F" w:rsidR="00B7575A" w:rsidRDefault="00973EC0" w:rsidP="00E17E83">
            <w:pPr>
              <w:jc w:val="center"/>
            </w:pPr>
            <w:r>
              <w:t>5</w:t>
            </w:r>
            <w:r w:rsidR="00E17E83">
              <w:t>5</w:t>
            </w:r>
            <w:r>
              <w:t>.</w:t>
            </w:r>
            <w:r w:rsidR="0038549B">
              <w:t>7</w:t>
            </w:r>
            <w:r w:rsidR="00E17E83">
              <w:t xml:space="preserve"> (72.</w:t>
            </w:r>
            <w:r w:rsidR="0038549B">
              <w:t>4</w:t>
            </w:r>
            <w:r w:rsidR="00A858A3">
              <w:t>)</w:t>
            </w:r>
          </w:p>
        </w:tc>
        <w:tc>
          <w:tcPr>
            <w:tcW w:w="1559" w:type="dxa"/>
            <w:tcBorders>
              <w:top w:val="single" w:sz="8" w:space="0" w:color="000001"/>
              <w:left w:val="single" w:sz="8" w:space="0" w:color="000001"/>
              <w:right w:val="single" w:sz="8" w:space="0" w:color="000001"/>
            </w:tcBorders>
            <w:shd w:val="clear" w:color="auto" w:fill="auto"/>
            <w:tcMar>
              <w:left w:w="103" w:type="dxa"/>
            </w:tcMar>
            <w:vAlign w:val="center"/>
          </w:tcPr>
          <w:p w14:paraId="66B35AD5" w14:textId="7E5FC0EB" w:rsidR="00B7575A" w:rsidRDefault="00973EC0" w:rsidP="00B7575A">
            <w:pPr>
              <w:jc w:val="center"/>
            </w:pPr>
            <w:r>
              <w:t>78.</w:t>
            </w:r>
            <w:r w:rsidR="0038549B">
              <w:t>4</w:t>
            </w:r>
            <w:r>
              <w:t xml:space="preserve"> (61.</w:t>
            </w:r>
            <w:r w:rsidR="0038549B">
              <w:t>8</w:t>
            </w:r>
            <w:r w:rsidR="00B7575A">
              <w:t>)</w:t>
            </w:r>
          </w:p>
        </w:tc>
        <w:tc>
          <w:tcPr>
            <w:tcW w:w="1559" w:type="dxa"/>
            <w:tcBorders>
              <w:top w:val="single" w:sz="8" w:space="0" w:color="000001"/>
              <w:left w:val="single" w:sz="8" w:space="0" w:color="000001"/>
              <w:right w:val="single" w:sz="8" w:space="0" w:color="000001"/>
            </w:tcBorders>
            <w:shd w:val="clear" w:color="auto" w:fill="auto"/>
            <w:tcMar>
              <w:left w:w="103" w:type="dxa"/>
            </w:tcMar>
            <w:vAlign w:val="center"/>
          </w:tcPr>
          <w:p w14:paraId="09B078B8" w14:textId="4BD46568" w:rsidR="00B7575A" w:rsidRDefault="00973EC0" w:rsidP="00B7575A">
            <w:pPr>
              <w:jc w:val="center"/>
            </w:pPr>
            <w:r>
              <w:t>257.</w:t>
            </w:r>
            <w:r w:rsidR="0038549B">
              <w:t>9</w:t>
            </w:r>
            <w:r>
              <w:t xml:space="preserve"> (765.</w:t>
            </w:r>
            <w:r w:rsidR="0038549B">
              <w:t>7</w:t>
            </w:r>
            <w:r w:rsidR="00B7575A">
              <w:t>)</w:t>
            </w:r>
          </w:p>
        </w:tc>
        <w:tc>
          <w:tcPr>
            <w:tcW w:w="1560" w:type="dxa"/>
            <w:tcBorders>
              <w:top w:val="single" w:sz="8" w:space="0" w:color="000001"/>
              <w:left w:val="single" w:sz="8" w:space="0" w:color="000001"/>
              <w:right w:val="single" w:sz="8" w:space="0" w:color="000001"/>
            </w:tcBorders>
            <w:shd w:val="clear" w:color="auto" w:fill="auto"/>
            <w:tcMar>
              <w:left w:w="103" w:type="dxa"/>
            </w:tcMar>
            <w:vAlign w:val="center"/>
          </w:tcPr>
          <w:p w14:paraId="5213EE6E" w14:textId="72628F3C" w:rsidR="00B7575A" w:rsidRDefault="00973EC0" w:rsidP="00B7575A">
            <w:pPr>
              <w:jc w:val="center"/>
            </w:pPr>
            <w:r>
              <w:t>103.8 (132.4</w:t>
            </w:r>
            <w:r w:rsidR="00B7575A">
              <w:t>)</w:t>
            </w:r>
          </w:p>
        </w:tc>
      </w:tr>
      <w:tr w:rsidR="00B7575A" w14:paraId="3BF98CDB" w14:textId="77777777" w:rsidTr="003B29EA">
        <w:tc>
          <w:tcPr>
            <w:tcW w:w="2092" w:type="dxa"/>
            <w:vMerge/>
            <w:tcBorders>
              <w:left w:val="single" w:sz="8" w:space="0" w:color="000001"/>
              <w:bottom w:val="single" w:sz="8" w:space="0" w:color="000001"/>
              <w:right w:val="single" w:sz="8" w:space="0" w:color="000001"/>
            </w:tcBorders>
            <w:shd w:val="clear" w:color="auto" w:fill="auto"/>
            <w:tcMar>
              <w:left w:w="93" w:type="dxa"/>
            </w:tcMar>
            <w:vAlign w:val="center"/>
          </w:tcPr>
          <w:p w14:paraId="08E193C1" w14:textId="77777777" w:rsidR="00B7575A" w:rsidRDefault="00B7575A" w:rsidP="00B7575A">
            <w:pPr>
              <w:jc w:val="center"/>
              <w:rPr>
                <w:b/>
              </w:rPr>
            </w:pPr>
          </w:p>
        </w:tc>
        <w:tc>
          <w:tcPr>
            <w:tcW w:w="1134" w:type="dxa"/>
            <w:tcBorders>
              <w:left w:val="single" w:sz="8" w:space="0" w:color="000001"/>
              <w:bottom w:val="single" w:sz="8" w:space="0" w:color="000001"/>
              <w:right w:val="single" w:sz="8" w:space="0" w:color="000001"/>
            </w:tcBorders>
            <w:shd w:val="clear" w:color="auto" w:fill="auto"/>
            <w:tcMar>
              <w:left w:w="103" w:type="dxa"/>
            </w:tcMar>
            <w:vAlign w:val="center"/>
          </w:tcPr>
          <w:p w14:paraId="50EDFECC" w14:textId="77777777" w:rsidR="00B7575A" w:rsidRDefault="00B7575A" w:rsidP="00B7575A">
            <w:pPr>
              <w:jc w:val="center"/>
            </w:pPr>
            <w:r>
              <w:t>Median (IQR)</w:t>
            </w:r>
          </w:p>
        </w:tc>
        <w:tc>
          <w:tcPr>
            <w:tcW w:w="1276" w:type="dxa"/>
            <w:tcBorders>
              <w:left w:val="single" w:sz="8" w:space="0" w:color="000001"/>
              <w:bottom w:val="single" w:sz="8" w:space="0" w:color="000001"/>
              <w:right w:val="single" w:sz="8" w:space="0" w:color="000001"/>
            </w:tcBorders>
            <w:shd w:val="clear" w:color="auto" w:fill="auto"/>
            <w:tcMar>
              <w:left w:w="93" w:type="dxa"/>
            </w:tcMar>
            <w:vAlign w:val="center"/>
          </w:tcPr>
          <w:p w14:paraId="5554ADFA" w14:textId="4401014E" w:rsidR="00B7575A" w:rsidRDefault="00E17E83" w:rsidP="00B7575A">
            <w:pPr>
              <w:jc w:val="center"/>
            </w:pPr>
            <w:r>
              <w:t>31.5</w:t>
            </w:r>
            <w:r w:rsidR="00B7575A">
              <w:t xml:space="preserve"> </w:t>
            </w:r>
            <w:bookmarkStart w:id="0" w:name="_GoBack"/>
            <w:bookmarkEnd w:id="0"/>
          </w:p>
          <w:p w14:paraId="2CA32FCE" w14:textId="0D3EEF06" w:rsidR="00B7575A" w:rsidRDefault="00E17E83" w:rsidP="00B7575A">
            <w:pPr>
              <w:jc w:val="center"/>
            </w:pPr>
            <w:r>
              <w:t>(16 – 53</w:t>
            </w:r>
            <w:r w:rsidR="00B7575A">
              <w:t>)</w:t>
            </w:r>
          </w:p>
        </w:tc>
        <w:tc>
          <w:tcPr>
            <w:tcW w:w="1559" w:type="dxa"/>
            <w:tcBorders>
              <w:left w:val="single" w:sz="8" w:space="0" w:color="000001"/>
              <w:bottom w:val="single" w:sz="8" w:space="0" w:color="000001"/>
              <w:right w:val="single" w:sz="8" w:space="0" w:color="000001"/>
            </w:tcBorders>
            <w:shd w:val="clear" w:color="auto" w:fill="auto"/>
            <w:tcMar>
              <w:left w:w="103" w:type="dxa"/>
            </w:tcMar>
            <w:vAlign w:val="center"/>
          </w:tcPr>
          <w:p w14:paraId="0B6DBF77" w14:textId="1647A617" w:rsidR="00B7575A" w:rsidRDefault="00DC69CE" w:rsidP="00B7575A">
            <w:pPr>
              <w:jc w:val="center"/>
            </w:pPr>
            <w:r>
              <w:t>58</w:t>
            </w:r>
          </w:p>
          <w:p w14:paraId="0C56F29A" w14:textId="17D02E1C" w:rsidR="00B7575A" w:rsidRDefault="00973EC0" w:rsidP="00B7575A">
            <w:pPr>
              <w:jc w:val="center"/>
            </w:pPr>
            <w:r>
              <w:t>(33 – 12</w:t>
            </w:r>
            <w:r w:rsidR="0038549B">
              <w:t>3</w:t>
            </w:r>
            <w:r w:rsidR="00B7575A">
              <w:t>)</w:t>
            </w:r>
          </w:p>
        </w:tc>
        <w:tc>
          <w:tcPr>
            <w:tcW w:w="1559" w:type="dxa"/>
            <w:tcBorders>
              <w:left w:val="single" w:sz="8" w:space="0" w:color="000001"/>
              <w:bottom w:val="single" w:sz="8" w:space="0" w:color="000001"/>
              <w:right w:val="single" w:sz="8" w:space="0" w:color="000001"/>
            </w:tcBorders>
            <w:shd w:val="clear" w:color="auto" w:fill="auto"/>
            <w:tcMar>
              <w:left w:w="103" w:type="dxa"/>
            </w:tcMar>
            <w:vAlign w:val="center"/>
          </w:tcPr>
          <w:p w14:paraId="7EA5C486" w14:textId="001BF8A9" w:rsidR="00B7575A" w:rsidRDefault="00973EC0" w:rsidP="00B7575A">
            <w:pPr>
              <w:jc w:val="center"/>
            </w:pPr>
            <w:r>
              <w:t>56</w:t>
            </w:r>
          </w:p>
          <w:p w14:paraId="38714CEE" w14:textId="557DD889" w:rsidR="00B7575A" w:rsidRDefault="00973EC0" w:rsidP="00B7575A">
            <w:pPr>
              <w:jc w:val="center"/>
            </w:pPr>
            <w:r>
              <w:t>(36.3 – 117.3</w:t>
            </w:r>
            <w:r w:rsidR="00B7575A">
              <w:t>)</w:t>
            </w:r>
          </w:p>
        </w:tc>
        <w:tc>
          <w:tcPr>
            <w:tcW w:w="1560" w:type="dxa"/>
            <w:tcBorders>
              <w:left w:val="single" w:sz="8" w:space="0" w:color="000001"/>
              <w:bottom w:val="single" w:sz="8" w:space="0" w:color="000001"/>
              <w:right w:val="single" w:sz="8" w:space="0" w:color="000001"/>
            </w:tcBorders>
            <w:shd w:val="clear" w:color="auto" w:fill="auto"/>
            <w:tcMar>
              <w:left w:w="103" w:type="dxa"/>
            </w:tcMar>
            <w:vAlign w:val="center"/>
          </w:tcPr>
          <w:p w14:paraId="6DA110DD" w14:textId="763566E4" w:rsidR="00B7575A" w:rsidRDefault="00973EC0" w:rsidP="00B7575A">
            <w:pPr>
              <w:jc w:val="center"/>
            </w:pPr>
            <w:r>
              <w:t>46</w:t>
            </w:r>
          </w:p>
          <w:p w14:paraId="5710D649" w14:textId="2E647DC1" w:rsidR="00B7575A" w:rsidRDefault="00973EC0" w:rsidP="00B7575A">
            <w:pPr>
              <w:jc w:val="center"/>
            </w:pPr>
            <w:r>
              <w:t>(35.5 – 95.5</w:t>
            </w:r>
            <w:r w:rsidR="00B7575A">
              <w:t>)</w:t>
            </w:r>
          </w:p>
        </w:tc>
      </w:tr>
      <w:tr w:rsidR="00B7575A" w14:paraId="4ECA1FB5" w14:textId="77777777" w:rsidTr="003B29EA">
        <w:tc>
          <w:tcPr>
            <w:tcW w:w="2092" w:type="dxa"/>
            <w:vMerge w:val="restart"/>
            <w:tcBorders>
              <w:top w:val="single" w:sz="8" w:space="0" w:color="000001"/>
              <w:left w:val="single" w:sz="8" w:space="0" w:color="000001"/>
              <w:bottom w:val="single" w:sz="12" w:space="0" w:color="000001"/>
              <w:right w:val="single" w:sz="8" w:space="0" w:color="000001"/>
            </w:tcBorders>
            <w:shd w:val="clear" w:color="auto" w:fill="auto"/>
            <w:tcMar>
              <w:left w:w="93" w:type="dxa"/>
            </w:tcMar>
            <w:vAlign w:val="center"/>
          </w:tcPr>
          <w:p w14:paraId="6F9D7B55" w14:textId="77777777" w:rsidR="00B7575A" w:rsidRDefault="00B7575A" w:rsidP="00B7575A">
            <w:pPr>
              <w:jc w:val="center"/>
              <w:rPr>
                <w:b/>
              </w:rPr>
            </w:pPr>
            <w:r>
              <w:rPr>
                <w:b/>
              </w:rPr>
              <w:t>Yearly citation rate</w:t>
            </w:r>
          </w:p>
        </w:tc>
        <w:tc>
          <w:tcPr>
            <w:tcW w:w="1134" w:type="dxa"/>
            <w:tcBorders>
              <w:top w:val="single" w:sz="8" w:space="0" w:color="000001"/>
              <w:left w:val="single" w:sz="8" w:space="0" w:color="000001"/>
              <w:right w:val="single" w:sz="8" w:space="0" w:color="000001"/>
            </w:tcBorders>
            <w:shd w:val="clear" w:color="auto" w:fill="auto"/>
            <w:tcMar>
              <w:left w:w="103" w:type="dxa"/>
            </w:tcMar>
            <w:vAlign w:val="center"/>
          </w:tcPr>
          <w:p w14:paraId="07915A8D" w14:textId="77777777" w:rsidR="00B7575A" w:rsidRDefault="00B7575A" w:rsidP="00B7575A">
            <w:pPr>
              <w:jc w:val="center"/>
            </w:pPr>
            <w:r>
              <w:t>Mean (SD)</w:t>
            </w:r>
          </w:p>
        </w:tc>
        <w:tc>
          <w:tcPr>
            <w:tcW w:w="1276" w:type="dxa"/>
            <w:tcBorders>
              <w:top w:val="single" w:sz="8" w:space="0" w:color="000001"/>
              <w:left w:val="single" w:sz="8" w:space="0" w:color="000001"/>
              <w:right w:val="single" w:sz="8" w:space="0" w:color="000001"/>
            </w:tcBorders>
            <w:shd w:val="clear" w:color="auto" w:fill="auto"/>
            <w:tcMar>
              <w:left w:w="93" w:type="dxa"/>
            </w:tcMar>
            <w:vAlign w:val="center"/>
          </w:tcPr>
          <w:p w14:paraId="6E4B91A3" w14:textId="28859D4C" w:rsidR="00B7575A" w:rsidRDefault="00E17E83" w:rsidP="00B7575A">
            <w:pPr>
              <w:jc w:val="center"/>
            </w:pPr>
            <w:r>
              <w:t>7.</w:t>
            </w:r>
            <w:r w:rsidR="0038549B">
              <w:t>6</w:t>
            </w:r>
            <w:r>
              <w:t xml:space="preserve"> (6.7</w:t>
            </w:r>
            <w:r w:rsidR="00B7575A">
              <w:t>)</w:t>
            </w:r>
          </w:p>
        </w:tc>
        <w:tc>
          <w:tcPr>
            <w:tcW w:w="1559" w:type="dxa"/>
            <w:tcBorders>
              <w:top w:val="single" w:sz="8" w:space="0" w:color="000001"/>
              <w:left w:val="single" w:sz="8" w:space="0" w:color="000001"/>
              <w:right w:val="single" w:sz="8" w:space="0" w:color="000001"/>
            </w:tcBorders>
            <w:shd w:val="clear" w:color="auto" w:fill="auto"/>
            <w:tcMar>
              <w:left w:w="103" w:type="dxa"/>
            </w:tcMar>
            <w:vAlign w:val="center"/>
          </w:tcPr>
          <w:p w14:paraId="641EFFD1" w14:textId="632F5B7C" w:rsidR="00B7575A" w:rsidRDefault="00973EC0" w:rsidP="00B7575A">
            <w:pPr>
              <w:jc w:val="center"/>
            </w:pPr>
            <w:r>
              <w:t>10.2 (6.6</w:t>
            </w:r>
            <w:r w:rsidR="00B7575A">
              <w:t>)</w:t>
            </w:r>
          </w:p>
        </w:tc>
        <w:tc>
          <w:tcPr>
            <w:tcW w:w="1559" w:type="dxa"/>
            <w:tcBorders>
              <w:top w:val="single" w:sz="8" w:space="0" w:color="000001"/>
              <w:left w:val="single" w:sz="8" w:space="0" w:color="000001"/>
              <w:right w:val="single" w:sz="8" w:space="0" w:color="000001"/>
            </w:tcBorders>
            <w:shd w:val="clear" w:color="auto" w:fill="auto"/>
            <w:tcMar>
              <w:left w:w="103" w:type="dxa"/>
            </w:tcMar>
            <w:vAlign w:val="center"/>
          </w:tcPr>
          <w:p w14:paraId="1448DA75" w14:textId="2955CD1E" w:rsidR="00B7575A" w:rsidRDefault="00973EC0" w:rsidP="000C29AB">
            <w:pPr>
              <w:jc w:val="center"/>
            </w:pPr>
            <w:r>
              <w:t>24.9 (63.4</w:t>
            </w:r>
            <w:r w:rsidR="000C29AB">
              <w:t>)</w:t>
            </w:r>
          </w:p>
        </w:tc>
        <w:tc>
          <w:tcPr>
            <w:tcW w:w="1560" w:type="dxa"/>
            <w:tcBorders>
              <w:top w:val="single" w:sz="8" w:space="0" w:color="000001"/>
              <w:left w:val="single" w:sz="8" w:space="0" w:color="000001"/>
              <w:right w:val="single" w:sz="8" w:space="0" w:color="000001"/>
            </w:tcBorders>
            <w:shd w:val="clear" w:color="auto" w:fill="auto"/>
            <w:tcMar>
              <w:left w:w="103" w:type="dxa"/>
            </w:tcMar>
            <w:vAlign w:val="center"/>
          </w:tcPr>
          <w:p w14:paraId="49F172B3" w14:textId="68A0CBB0" w:rsidR="00B7575A" w:rsidRDefault="00973EC0" w:rsidP="00B7575A">
            <w:pPr>
              <w:jc w:val="center"/>
            </w:pPr>
            <w:r>
              <w:t>12.2 (12.8</w:t>
            </w:r>
            <w:r w:rsidR="00B7575A">
              <w:t>)</w:t>
            </w:r>
          </w:p>
        </w:tc>
      </w:tr>
      <w:tr w:rsidR="00B7575A" w14:paraId="70128E3E" w14:textId="77777777" w:rsidTr="003B29EA">
        <w:tc>
          <w:tcPr>
            <w:tcW w:w="2092" w:type="dxa"/>
            <w:vMerge/>
            <w:tcBorders>
              <w:left w:val="single" w:sz="8" w:space="0" w:color="000001"/>
              <w:bottom w:val="single" w:sz="8" w:space="0" w:color="000001"/>
              <w:right w:val="single" w:sz="8" w:space="0" w:color="000001"/>
            </w:tcBorders>
            <w:shd w:val="clear" w:color="auto" w:fill="auto"/>
            <w:tcMar>
              <w:left w:w="93" w:type="dxa"/>
            </w:tcMar>
            <w:vAlign w:val="center"/>
          </w:tcPr>
          <w:p w14:paraId="3B2F450F" w14:textId="77777777" w:rsidR="00B7575A" w:rsidRDefault="00B7575A" w:rsidP="00B7575A">
            <w:pPr>
              <w:jc w:val="center"/>
              <w:rPr>
                <w:b/>
              </w:rPr>
            </w:pPr>
          </w:p>
        </w:tc>
        <w:tc>
          <w:tcPr>
            <w:tcW w:w="1134" w:type="dxa"/>
            <w:tcBorders>
              <w:left w:val="single" w:sz="8" w:space="0" w:color="000001"/>
              <w:bottom w:val="single" w:sz="8" w:space="0" w:color="000001"/>
              <w:right w:val="single" w:sz="8" w:space="0" w:color="000001"/>
            </w:tcBorders>
            <w:shd w:val="clear" w:color="auto" w:fill="auto"/>
            <w:tcMar>
              <w:left w:w="103" w:type="dxa"/>
            </w:tcMar>
            <w:vAlign w:val="center"/>
          </w:tcPr>
          <w:p w14:paraId="1F793647" w14:textId="77777777" w:rsidR="00B7575A" w:rsidRDefault="00B7575A" w:rsidP="00B7575A">
            <w:pPr>
              <w:jc w:val="center"/>
            </w:pPr>
            <w:r>
              <w:t>Median (IQR)</w:t>
            </w:r>
          </w:p>
        </w:tc>
        <w:tc>
          <w:tcPr>
            <w:tcW w:w="1276" w:type="dxa"/>
            <w:tcBorders>
              <w:left w:val="single" w:sz="8" w:space="0" w:color="000001"/>
              <w:bottom w:val="single" w:sz="8" w:space="0" w:color="000001"/>
              <w:right w:val="single" w:sz="8" w:space="0" w:color="000001"/>
            </w:tcBorders>
            <w:shd w:val="clear" w:color="auto" w:fill="auto"/>
            <w:tcMar>
              <w:left w:w="93" w:type="dxa"/>
            </w:tcMar>
            <w:vAlign w:val="center"/>
          </w:tcPr>
          <w:p w14:paraId="082415DE" w14:textId="2378C740" w:rsidR="00B7575A" w:rsidRDefault="00E17E83" w:rsidP="00B7575A">
            <w:pPr>
              <w:jc w:val="center"/>
            </w:pPr>
            <w:r>
              <w:t>5.5</w:t>
            </w:r>
          </w:p>
          <w:p w14:paraId="6B67917B" w14:textId="29FD97E8" w:rsidR="00B7575A" w:rsidRDefault="00E17E83" w:rsidP="00B7575A">
            <w:pPr>
              <w:jc w:val="center"/>
            </w:pPr>
            <w:r>
              <w:t>(3.6 – 9.1</w:t>
            </w:r>
            <w:r w:rsidR="00B7575A">
              <w:t>)</w:t>
            </w:r>
          </w:p>
        </w:tc>
        <w:tc>
          <w:tcPr>
            <w:tcW w:w="1559" w:type="dxa"/>
            <w:tcBorders>
              <w:left w:val="single" w:sz="8" w:space="0" w:color="000001"/>
              <w:bottom w:val="single" w:sz="8" w:space="0" w:color="000001"/>
              <w:right w:val="single" w:sz="8" w:space="0" w:color="000001"/>
            </w:tcBorders>
            <w:shd w:val="clear" w:color="auto" w:fill="auto"/>
            <w:tcMar>
              <w:left w:w="103" w:type="dxa"/>
            </w:tcMar>
            <w:vAlign w:val="center"/>
          </w:tcPr>
          <w:p w14:paraId="7F44FF7C" w14:textId="704586AD" w:rsidR="00B7575A" w:rsidRDefault="00973EC0" w:rsidP="00B7575A">
            <w:pPr>
              <w:jc w:val="center"/>
            </w:pPr>
            <w:r>
              <w:t>9.7</w:t>
            </w:r>
          </w:p>
          <w:p w14:paraId="150A3627" w14:textId="28F03E22" w:rsidR="00B7575A" w:rsidRDefault="00973EC0" w:rsidP="00B7575A">
            <w:pPr>
              <w:jc w:val="center"/>
            </w:pPr>
            <w:r>
              <w:t>(5.3 – 13.</w:t>
            </w:r>
            <w:r w:rsidR="0038549B">
              <w:t>3</w:t>
            </w:r>
            <w:r w:rsidR="00B7575A">
              <w:t>)</w:t>
            </w:r>
          </w:p>
        </w:tc>
        <w:tc>
          <w:tcPr>
            <w:tcW w:w="1559" w:type="dxa"/>
            <w:tcBorders>
              <w:left w:val="single" w:sz="8" w:space="0" w:color="000001"/>
              <w:bottom w:val="single" w:sz="8" w:space="0" w:color="000001"/>
              <w:right w:val="single" w:sz="8" w:space="0" w:color="000001"/>
            </w:tcBorders>
            <w:shd w:val="clear" w:color="auto" w:fill="auto"/>
            <w:tcMar>
              <w:left w:w="103" w:type="dxa"/>
            </w:tcMar>
            <w:vAlign w:val="center"/>
          </w:tcPr>
          <w:p w14:paraId="43CC449E" w14:textId="093A4B71" w:rsidR="00B7575A" w:rsidRDefault="00973EC0" w:rsidP="00B7575A">
            <w:pPr>
              <w:jc w:val="center"/>
            </w:pPr>
            <w:r>
              <w:t>7.7</w:t>
            </w:r>
          </w:p>
          <w:p w14:paraId="0E71420F" w14:textId="46924557" w:rsidR="00B7575A" w:rsidRDefault="00973EC0" w:rsidP="00B7575A">
            <w:pPr>
              <w:jc w:val="center"/>
            </w:pPr>
            <w:r>
              <w:t>(5.5 – 14.8</w:t>
            </w:r>
            <w:r w:rsidR="00B7575A">
              <w:t>)</w:t>
            </w:r>
          </w:p>
        </w:tc>
        <w:tc>
          <w:tcPr>
            <w:tcW w:w="1560" w:type="dxa"/>
            <w:tcBorders>
              <w:left w:val="single" w:sz="8" w:space="0" w:color="000001"/>
              <w:bottom w:val="single" w:sz="8" w:space="0" w:color="000001"/>
              <w:right w:val="single" w:sz="8" w:space="0" w:color="000001"/>
            </w:tcBorders>
            <w:shd w:val="clear" w:color="auto" w:fill="auto"/>
            <w:tcMar>
              <w:left w:w="103" w:type="dxa"/>
            </w:tcMar>
            <w:vAlign w:val="center"/>
          </w:tcPr>
          <w:p w14:paraId="29FFF911" w14:textId="1DBC47EC" w:rsidR="00B7575A" w:rsidRDefault="00973EC0" w:rsidP="00B7575A">
            <w:pPr>
              <w:jc w:val="center"/>
            </w:pPr>
            <w:r>
              <w:t>7.4</w:t>
            </w:r>
            <w:r w:rsidR="00B7575A">
              <w:t xml:space="preserve"> </w:t>
            </w:r>
          </w:p>
          <w:p w14:paraId="5C02BCD1" w14:textId="16B8A612" w:rsidR="00B7575A" w:rsidRDefault="00973EC0" w:rsidP="00B7575A">
            <w:pPr>
              <w:jc w:val="center"/>
            </w:pPr>
            <w:r>
              <w:t>(5.3 – 11.8</w:t>
            </w:r>
            <w:r w:rsidR="00B7575A">
              <w:t>)</w:t>
            </w:r>
          </w:p>
        </w:tc>
      </w:tr>
    </w:tbl>
    <w:p w14:paraId="12E7C515" w14:textId="77777777" w:rsidR="00BA71C8" w:rsidRDefault="00BA71C8" w:rsidP="00B7575A">
      <w:pPr>
        <w:spacing w:line="480" w:lineRule="auto"/>
      </w:pPr>
    </w:p>
    <w:p w14:paraId="6080611D" w14:textId="7DBB58B5" w:rsidR="00BA71C8" w:rsidRDefault="009B57FA" w:rsidP="00B838ED">
      <w:pPr>
        <w:spacing w:line="480" w:lineRule="auto"/>
      </w:pPr>
      <w:r>
        <w:t>Caption</w:t>
      </w:r>
      <w:r w:rsidR="00013685">
        <w:t>: Mean (SD) and median (IQR) number of within-network citations, percentage of subsequent studies citing a given study, number of Web of Science citations, and yearly citation rate for negative, unclear, and positive studies.</w:t>
      </w:r>
    </w:p>
    <w:p w14:paraId="381A6F00" w14:textId="77777777" w:rsidR="00B7575A" w:rsidRDefault="00B7575A">
      <w:pPr>
        <w:suppressAutoHyphens w:val="0"/>
      </w:pPr>
      <w:r>
        <w:br w:type="page"/>
      </w:r>
    </w:p>
    <w:p w14:paraId="3C82D680" w14:textId="2C73E02F" w:rsidR="009B57FA" w:rsidRPr="00D218F6" w:rsidRDefault="009B57FA" w:rsidP="009B57FA">
      <w:pPr>
        <w:suppressAutoHyphens w:val="0"/>
        <w:spacing w:line="480" w:lineRule="auto"/>
        <w:rPr>
          <w:b/>
        </w:rPr>
      </w:pPr>
      <w:r>
        <w:rPr>
          <w:b/>
        </w:rPr>
        <w:lastRenderedPageBreak/>
        <w:t xml:space="preserve">Supplemental Table 4. Sensitivity analysis of mean and median number of citations (raw and year-adjusted) for negative studies without </w:t>
      </w:r>
      <w:r w:rsidR="000256E8">
        <w:rPr>
          <w:b/>
        </w:rPr>
        <w:t xml:space="preserve">a </w:t>
      </w:r>
      <w:r>
        <w:rPr>
          <w:b/>
        </w:rPr>
        <w:t xml:space="preserve">positive focus and with a (partially) positive focus. </w:t>
      </w:r>
    </w:p>
    <w:p w14:paraId="63CCA27F" w14:textId="77777777" w:rsidR="009B57FA" w:rsidRDefault="009B57FA">
      <w:pPr>
        <w:suppressAutoHyphens w:val="0"/>
      </w:pPr>
    </w:p>
    <w:tbl>
      <w:tblPr>
        <w:tblStyle w:val="Tabelraster"/>
        <w:tblW w:w="9180" w:type="dxa"/>
        <w:tblBorders>
          <w:top w:val="single" w:sz="12" w:space="0" w:color="000001"/>
          <w:left w:val="single" w:sz="12" w:space="0" w:color="000001"/>
          <w:bottom w:val="nil"/>
          <w:right w:val="single" w:sz="12" w:space="0" w:color="000001"/>
          <w:insideH w:val="nil"/>
          <w:insideV w:val="single" w:sz="12" w:space="0" w:color="000001"/>
        </w:tblBorders>
        <w:tblCellMar>
          <w:left w:w="107" w:type="dxa"/>
        </w:tblCellMar>
        <w:tblLook w:val="04A0" w:firstRow="1" w:lastRow="0" w:firstColumn="1" w:lastColumn="0" w:noHBand="0" w:noVBand="1"/>
      </w:tblPr>
      <w:tblGrid>
        <w:gridCol w:w="2093"/>
        <w:gridCol w:w="1700"/>
        <w:gridCol w:w="1700"/>
        <w:gridCol w:w="1700"/>
        <w:gridCol w:w="1987"/>
      </w:tblGrid>
      <w:tr w:rsidR="00BA71C8" w14:paraId="60E04259" w14:textId="77777777" w:rsidTr="003B29EA">
        <w:trPr>
          <w:trHeight w:val="593"/>
        </w:trPr>
        <w:tc>
          <w:tcPr>
            <w:tcW w:w="3793" w:type="dxa"/>
            <w:gridSpan w:val="2"/>
            <w:tcBorders>
              <w:top w:val="single" w:sz="8" w:space="0" w:color="000001"/>
              <w:left w:val="single" w:sz="8" w:space="0" w:color="000001"/>
              <w:bottom w:val="single" w:sz="8" w:space="0" w:color="000001"/>
              <w:right w:val="single" w:sz="8" w:space="0" w:color="000001"/>
            </w:tcBorders>
            <w:shd w:val="clear" w:color="auto" w:fill="auto"/>
            <w:tcMar>
              <w:left w:w="107" w:type="dxa"/>
            </w:tcMar>
            <w:vAlign w:val="center"/>
          </w:tcPr>
          <w:p w14:paraId="69212831" w14:textId="77777777" w:rsidR="00BA71C8" w:rsidRDefault="00BA71C8" w:rsidP="00B7575A">
            <w:pPr>
              <w:jc w:val="center"/>
              <w:rPr>
                <w:b/>
              </w:rPr>
            </w:pPr>
          </w:p>
        </w:tc>
        <w:tc>
          <w:tcPr>
            <w:tcW w:w="1700"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14:paraId="380FCDCC" w14:textId="34A44A81" w:rsidR="00BA71C8" w:rsidRDefault="00013685" w:rsidP="009B57FA">
            <w:pPr>
              <w:jc w:val="center"/>
              <w:rPr>
                <w:b/>
              </w:rPr>
            </w:pPr>
            <w:r>
              <w:rPr>
                <w:b/>
              </w:rPr>
              <w:t xml:space="preserve">No </w:t>
            </w:r>
            <w:r w:rsidR="009B57FA">
              <w:rPr>
                <w:b/>
              </w:rPr>
              <w:t>positive focus</w:t>
            </w:r>
          </w:p>
        </w:tc>
        <w:tc>
          <w:tcPr>
            <w:tcW w:w="1700" w:type="dxa"/>
            <w:tcBorders>
              <w:top w:val="single" w:sz="8" w:space="0" w:color="000001"/>
              <w:left w:val="single" w:sz="8" w:space="0" w:color="000001"/>
              <w:bottom w:val="single" w:sz="8" w:space="0" w:color="000001"/>
              <w:right w:val="single" w:sz="8" w:space="0" w:color="000001"/>
            </w:tcBorders>
            <w:shd w:val="clear" w:color="auto" w:fill="auto"/>
            <w:tcMar>
              <w:left w:w="117" w:type="dxa"/>
            </w:tcMar>
          </w:tcPr>
          <w:p w14:paraId="5156D776" w14:textId="51E9A897" w:rsidR="00BA71C8" w:rsidRDefault="00013685" w:rsidP="009B57FA">
            <w:pPr>
              <w:jc w:val="center"/>
              <w:rPr>
                <w:b/>
              </w:rPr>
            </w:pPr>
            <w:r>
              <w:rPr>
                <w:b/>
              </w:rPr>
              <w:t>Partial</w:t>
            </w:r>
            <w:r w:rsidR="009B57FA">
              <w:rPr>
                <w:b/>
              </w:rPr>
              <w:t>ly positive focus</w:t>
            </w:r>
          </w:p>
        </w:tc>
        <w:tc>
          <w:tcPr>
            <w:tcW w:w="1987" w:type="dxa"/>
            <w:tcBorders>
              <w:top w:val="single" w:sz="8" w:space="0" w:color="000001"/>
              <w:left w:val="single" w:sz="8" w:space="0" w:color="000001"/>
              <w:bottom w:val="single" w:sz="8" w:space="0" w:color="000001"/>
              <w:right w:val="single" w:sz="8" w:space="0" w:color="000001"/>
            </w:tcBorders>
            <w:shd w:val="clear" w:color="auto" w:fill="auto"/>
            <w:tcMar>
              <w:left w:w="117" w:type="dxa"/>
            </w:tcMar>
          </w:tcPr>
          <w:p w14:paraId="0B94A73B" w14:textId="56574C7A" w:rsidR="00BA71C8" w:rsidRDefault="009B57FA" w:rsidP="00B7575A">
            <w:pPr>
              <w:jc w:val="center"/>
              <w:rPr>
                <w:b/>
              </w:rPr>
            </w:pPr>
            <w:r>
              <w:rPr>
                <w:b/>
              </w:rPr>
              <w:t>Positive focus</w:t>
            </w:r>
          </w:p>
        </w:tc>
      </w:tr>
      <w:tr w:rsidR="00BA71C8" w14:paraId="4B0735A4" w14:textId="77777777" w:rsidTr="003B29EA">
        <w:tc>
          <w:tcPr>
            <w:tcW w:w="2093" w:type="dxa"/>
            <w:vMerge w:val="restart"/>
            <w:tcBorders>
              <w:top w:val="single" w:sz="8" w:space="0" w:color="000001"/>
              <w:left w:val="single" w:sz="8" w:space="0" w:color="000001"/>
              <w:bottom w:val="single" w:sz="12" w:space="0" w:color="000001"/>
              <w:right w:val="single" w:sz="8" w:space="0" w:color="000001"/>
            </w:tcBorders>
            <w:shd w:val="clear" w:color="auto" w:fill="auto"/>
            <w:tcMar>
              <w:left w:w="107" w:type="dxa"/>
            </w:tcMar>
            <w:vAlign w:val="center"/>
          </w:tcPr>
          <w:p w14:paraId="165E27DA" w14:textId="77777777" w:rsidR="00BA71C8" w:rsidRDefault="00013685" w:rsidP="00B7575A">
            <w:pPr>
              <w:jc w:val="center"/>
              <w:rPr>
                <w:b/>
              </w:rPr>
            </w:pPr>
            <w:r>
              <w:rPr>
                <w:b/>
              </w:rPr>
              <w:t>Within-network citations</w:t>
            </w:r>
          </w:p>
        </w:tc>
        <w:tc>
          <w:tcPr>
            <w:tcW w:w="1700" w:type="dxa"/>
            <w:tcBorders>
              <w:top w:val="single" w:sz="8" w:space="0" w:color="000001"/>
              <w:left w:val="single" w:sz="8" w:space="0" w:color="000001"/>
              <w:right w:val="single" w:sz="8" w:space="0" w:color="000001"/>
            </w:tcBorders>
            <w:shd w:val="clear" w:color="auto" w:fill="auto"/>
            <w:tcMar>
              <w:left w:w="117" w:type="dxa"/>
            </w:tcMar>
            <w:vAlign w:val="center"/>
          </w:tcPr>
          <w:p w14:paraId="352B8FAB" w14:textId="77777777" w:rsidR="00BA71C8" w:rsidRDefault="00013685" w:rsidP="00B7575A">
            <w:pPr>
              <w:jc w:val="center"/>
            </w:pPr>
            <w:r>
              <w:t>Mean (SD)</w:t>
            </w:r>
          </w:p>
        </w:tc>
        <w:tc>
          <w:tcPr>
            <w:tcW w:w="1700" w:type="dxa"/>
            <w:tcBorders>
              <w:top w:val="single" w:sz="8" w:space="0" w:color="000001"/>
              <w:left w:val="single" w:sz="8" w:space="0" w:color="000001"/>
              <w:right w:val="single" w:sz="8" w:space="0" w:color="000001"/>
            </w:tcBorders>
            <w:shd w:val="clear" w:color="auto" w:fill="auto"/>
            <w:tcMar>
              <w:left w:w="107" w:type="dxa"/>
            </w:tcMar>
          </w:tcPr>
          <w:p w14:paraId="633352CF" w14:textId="69F35C93" w:rsidR="00BA71C8" w:rsidRDefault="006D7537" w:rsidP="006D7537">
            <w:pPr>
              <w:jc w:val="center"/>
            </w:pPr>
            <w:r>
              <w:t>6.1</w:t>
            </w:r>
            <w:r w:rsidR="00013685">
              <w:t xml:space="preserve"> (9.</w:t>
            </w:r>
            <w:r>
              <w:t>5</w:t>
            </w:r>
            <w:r w:rsidR="00013685">
              <w:t>)</w:t>
            </w:r>
          </w:p>
        </w:tc>
        <w:tc>
          <w:tcPr>
            <w:tcW w:w="1700" w:type="dxa"/>
            <w:tcBorders>
              <w:top w:val="single" w:sz="8" w:space="0" w:color="000001"/>
              <w:left w:val="single" w:sz="8" w:space="0" w:color="000001"/>
              <w:right w:val="single" w:sz="8" w:space="0" w:color="000001"/>
            </w:tcBorders>
            <w:shd w:val="clear" w:color="auto" w:fill="auto"/>
            <w:tcMar>
              <w:left w:w="117" w:type="dxa"/>
            </w:tcMar>
          </w:tcPr>
          <w:p w14:paraId="42FCB82D" w14:textId="65FC605C" w:rsidR="00BA71C8" w:rsidRDefault="00FC1A1E" w:rsidP="008A0542">
            <w:pPr>
              <w:jc w:val="center"/>
            </w:pPr>
            <w:r>
              <w:t>3.</w:t>
            </w:r>
            <w:r w:rsidR="008A0542">
              <w:t xml:space="preserve">1 </w:t>
            </w:r>
            <w:r>
              <w:t>(</w:t>
            </w:r>
            <w:r w:rsidR="008A0542">
              <w:t>5.9</w:t>
            </w:r>
            <w:r w:rsidR="00013685">
              <w:t>)</w:t>
            </w:r>
          </w:p>
        </w:tc>
        <w:tc>
          <w:tcPr>
            <w:tcW w:w="1987" w:type="dxa"/>
            <w:tcBorders>
              <w:top w:val="single" w:sz="8" w:space="0" w:color="000001"/>
              <w:left w:val="single" w:sz="8" w:space="0" w:color="000001"/>
              <w:right w:val="single" w:sz="8" w:space="0" w:color="000001"/>
            </w:tcBorders>
            <w:shd w:val="clear" w:color="auto" w:fill="auto"/>
            <w:tcMar>
              <w:left w:w="117" w:type="dxa"/>
            </w:tcMar>
          </w:tcPr>
          <w:p w14:paraId="74325C2E" w14:textId="704D985E" w:rsidR="00BA71C8" w:rsidRDefault="00FC1A1E" w:rsidP="008A0542">
            <w:pPr>
              <w:jc w:val="center"/>
            </w:pPr>
            <w:r>
              <w:t>6.</w:t>
            </w:r>
            <w:r w:rsidR="008A0542">
              <w:t xml:space="preserve">7 </w:t>
            </w:r>
            <w:r>
              <w:t>(</w:t>
            </w:r>
            <w:r w:rsidR="006D7537">
              <w:t>11.</w:t>
            </w:r>
            <w:r w:rsidR="00E17E83">
              <w:t>3</w:t>
            </w:r>
            <w:r w:rsidR="00013685">
              <w:t>)</w:t>
            </w:r>
          </w:p>
        </w:tc>
      </w:tr>
      <w:tr w:rsidR="00BA71C8" w14:paraId="405D7A01" w14:textId="77777777" w:rsidTr="003B29EA">
        <w:tc>
          <w:tcPr>
            <w:tcW w:w="2093" w:type="dxa"/>
            <w:vMerge/>
            <w:tcBorders>
              <w:left w:val="single" w:sz="8" w:space="0" w:color="000001"/>
              <w:bottom w:val="single" w:sz="8" w:space="0" w:color="000001"/>
              <w:right w:val="single" w:sz="8" w:space="0" w:color="000001"/>
            </w:tcBorders>
            <w:shd w:val="clear" w:color="auto" w:fill="auto"/>
            <w:tcMar>
              <w:left w:w="107" w:type="dxa"/>
            </w:tcMar>
            <w:vAlign w:val="center"/>
          </w:tcPr>
          <w:p w14:paraId="6EA1A1D4" w14:textId="77777777" w:rsidR="00BA71C8" w:rsidRDefault="00BA71C8" w:rsidP="00B7575A">
            <w:pPr>
              <w:jc w:val="center"/>
              <w:rPr>
                <w:b/>
              </w:rPr>
            </w:pPr>
          </w:p>
        </w:tc>
        <w:tc>
          <w:tcPr>
            <w:tcW w:w="1700" w:type="dxa"/>
            <w:tcBorders>
              <w:left w:val="single" w:sz="8" w:space="0" w:color="000001"/>
              <w:bottom w:val="single" w:sz="8" w:space="0" w:color="000001"/>
              <w:right w:val="single" w:sz="8" w:space="0" w:color="000001"/>
            </w:tcBorders>
            <w:shd w:val="clear" w:color="auto" w:fill="auto"/>
            <w:tcMar>
              <w:left w:w="117" w:type="dxa"/>
            </w:tcMar>
            <w:vAlign w:val="center"/>
          </w:tcPr>
          <w:p w14:paraId="49CA2645" w14:textId="77777777" w:rsidR="00BA71C8" w:rsidRDefault="00013685" w:rsidP="00B7575A">
            <w:pPr>
              <w:jc w:val="center"/>
            </w:pPr>
            <w:r>
              <w:t>Median (IQR)</w:t>
            </w:r>
          </w:p>
        </w:tc>
        <w:tc>
          <w:tcPr>
            <w:tcW w:w="1700" w:type="dxa"/>
            <w:tcBorders>
              <w:left w:val="single" w:sz="8" w:space="0" w:color="000001"/>
              <w:bottom w:val="single" w:sz="8" w:space="0" w:color="000001"/>
              <w:right w:val="single" w:sz="8" w:space="0" w:color="000001"/>
            </w:tcBorders>
            <w:shd w:val="clear" w:color="auto" w:fill="auto"/>
            <w:tcMar>
              <w:left w:w="107" w:type="dxa"/>
            </w:tcMar>
            <w:vAlign w:val="center"/>
          </w:tcPr>
          <w:p w14:paraId="6B2B0067" w14:textId="0351A34D" w:rsidR="00BA71C8" w:rsidRDefault="006D7537" w:rsidP="00B7575A">
            <w:pPr>
              <w:jc w:val="center"/>
            </w:pPr>
            <w:r>
              <w:t>1.5 (0.0 – 6.3</w:t>
            </w:r>
            <w:r w:rsidR="00013685">
              <w:t>)</w:t>
            </w:r>
          </w:p>
        </w:tc>
        <w:tc>
          <w:tcPr>
            <w:tcW w:w="1700" w:type="dxa"/>
            <w:tcBorders>
              <w:left w:val="single" w:sz="8" w:space="0" w:color="000001"/>
              <w:bottom w:val="single" w:sz="8" w:space="0" w:color="000001"/>
              <w:right w:val="single" w:sz="8" w:space="0" w:color="000001"/>
            </w:tcBorders>
            <w:shd w:val="clear" w:color="auto" w:fill="auto"/>
            <w:tcMar>
              <w:left w:w="117" w:type="dxa"/>
            </w:tcMar>
            <w:vAlign w:val="center"/>
          </w:tcPr>
          <w:p w14:paraId="6BBB595D" w14:textId="77777777" w:rsidR="00BA71C8" w:rsidRDefault="00013685" w:rsidP="00B7575A">
            <w:pPr>
              <w:jc w:val="center"/>
            </w:pPr>
            <w:r>
              <w:t>0.0 (0.0 – 3.0)</w:t>
            </w:r>
          </w:p>
        </w:tc>
        <w:tc>
          <w:tcPr>
            <w:tcW w:w="1987" w:type="dxa"/>
            <w:tcBorders>
              <w:left w:val="single" w:sz="8" w:space="0" w:color="000001"/>
              <w:bottom w:val="single" w:sz="8" w:space="0" w:color="000001"/>
              <w:right w:val="single" w:sz="8" w:space="0" w:color="000001"/>
            </w:tcBorders>
            <w:shd w:val="clear" w:color="auto" w:fill="auto"/>
            <w:tcMar>
              <w:left w:w="117" w:type="dxa"/>
            </w:tcMar>
            <w:vAlign w:val="center"/>
          </w:tcPr>
          <w:p w14:paraId="0D603EFF" w14:textId="6BDB48F4" w:rsidR="00BA71C8" w:rsidRDefault="00FC1A1E" w:rsidP="008A0542">
            <w:pPr>
              <w:jc w:val="center"/>
            </w:pPr>
            <w:r>
              <w:t xml:space="preserve">1 (0 – </w:t>
            </w:r>
            <w:r w:rsidR="00E17E83">
              <w:t>6.</w:t>
            </w:r>
            <w:r w:rsidR="008A0542">
              <w:t>5</w:t>
            </w:r>
            <w:r w:rsidR="00013685">
              <w:t>)</w:t>
            </w:r>
          </w:p>
        </w:tc>
      </w:tr>
      <w:tr w:rsidR="00BA71C8" w14:paraId="31CE9F9E" w14:textId="77777777" w:rsidTr="003B29EA">
        <w:tc>
          <w:tcPr>
            <w:tcW w:w="2093" w:type="dxa"/>
            <w:vMerge w:val="restart"/>
            <w:tcBorders>
              <w:top w:val="single" w:sz="8" w:space="0" w:color="000001"/>
              <w:left w:val="single" w:sz="8" w:space="0" w:color="000001"/>
              <w:bottom w:val="single" w:sz="12" w:space="0" w:color="000001"/>
              <w:right w:val="single" w:sz="8" w:space="0" w:color="000001"/>
            </w:tcBorders>
            <w:shd w:val="clear" w:color="auto" w:fill="auto"/>
            <w:tcMar>
              <w:left w:w="107" w:type="dxa"/>
            </w:tcMar>
            <w:vAlign w:val="center"/>
          </w:tcPr>
          <w:p w14:paraId="5D1E4922" w14:textId="77777777" w:rsidR="00BA71C8" w:rsidRDefault="00013685" w:rsidP="00B7575A">
            <w:pPr>
              <w:jc w:val="center"/>
              <w:rPr>
                <w:b/>
              </w:rPr>
            </w:pPr>
            <w:r>
              <w:rPr>
                <w:b/>
              </w:rPr>
              <w:t>% of subsequent studies citing</w:t>
            </w:r>
          </w:p>
        </w:tc>
        <w:tc>
          <w:tcPr>
            <w:tcW w:w="1700" w:type="dxa"/>
            <w:tcBorders>
              <w:top w:val="single" w:sz="8" w:space="0" w:color="000001"/>
              <w:left w:val="single" w:sz="8" w:space="0" w:color="000001"/>
              <w:right w:val="single" w:sz="8" w:space="0" w:color="000001"/>
            </w:tcBorders>
            <w:shd w:val="clear" w:color="auto" w:fill="auto"/>
            <w:tcMar>
              <w:left w:w="117" w:type="dxa"/>
            </w:tcMar>
            <w:vAlign w:val="center"/>
          </w:tcPr>
          <w:p w14:paraId="6DE89635" w14:textId="77777777" w:rsidR="00BA71C8" w:rsidRDefault="00013685" w:rsidP="00B7575A">
            <w:pPr>
              <w:jc w:val="center"/>
            </w:pPr>
            <w:r>
              <w:t>Mean (SD)</w:t>
            </w:r>
          </w:p>
        </w:tc>
        <w:tc>
          <w:tcPr>
            <w:tcW w:w="1700" w:type="dxa"/>
            <w:tcBorders>
              <w:top w:val="single" w:sz="8" w:space="0" w:color="000001"/>
              <w:left w:val="single" w:sz="8" w:space="0" w:color="000001"/>
              <w:right w:val="single" w:sz="8" w:space="0" w:color="000001"/>
            </w:tcBorders>
            <w:shd w:val="clear" w:color="auto" w:fill="auto"/>
            <w:tcMar>
              <w:left w:w="107" w:type="dxa"/>
            </w:tcMar>
          </w:tcPr>
          <w:p w14:paraId="0ED76EEF" w14:textId="21389B5C" w:rsidR="00BA71C8" w:rsidRDefault="00013685" w:rsidP="008A0542">
            <w:pPr>
              <w:jc w:val="center"/>
            </w:pPr>
            <w:r>
              <w:t>1</w:t>
            </w:r>
            <w:r w:rsidR="006D7537">
              <w:t>1.</w:t>
            </w:r>
            <w:r w:rsidR="008A0542">
              <w:t xml:space="preserve">7 </w:t>
            </w:r>
            <w:r w:rsidR="006D7537">
              <w:t>(14.</w:t>
            </w:r>
            <w:r w:rsidR="008A0542">
              <w:t>6</w:t>
            </w:r>
            <w:r>
              <w:t>)</w:t>
            </w:r>
          </w:p>
        </w:tc>
        <w:tc>
          <w:tcPr>
            <w:tcW w:w="1700" w:type="dxa"/>
            <w:tcBorders>
              <w:top w:val="single" w:sz="8" w:space="0" w:color="000001"/>
              <w:left w:val="single" w:sz="8" w:space="0" w:color="000001"/>
              <w:right w:val="single" w:sz="8" w:space="0" w:color="000001"/>
            </w:tcBorders>
            <w:shd w:val="clear" w:color="auto" w:fill="auto"/>
            <w:tcMar>
              <w:left w:w="117" w:type="dxa"/>
            </w:tcMar>
          </w:tcPr>
          <w:p w14:paraId="79C78E14" w14:textId="13ACCE86" w:rsidR="00BA71C8" w:rsidRDefault="00FC1A1E" w:rsidP="008A0542">
            <w:pPr>
              <w:jc w:val="center"/>
            </w:pPr>
            <w:r>
              <w:t>6.3 (9.</w:t>
            </w:r>
            <w:r w:rsidR="008A0542">
              <w:t>4</w:t>
            </w:r>
            <w:r w:rsidR="00013685">
              <w:t>)</w:t>
            </w:r>
          </w:p>
        </w:tc>
        <w:tc>
          <w:tcPr>
            <w:tcW w:w="1987" w:type="dxa"/>
            <w:tcBorders>
              <w:top w:val="single" w:sz="8" w:space="0" w:color="000001"/>
              <w:left w:val="single" w:sz="8" w:space="0" w:color="000001"/>
              <w:right w:val="single" w:sz="8" w:space="0" w:color="000001"/>
            </w:tcBorders>
            <w:shd w:val="clear" w:color="auto" w:fill="auto"/>
            <w:tcMar>
              <w:left w:w="117" w:type="dxa"/>
            </w:tcMar>
          </w:tcPr>
          <w:p w14:paraId="77A28B80" w14:textId="01D9DE31" w:rsidR="00BA71C8" w:rsidRDefault="00E17E83" w:rsidP="008A0542">
            <w:pPr>
              <w:jc w:val="center"/>
            </w:pPr>
            <w:r>
              <w:t>12.</w:t>
            </w:r>
            <w:r w:rsidR="008A0542">
              <w:t xml:space="preserve">1 </w:t>
            </w:r>
            <w:r w:rsidR="00FC1A1E">
              <w:t>(</w:t>
            </w:r>
            <w:r>
              <w:t>16.</w:t>
            </w:r>
            <w:r w:rsidR="008A0542">
              <w:t>1</w:t>
            </w:r>
            <w:r w:rsidR="00013685">
              <w:t>)</w:t>
            </w:r>
          </w:p>
        </w:tc>
      </w:tr>
      <w:tr w:rsidR="00BA71C8" w14:paraId="4BDAC1FD" w14:textId="77777777" w:rsidTr="003B29EA">
        <w:tc>
          <w:tcPr>
            <w:tcW w:w="2093" w:type="dxa"/>
            <w:vMerge/>
            <w:tcBorders>
              <w:left w:val="single" w:sz="8" w:space="0" w:color="000001"/>
              <w:bottom w:val="single" w:sz="8" w:space="0" w:color="000001"/>
              <w:right w:val="single" w:sz="8" w:space="0" w:color="000001"/>
            </w:tcBorders>
            <w:shd w:val="clear" w:color="auto" w:fill="auto"/>
            <w:tcMar>
              <w:left w:w="107" w:type="dxa"/>
            </w:tcMar>
            <w:vAlign w:val="center"/>
          </w:tcPr>
          <w:p w14:paraId="5ECE3C73" w14:textId="77777777" w:rsidR="00BA71C8" w:rsidRDefault="00BA71C8" w:rsidP="00B7575A">
            <w:pPr>
              <w:jc w:val="center"/>
              <w:rPr>
                <w:b/>
              </w:rPr>
            </w:pPr>
          </w:p>
        </w:tc>
        <w:tc>
          <w:tcPr>
            <w:tcW w:w="1700" w:type="dxa"/>
            <w:tcBorders>
              <w:left w:val="single" w:sz="8" w:space="0" w:color="000001"/>
              <w:bottom w:val="single" w:sz="8" w:space="0" w:color="000001"/>
              <w:right w:val="single" w:sz="8" w:space="0" w:color="000001"/>
            </w:tcBorders>
            <w:shd w:val="clear" w:color="auto" w:fill="auto"/>
            <w:tcMar>
              <w:left w:w="117" w:type="dxa"/>
            </w:tcMar>
            <w:vAlign w:val="center"/>
          </w:tcPr>
          <w:p w14:paraId="28F1EFA1" w14:textId="77777777" w:rsidR="00BA71C8" w:rsidRDefault="00013685" w:rsidP="00B7575A">
            <w:pPr>
              <w:jc w:val="center"/>
            </w:pPr>
            <w:r>
              <w:t>Median (IQR)</w:t>
            </w:r>
          </w:p>
        </w:tc>
        <w:tc>
          <w:tcPr>
            <w:tcW w:w="1700" w:type="dxa"/>
            <w:tcBorders>
              <w:left w:val="single" w:sz="8" w:space="0" w:color="000001"/>
              <w:bottom w:val="single" w:sz="8" w:space="0" w:color="000001"/>
              <w:right w:val="single" w:sz="8" w:space="0" w:color="000001"/>
            </w:tcBorders>
            <w:shd w:val="clear" w:color="auto" w:fill="auto"/>
            <w:tcMar>
              <w:left w:w="107" w:type="dxa"/>
            </w:tcMar>
            <w:vAlign w:val="center"/>
          </w:tcPr>
          <w:p w14:paraId="6482C3E2" w14:textId="5C60C6A9" w:rsidR="00BA71C8" w:rsidRDefault="006D7537" w:rsidP="00B7575A">
            <w:pPr>
              <w:jc w:val="center"/>
            </w:pPr>
            <w:r>
              <w:t>5.</w:t>
            </w:r>
            <w:r w:rsidR="008A0542">
              <w:t xml:space="preserve">8 </w:t>
            </w:r>
          </w:p>
          <w:p w14:paraId="07A1B17C" w14:textId="07B22E1F" w:rsidR="00BA71C8" w:rsidRDefault="006D7537" w:rsidP="008A0542">
            <w:pPr>
              <w:jc w:val="center"/>
            </w:pPr>
            <w:r>
              <w:t>(0.0 – 17.</w:t>
            </w:r>
            <w:r w:rsidR="008A0542">
              <w:t>5</w:t>
            </w:r>
            <w:r w:rsidR="00013685">
              <w:t>)</w:t>
            </w:r>
          </w:p>
        </w:tc>
        <w:tc>
          <w:tcPr>
            <w:tcW w:w="1700" w:type="dxa"/>
            <w:tcBorders>
              <w:left w:val="single" w:sz="8" w:space="0" w:color="000001"/>
              <w:bottom w:val="single" w:sz="8" w:space="0" w:color="000001"/>
              <w:right w:val="single" w:sz="8" w:space="0" w:color="000001"/>
            </w:tcBorders>
            <w:shd w:val="clear" w:color="auto" w:fill="auto"/>
            <w:tcMar>
              <w:left w:w="117" w:type="dxa"/>
            </w:tcMar>
            <w:vAlign w:val="center"/>
          </w:tcPr>
          <w:p w14:paraId="6122A99A" w14:textId="77777777" w:rsidR="00BA71C8" w:rsidRDefault="00013685" w:rsidP="00B7575A">
            <w:pPr>
              <w:jc w:val="center"/>
            </w:pPr>
            <w:r>
              <w:t xml:space="preserve">0.0 </w:t>
            </w:r>
          </w:p>
          <w:p w14:paraId="09D164B2" w14:textId="599FFDE1" w:rsidR="00BA71C8" w:rsidRDefault="00013685" w:rsidP="008A0542">
            <w:pPr>
              <w:jc w:val="center"/>
            </w:pPr>
            <w:r>
              <w:t>(0.0 – 9.</w:t>
            </w:r>
            <w:r w:rsidR="008A0542">
              <w:t>7</w:t>
            </w:r>
            <w:r>
              <w:t>)</w:t>
            </w:r>
          </w:p>
        </w:tc>
        <w:tc>
          <w:tcPr>
            <w:tcW w:w="1987" w:type="dxa"/>
            <w:tcBorders>
              <w:left w:val="single" w:sz="8" w:space="0" w:color="000001"/>
              <w:bottom w:val="single" w:sz="8" w:space="0" w:color="000001"/>
              <w:right w:val="single" w:sz="8" w:space="0" w:color="000001"/>
            </w:tcBorders>
            <w:shd w:val="clear" w:color="auto" w:fill="auto"/>
            <w:tcMar>
              <w:left w:w="117" w:type="dxa"/>
            </w:tcMar>
            <w:vAlign w:val="center"/>
          </w:tcPr>
          <w:p w14:paraId="4110BBC8" w14:textId="2CA140F4" w:rsidR="00BA71C8" w:rsidRDefault="00E17E83" w:rsidP="00B7575A">
            <w:pPr>
              <w:jc w:val="center"/>
            </w:pPr>
            <w:r>
              <w:t>7.7</w:t>
            </w:r>
            <w:r w:rsidR="00013685">
              <w:t xml:space="preserve"> </w:t>
            </w:r>
          </w:p>
          <w:p w14:paraId="3A00CD8F" w14:textId="69DB776E" w:rsidR="00BA71C8" w:rsidRDefault="00E17E83" w:rsidP="008A0542">
            <w:pPr>
              <w:jc w:val="center"/>
            </w:pPr>
            <w:r>
              <w:t>(0 – 12.</w:t>
            </w:r>
            <w:r w:rsidR="008A0542">
              <w:t>3</w:t>
            </w:r>
            <w:r w:rsidR="00013685">
              <w:t>)</w:t>
            </w:r>
          </w:p>
        </w:tc>
      </w:tr>
      <w:tr w:rsidR="00BA71C8" w14:paraId="2311FE72" w14:textId="77777777" w:rsidTr="003B29EA">
        <w:tc>
          <w:tcPr>
            <w:tcW w:w="2093" w:type="dxa"/>
            <w:vMerge w:val="restart"/>
            <w:tcBorders>
              <w:top w:val="single" w:sz="8" w:space="0" w:color="000001"/>
              <w:left w:val="single" w:sz="8" w:space="0" w:color="000001"/>
              <w:bottom w:val="single" w:sz="12" w:space="0" w:color="000001"/>
              <w:right w:val="single" w:sz="8" w:space="0" w:color="000001"/>
            </w:tcBorders>
            <w:shd w:val="clear" w:color="auto" w:fill="auto"/>
            <w:tcMar>
              <w:left w:w="107" w:type="dxa"/>
            </w:tcMar>
            <w:vAlign w:val="center"/>
          </w:tcPr>
          <w:p w14:paraId="2250D4FD" w14:textId="77777777" w:rsidR="00BA71C8" w:rsidRDefault="00013685" w:rsidP="00B7575A">
            <w:pPr>
              <w:jc w:val="center"/>
              <w:rPr>
                <w:b/>
              </w:rPr>
            </w:pPr>
            <w:r>
              <w:rPr>
                <w:b/>
              </w:rPr>
              <w:t>Web of Science citations</w:t>
            </w:r>
          </w:p>
        </w:tc>
        <w:tc>
          <w:tcPr>
            <w:tcW w:w="1700" w:type="dxa"/>
            <w:tcBorders>
              <w:top w:val="single" w:sz="8" w:space="0" w:color="000001"/>
              <w:left w:val="single" w:sz="8" w:space="0" w:color="000001"/>
              <w:right w:val="single" w:sz="8" w:space="0" w:color="000001"/>
            </w:tcBorders>
            <w:shd w:val="clear" w:color="auto" w:fill="auto"/>
            <w:tcMar>
              <w:left w:w="117" w:type="dxa"/>
            </w:tcMar>
            <w:vAlign w:val="center"/>
          </w:tcPr>
          <w:p w14:paraId="1207ABBB" w14:textId="77777777" w:rsidR="00BA71C8" w:rsidRDefault="00013685" w:rsidP="00B7575A">
            <w:pPr>
              <w:jc w:val="center"/>
            </w:pPr>
            <w:r>
              <w:t>Mean (SD)</w:t>
            </w:r>
          </w:p>
        </w:tc>
        <w:tc>
          <w:tcPr>
            <w:tcW w:w="1700" w:type="dxa"/>
            <w:tcBorders>
              <w:top w:val="single" w:sz="8" w:space="0" w:color="000001"/>
              <w:left w:val="single" w:sz="8" w:space="0" w:color="000001"/>
              <w:right w:val="single" w:sz="8" w:space="0" w:color="000001"/>
            </w:tcBorders>
            <w:shd w:val="clear" w:color="auto" w:fill="auto"/>
            <w:tcMar>
              <w:left w:w="107" w:type="dxa"/>
            </w:tcMar>
          </w:tcPr>
          <w:p w14:paraId="4B53D2CA" w14:textId="7C5B8F1F" w:rsidR="00BA71C8" w:rsidRDefault="003574F6" w:rsidP="006D7537">
            <w:pPr>
              <w:jc w:val="center"/>
            </w:pPr>
            <w:r>
              <w:t>4</w:t>
            </w:r>
            <w:r w:rsidR="006D7537">
              <w:t>2</w:t>
            </w:r>
            <w:r>
              <w:t>.</w:t>
            </w:r>
            <w:r w:rsidR="006D7537">
              <w:t>4 (44.8</w:t>
            </w:r>
            <w:r w:rsidR="00013685">
              <w:t>)</w:t>
            </w:r>
          </w:p>
        </w:tc>
        <w:tc>
          <w:tcPr>
            <w:tcW w:w="1700" w:type="dxa"/>
            <w:tcBorders>
              <w:top w:val="single" w:sz="8" w:space="0" w:color="000001"/>
              <w:left w:val="single" w:sz="8" w:space="0" w:color="000001"/>
              <w:right w:val="single" w:sz="8" w:space="0" w:color="000001"/>
            </w:tcBorders>
            <w:shd w:val="clear" w:color="auto" w:fill="auto"/>
            <w:tcMar>
              <w:left w:w="117" w:type="dxa"/>
            </w:tcMar>
          </w:tcPr>
          <w:p w14:paraId="69CA6F83" w14:textId="5CC3DA4D" w:rsidR="00BA71C8" w:rsidRDefault="003574F6" w:rsidP="00B7575A">
            <w:pPr>
              <w:jc w:val="center"/>
            </w:pPr>
            <w:r>
              <w:t>40.</w:t>
            </w:r>
            <w:r w:rsidR="0038549B">
              <w:t>8</w:t>
            </w:r>
            <w:r>
              <w:t xml:space="preserve"> (40.</w:t>
            </w:r>
            <w:r w:rsidR="0038549B">
              <w:t>8</w:t>
            </w:r>
            <w:r w:rsidR="00013685">
              <w:t>)</w:t>
            </w:r>
          </w:p>
        </w:tc>
        <w:tc>
          <w:tcPr>
            <w:tcW w:w="1987" w:type="dxa"/>
            <w:tcBorders>
              <w:top w:val="single" w:sz="8" w:space="0" w:color="000001"/>
              <w:left w:val="single" w:sz="8" w:space="0" w:color="000001"/>
              <w:right w:val="single" w:sz="8" w:space="0" w:color="000001"/>
            </w:tcBorders>
            <w:shd w:val="clear" w:color="auto" w:fill="auto"/>
            <w:tcMar>
              <w:left w:w="117" w:type="dxa"/>
            </w:tcMar>
          </w:tcPr>
          <w:p w14:paraId="1624F685" w14:textId="609AAD56" w:rsidR="00BA71C8" w:rsidRDefault="00E17E83" w:rsidP="00E17E83">
            <w:pPr>
              <w:jc w:val="center"/>
            </w:pPr>
            <w:r>
              <w:t>82.2</w:t>
            </w:r>
            <w:r w:rsidR="006D7537">
              <w:t xml:space="preserve"> (10</w:t>
            </w:r>
            <w:r>
              <w:t>6.</w:t>
            </w:r>
            <w:r w:rsidR="0038549B">
              <w:t>8</w:t>
            </w:r>
            <w:r w:rsidR="00013685">
              <w:t>)</w:t>
            </w:r>
          </w:p>
        </w:tc>
      </w:tr>
      <w:tr w:rsidR="00BA71C8" w14:paraId="014D623E" w14:textId="77777777" w:rsidTr="003B29EA">
        <w:tc>
          <w:tcPr>
            <w:tcW w:w="2093" w:type="dxa"/>
            <w:vMerge/>
            <w:tcBorders>
              <w:left w:val="single" w:sz="8" w:space="0" w:color="000001"/>
              <w:bottom w:val="single" w:sz="8" w:space="0" w:color="000001"/>
              <w:right w:val="single" w:sz="8" w:space="0" w:color="000001"/>
            </w:tcBorders>
            <w:shd w:val="clear" w:color="auto" w:fill="auto"/>
            <w:tcMar>
              <w:left w:w="107" w:type="dxa"/>
            </w:tcMar>
            <w:vAlign w:val="center"/>
          </w:tcPr>
          <w:p w14:paraId="045B22C0" w14:textId="77777777" w:rsidR="00BA71C8" w:rsidRDefault="00BA71C8" w:rsidP="00B7575A">
            <w:pPr>
              <w:jc w:val="center"/>
              <w:rPr>
                <w:b/>
              </w:rPr>
            </w:pPr>
          </w:p>
        </w:tc>
        <w:tc>
          <w:tcPr>
            <w:tcW w:w="1700" w:type="dxa"/>
            <w:tcBorders>
              <w:left w:val="single" w:sz="8" w:space="0" w:color="000001"/>
              <w:bottom w:val="single" w:sz="8" w:space="0" w:color="000001"/>
              <w:right w:val="single" w:sz="8" w:space="0" w:color="000001"/>
            </w:tcBorders>
            <w:shd w:val="clear" w:color="auto" w:fill="auto"/>
            <w:tcMar>
              <w:left w:w="117" w:type="dxa"/>
            </w:tcMar>
            <w:vAlign w:val="center"/>
          </w:tcPr>
          <w:p w14:paraId="3750D03B" w14:textId="77777777" w:rsidR="00BA71C8" w:rsidRDefault="00013685" w:rsidP="00B7575A">
            <w:pPr>
              <w:jc w:val="center"/>
            </w:pPr>
            <w:r>
              <w:t>Median (IQR)</w:t>
            </w:r>
          </w:p>
        </w:tc>
        <w:tc>
          <w:tcPr>
            <w:tcW w:w="1700" w:type="dxa"/>
            <w:tcBorders>
              <w:left w:val="single" w:sz="8" w:space="0" w:color="000001"/>
              <w:bottom w:val="single" w:sz="8" w:space="0" w:color="000001"/>
              <w:right w:val="single" w:sz="8" w:space="0" w:color="000001"/>
            </w:tcBorders>
            <w:shd w:val="clear" w:color="auto" w:fill="auto"/>
            <w:tcMar>
              <w:left w:w="107" w:type="dxa"/>
            </w:tcMar>
            <w:vAlign w:val="center"/>
          </w:tcPr>
          <w:p w14:paraId="32512EEB" w14:textId="5EA52BBD" w:rsidR="00BA71C8" w:rsidRDefault="00DC69CE" w:rsidP="00B7575A">
            <w:pPr>
              <w:jc w:val="center"/>
            </w:pPr>
            <w:r>
              <w:t>26</w:t>
            </w:r>
            <w:r w:rsidR="006D7537">
              <w:t>.5</w:t>
            </w:r>
            <w:r w:rsidR="00013685">
              <w:t xml:space="preserve"> </w:t>
            </w:r>
          </w:p>
          <w:p w14:paraId="6F81ABC9" w14:textId="572D67B0" w:rsidR="00BA71C8" w:rsidRDefault="006D7537" w:rsidP="00B7575A">
            <w:pPr>
              <w:jc w:val="center"/>
            </w:pPr>
            <w:r>
              <w:t>(15.8 – 41</w:t>
            </w:r>
            <w:r w:rsidR="00DC69CE">
              <w:t>.0</w:t>
            </w:r>
            <w:r w:rsidR="00013685">
              <w:t>)</w:t>
            </w:r>
          </w:p>
        </w:tc>
        <w:tc>
          <w:tcPr>
            <w:tcW w:w="1700" w:type="dxa"/>
            <w:tcBorders>
              <w:left w:val="single" w:sz="8" w:space="0" w:color="000001"/>
              <w:bottom w:val="single" w:sz="8" w:space="0" w:color="000001"/>
              <w:right w:val="single" w:sz="8" w:space="0" w:color="000001"/>
            </w:tcBorders>
            <w:shd w:val="clear" w:color="auto" w:fill="auto"/>
            <w:tcMar>
              <w:left w:w="117" w:type="dxa"/>
            </w:tcMar>
            <w:vAlign w:val="center"/>
          </w:tcPr>
          <w:p w14:paraId="5CA8239F" w14:textId="58E0FEDD" w:rsidR="00BA71C8" w:rsidRDefault="003574F6" w:rsidP="00B7575A">
            <w:pPr>
              <w:jc w:val="center"/>
            </w:pPr>
            <w:r>
              <w:t>33.0</w:t>
            </w:r>
            <w:r w:rsidR="00013685">
              <w:t xml:space="preserve"> </w:t>
            </w:r>
          </w:p>
          <w:p w14:paraId="396B704A" w14:textId="4A9E4372" w:rsidR="00BA71C8" w:rsidRDefault="00DC69CE" w:rsidP="00B7575A">
            <w:pPr>
              <w:jc w:val="center"/>
            </w:pPr>
            <w:r>
              <w:t>(15</w:t>
            </w:r>
            <w:r w:rsidR="003574F6">
              <w:t>.0</w:t>
            </w:r>
            <w:r>
              <w:t xml:space="preserve"> – 37</w:t>
            </w:r>
            <w:r w:rsidR="00013685">
              <w:t>.0)</w:t>
            </w:r>
          </w:p>
        </w:tc>
        <w:tc>
          <w:tcPr>
            <w:tcW w:w="1987" w:type="dxa"/>
            <w:tcBorders>
              <w:left w:val="single" w:sz="8" w:space="0" w:color="000001"/>
              <w:bottom w:val="single" w:sz="8" w:space="0" w:color="000001"/>
              <w:right w:val="single" w:sz="8" w:space="0" w:color="000001"/>
            </w:tcBorders>
            <w:shd w:val="clear" w:color="auto" w:fill="auto"/>
            <w:tcMar>
              <w:left w:w="117" w:type="dxa"/>
            </w:tcMar>
            <w:vAlign w:val="center"/>
          </w:tcPr>
          <w:p w14:paraId="69BFA571" w14:textId="10904DB2" w:rsidR="00BA71C8" w:rsidRDefault="00E17E83" w:rsidP="00B7575A">
            <w:pPr>
              <w:jc w:val="center"/>
            </w:pPr>
            <w:r>
              <w:t>40.0</w:t>
            </w:r>
          </w:p>
          <w:p w14:paraId="783AC2BA" w14:textId="260CE31D" w:rsidR="00BA71C8" w:rsidRDefault="003574F6" w:rsidP="006D7537">
            <w:pPr>
              <w:jc w:val="center"/>
            </w:pPr>
            <w:r>
              <w:t xml:space="preserve">(16.0 – </w:t>
            </w:r>
            <w:r w:rsidR="00E17E83">
              <w:t>88.0</w:t>
            </w:r>
            <w:r w:rsidR="00013685">
              <w:t>)</w:t>
            </w:r>
          </w:p>
        </w:tc>
      </w:tr>
      <w:tr w:rsidR="00BA71C8" w14:paraId="450433FF" w14:textId="77777777" w:rsidTr="003B29EA">
        <w:tc>
          <w:tcPr>
            <w:tcW w:w="2093" w:type="dxa"/>
            <w:vMerge w:val="restart"/>
            <w:tcBorders>
              <w:top w:val="single" w:sz="8" w:space="0" w:color="000001"/>
              <w:left w:val="single" w:sz="8" w:space="0" w:color="000001"/>
              <w:bottom w:val="single" w:sz="12" w:space="0" w:color="000001"/>
              <w:right w:val="single" w:sz="8" w:space="0" w:color="000001"/>
            </w:tcBorders>
            <w:shd w:val="clear" w:color="auto" w:fill="auto"/>
            <w:tcMar>
              <w:left w:w="107" w:type="dxa"/>
            </w:tcMar>
            <w:vAlign w:val="center"/>
          </w:tcPr>
          <w:p w14:paraId="10BEA3FE" w14:textId="77777777" w:rsidR="00BA71C8" w:rsidRDefault="00013685" w:rsidP="00B7575A">
            <w:pPr>
              <w:jc w:val="center"/>
              <w:rPr>
                <w:b/>
              </w:rPr>
            </w:pPr>
            <w:r>
              <w:rPr>
                <w:b/>
              </w:rPr>
              <w:t>Yearly citation rate</w:t>
            </w:r>
          </w:p>
        </w:tc>
        <w:tc>
          <w:tcPr>
            <w:tcW w:w="1700" w:type="dxa"/>
            <w:tcBorders>
              <w:top w:val="single" w:sz="8" w:space="0" w:color="000001"/>
              <w:left w:val="single" w:sz="8" w:space="0" w:color="000001"/>
              <w:right w:val="single" w:sz="8" w:space="0" w:color="000001"/>
            </w:tcBorders>
            <w:shd w:val="clear" w:color="auto" w:fill="auto"/>
            <w:tcMar>
              <w:left w:w="117" w:type="dxa"/>
            </w:tcMar>
            <w:vAlign w:val="center"/>
          </w:tcPr>
          <w:p w14:paraId="7CA5F4FA" w14:textId="77777777" w:rsidR="00BA71C8" w:rsidRDefault="00013685" w:rsidP="00B7575A">
            <w:pPr>
              <w:jc w:val="center"/>
            </w:pPr>
            <w:r>
              <w:t>Mean (SD)</w:t>
            </w:r>
          </w:p>
        </w:tc>
        <w:tc>
          <w:tcPr>
            <w:tcW w:w="1700" w:type="dxa"/>
            <w:tcBorders>
              <w:top w:val="single" w:sz="8" w:space="0" w:color="000001"/>
              <w:left w:val="single" w:sz="8" w:space="0" w:color="000001"/>
              <w:right w:val="single" w:sz="8" w:space="0" w:color="000001"/>
            </w:tcBorders>
            <w:shd w:val="clear" w:color="auto" w:fill="auto"/>
            <w:tcMar>
              <w:left w:w="107" w:type="dxa"/>
            </w:tcMar>
          </w:tcPr>
          <w:p w14:paraId="05B41EE3" w14:textId="024942E6" w:rsidR="00BA71C8" w:rsidRDefault="006D7537" w:rsidP="006D7537">
            <w:pPr>
              <w:jc w:val="center"/>
            </w:pPr>
            <w:r>
              <w:t>5.6 (4.0</w:t>
            </w:r>
            <w:r w:rsidR="000611F7">
              <w:t>)</w:t>
            </w:r>
          </w:p>
        </w:tc>
        <w:tc>
          <w:tcPr>
            <w:tcW w:w="1700" w:type="dxa"/>
            <w:tcBorders>
              <w:top w:val="single" w:sz="8" w:space="0" w:color="000001"/>
              <w:left w:val="single" w:sz="8" w:space="0" w:color="000001"/>
              <w:right w:val="single" w:sz="8" w:space="0" w:color="000001"/>
            </w:tcBorders>
            <w:shd w:val="clear" w:color="auto" w:fill="auto"/>
            <w:tcMar>
              <w:left w:w="117" w:type="dxa"/>
            </w:tcMar>
          </w:tcPr>
          <w:p w14:paraId="6A11904D" w14:textId="34628585" w:rsidR="00BA71C8" w:rsidRDefault="003574F6" w:rsidP="00B7575A">
            <w:pPr>
              <w:jc w:val="center"/>
            </w:pPr>
            <w:r>
              <w:t>6.7 (3.7</w:t>
            </w:r>
            <w:r w:rsidR="00013685">
              <w:t>)</w:t>
            </w:r>
          </w:p>
        </w:tc>
        <w:tc>
          <w:tcPr>
            <w:tcW w:w="1987" w:type="dxa"/>
            <w:tcBorders>
              <w:top w:val="single" w:sz="8" w:space="0" w:color="000001"/>
              <w:left w:val="single" w:sz="8" w:space="0" w:color="000001"/>
              <w:right w:val="single" w:sz="8" w:space="0" w:color="000001"/>
            </w:tcBorders>
            <w:shd w:val="clear" w:color="auto" w:fill="auto"/>
            <w:tcMar>
              <w:left w:w="117" w:type="dxa"/>
            </w:tcMar>
          </w:tcPr>
          <w:p w14:paraId="3ED9CFC3" w14:textId="3CB0F98D" w:rsidR="00BA71C8" w:rsidRDefault="00E17E83" w:rsidP="00B7575A">
            <w:pPr>
              <w:jc w:val="center"/>
            </w:pPr>
            <w:r>
              <w:t>10.5 (9.7</w:t>
            </w:r>
            <w:r w:rsidR="00013685">
              <w:t>)</w:t>
            </w:r>
          </w:p>
        </w:tc>
      </w:tr>
      <w:tr w:rsidR="00BA71C8" w14:paraId="462011F0" w14:textId="77777777" w:rsidTr="003B29EA">
        <w:tc>
          <w:tcPr>
            <w:tcW w:w="2093" w:type="dxa"/>
            <w:vMerge/>
            <w:tcBorders>
              <w:left w:val="single" w:sz="8" w:space="0" w:color="000001"/>
              <w:bottom w:val="single" w:sz="8" w:space="0" w:color="000001"/>
              <w:right w:val="single" w:sz="8" w:space="0" w:color="000001"/>
            </w:tcBorders>
            <w:shd w:val="clear" w:color="auto" w:fill="auto"/>
            <w:tcMar>
              <w:left w:w="107" w:type="dxa"/>
            </w:tcMar>
            <w:vAlign w:val="center"/>
          </w:tcPr>
          <w:p w14:paraId="4D4B9467" w14:textId="77777777" w:rsidR="00BA71C8" w:rsidRDefault="00BA71C8" w:rsidP="00B7575A">
            <w:pPr>
              <w:jc w:val="center"/>
              <w:rPr>
                <w:b/>
              </w:rPr>
            </w:pPr>
          </w:p>
        </w:tc>
        <w:tc>
          <w:tcPr>
            <w:tcW w:w="1700" w:type="dxa"/>
            <w:tcBorders>
              <w:left w:val="single" w:sz="8" w:space="0" w:color="000001"/>
              <w:bottom w:val="single" w:sz="8" w:space="0" w:color="000001"/>
              <w:right w:val="single" w:sz="8" w:space="0" w:color="000001"/>
            </w:tcBorders>
            <w:shd w:val="clear" w:color="auto" w:fill="auto"/>
            <w:tcMar>
              <w:left w:w="117" w:type="dxa"/>
            </w:tcMar>
            <w:vAlign w:val="center"/>
          </w:tcPr>
          <w:p w14:paraId="67891A4B" w14:textId="77777777" w:rsidR="00BA71C8" w:rsidRDefault="00013685" w:rsidP="00B7575A">
            <w:pPr>
              <w:jc w:val="center"/>
            </w:pPr>
            <w:r>
              <w:t>Median (IQR)</w:t>
            </w:r>
          </w:p>
        </w:tc>
        <w:tc>
          <w:tcPr>
            <w:tcW w:w="1700" w:type="dxa"/>
            <w:tcBorders>
              <w:left w:val="single" w:sz="8" w:space="0" w:color="000001"/>
              <w:bottom w:val="single" w:sz="8" w:space="0" w:color="000001"/>
              <w:right w:val="single" w:sz="8" w:space="0" w:color="000001"/>
            </w:tcBorders>
            <w:shd w:val="clear" w:color="auto" w:fill="auto"/>
            <w:tcMar>
              <w:left w:w="107" w:type="dxa"/>
            </w:tcMar>
            <w:vAlign w:val="center"/>
          </w:tcPr>
          <w:p w14:paraId="11C29826" w14:textId="42068458" w:rsidR="00BA71C8" w:rsidRDefault="006D7537" w:rsidP="00B7575A">
            <w:pPr>
              <w:jc w:val="center"/>
            </w:pPr>
            <w:r>
              <w:t>4.5 (3.3 – 7.6</w:t>
            </w:r>
            <w:r w:rsidR="00013685">
              <w:t>)</w:t>
            </w:r>
          </w:p>
        </w:tc>
        <w:tc>
          <w:tcPr>
            <w:tcW w:w="1700" w:type="dxa"/>
            <w:tcBorders>
              <w:left w:val="single" w:sz="8" w:space="0" w:color="000001"/>
              <w:bottom w:val="single" w:sz="8" w:space="0" w:color="000001"/>
              <w:right w:val="single" w:sz="8" w:space="0" w:color="000001"/>
            </w:tcBorders>
            <w:shd w:val="clear" w:color="auto" w:fill="auto"/>
            <w:tcMar>
              <w:left w:w="117" w:type="dxa"/>
            </w:tcMar>
            <w:vAlign w:val="center"/>
          </w:tcPr>
          <w:p w14:paraId="7153A8AB" w14:textId="6AE0D497" w:rsidR="00BA71C8" w:rsidRDefault="003574F6" w:rsidP="00B7575A">
            <w:pPr>
              <w:jc w:val="center"/>
            </w:pPr>
            <w:r>
              <w:t>6.6</w:t>
            </w:r>
            <w:r w:rsidR="000611F7">
              <w:t xml:space="preserve"> (5.0 – 8.8</w:t>
            </w:r>
            <w:r w:rsidR="00013685">
              <w:t>)</w:t>
            </w:r>
          </w:p>
        </w:tc>
        <w:tc>
          <w:tcPr>
            <w:tcW w:w="1987" w:type="dxa"/>
            <w:tcBorders>
              <w:left w:val="single" w:sz="8" w:space="0" w:color="000001"/>
              <w:bottom w:val="single" w:sz="8" w:space="0" w:color="000001"/>
              <w:right w:val="single" w:sz="8" w:space="0" w:color="000001"/>
            </w:tcBorders>
            <w:shd w:val="clear" w:color="auto" w:fill="auto"/>
            <w:tcMar>
              <w:left w:w="117" w:type="dxa"/>
            </w:tcMar>
            <w:vAlign w:val="center"/>
          </w:tcPr>
          <w:p w14:paraId="317A912C" w14:textId="0DA9C970" w:rsidR="00BA71C8" w:rsidRDefault="00E17E83" w:rsidP="00E17E83">
            <w:pPr>
              <w:jc w:val="center"/>
            </w:pPr>
            <w:r>
              <w:t>8.8</w:t>
            </w:r>
            <w:r w:rsidR="003574F6">
              <w:t xml:space="preserve"> (</w:t>
            </w:r>
            <w:r>
              <w:t>4.0</w:t>
            </w:r>
            <w:r w:rsidR="006D7537">
              <w:t xml:space="preserve"> – </w:t>
            </w:r>
            <w:r>
              <w:t>13.5</w:t>
            </w:r>
            <w:r w:rsidR="00013685">
              <w:t>)</w:t>
            </w:r>
          </w:p>
        </w:tc>
      </w:tr>
    </w:tbl>
    <w:p w14:paraId="575CEC91" w14:textId="77777777" w:rsidR="00BA71C8" w:rsidRDefault="00BA71C8" w:rsidP="00B838ED">
      <w:pPr>
        <w:spacing w:line="480" w:lineRule="auto"/>
      </w:pPr>
    </w:p>
    <w:p w14:paraId="22EC625A" w14:textId="2F98B7A5" w:rsidR="00BA71C8" w:rsidRDefault="009B57FA" w:rsidP="00B838ED">
      <w:pPr>
        <w:spacing w:line="480" w:lineRule="auto"/>
      </w:pPr>
      <w:r>
        <w:t>Caption</w:t>
      </w:r>
      <w:r w:rsidR="00013685">
        <w:t xml:space="preserve">: Mean (SD) and median (IQR) number of within-network citations, percentage of subsequent studies citing a given study, number of Web of Science citations, and yearly citation rate for negative studies without </w:t>
      </w:r>
      <w:r>
        <w:t>a positive focus</w:t>
      </w:r>
      <w:r w:rsidR="00013685">
        <w:t xml:space="preserve">, with </w:t>
      </w:r>
      <w:r>
        <w:t>a partially positive focus</w:t>
      </w:r>
      <w:r w:rsidR="00013685">
        <w:t xml:space="preserve">, and with </w:t>
      </w:r>
      <w:r>
        <w:t>a positive focus</w:t>
      </w:r>
      <w:r w:rsidR="00013685">
        <w:t>.</w:t>
      </w:r>
    </w:p>
    <w:p w14:paraId="6185CAD8" w14:textId="77777777" w:rsidR="00BA71C8" w:rsidRDefault="00BA71C8" w:rsidP="00B838ED">
      <w:pPr>
        <w:spacing w:line="480" w:lineRule="auto"/>
      </w:pPr>
    </w:p>
    <w:p w14:paraId="64C3AA7E" w14:textId="7A431AD3" w:rsidR="00113570" w:rsidRDefault="00113570">
      <w:pPr>
        <w:suppressAutoHyphens w:val="0"/>
      </w:pPr>
    </w:p>
    <w:sectPr w:rsidR="00113570">
      <w:pgSz w:w="11906" w:h="16838"/>
      <w:pgMar w:top="1417" w:right="1417" w:bottom="1417" w:left="1417"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Lucida Sans"/>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C8"/>
    <w:rsid w:val="00013685"/>
    <w:rsid w:val="000256E8"/>
    <w:rsid w:val="000611F7"/>
    <w:rsid w:val="000C29AB"/>
    <w:rsid w:val="000C4B59"/>
    <w:rsid w:val="00111959"/>
    <w:rsid w:val="00113570"/>
    <w:rsid w:val="002565C0"/>
    <w:rsid w:val="00290BD1"/>
    <w:rsid w:val="002E00FB"/>
    <w:rsid w:val="00330CA0"/>
    <w:rsid w:val="00333258"/>
    <w:rsid w:val="003574F6"/>
    <w:rsid w:val="0038549B"/>
    <w:rsid w:val="003B29EA"/>
    <w:rsid w:val="00431849"/>
    <w:rsid w:val="005660CD"/>
    <w:rsid w:val="00660077"/>
    <w:rsid w:val="006B1447"/>
    <w:rsid w:val="006B218A"/>
    <w:rsid w:val="006D7537"/>
    <w:rsid w:val="007015CA"/>
    <w:rsid w:val="008A0542"/>
    <w:rsid w:val="009140E6"/>
    <w:rsid w:val="00973EC0"/>
    <w:rsid w:val="009B57FA"/>
    <w:rsid w:val="00A858A3"/>
    <w:rsid w:val="00AD45C3"/>
    <w:rsid w:val="00B7575A"/>
    <w:rsid w:val="00B838ED"/>
    <w:rsid w:val="00BA71C8"/>
    <w:rsid w:val="00D218F6"/>
    <w:rsid w:val="00DC69CE"/>
    <w:rsid w:val="00E17E83"/>
    <w:rsid w:val="00F31335"/>
    <w:rsid w:val="00F8685B"/>
    <w:rsid w:val="00FC1A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2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62482"/>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Teken">
    <w:name w:val="Ballontekst Teken"/>
    <w:basedOn w:val="Standaardalinea-lettertype"/>
    <w:uiPriority w:val="99"/>
    <w:semiHidden/>
    <w:rsid w:val="00A03D6B"/>
    <w:rPr>
      <w:rFonts w:ascii="Lucida Grande" w:hAnsi="Lucida Grande"/>
      <w:sz w:val="18"/>
      <w:szCs w:val="18"/>
    </w:rPr>
  </w:style>
  <w:style w:type="character" w:styleId="Verwijzingopmerking">
    <w:name w:val="annotation reference"/>
    <w:basedOn w:val="Standaardalinea-lettertype"/>
    <w:uiPriority w:val="99"/>
    <w:semiHidden/>
    <w:unhideWhenUsed/>
    <w:rsid w:val="004428DF"/>
    <w:rPr>
      <w:sz w:val="16"/>
      <w:szCs w:val="16"/>
    </w:rPr>
  </w:style>
  <w:style w:type="character" w:customStyle="1" w:styleId="TekstopmerkingTeken">
    <w:name w:val="Tekst opmerking Teken"/>
    <w:basedOn w:val="Standaardalinea-lettertype"/>
    <w:link w:val="Tekstopmerking"/>
    <w:uiPriority w:val="99"/>
    <w:semiHidden/>
    <w:rsid w:val="004428DF"/>
    <w:rPr>
      <w:rFonts w:eastAsiaTheme="minorHAnsi"/>
      <w:sz w:val="20"/>
      <w:szCs w:val="20"/>
      <w:lang w:val="en-US" w:eastAsia="en-US"/>
    </w:rPr>
  </w:style>
  <w:style w:type="character" w:customStyle="1" w:styleId="BallontekstTeken1">
    <w:name w:val="Ballontekst Teken1"/>
    <w:basedOn w:val="Standaardalinea-lettertype"/>
    <w:link w:val="Ballontekst"/>
    <w:uiPriority w:val="99"/>
    <w:semiHidden/>
    <w:rsid w:val="004428DF"/>
    <w:rPr>
      <w:rFonts w:ascii="Tahoma" w:hAnsi="Tahoma" w:cs="Tahoma"/>
      <w:sz w:val="16"/>
      <w:szCs w:val="16"/>
    </w:rPr>
  </w:style>
  <w:style w:type="character" w:customStyle="1" w:styleId="OnderwerpvanopmerkingTeken">
    <w:name w:val="Onderwerp van opmerking Teken"/>
    <w:basedOn w:val="TekstopmerkingTeken"/>
    <w:link w:val="Onderwerpvanopmerking"/>
    <w:uiPriority w:val="99"/>
    <w:semiHidden/>
    <w:rsid w:val="00237710"/>
    <w:rPr>
      <w:rFonts w:eastAsiaTheme="minorHAnsi"/>
      <w:b/>
      <w:bCs/>
      <w:sz w:val="20"/>
      <w:szCs w:val="20"/>
      <w:lang w:val="en-US" w:eastAsia="en-US"/>
    </w:rPr>
  </w:style>
  <w:style w:type="paragraph" w:customStyle="1" w:styleId="Heading">
    <w:name w:val="Heading"/>
    <w:basedOn w:val="Norma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al"/>
    <w:pPr>
      <w:spacing w:after="140" w:line="288" w:lineRule="auto"/>
    </w:pPr>
  </w:style>
  <w:style w:type="paragraph" w:styleId="Lijst">
    <w:name w:val="List"/>
    <w:basedOn w:val="TextBody"/>
    <w:rPr>
      <w:rFonts w:cs="Mangal"/>
    </w:rPr>
  </w:style>
  <w:style w:type="paragraph" w:styleId="Bijschrift">
    <w:name w:val="caption"/>
    <w:basedOn w:val="Normaal"/>
    <w:pPr>
      <w:suppressLineNumbers/>
      <w:spacing w:before="120" w:after="120"/>
    </w:pPr>
    <w:rPr>
      <w:rFonts w:cs="Mangal"/>
      <w:i/>
      <w:iCs/>
    </w:rPr>
  </w:style>
  <w:style w:type="paragraph" w:customStyle="1" w:styleId="Index">
    <w:name w:val="Index"/>
    <w:basedOn w:val="Normaal"/>
    <w:pPr>
      <w:suppressLineNumbers/>
    </w:pPr>
    <w:rPr>
      <w:rFonts w:cs="Mangal"/>
    </w:rPr>
  </w:style>
  <w:style w:type="paragraph" w:styleId="Ballontekst">
    <w:name w:val="Balloon Text"/>
    <w:basedOn w:val="Normaal"/>
    <w:link w:val="BallontekstTeken1"/>
    <w:uiPriority w:val="99"/>
    <w:semiHidden/>
    <w:unhideWhenUsed/>
    <w:rsid w:val="004428DF"/>
    <w:rPr>
      <w:rFonts w:ascii="Tahoma" w:hAnsi="Tahoma" w:cs="Tahoma"/>
      <w:sz w:val="16"/>
      <w:szCs w:val="16"/>
    </w:rPr>
  </w:style>
  <w:style w:type="paragraph" w:styleId="Tekstopmerking">
    <w:name w:val="annotation text"/>
    <w:basedOn w:val="Normaal"/>
    <w:link w:val="TekstopmerkingTeken"/>
    <w:uiPriority w:val="99"/>
    <w:semiHidden/>
    <w:unhideWhenUsed/>
    <w:rsid w:val="004428DF"/>
    <w:rPr>
      <w:rFonts w:eastAsiaTheme="minorHAnsi"/>
      <w:sz w:val="20"/>
      <w:szCs w:val="20"/>
      <w:lang w:val="en-US" w:eastAsia="en-US"/>
    </w:rPr>
  </w:style>
  <w:style w:type="paragraph" w:styleId="Onderwerpvanopmerking">
    <w:name w:val="annotation subject"/>
    <w:basedOn w:val="Tekstopmerking"/>
    <w:link w:val="OnderwerpvanopmerkingTeken"/>
    <w:uiPriority w:val="99"/>
    <w:semiHidden/>
    <w:unhideWhenUsed/>
    <w:rsid w:val="00237710"/>
    <w:rPr>
      <w:rFonts w:eastAsiaTheme="minorEastAsia"/>
      <w:b/>
      <w:bCs/>
      <w:lang w:val="en-GB" w:eastAsia="ja-JP"/>
    </w:rPr>
  </w:style>
  <w:style w:type="table" w:styleId="Tabelraster">
    <w:name w:val="Table Grid"/>
    <w:basedOn w:val="Standaardtabel"/>
    <w:uiPriority w:val="59"/>
    <w:rsid w:val="006A0B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62482"/>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Teken">
    <w:name w:val="Ballontekst Teken"/>
    <w:basedOn w:val="Standaardalinea-lettertype"/>
    <w:uiPriority w:val="99"/>
    <w:semiHidden/>
    <w:rsid w:val="00A03D6B"/>
    <w:rPr>
      <w:rFonts w:ascii="Lucida Grande" w:hAnsi="Lucida Grande"/>
      <w:sz w:val="18"/>
      <w:szCs w:val="18"/>
    </w:rPr>
  </w:style>
  <w:style w:type="character" w:styleId="Verwijzingopmerking">
    <w:name w:val="annotation reference"/>
    <w:basedOn w:val="Standaardalinea-lettertype"/>
    <w:uiPriority w:val="99"/>
    <w:semiHidden/>
    <w:unhideWhenUsed/>
    <w:rsid w:val="004428DF"/>
    <w:rPr>
      <w:sz w:val="16"/>
      <w:szCs w:val="16"/>
    </w:rPr>
  </w:style>
  <w:style w:type="character" w:customStyle="1" w:styleId="TekstopmerkingTeken">
    <w:name w:val="Tekst opmerking Teken"/>
    <w:basedOn w:val="Standaardalinea-lettertype"/>
    <w:link w:val="Tekstopmerking"/>
    <w:uiPriority w:val="99"/>
    <w:semiHidden/>
    <w:rsid w:val="004428DF"/>
    <w:rPr>
      <w:rFonts w:eastAsiaTheme="minorHAnsi"/>
      <w:sz w:val="20"/>
      <w:szCs w:val="20"/>
      <w:lang w:val="en-US" w:eastAsia="en-US"/>
    </w:rPr>
  </w:style>
  <w:style w:type="character" w:customStyle="1" w:styleId="BallontekstTeken1">
    <w:name w:val="Ballontekst Teken1"/>
    <w:basedOn w:val="Standaardalinea-lettertype"/>
    <w:link w:val="Ballontekst"/>
    <w:uiPriority w:val="99"/>
    <w:semiHidden/>
    <w:rsid w:val="004428DF"/>
    <w:rPr>
      <w:rFonts w:ascii="Tahoma" w:hAnsi="Tahoma" w:cs="Tahoma"/>
      <w:sz w:val="16"/>
      <w:szCs w:val="16"/>
    </w:rPr>
  </w:style>
  <w:style w:type="character" w:customStyle="1" w:styleId="OnderwerpvanopmerkingTeken">
    <w:name w:val="Onderwerp van opmerking Teken"/>
    <w:basedOn w:val="TekstopmerkingTeken"/>
    <w:link w:val="Onderwerpvanopmerking"/>
    <w:uiPriority w:val="99"/>
    <w:semiHidden/>
    <w:rsid w:val="00237710"/>
    <w:rPr>
      <w:rFonts w:eastAsiaTheme="minorHAnsi"/>
      <w:b/>
      <w:bCs/>
      <w:sz w:val="20"/>
      <w:szCs w:val="20"/>
      <w:lang w:val="en-US" w:eastAsia="en-US"/>
    </w:rPr>
  </w:style>
  <w:style w:type="paragraph" w:customStyle="1" w:styleId="Heading">
    <w:name w:val="Heading"/>
    <w:basedOn w:val="Norma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al"/>
    <w:pPr>
      <w:spacing w:after="140" w:line="288" w:lineRule="auto"/>
    </w:pPr>
  </w:style>
  <w:style w:type="paragraph" w:styleId="Lijst">
    <w:name w:val="List"/>
    <w:basedOn w:val="TextBody"/>
    <w:rPr>
      <w:rFonts w:cs="Mangal"/>
    </w:rPr>
  </w:style>
  <w:style w:type="paragraph" w:styleId="Bijschrift">
    <w:name w:val="caption"/>
    <w:basedOn w:val="Normaal"/>
    <w:pPr>
      <w:suppressLineNumbers/>
      <w:spacing w:before="120" w:after="120"/>
    </w:pPr>
    <w:rPr>
      <w:rFonts w:cs="Mangal"/>
      <w:i/>
      <w:iCs/>
    </w:rPr>
  </w:style>
  <w:style w:type="paragraph" w:customStyle="1" w:styleId="Index">
    <w:name w:val="Index"/>
    <w:basedOn w:val="Normaal"/>
    <w:pPr>
      <w:suppressLineNumbers/>
    </w:pPr>
    <w:rPr>
      <w:rFonts w:cs="Mangal"/>
    </w:rPr>
  </w:style>
  <w:style w:type="paragraph" w:styleId="Ballontekst">
    <w:name w:val="Balloon Text"/>
    <w:basedOn w:val="Normaal"/>
    <w:link w:val="BallontekstTeken1"/>
    <w:uiPriority w:val="99"/>
    <w:semiHidden/>
    <w:unhideWhenUsed/>
    <w:rsid w:val="004428DF"/>
    <w:rPr>
      <w:rFonts w:ascii="Tahoma" w:hAnsi="Tahoma" w:cs="Tahoma"/>
      <w:sz w:val="16"/>
      <w:szCs w:val="16"/>
    </w:rPr>
  </w:style>
  <w:style w:type="paragraph" w:styleId="Tekstopmerking">
    <w:name w:val="annotation text"/>
    <w:basedOn w:val="Normaal"/>
    <w:link w:val="TekstopmerkingTeken"/>
    <w:uiPriority w:val="99"/>
    <w:semiHidden/>
    <w:unhideWhenUsed/>
    <w:rsid w:val="004428DF"/>
    <w:rPr>
      <w:rFonts w:eastAsiaTheme="minorHAnsi"/>
      <w:sz w:val="20"/>
      <w:szCs w:val="20"/>
      <w:lang w:val="en-US" w:eastAsia="en-US"/>
    </w:rPr>
  </w:style>
  <w:style w:type="paragraph" w:styleId="Onderwerpvanopmerking">
    <w:name w:val="annotation subject"/>
    <w:basedOn w:val="Tekstopmerking"/>
    <w:link w:val="OnderwerpvanopmerkingTeken"/>
    <w:uiPriority w:val="99"/>
    <w:semiHidden/>
    <w:unhideWhenUsed/>
    <w:rsid w:val="00237710"/>
    <w:rPr>
      <w:rFonts w:eastAsiaTheme="minorEastAsia"/>
      <w:b/>
      <w:bCs/>
      <w:lang w:val="en-GB" w:eastAsia="ja-JP"/>
    </w:rPr>
  </w:style>
  <w:style w:type="table" w:styleId="Tabelraster">
    <w:name w:val="Table Grid"/>
    <w:basedOn w:val="Standaardtabel"/>
    <w:uiPriority w:val="59"/>
    <w:rsid w:val="006A0B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951</Words>
  <Characters>5231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Ymkje Anna de Vries</dc:creator>
  <cp:lastModifiedBy>Ymkje Anna de Vries</cp:lastModifiedBy>
  <cp:revision>3</cp:revision>
  <cp:lastPrinted>2015-05-21T08:23:00Z</cp:lastPrinted>
  <dcterms:created xsi:type="dcterms:W3CDTF">2016-04-20T09:28:00Z</dcterms:created>
  <dcterms:modified xsi:type="dcterms:W3CDTF">2016-04-20T09:29:00Z</dcterms:modified>
  <dc:language>nl-NL</dc:language>
</cp:coreProperties>
</file>