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00" w:rsidRDefault="00D47238" w:rsidP="00064A2E">
      <w:pPr>
        <w:jc w:val="both"/>
        <w:rPr>
          <w:b/>
        </w:rPr>
      </w:pPr>
      <w:r>
        <w:rPr>
          <w:b/>
        </w:rPr>
        <w:t>SUPPLEMENTARY MATERIAL</w:t>
      </w:r>
    </w:p>
    <w:p w:rsidR="00246600" w:rsidRDefault="00246600" w:rsidP="00064A2E">
      <w:pPr>
        <w:jc w:val="both"/>
        <w:rPr>
          <w:b/>
        </w:rPr>
      </w:pPr>
    </w:p>
    <w:p w:rsidR="00F35E60" w:rsidRPr="008C041C" w:rsidRDefault="00F35E60" w:rsidP="00064A2E">
      <w:pPr>
        <w:jc w:val="both"/>
      </w:pPr>
      <w:r w:rsidRPr="008C041C">
        <w:rPr>
          <w:b/>
        </w:rPr>
        <w:t xml:space="preserve">Site </w:t>
      </w:r>
      <w:r w:rsidR="00DB0192" w:rsidRPr="008C041C">
        <w:rPr>
          <w:b/>
        </w:rPr>
        <w:t xml:space="preserve">Recruitment </w:t>
      </w:r>
      <w:r w:rsidRPr="008C041C">
        <w:rPr>
          <w:b/>
        </w:rPr>
        <w:t>Flow Charts</w:t>
      </w:r>
    </w:p>
    <w:p w:rsidR="00C87CE6" w:rsidRDefault="00C87CE6" w:rsidP="00064A2E">
      <w:pPr>
        <w:jc w:val="both"/>
      </w:pPr>
    </w:p>
    <w:p w:rsidR="00F35E60" w:rsidRDefault="00F35E60" w:rsidP="00154B41">
      <w:pPr>
        <w:pStyle w:val="ListParagraph"/>
        <w:numPr>
          <w:ilvl w:val="0"/>
          <w:numId w:val="1"/>
        </w:numPr>
        <w:jc w:val="both"/>
      </w:pPr>
      <w:r>
        <w:t>Chen</w:t>
      </w:r>
      <w:r w:rsidR="004E3672">
        <w:t>galpet</w:t>
      </w:r>
      <w:r>
        <w:t>, India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1118"/>
        <w:gridCol w:w="850"/>
        <w:gridCol w:w="1559"/>
        <w:gridCol w:w="1560"/>
        <w:gridCol w:w="850"/>
        <w:gridCol w:w="2188"/>
      </w:tblGrid>
      <w:tr w:rsidR="00154B41" w:rsidRPr="002971C1" w:rsidTr="00CE2EA5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4E3672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screened for inclusion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trHeight w:val="270"/>
          <w:jc w:val="center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no information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18</w:t>
            </w:r>
          </w:p>
        </w:tc>
      </w:tr>
      <w:tr w:rsidR="00154B41" w:rsidRPr="002971C1" w:rsidTr="00CE2EA5">
        <w:trPr>
          <w:trHeight w:val="270"/>
          <w:jc w:val="center"/>
        </w:trPr>
        <w:tc>
          <w:tcPr>
            <w:tcW w:w="2235" w:type="dxa"/>
            <w:gridSpan w:val="2"/>
            <w:vMerge/>
            <w:tcBorders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trHeight w:val="135"/>
          <w:jc w:val="center"/>
        </w:trPr>
        <w:tc>
          <w:tcPr>
            <w:tcW w:w="2235" w:type="dxa"/>
            <w:gridSpan w:val="2"/>
            <w:vMerge w:val="restart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not eligible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398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trHeight w:val="135"/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1117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1117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eligible (included)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2235" w:type="dxa"/>
            <w:gridSpan w:val="2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reasons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trHeight w:val="135"/>
          <w:jc w:val="center"/>
        </w:trPr>
        <w:tc>
          <w:tcPr>
            <w:tcW w:w="2235" w:type="dxa"/>
            <w:gridSpan w:val="2"/>
            <w:vMerge w:val="restart"/>
          </w:tcPr>
          <w:p w:rsidR="002971C1" w:rsidRDefault="002971C1" w:rsidP="00CE2EA5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67AB3" w:rsidRPr="002971C1" w:rsidRDefault="00173596" w:rsidP="00CE2EA5">
            <w:pPr>
              <w:rPr>
                <w:rFonts w:cs="Arial"/>
                <w:color w:val="000000"/>
                <w:sz w:val="20"/>
                <w:szCs w:val="20"/>
              </w:rPr>
            </w:pPr>
            <w:r w:rsidRPr="002971C1">
              <w:rPr>
                <w:rFonts w:cs="Arial"/>
                <w:color w:val="000000"/>
                <w:sz w:val="20"/>
                <w:szCs w:val="20"/>
              </w:rPr>
              <w:t>162*</w:t>
            </w:r>
            <w:r w:rsidR="004E3672">
              <w:rPr>
                <w:rFonts w:cs="Arial"/>
                <w:color w:val="000000"/>
                <w:sz w:val="20"/>
                <w:szCs w:val="20"/>
              </w:rPr>
              <w:t>*</w:t>
            </w:r>
            <w:r w:rsidR="00CE2EA5" w:rsidRPr="002971C1">
              <w:rPr>
                <w:rFonts w:cs="Arial"/>
                <w:color w:val="000000"/>
                <w:sz w:val="20"/>
                <w:szCs w:val="20"/>
              </w:rPr>
              <w:tab/>
              <w:t>outside area</w:t>
            </w:r>
          </w:p>
          <w:p w:rsidR="00154B41" w:rsidRPr="002971C1" w:rsidRDefault="00CE2EA5" w:rsidP="00CE2EA5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1</w:t>
            </w:r>
            <w:r w:rsidR="00173596" w:rsidRPr="002971C1">
              <w:rPr>
                <w:sz w:val="20"/>
                <w:szCs w:val="20"/>
              </w:rPr>
              <w:t>5</w:t>
            </w:r>
            <w:r w:rsidRPr="002971C1">
              <w:rPr>
                <w:sz w:val="20"/>
                <w:szCs w:val="20"/>
              </w:rPr>
              <w:t>*</w:t>
            </w:r>
            <w:r w:rsidR="004E3672">
              <w:rPr>
                <w:sz w:val="20"/>
                <w:szCs w:val="20"/>
              </w:rPr>
              <w:t>*</w:t>
            </w:r>
            <w:r w:rsidRPr="002971C1">
              <w:rPr>
                <w:sz w:val="20"/>
                <w:szCs w:val="20"/>
              </w:rPr>
              <w:tab/>
              <w:t>age &gt; 64</w:t>
            </w:r>
          </w:p>
          <w:p w:rsidR="00154B41" w:rsidRPr="002971C1" w:rsidRDefault="00173596" w:rsidP="00CE2EA5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12</w:t>
            </w:r>
            <w:r w:rsidR="00CE2EA5" w:rsidRPr="002971C1">
              <w:rPr>
                <w:sz w:val="20"/>
                <w:szCs w:val="20"/>
              </w:rPr>
              <w:tab/>
              <w:t>organic</w:t>
            </w:r>
            <w:r w:rsidR="00CE2EA5" w:rsidRPr="002971C1">
              <w:rPr>
                <w:sz w:val="20"/>
                <w:szCs w:val="20"/>
              </w:rPr>
              <w:tab/>
            </w:r>
          </w:p>
          <w:p w:rsidR="00154B41" w:rsidRPr="002971C1" w:rsidRDefault="00173596" w:rsidP="00CE2EA5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194</w:t>
            </w:r>
            <w:r w:rsidR="004E3672">
              <w:rPr>
                <w:sz w:val="20"/>
                <w:szCs w:val="20"/>
              </w:rPr>
              <w:t xml:space="preserve">* </w:t>
            </w:r>
            <w:r w:rsidR="004E3672">
              <w:rPr>
                <w:sz w:val="20"/>
                <w:szCs w:val="20"/>
              </w:rPr>
              <w:tab/>
              <w:t>p</w:t>
            </w:r>
            <w:r w:rsidR="00CE2EA5" w:rsidRPr="002971C1">
              <w:rPr>
                <w:sz w:val="20"/>
                <w:szCs w:val="20"/>
              </w:rPr>
              <w:t>x &gt;3 months</w:t>
            </w:r>
          </w:p>
          <w:p w:rsidR="00173596" w:rsidRPr="002971C1" w:rsidRDefault="00CE2EA5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1</w:t>
            </w:r>
            <w:r w:rsidR="002971C1" w:rsidRPr="002971C1">
              <w:rPr>
                <w:sz w:val="20"/>
                <w:szCs w:val="20"/>
              </w:rPr>
              <w:t>6 (</w:t>
            </w:r>
            <w:r w:rsidR="00173596" w:rsidRPr="002971C1">
              <w:rPr>
                <w:sz w:val="20"/>
                <w:szCs w:val="20"/>
              </w:rPr>
              <w:t>3*</w:t>
            </w:r>
            <w:r w:rsidR="004E3672">
              <w:rPr>
                <w:sz w:val="20"/>
                <w:szCs w:val="20"/>
              </w:rPr>
              <w:t>*</w:t>
            </w:r>
            <w:r w:rsidR="00173596" w:rsidRPr="002971C1">
              <w:rPr>
                <w:sz w:val="20"/>
                <w:szCs w:val="20"/>
              </w:rPr>
              <w:t>)</w:t>
            </w:r>
            <w:r w:rsidRPr="002971C1">
              <w:rPr>
                <w:sz w:val="20"/>
                <w:szCs w:val="20"/>
              </w:rPr>
              <w:tab/>
              <w:t>no px</w:t>
            </w:r>
            <w:r w:rsidR="00154B41" w:rsidRPr="002971C1">
              <w:rPr>
                <w:sz w:val="20"/>
                <w:szCs w:val="20"/>
              </w:rPr>
              <w:t xml:space="preserve">  </w:t>
            </w:r>
          </w:p>
          <w:p w:rsidR="00173596" w:rsidRPr="002971C1" w:rsidRDefault="00173596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10*</w:t>
            </w:r>
            <w:r w:rsidR="004E3672">
              <w:rPr>
                <w:sz w:val="20"/>
                <w:szCs w:val="20"/>
              </w:rPr>
              <w:t>*</w:t>
            </w:r>
            <w:r w:rsidRPr="002971C1">
              <w:rPr>
                <w:sz w:val="20"/>
                <w:szCs w:val="20"/>
              </w:rPr>
              <w:tab/>
              <w:t>not fep</w:t>
            </w:r>
          </w:p>
          <w:p w:rsidR="00CE2EA5" w:rsidRPr="002971C1" w:rsidRDefault="00CE2EA5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ab/>
            </w:r>
            <w:r w:rsidRPr="002971C1">
              <w:rPr>
                <w:sz w:val="20"/>
                <w:szCs w:val="20"/>
              </w:rPr>
              <w:tab/>
            </w:r>
          </w:p>
          <w:p w:rsidR="00154B41" w:rsidRPr="002971C1" w:rsidRDefault="00154B41" w:rsidP="002971C1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*</w:t>
            </w:r>
            <w:r w:rsidR="004E3672">
              <w:rPr>
                <w:sz w:val="20"/>
                <w:szCs w:val="20"/>
              </w:rPr>
              <w:t>*</w:t>
            </w:r>
            <w:r w:rsidRPr="002971C1">
              <w:rPr>
                <w:sz w:val="20"/>
                <w:szCs w:val="20"/>
              </w:rPr>
              <w:t>multiple reasons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154B41" w:rsidRPr="002971C1" w:rsidRDefault="004E3672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D910D0">
              <w:rPr>
                <w:sz w:val="20"/>
                <w:szCs w:val="20"/>
              </w:rPr>
              <w:t>t assessed</w:t>
            </w:r>
            <w:r w:rsidR="00173596" w:rsidRPr="002971C1">
              <w:rPr>
                <w:sz w:val="20"/>
                <w:szCs w:val="20"/>
              </w:rPr>
              <w:t>‡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19</w:t>
            </w:r>
          </w:p>
        </w:tc>
      </w:tr>
      <w:tr w:rsidR="00154B41" w:rsidRPr="002971C1" w:rsidTr="00CE2EA5">
        <w:trPr>
          <w:trHeight w:val="135"/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D910D0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4E3672">
        <w:trPr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4E3672">
        <w:trPr>
          <w:trHeight w:val="135"/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4E3672">
        <w:trPr>
          <w:trHeight w:val="135"/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4E3672">
        <w:trPr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154B41" w:rsidRPr="002971C1" w:rsidTr="00CE2EA5">
        <w:trPr>
          <w:jc w:val="center"/>
        </w:trPr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complete</w:t>
            </w:r>
          </w:p>
          <w:p w:rsidR="00154B41" w:rsidRPr="002971C1" w:rsidRDefault="00154B41" w:rsidP="002511AD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2511AD" w:rsidRPr="002971C1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B41" w:rsidRPr="004E3672" w:rsidRDefault="00154B41" w:rsidP="00154B41">
      <w:pPr>
        <w:jc w:val="both"/>
        <w:rPr>
          <w:sz w:val="20"/>
          <w:szCs w:val="20"/>
        </w:rPr>
      </w:pPr>
    </w:p>
    <w:p w:rsidR="004E3672" w:rsidRPr="004E3672" w:rsidRDefault="004E3672" w:rsidP="00154B41">
      <w:pPr>
        <w:jc w:val="both"/>
        <w:rPr>
          <w:sz w:val="20"/>
          <w:szCs w:val="20"/>
        </w:rPr>
      </w:pPr>
      <w:r w:rsidRPr="004E3672">
        <w:rPr>
          <w:sz w:val="20"/>
          <w:szCs w:val="20"/>
        </w:rPr>
        <w:t>px, psychotic</w:t>
      </w:r>
    </w:p>
    <w:p w:rsidR="00F35E60" w:rsidRPr="00ED5C73" w:rsidRDefault="00747322" w:rsidP="002971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‡ </w:t>
      </w:r>
      <w:r w:rsidR="00173596">
        <w:rPr>
          <w:sz w:val="20"/>
          <w:szCs w:val="20"/>
        </w:rPr>
        <w:t>7</w:t>
      </w:r>
      <w:r>
        <w:rPr>
          <w:sz w:val="20"/>
          <w:szCs w:val="20"/>
        </w:rPr>
        <w:t xml:space="preserve"> wandering; </w:t>
      </w:r>
      <w:r w:rsidR="00173596">
        <w:rPr>
          <w:sz w:val="20"/>
          <w:szCs w:val="20"/>
        </w:rPr>
        <w:t>10</w:t>
      </w:r>
      <w:r>
        <w:rPr>
          <w:sz w:val="20"/>
          <w:szCs w:val="20"/>
        </w:rPr>
        <w:t xml:space="preserve"> refused</w:t>
      </w:r>
      <w:r w:rsidR="00173596">
        <w:rPr>
          <w:sz w:val="20"/>
          <w:szCs w:val="20"/>
        </w:rPr>
        <w:t>; 2 unable to approach</w:t>
      </w:r>
    </w:p>
    <w:p w:rsidR="00C67AB3" w:rsidRPr="00ED5C73" w:rsidRDefault="00C67AB3">
      <w:pPr>
        <w:rPr>
          <w:sz w:val="20"/>
          <w:szCs w:val="20"/>
        </w:rPr>
      </w:pPr>
    </w:p>
    <w:p w:rsidR="00ED5C73" w:rsidRDefault="00ED5C73">
      <w:r>
        <w:br w:type="page"/>
      </w:r>
    </w:p>
    <w:p w:rsidR="00F35E60" w:rsidRDefault="00F35E60" w:rsidP="00064A2E">
      <w:pPr>
        <w:jc w:val="both"/>
      </w:pPr>
      <w:r>
        <w:lastRenderedPageBreak/>
        <w:t>(2) Ibadan, Nigeria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1118"/>
        <w:gridCol w:w="850"/>
        <w:gridCol w:w="1559"/>
        <w:gridCol w:w="1560"/>
        <w:gridCol w:w="850"/>
        <w:gridCol w:w="2188"/>
      </w:tblGrid>
      <w:tr w:rsidR="00F33108" w:rsidRPr="002971C1" w:rsidTr="00CE2EA5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4E3672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screened for inclusion</w:t>
            </w:r>
          </w:p>
          <w:p w:rsidR="00154B41" w:rsidRPr="002971C1" w:rsidRDefault="002971C1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2B5DB7" w:rsidRPr="002971C1">
              <w:rPr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CE2EA5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trHeight w:val="270"/>
          <w:jc w:val="center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no information</w:t>
            </w:r>
          </w:p>
          <w:p w:rsidR="00154B41" w:rsidRPr="002971C1" w:rsidRDefault="002971C1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154B41" w:rsidRPr="002971C1">
              <w:rPr>
                <w:sz w:val="20"/>
                <w:szCs w:val="20"/>
              </w:rPr>
              <w:t>0</w:t>
            </w:r>
          </w:p>
        </w:tc>
      </w:tr>
      <w:tr w:rsidR="00F33108" w:rsidRPr="002971C1" w:rsidTr="00F33108">
        <w:trPr>
          <w:trHeight w:val="270"/>
          <w:jc w:val="center"/>
        </w:trPr>
        <w:tc>
          <w:tcPr>
            <w:tcW w:w="2235" w:type="dxa"/>
            <w:gridSpan w:val="2"/>
            <w:vMerge/>
            <w:tcBorders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trHeight w:val="135"/>
          <w:jc w:val="center"/>
        </w:trPr>
        <w:tc>
          <w:tcPr>
            <w:tcW w:w="2235" w:type="dxa"/>
            <w:gridSpan w:val="2"/>
            <w:vMerge w:val="restart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not eligible</w:t>
            </w:r>
          </w:p>
          <w:p w:rsidR="00154B41" w:rsidRPr="002971C1" w:rsidRDefault="002971C1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511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trHeight w:val="135"/>
          <w:jc w:val="center"/>
        </w:trPr>
        <w:tc>
          <w:tcPr>
            <w:tcW w:w="2235" w:type="dxa"/>
            <w:gridSpan w:val="2"/>
            <w:vMerge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jc w:val="center"/>
        </w:trPr>
        <w:tc>
          <w:tcPr>
            <w:tcW w:w="1117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jc w:val="center"/>
        </w:trPr>
        <w:tc>
          <w:tcPr>
            <w:tcW w:w="1117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eligible (included)</w:t>
            </w:r>
          </w:p>
          <w:p w:rsidR="00154B41" w:rsidRPr="002971C1" w:rsidRDefault="002971C1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D910D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CE2EA5">
        <w:trPr>
          <w:jc w:val="center"/>
        </w:trPr>
        <w:tc>
          <w:tcPr>
            <w:tcW w:w="2235" w:type="dxa"/>
            <w:gridSpan w:val="2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reasons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trHeight w:val="135"/>
          <w:jc w:val="center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C87CE6" w:rsidRPr="002971C1" w:rsidRDefault="00C87CE6" w:rsidP="00F33108">
            <w:pPr>
              <w:rPr>
                <w:sz w:val="20"/>
                <w:szCs w:val="20"/>
              </w:rPr>
            </w:pPr>
          </w:p>
          <w:p w:rsidR="00C87CE6" w:rsidRPr="002971C1" w:rsidRDefault="002B5DB7" w:rsidP="00C87CE6">
            <w:pPr>
              <w:rPr>
                <w:rFonts w:cs="Arial"/>
                <w:color w:val="000000"/>
                <w:sz w:val="20"/>
                <w:szCs w:val="20"/>
              </w:rPr>
            </w:pPr>
            <w:r w:rsidRPr="002971C1">
              <w:rPr>
                <w:rFonts w:cs="Arial"/>
                <w:color w:val="000000"/>
                <w:sz w:val="20"/>
                <w:szCs w:val="20"/>
              </w:rPr>
              <w:t>239</w:t>
            </w:r>
            <w:r w:rsidR="00C87CE6" w:rsidRPr="002971C1">
              <w:rPr>
                <w:rFonts w:cs="Arial"/>
                <w:color w:val="000000"/>
                <w:sz w:val="20"/>
                <w:szCs w:val="20"/>
              </w:rPr>
              <w:tab/>
              <w:t>outside area</w:t>
            </w:r>
          </w:p>
          <w:p w:rsidR="00C87CE6" w:rsidRPr="002971C1" w:rsidRDefault="002B5DB7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43</w:t>
            </w:r>
            <w:r w:rsidR="00C87CE6" w:rsidRPr="002971C1">
              <w:rPr>
                <w:sz w:val="20"/>
                <w:szCs w:val="20"/>
              </w:rPr>
              <w:tab/>
              <w:t>age &gt; 64</w:t>
            </w:r>
          </w:p>
          <w:p w:rsidR="00C87CE6" w:rsidRPr="002971C1" w:rsidRDefault="00C87CE6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0 </w:t>
            </w:r>
            <w:r w:rsidRPr="002971C1">
              <w:rPr>
                <w:sz w:val="20"/>
                <w:szCs w:val="20"/>
              </w:rPr>
              <w:tab/>
              <w:t>organic</w:t>
            </w:r>
            <w:r w:rsidRPr="002971C1">
              <w:rPr>
                <w:sz w:val="20"/>
                <w:szCs w:val="20"/>
              </w:rPr>
              <w:tab/>
            </w:r>
          </w:p>
          <w:p w:rsidR="00C87CE6" w:rsidRPr="002971C1" w:rsidRDefault="002B5DB7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221</w:t>
            </w:r>
            <w:r w:rsidR="004E3672">
              <w:rPr>
                <w:sz w:val="20"/>
                <w:szCs w:val="20"/>
              </w:rPr>
              <w:tab/>
              <w:t>p</w:t>
            </w:r>
            <w:r w:rsidR="00C87CE6" w:rsidRPr="002971C1">
              <w:rPr>
                <w:sz w:val="20"/>
                <w:szCs w:val="20"/>
              </w:rPr>
              <w:t>x &gt;3 months</w:t>
            </w:r>
          </w:p>
          <w:p w:rsidR="00C87CE6" w:rsidRPr="002971C1" w:rsidRDefault="00C87CE6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4</w:t>
            </w:r>
            <w:r w:rsidRPr="002971C1">
              <w:rPr>
                <w:sz w:val="20"/>
                <w:szCs w:val="20"/>
              </w:rPr>
              <w:tab/>
              <w:t xml:space="preserve">no px  </w:t>
            </w:r>
            <w:r w:rsidRPr="002971C1">
              <w:rPr>
                <w:sz w:val="20"/>
                <w:szCs w:val="20"/>
              </w:rPr>
              <w:tab/>
            </w:r>
          </w:p>
          <w:p w:rsidR="00C87CE6" w:rsidRPr="002971C1" w:rsidRDefault="002B5DB7" w:rsidP="00C87CE6">
            <w:pPr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3</w:t>
            </w:r>
            <w:r w:rsidR="00E4439F" w:rsidRPr="002971C1">
              <w:rPr>
                <w:sz w:val="20"/>
                <w:szCs w:val="20"/>
              </w:rPr>
              <w:tab/>
              <w:t>retardation</w:t>
            </w:r>
          </w:p>
          <w:p w:rsidR="00C87CE6" w:rsidRPr="002971C1" w:rsidRDefault="00C87CE6" w:rsidP="00F33108">
            <w:pPr>
              <w:rPr>
                <w:sz w:val="20"/>
                <w:szCs w:val="20"/>
              </w:rPr>
            </w:pPr>
          </w:p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154B41" w:rsidRPr="002971C1" w:rsidRDefault="00D910D0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assessed</w:t>
            </w:r>
            <w:r w:rsidR="002B5DB7" w:rsidRPr="002971C1">
              <w:rPr>
                <w:sz w:val="20"/>
                <w:szCs w:val="20"/>
              </w:rPr>
              <w:t>‡</w:t>
            </w:r>
          </w:p>
          <w:p w:rsidR="00154B41" w:rsidRPr="002971C1" w:rsidRDefault="002971C1" w:rsidP="004E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11</w:t>
            </w:r>
          </w:p>
        </w:tc>
      </w:tr>
      <w:tr w:rsidR="00F33108" w:rsidRPr="002971C1" w:rsidTr="00F33108">
        <w:trPr>
          <w:trHeight w:val="135"/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F33108">
        <w:trPr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D910D0" w:rsidP="00CE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</w:t>
            </w:r>
          </w:p>
          <w:p w:rsidR="00154B41" w:rsidRPr="002971C1" w:rsidRDefault="002971C1" w:rsidP="004E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4E3672">
        <w:trPr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4E3672">
        <w:trPr>
          <w:trHeight w:val="135"/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4E3672">
        <w:trPr>
          <w:trHeight w:val="135"/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4E3672">
        <w:trPr>
          <w:jc w:val="center"/>
        </w:trPr>
        <w:tc>
          <w:tcPr>
            <w:tcW w:w="2235" w:type="dxa"/>
            <w:gridSpan w:val="2"/>
            <w:vMerge/>
            <w:shd w:val="clear" w:color="auto" w:fill="auto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  <w:tr w:rsidR="00F33108" w:rsidRPr="002971C1" w:rsidTr="00CE2EA5">
        <w:trPr>
          <w:jc w:val="center"/>
        </w:trPr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complete</w:t>
            </w:r>
          </w:p>
          <w:p w:rsidR="00154B41" w:rsidRPr="002971C1" w:rsidRDefault="002971C1" w:rsidP="004E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2B5DB7" w:rsidRPr="002971C1">
              <w:rPr>
                <w:sz w:val="20"/>
                <w:szCs w:val="20"/>
              </w:rPr>
              <w:t>3</w:t>
            </w:r>
            <w:r w:rsidR="004E367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54B41" w:rsidRPr="002971C1" w:rsidRDefault="00154B41" w:rsidP="00CE2E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5DB7" w:rsidRDefault="002B5DB7" w:rsidP="00E4439F">
      <w:pPr>
        <w:jc w:val="both"/>
        <w:rPr>
          <w:sz w:val="20"/>
          <w:szCs w:val="20"/>
        </w:rPr>
      </w:pPr>
    </w:p>
    <w:p w:rsidR="004E3672" w:rsidRDefault="004E3672" w:rsidP="00E4439F">
      <w:pPr>
        <w:jc w:val="both"/>
        <w:rPr>
          <w:sz w:val="20"/>
          <w:szCs w:val="20"/>
        </w:rPr>
      </w:pPr>
      <w:r>
        <w:rPr>
          <w:sz w:val="20"/>
          <w:szCs w:val="20"/>
        </w:rPr>
        <w:t>px, psychotic</w:t>
      </w:r>
    </w:p>
    <w:p w:rsidR="002971C1" w:rsidRDefault="002B5DB7" w:rsidP="00E4439F">
      <w:pPr>
        <w:jc w:val="both"/>
      </w:pPr>
      <w:r w:rsidRPr="002971C1">
        <w:rPr>
          <w:sz w:val="20"/>
          <w:szCs w:val="20"/>
        </w:rPr>
        <w:t>‡ 2 refused; 3 relocated; 3 absconded</w:t>
      </w:r>
    </w:p>
    <w:p w:rsidR="00C87CE6" w:rsidRPr="002971C1" w:rsidRDefault="00C87CE6" w:rsidP="00E4439F">
      <w:pPr>
        <w:jc w:val="both"/>
      </w:pPr>
      <w:r w:rsidRPr="002971C1">
        <w:tab/>
      </w:r>
      <w:r w:rsidRPr="002971C1">
        <w:tab/>
      </w:r>
    </w:p>
    <w:p w:rsidR="00DB0192" w:rsidRDefault="00DB0192" w:rsidP="00064A2E">
      <w:pPr>
        <w:jc w:val="both"/>
      </w:pPr>
    </w:p>
    <w:p w:rsidR="00DB0192" w:rsidRDefault="00DB0192">
      <w:r>
        <w:br w:type="page"/>
      </w:r>
    </w:p>
    <w:p w:rsidR="00DB0192" w:rsidRDefault="00DB0192" w:rsidP="00064A2E">
      <w:pPr>
        <w:jc w:val="both"/>
      </w:pPr>
      <w:r>
        <w:lastRenderedPageBreak/>
        <w:t>(3) Trinidad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237"/>
        <w:gridCol w:w="799"/>
        <w:gridCol w:w="1487"/>
        <w:gridCol w:w="1473"/>
        <w:gridCol w:w="799"/>
        <w:gridCol w:w="2115"/>
      </w:tblGrid>
      <w:tr w:rsidR="00DB0192" w:rsidRPr="002971C1" w:rsidTr="00C87CE6">
        <w:trPr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DB0192" w:rsidRPr="002971C1" w:rsidRDefault="00D910D0" w:rsidP="001C7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screened for inclusion</w:t>
            </w:r>
          </w:p>
          <w:p w:rsidR="00DB0192" w:rsidRPr="002971C1" w:rsidRDefault="00DB0192" w:rsidP="00CF762E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117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trHeight w:val="270"/>
          <w:jc w:val="center"/>
        </w:trPr>
        <w:tc>
          <w:tcPr>
            <w:tcW w:w="25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no information</w:t>
            </w:r>
          </w:p>
          <w:p w:rsidR="00CF762E" w:rsidRPr="002971C1" w:rsidRDefault="00DB0192" w:rsidP="004E3672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9</w:t>
            </w:r>
          </w:p>
        </w:tc>
      </w:tr>
      <w:tr w:rsidR="00DB0192" w:rsidRPr="002971C1" w:rsidTr="00C87CE6">
        <w:trPr>
          <w:trHeight w:val="270"/>
          <w:jc w:val="center"/>
        </w:trPr>
        <w:tc>
          <w:tcPr>
            <w:tcW w:w="2569" w:type="dxa"/>
            <w:gridSpan w:val="2"/>
            <w:vMerge/>
            <w:tcBorders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trHeight w:val="135"/>
          <w:jc w:val="center"/>
        </w:trPr>
        <w:tc>
          <w:tcPr>
            <w:tcW w:w="2569" w:type="dxa"/>
            <w:gridSpan w:val="2"/>
            <w:vMerge w:val="restart"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not eligible</w:t>
            </w:r>
          </w:p>
          <w:p w:rsidR="00DB0192" w:rsidRPr="002971C1" w:rsidRDefault="00DB0192" w:rsidP="00CF762E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73</w:t>
            </w: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trHeight w:val="135"/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1332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1332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eligible (included)</w:t>
            </w:r>
          </w:p>
          <w:p w:rsidR="00DB0192" w:rsidRPr="002971C1" w:rsidRDefault="00DB0192" w:rsidP="00CF762E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35*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2569" w:type="dxa"/>
            <w:gridSpan w:val="2"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reasons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trHeight w:val="135"/>
          <w:jc w:val="center"/>
        </w:trPr>
        <w:tc>
          <w:tcPr>
            <w:tcW w:w="2569" w:type="dxa"/>
            <w:gridSpan w:val="2"/>
            <w:vMerge w:val="restart"/>
          </w:tcPr>
          <w:p w:rsidR="00751FDF" w:rsidRPr="002971C1" w:rsidRDefault="00CF762E" w:rsidP="00751FDF">
            <w:pPr>
              <w:pStyle w:val="Body1"/>
              <w:rPr>
                <w:rFonts w:ascii="Calibri" w:hAnsi="Calibri"/>
                <w:sz w:val="20"/>
              </w:rPr>
            </w:pPr>
            <w:r w:rsidRPr="002971C1">
              <w:rPr>
                <w:rFonts w:ascii="Calibri" w:hAnsi="Calibri"/>
                <w:sz w:val="20"/>
              </w:rPr>
              <w:t xml:space="preserve">10 </w:t>
            </w:r>
            <w:r w:rsidR="00751FDF" w:rsidRPr="002971C1">
              <w:rPr>
                <w:rFonts w:ascii="Calibri" w:hAnsi="Calibri"/>
                <w:sz w:val="20"/>
              </w:rPr>
              <w:tab/>
              <w:t>outside area</w:t>
            </w:r>
          </w:p>
          <w:p w:rsidR="00154B41" w:rsidRPr="002971C1" w:rsidRDefault="004E3672" w:rsidP="00154B41">
            <w:pPr>
              <w:pStyle w:val="Body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  <w:r w:rsidR="00CF762E" w:rsidRPr="002971C1">
              <w:rPr>
                <w:rFonts w:ascii="Calibri" w:hAnsi="Calibri"/>
                <w:sz w:val="20"/>
              </w:rPr>
              <w:t xml:space="preserve"> </w:t>
            </w:r>
            <w:r w:rsidR="00751FDF" w:rsidRPr="002971C1">
              <w:rPr>
                <w:rFonts w:ascii="Calibri" w:hAnsi="Calibri"/>
                <w:sz w:val="20"/>
              </w:rPr>
              <w:tab/>
              <w:t>a</w:t>
            </w:r>
            <w:r w:rsidR="00154B41" w:rsidRPr="002971C1">
              <w:rPr>
                <w:rFonts w:ascii="Calibri" w:hAnsi="Calibri"/>
                <w:sz w:val="20"/>
              </w:rPr>
              <w:t>ge &gt;64</w:t>
            </w:r>
          </w:p>
          <w:p w:rsidR="00751FDF" w:rsidRPr="002971C1" w:rsidRDefault="00751FDF" w:rsidP="00154B41">
            <w:pPr>
              <w:pStyle w:val="Body1"/>
              <w:rPr>
                <w:rFonts w:ascii="Calibri" w:hAnsi="Calibri"/>
                <w:sz w:val="20"/>
              </w:rPr>
            </w:pPr>
            <w:r w:rsidRPr="002971C1">
              <w:rPr>
                <w:rFonts w:ascii="Calibri" w:hAnsi="Calibri"/>
                <w:sz w:val="20"/>
              </w:rPr>
              <w:t xml:space="preserve">0 </w:t>
            </w:r>
            <w:r w:rsidRPr="002971C1">
              <w:rPr>
                <w:rFonts w:ascii="Calibri" w:hAnsi="Calibri"/>
                <w:sz w:val="20"/>
              </w:rPr>
              <w:tab/>
              <w:t>organic</w:t>
            </w:r>
          </w:p>
          <w:p w:rsidR="00154B41" w:rsidRPr="002971C1" w:rsidRDefault="004E3672" w:rsidP="00154B41">
            <w:pPr>
              <w:pStyle w:val="Body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34</w:t>
            </w:r>
            <w:r>
              <w:rPr>
                <w:rFonts w:ascii="Calibri" w:hAnsi="Calibri"/>
                <w:sz w:val="20"/>
              </w:rPr>
              <w:tab/>
              <w:t>p</w:t>
            </w:r>
            <w:r w:rsidR="00154B41" w:rsidRPr="002971C1">
              <w:rPr>
                <w:rFonts w:ascii="Calibri" w:hAnsi="Calibri"/>
                <w:sz w:val="20"/>
              </w:rPr>
              <w:t>x &gt;3 months</w:t>
            </w:r>
          </w:p>
          <w:p w:rsidR="00154B41" w:rsidRPr="002971C1" w:rsidRDefault="004E3672" w:rsidP="00154B41">
            <w:pPr>
              <w:pStyle w:val="Body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  <w:r w:rsidR="00751FDF" w:rsidRPr="002971C1">
              <w:rPr>
                <w:rFonts w:ascii="Calibri" w:hAnsi="Calibri"/>
                <w:sz w:val="20"/>
              </w:rPr>
              <w:tab/>
            </w:r>
            <w:r w:rsidR="00154B41" w:rsidRPr="002971C1">
              <w:rPr>
                <w:rFonts w:ascii="Calibri" w:hAnsi="Calibri"/>
                <w:sz w:val="20"/>
              </w:rPr>
              <w:t xml:space="preserve">no </w:t>
            </w:r>
            <w:r w:rsidR="00751FDF" w:rsidRPr="002971C1">
              <w:rPr>
                <w:rFonts w:ascii="Calibri" w:hAnsi="Calibri"/>
                <w:sz w:val="20"/>
              </w:rPr>
              <w:t>px</w:t>
            </w:r>
          </w:p>
          <w:p w:rsidR="00751FDF" w:rsidRPr="002971C1" w:rsidRDefault="00751FDF" w:rsidP="00751FDF">
            <w:pPr>
              <w:pStyle w:val="Body1"/>
              <w:rPr>
                <w:rFonts w:ascii="Calibri" w:hAnsi="Calibri"/>
                <w:sz w:val="20"/>
              </w:rPr>
            </w:pPr>
            <w:r w:rsidRPr="002971C1">
              <w:rPr>
                <w:rFonts w:ascii="Calibri" w:hAnsi="Calibri"/>
                <w:sz w:val="20"/>
              </w:rPr>
              <w:t>3</w:t>
            </w:r>
            <w:r w:rsidRPr="002971C1">
              <w:rPr>
                <w:rFonts w:ascii="Calibri" w:hAnsi="Calibri"/>
                <w:sz w:val="20"/>
              </w:rPr>
              <w:tab/>
              <w:t>retardation</w:t>
            </w:r>
          </w:p>
          <w:p w:rsidR="00DB0192" w:rsidRPr="002971C1" w:rsidRDefault="00DB0192" w:rsidP="00751FDF">
            <w:pPr>
              <w:pStyle w:val="Body1"/>
              <w:rPr>
                <w:rFonts w:ascii="Calibri" w:hAnsi="Calibri"/>
                <w:sz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DB0192" w:rsidRPr="002971C1" w:rsidRDefault="00CF762E" w:rsidP="001C77EC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not </w:t>
            </w:r>
            <w:r w:rsidR="00D910D0">
              <w:rPr>
                <w:sz w:val="20"/>
                <w:szCs w:val="20"/>
              </w:rPr>
              <w:t>assessed</w:t>
            </w:r>
            <w:r w:rsidRPr="002971C1">
              <w:rPr>
                <w:sz w:val="20"/>
                <w:szCs w:val="20"/>
              </w:rPr>
              <w:t>‡</w:t>
            </w:r>
          </w:p>
          <w:p w:rsidR="00DB0192" w:rsidRPr="002971C1" w:rsidRDefault="00DB0192" w:rsidP="00CF762E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15</w:t>
            </w:r>
          </w:p>
        </w:tc>
      </w:tr>
      <w:tr w:rsidR="00DB0192" w:rsidRPr="002971C1" w:rsidTr="00C87CE6">
        <w:trPr>
          <w:trHeight w:val="135"/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DB0192" w:rsidRPr="002971C1" w:rsidRDefault="00D910D0" w:rsidP="001C7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</w:t>
            </w:r>
          </w:p>
          <w:p w:rsidR="00DB0192" w:rsidRPr="002971C1" w:rsidRDefault="00DB0192" w:rsidP="00CF762E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CF762E" w:rsidRPr="002971C1">
              <w:rPr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4E3672">
        <w:trPr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4E3672">
        <w:trPr>
          <w:trHeight w:val="135"/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nil"/>
            </w:tcBorders>
          </w:tcPr>
          <w:p w:rsidR="00DB0192" w:rsidRPr="002971C1" w:rsidRDefault="00DB0192" w:rsidP="00F55191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4E3672">
        <w:trPr>
          <w:trHeight w:val="135"/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4E3672">
        <w:trPr>
          <w:jc w:val="center"/>
        </w:trPr>
        <w:tc>
          <w:tcPr>
            <w:tcW w:w="2569" w:type="dxa"/>
            <w:gridSpan w:val="2"/>
            <w:vMerge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  <w:tr w:rsidR="00DB0192" w:rsidRPr="002971C1" w:rsidTr="00C87CE6">
        <w:trPr>
          <w:jc w:val="center"/>
        </w:trPr>
        <w:tc>
          <w:tcPr>
            <w:tcW w:w="2569" w:type="dxa"/>
            <w:gridSpan w:val="2"/>
            <w:tcBorders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>complete</w:t>
            </w:r>
          </w:p>
          <w:p w:rsidR="00DB0192" w:rsidRPr="002971C1" w:rsidRDefault="00DB0192" w:rsidP="00CF762E">
            <w:pPr>
              <w:jc w:val="center"/>
              <w:rPr>
                <w:sz w:val="20"/>
                <w:szCs w:val="20"/>
              </w:rPr>
            </w:pPr>
            <w:r w:rsidRPr="002971C1">
              <w:rPr>
                <w:sz w:val="20"/>
                <w:szCs w:val="20"/>
              </w:rPr>
              <w:t xml:space="preserve">n </w:t>
            </w:r>
            <w:r w:rsidR="004E3672">
              <w:rPr>
                <w:sz w:val="20"/>
                <w:szCs w:val="20"/>
              </w:rPr>
              <w:t>19</w:t>
            </w:r>
            <w:r w:rsidR="004E3672">
              <w:rPr>
                <w:rFonts w:ascii="Tahoma" w:hAnsi="Tahoma" w:cs="Tahoma"/>
                <w:sz w:val="20"/>
                <w:szCs w:val="20"/>
              </w:rPr>
              <w:t>†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DB0192" w:rsidRPr="002971C1" w:rsidRDefault="00DB0192" w:rsidP="001C77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0192" w:rsidRPr="00CF762E" w:rsidRDefault="00DB0192" w:rsidP="00064A2E">
      <w:pPr>
        <w:jc w:val="both"/>
        <w:rPr>
          <w:sz w:val="20"/>
          <w:szCs w:val="20"/>
        </w:rPr>
      </w:pPr>
    </w:p>
    <w:p w:rsidR="004E3672" w:rsidRDefault="004E3672" w:rsidP="004E3672">
      <w:pPr>
        <w:jc w:val="both"/>
        <w:rPr>
          <w:sz w:val="20"/>
          <w:szCs w:val="20"/>
        </w:rPr>
      </w:pPr>
      <w:r>
        <w:rPr>
          <w:sz w:val="20"/>
          <w:szCs w:val="20"/>
        </w:rPr>
        <w:t>px, psychotic</w:t>
      </w:r>
    </w:p>
    <w:p w:rsidR="00DB0192" w:rsidRDefault="004E3672" w:rsidP="00064A2E">
      <w:pPr>
        <w:jc w:val="both"/>
        <w:rPr>
          <w:sz w:val="20"/>
          <w:szCs w:val="20"/>
        </w:rPr>
      </w:pPr>
      <w:r>
        <w:rPr>
          <w:sz w:val="20"/>
          <w:szCs w:val="20"/>
        </w:rPr>
        <w:t>‡ 7</w:t>
      </w:r>
      <w:r w:rsidR="00CF762E" w:rsidRPr="00CF762E">
        <w:rPr>
          <w:sz w:val="20"/>
          <w:szCs w:val="20"/>
        </w:rPr>
        <w:t xml:space="preserve"> refused</w:t>
      </w:r>
      <w:r w:rsidR="00CF762E">
        <w:rPr>
          <w:sz w:val="20"/>
          <w:szCs w:val="20"/>
        </w:rPr>
        <w:t xml:space="preserve">; </w:t>
      </w:r>
      <w:r>
        <w:rPr>
          <w:sz w:val="20"/>
          <w:szCs w:val="20"/>
        </w:rPr>
        <w:t>5</w:t>
      </w:r>
      <w:r w:rsidR="00CF762E">
        <w:rPr>
          <w:sz w:val="20"/>
          <w:szCs w:val="20"/>
        </w:rPr>
        <w:t xml:space="preserve"> unable to make contact; 3 functional </w:t>
      </w:r>
      <w:r>
        <w:rPr>
          <w:sz w:val="20"/>
          <w:szCs w:val="20"/>
        </w:rPr>
        <w:t>refusal</w:t>
      </w:r>
    </w:p>
    <w:p w:rsidR="004E3672" w:rsidRDefault="004E3672" w:rsidP="00064A2E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†</w:t>
      </w:r>
      <w:r>
        <w:rPr>
          <w:sz w:val="20"/>
          <w:szCs w:val="20"/>
        </w:rPr>
        <w:t xml:space="preserve"> 1 incomplete</w:t>
      </w:r>
    </w:p>
    <w:p w:rsidR="001F4A87" w:rsidRDefault="001F4A8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605F" w:rsidRPr="00FB605F" w:rsidRDefault="00FB605F" w:rsidP="00FB605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Supplementary Table </w:t>
      </w:r>
      <w:r w:rsidR="00A97ED4">
        <w:rPr>
          <w:b/>
          <w:bCs/>
          <w:lang w:val="en-US"/>
        </w:rPr>
        <w:t>S</w:t>
      </w:r>
      <w:r>
        <w:rPr>
          <w:b/>
          <w:bCs/>
          <w:lang w:val="en-US"/>
        </w:rPr>
        <w:t>1</w:t>
      </w:r>
      <w:r w:rsidRPr="00FB605F">
        <w:rPr>
          <w:b/>
          <w:bCs/>
          <w:lang w:val="en-US"/>
        </w:rPr>
        <w:t xml:space="preserve">. </w:t>
      </w:r>
      <w:r w:rsidRPr="00FB605F">
        <w:rPr>
          <w:bCs/>
          <w:lang w:val="en-US"/>
        </w:rPr>
        <w:t>Economic, development</w:t>
      </w:r>
      <w:r>
        <w:rPr>
          <w:bCs/>
          <w:lang w:val="en-US"/>
        </w:rPr>
        <w:t>,</w:t>
      </w:r>
      <w:r w:rsidRPr="00FB605F">
        <w:rPr>
          <w:bCs/>
          <w:lang w:val="en-US"/>
        </w:rPr>
        <w:t xml:space="preserve"> and health indicators.</w:t>
      </w:r>
      <w:r>
        <w:rPr>
          <w:bCs/>
          <w:lang w:val="en-US"/>
        </w:rPr>
        <w:t xml:space="preserve"> (from Morgan et al, 2015)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"/>
        <w:gridCol w:w="2412"/>
        <w:gridCol w:w="1418"/>
        <w:gridCol w:w="1275"/>
        <w:gridCol w:w="1418"/>
        <w:gridCol w:w="1135"/>
        <w:gridCol w:w="1335"/>
      </w:tblGrid>
      <w:tr w:rsidR="00FB605F" w:rsidRPr="00BF3525" w:rsidTr="00286BC0">
        <w:tc>
          <w:tcPr>
            <w:tcW w:w="1440" w:type="pct"/>
            <w:gridSpan w:val="2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pct"/>
            <w:gridSpan w:val="2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381" w:type="pct"/>
            <w:gridSpan w:val="2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Nigeria</w:t>
            </w:r>
          </w:p>
        </w:tc>
        <w:tc>
          <w:tcPr>
            <w:tcW w:w="722" w:type="pct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Trinidad and Tobago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690" w:type="pct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Tamil Nadu†</w:t>
            </w:r>
          </w:p>
        </w:tc>
        <w:tc>
          <w:tcPr>
            <w:tcW w:w="767" w:type="pct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National</w:t>
            </w: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Oyo State††</w:t>
            </w:r>
          </w:p>
        </w:tc>
        <w:tc>
          <w:tcPr>
            <w:tcW w:w="722" w:type="pct"/>
            <w:tcBorders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National†††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Urban population (a, b)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(2011) </w:t>
            </w: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31.2% 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(3.8% increase since 2001)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48.5% 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(4.4% increase since 2001)</w:t>
            </w:r>
          </w:p>
        </w:tc>
        <w:tc>
          <w:tcPr>
            <w:tcW w:w="767" w:type="pct"/>
            <w:tcBorders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49.6% 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(5.7% increase since 2001)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data^</w:t>
            </w:r>
          </w:p>
        </w:tc>
        <w:tc>
          <w:tcPr>
            <w:tcW w:w="722" w:type="pct"/>
            <w:tcBorders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13.7%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(2.9% increase since 2001)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Projected annual rate of urbanization (a)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(2010 to 2015, estimated)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2.4% 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data**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3.8% 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data^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2.9% 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Economic (GDP) growth (d)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FB605F" w:rsidRPr="00BF3525" w:rsidTr="00286BC0"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2006 to 2010 (average per year)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7.1%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9.5%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4.1%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3.0%</w:t>
            </w:r>
          </w:p>
        </w:tc>
      </w:tr>
      <w:tr w:rsidR="00FB605F" w:rsidRPr="00BF3525" w:rsidTr="00286BC0"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2012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3.2%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9.4%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6.5%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1.5%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Poverty (c)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(i.e. living on less than $1.25 per day)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(2010)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 xml:space="preserve">32.7% 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32.4%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68.0%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4.0%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Income Gini‡ Coefficient (c)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(2010)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33.4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48.8</w:t>
            </w:r>
          </w:p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Human Development Index (c)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(2012)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0.55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sz w:val="16"/>
                <w:szCs w:val="16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0.74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0.47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0.76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Infant mortality per 1,000 live births (c) (2010)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25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Life expectancy at birth (years) (c)</w:t>
            </w:r>
          </w:p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(2012)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65.8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72.4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52.3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70.3</w:t>
            </w:r>
          </w:p>
        </w:tc>
      </w:tr>
      <w:tr w:rsidR="00FB605F" w:rsidRPr="00BF3525" w:rsidTr="00286BC0">
        <w:tc>
          <w:tcPr>
            <w:tcW w:w="14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Literacy, 15+ years (c, e, f) (2010-2011)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FB605F" w:rsidRPr="00BF3525" w:rsidTr="00286BC0"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Men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sz w:val="16"/>
                <w:szCs w:val="16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82.1%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86.9%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72.1%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76.3%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99.2%</w:t>
            </w:r>
          </w:p>
        </w:tc>
      </w:tr>
      <w:tr w:rsidR="00FB605F" w:rsidRPr="00BF3525" w:rsidTr="00286BC0">
        <w:tc>
          <w:tcPr>
            <w:tcW w:w="135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Women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65.5%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73.9%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50.4%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65.8%</w:t>
            </w: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</w:tcPr>
          <w:p w:rsidR="00FB605F" w:rsidRPr="00BF3525" w:rsidRDefault="00FB605F" w:rsidP="00286BC0">
            <w:pPr>
              <w:spacing w:after="120"/>
              <w:jc w:val="center"/>
              <w:rPr>
                <w:bCs/>
                <w:sz w:val="16"/>
                <w:szCs w:val="16"/>
                <w:lang w:val="en-US"/>
              </w:rPr>
            </w:pPr>
            <w:r w:rsidRPr="00BF3525">
              <w:rPr>
                <w:bCs/>
                <w:sz w:val="16"/>
                <w:szCs w:val="16"/>
                <w:lang w:val="en-US"/>
              </w:rPr>
              <w:t>98.5%</w:t>
            </w:r>
          </w:p>
        </w:tc>
      </w:tr>
    </w:tbl>
    <w:p w:rsidR="00FB605F" w:rsidRPr="00BF3525" w:rsidRDefault="00FB605F" w:rsidP="00FB605F">
      <w:pPr>
        <w:rPr>
          <w:sz w:val="16"/>
          <w:szCs w:val="16"/>
        </w:rPr>
      </w:pPr>
      <w:r w:rsidRPr="00BF3525">
        <w:rPr>
          <w:sz w:val="16"/>
          <w:szCs w:val="16"/>
        </w:rPr>
        <w:t xml:space="preserve">† Our catchment area in India (Chengalpet taluk) is in Tamil Nadu state </w:t>
      </w:r>
    </w:p>
    <w:p w:rsidR="00FB605F" w:rsidRPr="00BF3525" w:rsidRDefault="00FB605F" w:rsidP="00FB605F">
      <w:pPr>
        <w:rPr>
          <w:sz w:val="16"/>
          <w:szCs w:val="16"/>
        </w:rPr>
      </w:pPr>
      <w:r w:rsidRPr="00BF3525">
        <w:rPr>
          <w:sz w:val="16"/>
          <w:szCs w:val="16"/>
        </w:rPr>
        <w:t>†† Our catchment area in Nigeria (Ibadan South East and Ona Ara) is in Oyo state</w:t>
      </w:r>
    </w:p>
    <w:p w:rsidR="00FB605F" w:rsidRPr="00BF3525" w:rsidRDefault="00FB605F" w:rsidP="00FB605F">
      <w:pPr>
        <w:rPr>
          <w:sz w:val="16"/>
          <w:szCs w:val="16"/>
        </w:rPr>
      </w:pPr>
      <w:r w:rsidRPr="00BF3525">
        <w:rPr>
          <w:sz w:val="16"/>
          <w:szCs w:val="16"/>
        </w:rPr>
        <w:t>††† There are no data available for regions in Trinidad and Tobago</w:t>
      </w:r>
    </w:p>
    <w:p w:rsidR="00FB605F" w:rsidRPr="00BF3525" w:rsidRDefault="00FB605F" w:rsidP="00FB605F">
      <w:pPr>
        <w:jc w:val="both"/>
        <w:rPr>
          <w:sz w:val="16"/>
          <w:szCs w:val="16"/>
        </w:rPr>
      </w:pPr>
      <w:r w:rsidRPr="00BF3525">
        <w:rPr>
          <w:sz w:val="16"/>
          <w:szCs w:val="16"/>
        </w:rPr>
        <w:t>** Information on projected rate of urbanisation not available.  Between the 1991 and 2011 census, the urban population in Tamil Nadu grew by 14.3% (from 34.2% to 48.5%)</w:t>
      </w:r>
    </w:p>
    <w:p w:rsidR="00FB605F" w:rsidRPr="00BF3525" w:rsidRDefault="00FB605F" w:rsidP="00FB605F">
      <w:pPr>
        <w:jc w:val="both"/>
        <w:rPr>
          <w:sz w:val="16"/>
          <w:szCs w:val="16"/>
        </w:rPr>
      </w:pPr>
      <w:r w:rsidRPr="00BF3525">
        <w:rPr>
          <w:sz w:val="16"/>
          <w:szCs w:val="16"/>
        </w:rPr>
        <w:t>^ Directly comparable information on urban populations in Oyo State not available.  Ibadan is the third largest city in Nigeria (after Lagos and Kano), with (at 2006 census) a population of around 2,338,659</w:t>
      </w:r>
    </w:p>
    <w:p w:rsidR="00FB605F" w:rsidRPr="00BF3525" w:rsidRDefault="00FB605F" w:rsidP="00FB605F">
      <w:pPr>
        <w:jc w:val="both"/>
        <w:rPr>
          <w:sz w:val="16"/>
          <w:szCs w:val="16"/>
        </w:rPr>
      </w:pPr>
      <w:r w:rsidRPr="00BF3525">
        <w:rPr>
          <w:sz w:val="16"/>
          <w:szCs w:val="16"/>
        </w:rPr>
        <w:t>(a) World Urbanisation Prospectus, 2011 Revision. United Nations (</w:t>
      </w:r>
      <w:hyperlink r:id="rId7" w:history="1">
        <w:r w:rsidRPr="00BF3525">
          <w:rPr>
            <w:rStyle w:val="Hyperlink"/>
            <w:sz w:val="16"/>
            <w:szCs w:val="16"/>
          </w:rPr>
          <w:t>http://esa.un.org/unpd/wup/CD-ROM/Urban-Rural-Population.htm</w:t>
        </w:r>
      </w:hyperlink>
      <w:r w:rsidRPr="00BF3525">
        <w:rPr>
          <w:sz w:val="16"/>
          <w:szCs w:val="16"/>
        </w:rPr>
        <w:t xml:space="preserve">) </w:t>
      </w:r>
    </w:p>
    <w:p w:rsidR="00FB605F" w:rsidRPr="00BF3525" w:rsidRDefault="00FB605F" w:rsidP="00FB605F">
      <w:pPr>
        <w:rPr>
          <w:sz w:val="16"/>
          <w:szCs w:val="16"/>
        </w:rPr>
      </w:pPr>
      <w:r w:rsidRPr="00BF3525">
        <w:rPr>
          <w:sz w:val="16"/>
          <w:szCs w:val="16"/>
        </w:rPr>
        <w:t>(b) 2011 Indian Census</w:t>
      </w:r>
    </w:p>
    <w:p w:rsidR="00FB605F" w:rsidRPr="00BF3525" w:rsidRDefault="00FB605F" w:rsidP="00FB605F">
      <w:pPr>
        <w:rPr>
          <w:sz w:val="16"/>
          <w:szCs w:val="16"/>
        </w:rPr>
      </w:pPr>
      <w:r w:rsidRPr="00BF3525">
        <w:rPr>
          <w:sz w:val="16"/>
          <w:szCs w:val="16"/>
        </w:rPr>
        <w:t>(c) Human Development Report 2013</w:t>
      </w:r>
    </w:p>
    <w:p w:rsidR="00FB605F" w:rsidRPr="00BF3525" w:rsidRDefault="00FB605F" w:rsidP="00FB605F">
      <w:pPr>
        <w:rPr>
          <w:sz w:val="16"/>
          <w:szCs w:val="16"/>
        </w:rPr>
      </w:pPr>
      <w:r w:rsidRPr="00BF3525">
        <w:rPr>
          <w:sz w:val="16"/>
          <w:szCs w:val="16"/>
        </w:rPr>
        <w:t>(d) The World Bank (</w:t>
      </w:r>
      <w:hyperlink r:id="rId8" w:history="1">
        <w:r w:rsidRPr="00BF3525">
          <w:rPr>
            <w:rStyle w:val="Hyperlink"/>
            <w:sz w:val="16"/>
            <w:szCs w:val="16"/>
          </w:rPr>
          <w:t>http://data.worldbank.org/indicator/NY.GDP.MKTP.KD.ZG</w:t>
        </w:r>
      </w:hyperlink>
      <w:r w:rsidRPr="00BF3525">
        <w:rPr>
          <w:sz w:val="16"/>
          <w:szCs w:val="16"/>
        </w:rPr>
        <w:t xml:space="preserve">) </w:t>
      </w:r>
    </w:p>
    <w:p w:rsidR="00FB605F" w:rsidRPr="00BF3525" w:rsidRDefault="00FB605F" w:rsidP="00FB605F">
      <w:pPr>
        <w:jc w:val="both"/>
        <w:rPr>
          <w:sz w:val="16"/>
          <w:szCs w:val="16"/>
        </w:rPr>
      </w:pPr>
      <w:r w:rsidRPr="00BF3525">
        <w:rPr>
          <w:sz w:val="16"/>
          <w:szCs w:val="16"/>
        </w:rPr>
        <w:t>(e) Report of the National Literacy Survey, 2010. Abuja, Nigeria: National Bureau of Statistics (</w:t>
      </w:r>
      <w:hyperlink r:id="rId9" w:history="1">
        <w:r w:rsidRPr="00BF3525">
          <w:rPr>
            <w:rStyle w:val="Hyperlink"/>
            <w:sz w:val="16"/>
            <w:szCs w:val="16"/>
          </w:rPr>
          <w:t>http://resourcedat.com/wp-content/uploads/2012/04/National-Literacy-Survey-2010.pdf</w:t>
        </w:r>
      </w:hyperlink>
      <w:r w:rsidRPr="00BF3525">
        <w:rPr>
          <w:sz w:val="16"/>
          <w:szCs w:val="16"/>
        </w:rPr>
        <w:t>.)</w:t>
      </w:r>
    </w:p>
    <w:p w:rsidR="00FB605F" w:rsidRPr="00BF3525" w:rsidRDefault="00FB605F" w:rsidP="00FB605F">
      <w:pPr>
        <w:jc w:val="both"/>
        <w:rPr>
          <w:sz w:val="16"/>
          <w:szCs w:val="16"/>
        </w:rPr>
      </w:pPr>
      <w:r w:rsidRPr="00BF3525">
        <w:rPr>
          <w:sz w:val="16"/>
          <w:szCs w:val="16"/>
        </w:rPr>
        <w:t>(f) The World Factbook; 2013. CIA (</w:t>
      </w:r>
      <w:hyperlink r:id="rId10" w:history="1">
        <w:r w:rsidRPr="00BF3525">
          <w:rPr>
            <w:rStyle w:val="Hyperlink"/>
            <w:sz w:val="16"/>
            <w:szCs w:val="16"/>
          </w:rPr>
          <w:t>https://www.cia.gov/library/publications/the-world-factbook/fields/2103.html</w:t>
        </w:r>
      </w:hyperlink>
      <w:r w:rsidRPr="00BF3525">
        <w:rPr>
          <w:sz w:val="16"/>
          <w:szCs w:val="16"/>
        </w:rPr>
        <w:t xml:space="preserve">) </w:t>
      </w:r>
      <w:r w:rsidRPr="00BF3525">
        <w:rPr>
          <w:sz w:val="16"/>
          <w:szCs w:val="16"/>
        </w:rPr>
        <w:br w:type="page"/>
      </w:r>
    </w:p>
    <w:p w:rsidR="00FB605F" w:rsidRDefault="00FB605F" w:rsidP="00FB605F">
      <w:pPr>
        <w:jc w:val="both"/>
      </w:pPr>
      <w:r>
        <w:rPr>
          <w:b/>
        </w:rPr>
        <w:lastRenderedPageBreak/>
        <w:t xml:space="preserve">Supplementary </w:t>
      </w:r>
      <w:r w:rsidRPr="00E3534E">
        <w:rPr>
          <w:b/>
        </w:rPr>
        <w:t xml:space="preserve">Table </w:t>
      </w:r>
      <w:r w:rsidR="00D47238">
        <w:rPr>
          <w:b/>
        </w:rPr>
        <w:t>S</w:t>
      </w:r>
      <w:r>
        <w:rPr>
          <w:b/>
        </w:rPr>
        <w:t>2</w:t>
      </w:r>
      <w:r w:rsidRPr="00E3534E">
        <w:rPr>
          <w:b/>
        </w:rPr>
        <w:t>.</w:t>
      </w:r>
      <w:r>
        <w:t xml:space="preserve"> Information on population at risk (denominator) and eligible cases identified (numerator).*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B605F" w:rsidRPr="00243CF1" w:rsidTr="0028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B605F" w:rsidRPr="001F4A87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243CF1">
              <w:rPr>
                <w:sz w:val="20"/>
                <w:szCs w:val="20"/>
              </w:rPr>
              <w:t>Che</w:t>
            </w:r>
            <w:r>
              <w:rPr>
                <w:sz w:val="20"/>
                <w:szCs w:val="20"/>
              </w:rPr>
              <w:t>ngalpet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11" w:type="dxa"/>
            <w:shd w:val="clear" w:color="auto" w:fill="auto"/>
          </w:tcPr>
          <w:p w:rsidR="00FB605F" w:rsidRPr="001F4A87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Ibadan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11" w:type="dxa"/>
            <w:shd w:val="clear" w:color="auto" w:fill="auto"/>
          </w:tcPr>
          <w:p w:rsidR="00FB605F" w:rsidRPr="001F4A87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Tunapuna-Piarco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Default="00FB605F" w:rsidP="0028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Denominator</w:t>
            </w:r>
          </w:p>
          <w:p w:rsidR="00FB605F" w:rsidRPr="00243CF1" w:rsidRDefault="00FB605F" w:rsidP="00286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B605F" w:rsidRPr="00243CF1" w:rsidRDefault="00FB605F" w:rsidP="002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A1A7D">
              <w:rPr>
                <w:b w:val="0"/>
                <w:sz w:val="20"/>
                <w:szCs w:val="20"/>
              </w:rPr>
              <w:tab/>
              <w:t>Population</w:t>
            </w:r>
          </w:p>
        </w:tc>
        <w:tc>
          <w:tcPr>
            <w:tcW w:w="2310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43CF1">
              <w:rPr>
                <w:rFonts w:cs="Arial"/>
                <w:sz w:val="20"/>
                <w:szCs w:val="20"/>
              </w:rPr>
              <w:t>412,289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532,208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248,656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A1A7D">
              <w:rPr>
                <w:b w:val="0"/>
                <w:sz w:val="20"/>
                <w:szCs w:val="20"/>
              </w:rPr>
              <w:tab/>
              <w:t>Population age 18 - 64</w:t>
            </w:r>
          </w:p>
        </w:tc>
        <w:tc>
          <w:tcPr>
            <w:tcW w:w="2310" w:type="dxa"/>
            <w:shd w:val="clear" w:color="auto" w:fill="auto"/>
          </w:tcPr>
          <w:p w:rsidR="00FB605F" w:rsidRPr="009C1F5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255,362</w:t>
            </w:r>
            <w:r w:rsidRPr="00BF3525">
              <w:rPr>
                <w:bCs/>
                <w:sz w:val="20"/>
                <w:szCs w:val="20"/>
                <w:lang w:val="en-US"/>
              </w:rPr>
              <w:t>†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270,471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168,448</w:t>
            </w: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A1A7D">
              <w:rPr>
                <w:b w:val="0"/>
                <w:sz w:val="20"/>
                <w:szCs w:val="20"/>
              </w:rPr>
              <w:tab/>
              <w:t>Start date</w:t>
            </w: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01-02-2013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03-04-2013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01-03-2013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A1A7D">
              <w:rPr>
                <w:b w:val="0"/>
                <w:sz w:val="20"/>
                <w:szCs w:val="20"/>
              </w:rPr>
              <w:tab/>
              <w:t xml:space="preserve">End date </w:t>
            </w: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31-08-2013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03-10-2013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01-10-2013</w:t>
            </w: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A1A7D">
              <w:rPr>
                <w:b w:val="0"/>
                <w:sz w:val="20"/>
                <w:szCs w:val="20"/>
              </w:rPr>
              <w:tab/>
              <w:t>Period at risk, months</w:t>
            </w: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A1A7D">
              <w:rPr>
                <w:color w:val="auto"/>
                <w:sz w:val="20"/>
                <w:szCs w:val="20"/>
              </w:rPr>
              <w:t>7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sz w:val="20"/>
                <w:szCs w:val="20"/>
              </w:rPr>
            </w:pPr>
            <w:r w:rsidRPr="00BA1A7D">
              <w:rPr>
                <w:sz w:val="20"/>
                <w:szCs w:val="20"/>
              </w:rPr>
              <w:tab/>
              <w:t>Person years at risk</w:t>
            </w:r>
          </w:p>
          <w:p w:rsidR="00FB605F" w:rsidRPr="00BA1A7D" w:rsidRDefault="00FB605F" w:rsidP="00286BC0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148,961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135,240</w:t>
            </w:r>
          </w:p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98,260</w:t>
            </w: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Default="00FB605F" w:rsidP="0028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Numerator</w:t>
            </w:r>
          </w:p>
          <w:p w:rsidR="00FB605F" w:rsidRDefault="00FB605F" w:rsidP="00286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605F" w:rsidRPr="00BA1A7D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A1A7D">
              <w:rPr>
                <w:b w:val="0"/>
                <w:sz w:val="20"/>
                <w:szCs w:val="20"/>
              </w:rPr>
              <w:t>Screened</w:t>
            </w: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A7D">
              <w:rPr>
                <w:sz w:val="20"/>
                <w:szCs w:val="20"/>
              </w:rPr>
              <w:t>480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1A7D">
              <w:rPr>
                <w:sz w:val="20"/>
                <w:szCs w:val="20"/>
              </w:rPr>
              <w:t>559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243CF1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243CF1">
              <w:rPr>
                <w:b w:val="0"/>
                <w:sz w:val="20"/>
                <w:szCs w:val="20"/>
              </w:rPr>
              <w:t>Not eligible</w:t>
            </w:r>
          </w:p>
        </w:tc>
        <w:tc>
          <w:tcPr>
            <w:tcW w:w="2310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CF1">
              <w:rPr>
                <w:sz w:val="20"/>
                <w:szCs w:val="20"/>
              </w:rPr>
              <w:t>398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243CF1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Insufficient</w:t>
            </w:r>
            <w:r w:rsidRPr="00243CF1">
              <w:rPr>
                <w:b w:val="0"/>
                <w:sz w:val="20"/>
                <w:szCs w:val="20"/>
              </w:rPr>
              <w:t xml:space="preserve"> information</w:t>
            </w:r>
          </w:p>
        </w:tc>
        <w:tc>
          <w:tcPr>
            <w:tcW w:w="2310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CF1">
              <w:rPr>
                <w:sz w:val="20"/>
                <w:szCs w:val="20"/>
              </w:rPr>
              <w:t>18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3CF1">
              <w:rPr>
                <w:sz w:val="20"/>
                <w:szCs w:val="20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B605F" w:rsidRPr="004E3672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4E3672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sz w:val="20"/>
                <w:szCs w:val="20"/>
              </w:rPr>
            </w:pPr>
            <w:r w:rsidRPr="004E3672">
              <w:rPr>
                <w:sz w:val="20"/>
                <w:szCs w:val="20"/>
              </w:rPr>
              <w:tab/>
              <w:t>Eligible</w:t>
            </w:r>
          </w:p>
        </w:tc>
        <w:tc>
          <w:tcPr>
            <w:tcW w:w="2310" w:type="dxa"/>
            <w:shd w:val="clear" w:color="auto" w:fill="auto"/>
          </w:tcPr>
          <w:p w:rsidR="00FB605F" w:rsidRPr="004E3672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367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311" w:type="dxa"/>
            <w:shd w:val="clear" w:color="auto" w:fill="auto"/>
          </w:tcPr>
          <w:p w:rsidR="00FB605F" w:rsidRPr="004E3672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367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311" w:type="dxa"/>
            <w:shd w:val="clear" w:color="auto" w:fill="auto"/>
          </w:tcPr>
          <w:p w:rsidR="00FB605F" w:rsidRPr="004E3672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3672">
              <w:rPr>
                <w:b/>
                <w:sz w:val="20"/>
                <w:szCs w:val="20"/>
              </w:rPr>
              <w:t>35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3151A5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3151A5">
              <w:rPr>
                <w:b w:val="0"/>
                <w:sz w:val="20"/>
                <w:szCs w:val="20"/>
              </w:rPr>
              <w:tab/>
              <w:t>Eligible, schizophrenia</w:t>
            </w:r>
          </w:p>
          <w:p w:rsidR="00FB605F" w:rsidRPr="003151A5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3151A5">
              <w:rPr>
                <w:b w:val="0"/>
                <w:sz w:val="20"/>
                <w:szCs w:val="20"/>
              </w:rPr>
              <w:tab/>
              <w:t>Eligible, other</w:t>
            </w:r>
          </w:p>
          <w:p w:rsidR="00FB605F" w:rsidRPr="003151A5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3151A5">
              <w:rPr>
                <w:b w:val="0"/>
                <w:sz w:val="20"/>
                <w:szCs w:val="20"/>
              </w:rPr>
              <w:tab/>
              <w:t>Eligible, DUP &lt; 2 yr</w:t>
            </w:r>
          </w:p>
          <w:p w:rsidR="00FB605F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3151A5">
              <w:rPr>
                <w:b w:val="0"/>
                <w:sz w:val="20"/>
                <w:szCs w:val="20"/>
              </w:rPr>
              <w:tab/>
              <w:t>Eligible, DUP &gt; 2 yr</w:t>
            </w:r>
          </w:p>
          <w:p w:rsidR="00FB605F" w:rsidRPr="003151A5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37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27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23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41</w:t>
            </w:r>
          </w:p>
        </w:tc>
        <w:tc>
          <w:tcPr>
            <w:tcW w:w="2311" w:type="dxa"/>
            <w:shd w:val="clear" w:color="auto" w:fill="auto"/>
          </w:tcPr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43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5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45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18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17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25</w:t>
            </w:r>
          </w:p>
          <w:p w:rsidR="00FB605F" w:rsidRPr="003151A5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51A5">
              <w:rPr>
                <w:sz w:val="20"/>
                <w:szCs w:val="20"/>
              </w:rPr>
              <w:t>10</w:t>
            </w: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FB605F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Leakage</w:t>
            </w:r>
          </w:p>
          <w:p w:rsidR="00FB605F" w:rsidRPr="00243CF1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310" w:type="dxa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11" w:type="dxa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1" w:type="dxa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Default="00FB605F" w:rsidP="0028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Cases identified via ...</w:t>
            </w:r>
          </w:p>
          <w:p w:rsidR="00FB605F" w:rsidRDefault="00FB605F" w:rsidP="00286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605F" w:rsidRPr="00BA1A7D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A1A7D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>MH service (public)</w:t>
            </w:r>
          </w:p>
        </w:tc>
        <w:tc>
          <w:tcPr>
            <w:tcW w:w="2310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(9.4%)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(45.8%)</w:t>
            </w:r>
          </w:p>
        </w:tc>
        <w:tc>
          <w:tcPr>
            <w:tcW w:w="2311" w:type="dxa"/>
            <w:shd w:val="clear" w:color="auto" w:fill="auto"/>
          </w:tcPr>
          <w:p w:rsidR="00FB605F" w:rsidRPr="00BA1A7D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(94.3%)</w:t>
            </w:r>
          </w:p>
        </w:tc>
      </w:tr>
      <w:tr w:rsidR="00FB605F" w:rsidRPr="00243CF1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243CF1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Healer, etc.</w:t>
            </w:r>
          </w:p>
        </w:tc>
        <w:tc>
          <w:tcPr>
            <w:tcW w:w="2310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(0.0%)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(54.2%)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(5.7%)</w:t>
            </w:r>
          </w:p>
        </w:tc>
      </w:tr>
      <w:tr w:rsidR="00FB605F" w:rsidRPr="00243CF1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243CF1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Key informant</w:t>
            </w:r>
          </w:p>
        </w:tc>
        <w:tc>
          <w:tcPr>
            <w:tcW w:w="2310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(43.8)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(0.0%)</w:t>
            </w:r>
          </w:p>
        </w:tc>
        <w:tc>
          <w:tcPr>
            <w:tcW w:w="2311" w:type="dxa"/>
            <w:shd w:val="clear" w:color="auto" w:fill="auto"/>
          </w:tcPr>
          <w:p w:rsidR="00FB605F" w:rsidRPr="00243CF1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(0.0%)</w:t>
            </w:r>
          </w:p>
        </w:tc>
      </w:tr>
      <w:tr w:rsidR="00FB605F" w:rsidRPr="00B52EFE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FB605F" w:rsidRPr="00B52EFE" w:rsidRDefault="00FB605F" w:rsidP="00286BC0">
            <w:pPr>
              <w:tabs>
                <w:tab w:val="left" w:pos="142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52EFE"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>Survey</w:t>
            </w:r>
          </w:p>
        </w:tc>
        <w:tc>
          <w:tcPr>
            <w:tcW w:w="2310" w:type="dxa"/>
            <w:shd w:val="clear" w:color="auto" w:fill="auto"/>
          </w:tcPr>
          <w:p w:rsidR="00FB605F" w:rsidRPr="00B52EFE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(46.8)</w:t>
            </w:r>
          </w:p>
        </w:tc>
        <w:tc>
          <w:tcPr>
            <w:tcW w:w="2311" w:type="dxa"/>
            <w:shd w:val="clear" w:color="auto" w:fill="auto"/>
          </w:tcPr>
          <w:p w:rsidR="00FB605F" w:rsidRPr="00B52EFE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1" w:type="dxa"/>
            <w:shd w:val="clear" w:color="auto" w:fill="auto"/>
          </w:tcPr>
          <w:p w:rsidR="00FB605F" w:rsidRPr="00B52EFE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605F" w:rsidRDefault="00FB605F" w:rsidP="00FB605F">
      <w:pPr>
        <w:rPr>
          <w:sz w:val="20"/>
          <w:szCs w:val="20"/>
        </w:rPr>
      </w:pPr>
    </w:p>
    <w:p w:rsidR="00FB605F" w:rsidRPr="003151A5" w:rsidRDefault="00FB605F" w:rsidP="00FB605F">
      <w:pPr>
        <w:rPr>
          <w:sz w:val="20"/>
          <w:szCs w:val="20"/>
        </w:rPr>
      </w:pPr>
      <w:r w:rsidRPr="003151A5">
        <w:rPr>
          <w:sz w:val="20"/>
          <w:szCs w:val="20"/>
        </w:rPr>
        <w:t xml:space="preserve">* See </w:t>
      </w:r>
      <w:r>
        <w:rPr>
          <w:sz w:val="20"/>
          <w:szCs w:val="20"/>
        </w:rPr>
        <w:t>also site specific flow charts documenting case finding</w:t>
      </w:r>
    </w:p>
    <w:p w:rsidR="00FB605F" w:rsidRPr="00BF3525" w:rsidRDefault="00FB605F" w:rsidP="00FB605F">
      <w:pPr>
        <w:jc w:val="both"/>
        <w:rPr>
          <w:sz w:val="20"/>
          <w:szCs w:val="20"/>
        </w:rPr>
      </w:pPr>
      <w:r w:rsidRPr="00BF3525">
        <w:rPr>
          <w:sz w:val="20"/>
          <w:szCs w:val="20"/>
        </w:rPr>
        <w:lastRenderedPageBreak/>
        <w:t>† Population aged 18-65 estimated using proportions in this age group for Kancheepuram District (i.e., 63% aged 18-65; same for men and women)</w:t>
      </w:r>
    </w:p>
    <w:p w:rsidR="00FB605F" w:rsidRPr="00BF3525" w:rsidRDefault="00FB605F" w:rsidP="00FB605F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 w:rsidRPr="00BF3525">
        <w:rPr>
          <w:sz w:val="20"/>
          <w:szCs w:val="20"/>
        </w:rPr>
        <w:t xml:space="preserve"> Census of India. Provisional Population Totals - Tamil Nadu-Census 2011 Sub District (Taluk) Level.   [cited 2013 25 August]; Available from: </w:t>
      </w:r>
      <w:hyperlink r:id="rId11" w:history="1">
        <w:r w:rsidRPr="00BF3525">
          <w:rPr>
            <w:rStyle w:val="Hyperlink"/>
            <w:sz w:val="20"/>
            <w:szCs w:val="20"/>
          </w:rPr>
          <w:t>http://www.census.tn.nic.in/census2011data/PPT_taluk_data_final.pdf</w:t>
        </w:r>
      </w:hyperlink>
    </w:p>
    <w:p w:rsidR="00FB605F" w:rsidRPr="00BF3525" w:rsidRDefault="00FB605F" w:rsidP="00FB605F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BF3525">
        <w:rPr>
          <w:sz w:val="20"/>
          <w:szCs w:val="20"/>
        </w:rPr>
        <w:t xml:space="preserve"> National Population Commission of Nigeria. Population Distribution by Sex, State, LGA &amp; Senatorial District. Abuja, Nigeria: National Population Commission of Nigeria; 2010.</w:t>
      </w:r>
    </w:p>
    <w:p w:rsidR="00FB605F" w:rsidRDefault="00FB605F" w:rsidP="00FB605F">
      <w:pPr>
        <w:jc w:val="both"/>
        <w:rPr>
          <w:b/>
        </w:rPr>
      </w:pPr>
      <w:r>
        <w:rPr>
          <w:sz w:val="20"/>
          <w:szCs w:val="20"/>
          <w:vertAlign w:val="superscript"/>
        </w:rPr>
        <w:t>c</w:t>
      </w:r>
      <w:r w:rsidRPr="00BF3525">
        <w:rPr>
          <w:sz w:val="20"/>
          <w:szCs w:val="20"/>
        </w:rPr>
        <w:t xml:space="preserve"> Central Statistical Office, Ministry of Planning and Sustainable Development. Trinidad and Tobago 2011 Population and Housing Census Demographic Report. Port of Spain, Trinidad: Government of Trinidad and Tobago; 2012.</w:t>
      </w:r>
      <w:r>
        <w:rPr>
          <w:b/>
        </w:rPr>
        <w:br w:type="page"/>
      </w:r>
    </w:p>
    <w:p w:rsidR="00FB605F" w:rsidRDefault="00FB605F" w:rsidP="00FB605F">
      <w:pPr>
        <w:jc w:val="both"/>
      </w:pPr>
      <w:r>
        <w:rPr>
          <w:b/>
        </w:rPr>
        <w:lastRenderedPageBreak/>
        <w:t xml:space="preserve">Supplementary Table </w:t>
      </w:r>
      <w:r w:rsidR="00D47238">
        <w:rPr>
          <w:b/>
        </w:rPr>
        <w:t>S</w:t>
      </w:r>
      <w:r>
        <w:rPr>
          <w:b/>
        </w:rPr>
        <w:t>3</w:t>
      </w:r>
      <w:r w:rsidRPr="00E3534E">
        <w:rPr>
          <w:b/>
        </w:rPr>
        <w:t>.</w:t>
      </w:r>
      <w:r>
        <w:t xml:space="preserve"> Demographic  and clinical characteristics of eligible cases by site.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294"/>
        <w:gridCol w:w="2699"/>
        <w:gridCol w:w="1965"/>
        <w:gridCol w:w="2142"/>
        <w:gridCol w:w="2142"/>
      </w:tblGrid>
      <w:tr w:rsidR="00FB605F" w:rsidRPr="00B42793" w:rsidTr="0028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Chengalpet</w:t>
            </w:r>
          </w:p>
          <w:p w:rsidR="00FB605F" w:rsidRPr="003151A5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Ibadan</w:t>
            </w:r>
          </w:p>
          <w:p w:rsidR="00FB605F" w:rsidRPr="00BA1A7D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 48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Tunapuna-Piarco</w:t>
            </w:r>
          </w:p>
          <w:p w:rsidR="00FB605F" w:rsidRPr="00BA1A7D" w:rsidRDefault="00FB605F" w:rsidP="00286BC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 35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42793">
              <w:rPr>
                <w:sz w:val="20"/>
                <w:szCs w:val="20"/>
                <w:lang w:val="sv-SE"/>
              </w:rPr>
              <w:t>mean (sd)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42793">
              <w:rPr>
                <w:sz w:val="20"/>
                <w:szCs w:val="20"/>
                <w:lang w:val="sv-SE"/>
              </w:rPr>
              <w:t>mean (sd)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42793">
              <w:rPr>
                <w:sz w:val="20"/>
                <w:szCs w:val="20"/>
                <w:lang w:val="sv-SE"/>
              </w:rPr>
              <w:t>mean (sd)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t>Age</w:t>
            </w:r>
            <w:r>
              <w:rPr>
                <w:b w:val="0"/>
                <w:sz w:val="20"/>
                <w:szCs w:val="20"/>
              </w:rPr>
              <w:t xml:space="preserve"> at detection</w:t>
            </w:r>
          </w:p>
          <w:p w:rsidR="00FB605F" w:rsidRPr="00B42793" w:rsidRDefault="00FB605F" w:rsidP="00286BC0">
            <w:pPr>
              <w:tabs>
                <w:tab w:val="left" w:pos="142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39.81 (10.89</w:t>
            </w:r>
            <w:r w:rsidRPr="00B4279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 (7.61)</w:t>
            </w:r>
            <w:r w:rsidRPr="00B42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33.43 (11.26)</w:t>
            </w:r>
            <w:r w:rsidRPr="00B42793">
              <w:rPr>
                <w:sz w:val="20"/>
                <w:szCs w:val="20"/>
              </w:rPr>
              <w:t xml:space="preserve"> 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t>Age</w:t>
            </w:r>
            <w:r>
              <w:rPr>
                <w:b w:val="0"/>
                <w:sz w:val="20"/>
                <w:szCs w:val="20"/>
              </w:rPr>
              <w:t xml:space="preserve"> at onset</w:t>
            </w:r>
          </w:p>
          <w:p w:rsidR="00FB605F" w:rsidRPr="00B42793" w:rsidRDefault="00FB605F" w:rsidP="00286BC0">
            <w:pPr>
              <w:tabs>
                <w:tab w:val="left" w:pos="142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33.85 (10.80</w:t>
            </w:r>
            <w:r w:rsidRPr="00B4279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30.28 (7.62)</w:t>
            </w:r>
            <w:r w:rsidRPr="00B42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31.60 (9.86)</w:t>
            </w:r>
            <w:r w:rsidRPr="00B42793">
              <w:rPr>
                <w:sz w:val="20"/>
                <w:szCs w:val="20"/>
              </w:rPr>
              <w:t xml:space="preserve"> 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n (%)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n (%)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n (%)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Sex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B42793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(43.8)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(31.3)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(57.1)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B42793">
              <w:rPr>
                <w:bCs/>
                <w:sz w:val="20"/>
                <w:szCs w:val="20"/>
              </w:rPr>
              <w:t>omen</w:t>
            </w:r>
          </w:p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(56.2)</w:t>
            </w:r>
          </w:p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(68.8)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(42.9)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median (iqr</w:t>
            </w:r>
            <w:r w:rsidRPr="00B42793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median (iqr)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median (iqr)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DUP, weeks</w:t>
            </w:r>
          </w:p>
          <w:p w:rsidR="00FB605F" w:rsidRPr="00B42793" w:rsidRDefault="00FB605F" w:rsidP="00286BC0">
            <w:pPr>
              <w:tabs>
                <w:tab w:val="left" w:pos="142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(50-484)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(4-40)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(5-104)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n (%)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n (%)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n (%)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DUP, dichotomised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 than 2 years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(35.9)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(93.8)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(71.4)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More than 2 years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(64.1)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(28.6)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t>Mode of onset</w:t>
            </w:r>
            <w:r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B42793">
              <w:rPr>
                <w:bCs/>
                <w:sz w:val="20"/>
                <w:szCs w:val="20"/>
              </w:rPr>
              <w:t>cute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(8.9)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(68.1)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(59.3)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  <w:r w:rsidRPr="00B42793">
              <w:rPr>
                <w:bCs/>
                <w:sz w:val="20"/>
                <w:szCs w:val="20"/>
              </w:rPr>
              <w:t>radual</w:t>
            </w:r>
            <w:r>
              <w:rPr>
                <w:bCs/>
                <w:sz w:val="20"/>
                <w:szCs w:val="20"/>
              </w:rPr>
              <w:t>, insidious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(91.1)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(31.9)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(40.7)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t>Di</w:t>
            </w:r>
            <w:r>
              <w:rPr>
                <w:b w:val="0"/>
                <w:sz w:val="20"/>
                <w:szCs w:val="20"/>
              </w:rPr>
              <w:t>agnosis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Schizophrenia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(57.8)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(89.6)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(51.4)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(42.2)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(10.4)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(48.6)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t>Pathway, first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†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Mental health</w:t>
            </w:r>
            <w:r w:rsidRPr="00B4279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prof.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(15.9)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(23.4)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(42.4)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 health prof.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(21.3)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(21.2)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B42793">
              <w:rPr>
                <w:bCs/>
                <w:sz w:val="20"/>
                <w:szCs w:val="20"/>
              </w:rPr>
              <w:t>olice</w:t>
            </w:r>
            <w:r>
              <w:rPr>
                <w:bCs/>
                <w:sz w:val="20"/>
                <w:szCs w:val="20"/>
              </w:rPr>
              <w:t>, court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(15.2)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B42793">
              <w:rPr>
                <w:bCs/>
                <w:sz w:val="20"/>
                <w:szCs w:val="20"/>
              </w:rPr>
              <w:t>olk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(79.6)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(55.3)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(15.2)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(6.1)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lastRenderedPageBreak/>
              <w:t>Ever professional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†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B4279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(36.4)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(38.3)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(6.1)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</w:t>
            </w:r>
            <w:r w:rsidRPr="00B42793">
              <w:rPr>
                <w:bCs/>
                <w:sz w:val="20"/>
                <w:szCs w:val="20"/>
              </w:rPr>
              <w:t>es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(63.6)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(61.7)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(93.9)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42793">
              <w:rPr>
                <w:b w:val="0"/>
                <w:sz w:val="20"/>
                <w:szCs w:val="20"/>
              </w:rPr>
              <w:t>Ever folk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†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Pr="00B42793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3 (6.8)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(25.5)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(81.8)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</w:t>
            </w:r>
            <w:r w:rsidRPr="00B42793">
              <w:rPr>
                <w:bCs/>
                <w:sz w:val="20"/>
                <w:szCs w:val="20"/>
              </w:rPr>
              <w:t>es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41 (93.2)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(74.5)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(18.2)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  <w:gridSpan w:val="2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Identified via ...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42793">
              <w:rPr>
                <w:bCs/>
                <w:sz w:val="20"/>
                <w:szCs w:val="20"/>
              </w:rPr>
              <w:t>MH service (public)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(20.6)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(45.8)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(95.4)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42793">
              <w:rPr>
                <w:bCs/>
                <w:sz w:val="20"/>
                <w:szCs w:val="20"/>
              </w:rPr>
              <w:t>Healer, etc.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(54.2)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(4.7)</w:t>
            </w:r>
          </w:p>
        </w:tc>
      </w:tr>
      <w:tr w:rsidR="00FB605F" w:rsidRPr="00B42793" w:rsidTr="0028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Pr="00B42793" w:rsidRDefault="00FB605F" w:rsidP="00286B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42793">
              <w:rPr>
                <w:bCs/>
                <w:sz w:val="20"/>
                <w:szCs w:val="20"/>
              </w:rPr>
              <w:t>Key informant</w:t>
            </w: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(38.3)‡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(0.0)</w:t>
            </w:r>
          </w:p>
        </w:tc>
      </w:tr>
      <w:tr w:rsidR="00FB605F" w:rsidRPr="00B42793" w:rsidTr="00286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60" w:type="pct"/>
            <w:shd w:val="clear" w:color="auto" w:fill="auto"/>
          </w:tcPr>
          <w:p w:rsidR="00FB605F" w:rsidRDefault="00FB605F" w:rsidP="00286BC0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Gatherings of residents</w:t>
            </w:r>
          </w:p>
          <w:p w:rsidR="00FB605F" w:rsidRPr="00B42793" w:rsidRDefault="00FB605F" w:rsidP="00286BC0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063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(41.1)^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59" w:type="pct"/>
            <w:shd w:val="clear" w:color="auto" w:fill="auto"/>
          </w:tcPr>
          <w:p w:rsidR="00FB605F" w:rsidRPr="00B42793" w:rsidRDefault="00FB605F" w:rsidP="00286BC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FB605F" w:rsidRDefault="00FB605F" w:rsidP="00FB605F">
      <w:pPr>
        <w:jc w:val="both"/>
        <w:rPr>
          <w:sz w:val="20"/>
          <w:szCs w:val="20"/>
        </w:rPr>
      </w:pPr>
    </w:p>
    <w:p w:rsidR="00FB605F" w:rsidRDefault="00FB605F" w:rsidP="00FB605F">
      <w:pPr>
        <w:jc w:val="both"/>
        <w:rPr>
          <w:sz w:val="20"/>
          <w:szCs w:val="20"/>
        </w:rPr>
      </w:pPr>
      <w:r>
        <w:rPr>
          <w:sz w:val="20"/>
          <w:szCs w:val="20"/>
        </w:rPr>
        <w:t>* M</w:t>
      </w:r>
      <w:r w:rsidRPr="003151A5">
        <w:rPr>
          <w:sz w:val="20"/>
          <w:szCs w:val="20"/>
        </w:rPr>
        <w:t>issing:</w:t>
      </w:r>
      <w:r>
        <w:rPr>
          <w:sz w:val="20"/>
          <w:szCs w:val="20"/>
        </w:rPr>
        <w:t xml:space="preserve"> 19 Chengalpet; 1 Ibadan; 8 Tunapuna-Piarco</w:t>
      </w:r>
    </w:p>
    <w:p w:rsidR="00FB605F" w:rsidRPr="003151A5" w:rsidRDefault="00FB605F" w:rsidP="00FB605F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†</w:t>
      </w:r>
      <w:r>
        <w:rPr>
          <w:sz w:val="20"/>
          <w:szCs w:val="20"/>
        </w:rPr>
        <w:t xml:space="preserve"> M</w:t>
      </w:r>
      <w:r w:rsidRPr="003151A5">
        <w:rPr>
          <w:sz w:val="20"/>
          <w:szCs w:val="20"/>
        </w:rPr>
        <w:t>issing:</w:t>
      </w:r>
      <w:r>
        <w:rPr>
          <w:sz w:val="20"/>
          <w:szCs w:val="20"/>
        </w:rPr>
        <w:t xml:space="preserve"> 20 Chengalpet; 1 Ibadan; 2 Tunapuna-Piarco</w:t>
      </w:r>
    </w:p>
    <w:p w:rsidR="00FB605F" w:rsidRPr="003151A5" w:rsidRDefault="00FB605F" w:rsidP="00FB605F">
      <w:pPr>
        <w:jc w:val="both"/>
        <w:rPr>
          <w:sz w:val="20"/>
          <w:szCs w:val="20"/>
        </w:rPr>
      </w:pPr>
      <w:r w:rsidRPr="003151A5">
        <w:rPr>
          <w:sz w:val="20"/>
          <w:szCs w:val="20"/>
        </w:rPr>
        <w:t>‡8 Balwadi teacher; 7 village leaders; 7 family of other identified cases; 6 village health nurses</w:t>
      </w:r>
    </w:p>
    <w:p w:rsidR="00FB605F" w:rsidRDefault="00FB605F" w:rsidP="00FB60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^ </w:t>
      </w:r>
      <w:r w:rsidRPr="003151A5">
        <w:rPr>
          <w:sz w:val="20"/>
          <w:szCs w:val="20"/>
        </w:rPr>
        <w:t>villagers met at gathering spots</w:t>
      </w:r>
    </w:p>
    <w:p w:rsidR="00FB605F" w:rsidRDefault="00FB605F" w:rsidP="00FB605F">
      <w:pPr>
        <w:jc w:val="both"/>
        <w:rPr>
          <w:sz w:val="20"/>
          <w:szCs w:val="20"/>
        </w:rPr>
      </w:pPr>
    </w:p>
    <w:p w:rsidR="00176D65" w:rsidRDefault="00176D65" w:rsidP="00064A2E">
      <w:pPr>
        <w:jc w:val="both"/>
        <w:rPr>
          <w:sz w:val="20"/>
          <w:szCs w:val="20"/>
        </w:rPr>
      </w:pPr>
    </w:p>
    <w:p w:rsidR="005064B0" w:rsidRDefault="005064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243F" w:rsidRDefault="00C3243F">
      <w:pPr>
        <w:rPr>
          <w:b/>
          <w:sz w:val="32"/>
          <w:vertAlign w:val="superscript"/>
        </w:rPr>
        <w:sectPr w:rsidR="00C3243F" w:rsidSect="00F94182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6D65" w:rsidRDefault="009513DE" w:rsidP="00176D65">
      <w:pPr>
        <w:spacing w:after="120"/>
        <w:jc w:val="both"/>
        <w:rPr>
          <w:sz w:val="32"/>
          <w:vertAlign w:val="superscript"/>
        </w:rPr>
      </w:pPr>
      <w:r>
        <w:rPr>
          <w:b/>
          <w:sz w:val="32"/>
          <w:vertAlign w:val="superscript"/>
        </w:rPr>
        <w:lastRenderedPageBreak/>
        <w:t xml:space="preserve">Supplementary Table </w:t>
      </w:r>
      <w:r w:rsidR="00D47238">
        <w:rPr>
          <w:b/>
          <w:sz w:val="32"/>
          <w:vertAlign w:val="superscript"/>
        </w:rPr>
        <w:t>S</w:t>
      </w:r>
      <w:r w:rsidR="00FB605F">
        <w:rPr>
          <w:b/>
          <w:sz w:val="32"/>
          <w:vertAlign w:val="superscript"/>
        </w:rPr>
        <w:t>4</w:t>
      </w:r>
      <w:r w:rsidR="00176D65" w:rsidRPr="00E0472F">
        <w:rPr>
          <w:b/>
          <w:sz w:val="32"/>
          <w:vertAlign w:val="superscript"/>
        </w:rPr>
        <w:t>.</w:t>
      </w:r>
      <w:r w:rsidR="00176D65">
        <w:rPr>
          <w:sz w:val="32"/>
          <w:vertAlign w:val="superscript"/>
        </w:rPr>
        <w:t xml:space="preserve"> Rates of psychosis, by sex.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1628"/>
        <w:gridCol w:w="1141"/>
        <w:gridCol w:w="1141"/>
        <w:gridCol w:w="1141"/>
        <w:gridCol w:w="1141"/>
        <w:gridCol w:w="1141"/>
        <w:gridCol w:w="1141"/>
        <w:gridCol w:w="1140"/>
        <w:gridCol w:w="1140"/>
        <w:gridCol w:w="1140"/>
        <w:gridCol w:w="1140"/>
        <w:gridCol w:w="1140"/>
      </w:tblGrid>
      <w:tr w:rsidR="00396BF5" w:rsidRPr="00B42793" w:rsidTr="0039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Person years at risk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</w:t>
            </w:r>
            <w:r w:rsidRPr="00B42793">
              <w:rPr>
                <w:sz w:val="20"/>
                <w:szCs w:val="20"/>
              </w:rPr>
              <w:t>ases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67F94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(1</w:t>
            </w:r>
            <w:r w:rsidRPr="00B427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67F94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67F94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IRR*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67F94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95% CI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FB605F" w:rsidP="00F313E3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duration</w:t>
            </w:r>
            <w:r w:rsidR="00396BF5">
              <w:rPr>
                <w:sz w:val="20"/>
                <w:szCs w:val="20"/>
              </w:rPr>
              <w:t xml:space="preserve"> cases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(1</w:t>
            </w:r>
            <w:r w:rsidRPr="00B427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CI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IRR*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95% CI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psychoses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DB6531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Chengalpet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75,480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28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v-SE"/>
              </w:rPr>
            </w:pPr>
            <w:r w:rsidRPr="00A657D4">
              <w:rPr>
                <w:sz w:val="20"/>
                <w:lang w:val="sv-SE"/>
              </w:rPr>
              <w:t>39.5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v-SE"/>
              </w:rPr>
            </w:pPr>
            <w:r w:rsidRPr="00A657D4">
              <w:rPr>
                <w:sz w:val="20"/>
                <w:lang w:val="sv-SE"/>
              </w:rPr>
              <w:t>24.8-54.3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9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11.4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(3.9-18.9)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73,481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36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v-SE"/>
              </w:rPr>
            </w:pPr>
            <w:r w:rsidRPr="00A657D4">
              <w:rPr>
                <w:sz w:val="20"/>
                <w:lang w:val="sv-SE"/>
              </w:rPr>
              <w:t>52.3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v-SE"/>
              </w:rPr>
            </w:pPr>
            <w:r w:rsidRPr="00A657D4">
              <w:rPr>
                <w:sz w:val="20"/>
                <w:lang w:val="sv-SE"/>
              </w:rPr>
              <w:t>34.9-69.7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1.33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0.81-2.17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19.6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(9.1-30.1)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1.60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0.69-3.69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Ibadan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64,448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21.0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10.3-31.7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19.4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(9.2-29.6)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70,792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33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41.4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26.8-56.1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1.97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1.07-3.63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31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38.8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(24.7-52.9)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1.98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1.05-3.73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Tunapuna-Piarco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48,935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41.6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23.3-59.8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11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23.1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(9.4-36.7)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49,325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32.2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56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15.8-48.5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0.75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0.39-1.47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29.9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E97A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(14.2-45.7)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1.28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0.58-2.82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42793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DB6531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Chengalpet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75,480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29.8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(17.0-42.6)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9.0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(2.3-15.7)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73,481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24.5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(12.4-36,7)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0.79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0.41-1.51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7.7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(1.0-14.5)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0.74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0.23-2.32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Ibadan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64,448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21.0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(10.3-31.7)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19.4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(9.2-29.6)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lastRenderedPageBreak/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70,792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34.1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(21.1-47.1)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1.67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564265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0.89-3.12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33.1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(20.3-46.0)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1.72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0.90-3.28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Tunapuna-Piarco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48,935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25.4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(11.0-39.8)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17.0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(5.2-28.7)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49,325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13.5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(2.7-24.2)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0.50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0.19-1.33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13.5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(2.7-24.2)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0.75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0.26-2.16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42793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psychoses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DB6531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Chengalpet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75,480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9.7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(2.5-17.0)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2.4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(0.1-5.8)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73,481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27.8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(15.4-40.2)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2.94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1.24-6.95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11.9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(4.0-19.9)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4.61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1.00-21.34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Ibadan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1F561A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64,448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70,792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7.3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(1.0-14.0)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5.6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(0.1-11.4)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Pr="00531F6C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B15BDB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B15BDB">
              <w:rPr>
                <w:b w:val="0"/>
                <w:sz w:val="20"/>
                <w:szCs w:val="20"/>
              </w:rPr>
              <w:t>Tunapuna-Piarco</w:t>
            </w: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DB6531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Pr="00B42793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396BF5" w:rsidRPr="00B42793" w:rsidTr="0039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48,935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16.1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(4.9-27.4)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6.1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(0.1-16.1)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1.00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396BF5" w:rsidRPr="00B42793" w:rsidTr="00396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shd w:val="clear" w:color="auto" w:fill="auto"/>
          </w:tcPr>
          <w:p w:rsidR="00396BF5" w:rsidRPr="00C3243F" w:rsidRDefault="00396BF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 w:rsidRPr="00C3243F">
              <w:rPr>
                <w:b w:val="0"/>
                <w:sz w:val="20"/>
                <w:szCs w:val="20"/>
              </w:rPr>
              <w:tab/>
              <w:t>women</w:t>
            </w:r>
          </w:p>
        </w:tc>
        <w:tc>
          <w:tcPr>
            <w:tcW w:w="402" w:type="pct"/>
            <w:shd w:val="clear" w:color="auto" w:fill="auto"/>
          </w:tcPr>
          <w:p w:rsidR="00396BF5" w:rsidRPr="00A657D4" w:rsidRDefault="00396BF5" w:rsidP="00DB6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sv-SE"/>
              </w:rPr>
            </w:pPr>
            <w:r w:rsidRPr="00A657D4">
              <w:rPr>
                <w:color w:val="000000"/>
                <w:sz w:val="20"/>
                <w:lang w:val="sv-SE"/>
              </w:rPr>
              <w:t>49,325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18.7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(6.4-31.0)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1.13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7749D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0.44-2.94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16.5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(5.0-27.9)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2.71</w:t>
            </w:r>
          </w:p>
        </w:tc>
        <w:tc>
          <w:tcPr>
            <w:tcW w:w="402" w:type="pct"/>
            <w:shd w:val="clear" w:color="auto" w:fill="auto"/>
          </w:tcPr>
          <w:p w:rsidR="00396BF5" w:rsidRDefault="00396BF5" w:rsidP="00E97A7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0.72-10.20</w:t>
            </w:r>
          </w:p>
        </w:tc>
      </w:tr>
    </w:tbl>
    <w:p w:rsidR="00176D65" w:rsidRDefault="00176D65" w:rsidP="00176D65">
      <w:pPr>
        <w:jc w:val="both"/>
        <w:rPr>
          <w:sz w:val="20"/>
          <w:szCs w:val="20"/>
        </w:rPr>
      </w:pPr>
      <w:r w:rsidRPr="000C5E68">
        <w:rPr>
          <w:sz w:val="20"/>
          <w:szCs w:val="20"/>
        </w:rPr>
        <w:t xml:space="preserve">(1) </w:t>
      </w:r>
      <w:r w:rsidR="00396BF5">
        <w:rPr>
          <w:sz w:val="20"/>
          <w:szCs w:val="20"/>
        </w:rPr>
        <w:t>All cases</w:t>
      </w:r>
    </w:p>
    <w:p w:rsidR="00176D65" w:rsidRDefault="00176D65" w:rsidP="00176D65">
      <w:pPr>
        <w:jc w:val="both"/>
      </w:pPr>
      <w:r>
        <w:rPr>
          <w:sz w:val="20"/>
          <w:szCs w:val="20"/>
        </w:rPr>
        <w:t xml:space="preserve">(2) </w:t>
      </w:r>
      <w:r w:rsidR="00FB605F">
        <w:rPr>
          <w:sz w:val="20"/>
          <w:szCs w:val="20"/>
        </w:rPr>
        <w:t>Short duration</w:t>
      </w:r>
      <w:r w:rsidR="00396BF5">
        <w:rPr>
          <w:sz w:val="20"/>
          <w:szCs w:val="20"/>
        </w:rPr>
        <w:t xml:space="preserve"> (i.e., duration of psychosis of less than 2 years) cases only</w:t>
      </w:r>
    </w:p>
    <w:p w:rsidR="00396BF5" w:rsidRDefault="00176D65" w:rsidP="00176D65">
      <w:pPr>
        <w:jc w:val="both"/>
        <w:rPr>
          <w:sz w:val="20"/>
          <w:szCs w:val="20"/>
        </w:rPr>
      </w:pPr>
      <w:r>
        <w:rPr>
          <w:sz w:val="20"/>
          <w:szCs w:val="20"/>
        </w:rPr>
        <w:t>* A</w:t>
      </w:r>
      <w:r w:rsidRPr="00531F6C">
        <w:rPr>
          <w:sz w:val="20"/>
          <w:szCs w:val="20"/>
        </w:rPr>
        <w:t>djusted for age; modelled using Poisson regression</w:t>
      </w:r>
    </w:p>
    <w:p w:rsidR="00176D65" w:rsidRDefault="00176D65" w:rsidP="00176D65">
      <w:pPr>
        <w:jc w:val="both"/>
        <w:rPr>
          <w:b/>
        </w:rPr>
      </w:pPr>
    </w:p>
    <w:p w:rsidR="00396BF5" w:rsidRDefault="00396BF5" w:rsidP="00176D65">
      <w:pPr>
        <w:jc w:val="both"/>
        <w:rPr>
          <w:b/>
        </w:rPr>
        <w:sectPr w:rsidR="00396BF5" w:rsidSect="00B56D2F">
          <w:footerReference w:type="defaul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6D65" w:rsidRPr="008D36C2" w:rsidRDefault="00176D65" w:rsidP="00176D65">
      <w:pPr>
        <w:spacing w:after="120"/>
        <w:jc w:val="both"/>
      </w:pPr>
      <w:r>
        <w:rPr>
          <w:b/>
        </w:rPr>
        <w:lastRenderedPageBreak/>
        <w:t xml:space="preserve">Supplementary </w:t>
      </w:r>
      <w:r w:rsidRPr="008D36C2">
        <w:rPr>
          <w:b/>
        </w:rPr>
        <w:t xml:space="preserve">Table </w:t>
      </w:r>
      <w:r w:rsidR="00D47238">
        <w:rPr>
          <w:b/>
        </w:rPr>
        <w:t>S</w:t>
      </w:r>
      <w:r w:rsidR="00FB605F">
        <w:rPr>
          <w:b/>
        </w:rPr>
        <w:t>5</w:t>
      </w:r>
      <w:r w:rsidRPr="008D36C2">
        <w:rPr>
          <w:b/>
        </w:rPr>
        <w:t>.</w:t>
      </w:r>
      <w:r w:rsidRPr="008D36C2">
        <w:t xml:space="preserve"> Age </w:t>
      </w:r>
      <w:r>
        <w:t xml:space="preserve">(at detection) </w:t>
      </w:r>
      <w:r w:rsidRPr="008D36C2">
        <w:t xml:space="preserve">specific </w:t>
      </w:r>
      <w:r w:rsidR="00C317B0">
        <w:t xml:space="preserve">unstandardised </w:t>
      </w:r>
      <w:r w:rsidRPr="008D36C2">
        <w:t>rates of psychosis.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1101"/>
        <w:gridCol w:w="1245"/>
        <w:gridCol w:w="1080"/>
        <w:gridCol w:w="933"/>
        <w:gridCol w:w="1244"/>
        <w:gridCol w:w="1074"/>
        <w:gridCol w:w="1074"/>
        <w:gridCol w:w="1004"/>
        <w:gridCol w:w="1145"/>
        <w:gridCol w:w="1074"/>
        <w:gridCol w:w="1074"/>
        <w:gridCol w:w="961"/>
        <w:gridCol w:w="1165"/>
      </w:tblGrid>
      <w:tr w:rsidR="00176D65" w:rsidRPr="00B42793" w:rsidTr="00F31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shd w:val="clear" w:color="auto" w:fill="auto"/>
          </w:tcPr>
          <w:p w:rsidR="00176D65" w:rsidRPr="00B42793" w:rsidRDefault="00176D65" w:rsidP="00F3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chengalpet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176D65" w:rsidRPr="00B42793" w:rsidRDefault="00176D65" w:rsidP="00F3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ibadan</w:t>
            </w:r>
          </w:p>
        </w:tc>
        <w:tc>
          <w:tcPr>
            <w:tcW w:w="1508" w:type="pct"/>
            <w:gridSpan w:val="4"/>
            <w:shd w:val="clear" w:color="auto" w:fill="auto"/>
          </w:tcPr>
          <w:p w:rsidR="00176D65" w:rsidRPr="00B42793" w:rsidRDefault="00176D65" w:rsidP="00F3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tunapuna-piarco</w:t>
            </w:r>
          </w:p>
        </w:tc>
      </w:tr>
      <w:tr w:rsidR="00176D65" w:rsidRPr="007D167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both"/>
              <w:rPr>
                <w:sz w:val="20"/>
                <w:szCs w:val="20"/>
              </w:rPr>
            </w:pPr>
            <w:r w:rsidRPr="007D1673">
              <w:rPr>
                <w:sz w:val="20"/>
                <w:szCs w:val="20"/>
              </w:rPr>
              <w:t>Age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Person years at risk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Person years at risk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Person years at risk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176D65" w:rsidRPr="007D167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95% CI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18-19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10,925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18.3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4.6-73.2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10,274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29.2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9.4-90.5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6,850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29.2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7.3-116.7</w:t>
            </w:r>
          </w:p>
        </w:tc>
      </w:tr>
      <w:tr w:rsidR="00176D65" w:rsidRPr="00B4279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20-24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24,236</w:t>
            </w:r>
          </w:p>
        </w:tc>
        <w:tc>
          <w:tcPr>
            <w:tcW w:w="32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12.4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4.0-38.4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23,861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16.8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6.3-44.7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12,815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62.4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31.2-124.8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25-29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23,400</w:t>
            </w:r>
          </w:p>
        </w:tc>
        <w:tc>
          <w:tcPr>
            <w:tcW w:w="32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29.9</w:t>
            </w:r>
          </w:p>
        </w:tc>
        <w:tc>
          <w:tcPr>
            <w:tcW w:w="43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14.3-62.8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11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24,292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45.3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25.1-81.8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12,983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30.8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11.6-82.1</w:t>
            </w:r>
          </w:p>
        </w:tc>
      </w:tr>
      <w:tr w:rsidR="00176D65" w:rsidRPr="00B4279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30-34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18,574</w:t>
            </w:r>
          </w:p>
        </w:tc>
        <w:tc>
          <w:tcPr>
            <w:tcW w:w="32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37.7</w:t>
            </w:r>
          </w:p>
        </w:tc>
        <w:tc>
          <w:tcPr>
            <w:tcW w:w="43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18.0-79.1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16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19,824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80.7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49.5-131.7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10,989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81.9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42.6-157.4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42793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35-39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176D65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18,935</w:t>
            </w:r>
          </w:p>
        </w:tc>
        <w:tc>
          <w:tcPr>
            <w:tcW w:w="32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52.8</w:t>
            </w:r>
          </w:p>
        </w:tc>
        <w:tc>
          <w:tcPr>
            <w:tcW w:w="43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28.4-98.2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9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15,608</w:t>
            </w:r>
          </w:p>
        </w:tc>
        <w:tc>
          <w:tcPr>
            <w:tcW w:w="354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57.7</w:t>
            </w:r>
          </w:p>
        </w:tc>
        <w:tc>
          <w:tcPr>
            <w:tcW w:w="404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30.0-110.8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10,553</w:t>
            </w:r>
          </w:p>
        </w:tc>
        <w:tc>
          <w:tcPr>
            <w:tcW w:w="33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28.4</w:t>
            </w:r>
          </w:p>
        </w:tc>
        <w:tc>
          <w:tcPr>
            <w:tcW w:w="411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9.2-88.1</w:t>
            </w:r>
          </w:p>
        </w:tc>
      </w:tr>
      <w:tr w:rsidR="00176D65" w:rsidRPr="00B4279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40-44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381" w:type="pct"/>
            <w:shd w:val="clear" w:color="auto" w:fill="auto"/>
          </w:tcPr>
          <w:p w:rsidR="00176D65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14,268</w:t>
            </w:r>
          </w:p>
        </w:tc>
        <w:tc>
          <w:tcPr>
            <w:tcW w:w="32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77.1</w:t>
            </w:r>
          </w:p>
        </w:tc>
        <w:tc>
          <w:tcPr>
            <w:tcW w:w="439" w:type="pct"/>
            <w:shd w:val="clear" w:color="auto" w:fill="auto"/>
          </w:tcPr>
          <w:p w:rsidR="00176D65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42.7-139.2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12,817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15.6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3.9-62.4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9,493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21.1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5.3-84.2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45-49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13,198</w:t>
            </w:r>
          </w:p>
        </w:tc>
        <w:tc>
          <w:tcPr>
            <w:tcW w:w="32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75.8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40.8-140.8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9,799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10.2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1.4-72.5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10,093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39.6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14.9-105.6</w:t>
            </w:r>
          </w:p>
        </w:tc>
      </w:tr>
      <w:tr w:rsidR="00176D65" w:rsidRPr="00B4279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50-54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10,276</w:t>
            </w:r>
          </w:p>
        </w:tc>
        <w:tc>
          <w:tcPr>
            <w:tcW w:w="32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68.1</w:t>
            </w:r>
          </w:p>
        </w:tc>
        <w:tc>
          <w:tcPr>
            <w:tcW w:w="439" w:type="pct"/>
            <w:shd w:val="clear" w:color="auto" w:fill="auto"/>
          </w:tcPr>
          <w:p w:rsidR="00176D65" w:rsidRPr="001F561A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32.5-142.9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8,449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23.7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5.9-94.7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9,379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10.7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1.5-75.7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55-59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7,813</w:t>
            </w:r>
          </w:p>
        </w:tc>
        <w:tc>
          <w:tcPr>
            <w:tcW w:w="32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64.0</w:t>
            </w:r>
          </w:p>
        </w:tc>
        <w:tc>
          <w:tcPr>
            <w:tcW w:w="43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26.7-153.8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4,807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7,810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12.8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1.8-90.9</w:t>
            </w:r>
          </w:p>
        </w:tc>
      </w:tr>
      <w:tr w:rsidR="00176D65" w:rsidRPr="00B4279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60-64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7,336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27.3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6.8-109.0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5,509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7,295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13.7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1.9-97.3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</w:tcBorders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176D65" w:rsidRPr="00B42793" w:rsidTr="00F3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18-34</w:t>
            </w:r>
          </w:p>
        </w:tc>
        <w:tc>
          <w:tcPr>
            <w:tcW w:w="43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19</w:t>
            </w:r>
          </w:p>
        </w:tc>
        <w:tc>
          <w:tcPr>
            <w:tcW w:w="381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77,135</w:t>
            </w:r>
          </w:p>
        </w:tc>
        <w:tc>
          <w:tcPr>
            <w:tcW w:w="32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24.6</w:t>
            </w:r>
          </w:p>
        </w:tc>
        <w:tc>
          <w:tcPr>
            <w:tcW w:w="439" w:type="pct"/>
            <w:shd w:val="clear" w:color="auto" w:fill="auto"/>
          </w:tcPr>
          <w:p w:rsidR="00176D65" w:rsidRPr="001F561A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15.7-38.6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34</w:t>
            </w:r>
          </w:p>
        </w:tc>
        <w:tc>
          <w:tcPr>
            <w:tcW w:w="379" w:type="pct"/>
            <w:shd w:val="clear" w:color="auto" w:fill="auto"/>
          </w:tcPr>
          <w:p w:rsidR="00176D65" w:rsidRPr="00B42793" w:rsidRDefault="00176D65" w:rsidP="00F313E3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78,251</w:t>
            </w:r>
          </w:p>
        </w:tc>
        <w:tc>
          <w:tcPr>
            <w:tcW w:w="35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43.4</w:t>
            </w:r>
          </w:p>
        </w:tc>
        <w:tc>
          <w:tcPr>
            <w:tcW w:w="404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31.1-60.8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</w:t>
            </w:r>
          </w:p>
        </w:tc>
        <w:tc>
          <w:tcPr>
            <w:tcW w:w="37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43,637</w:t>
            </w:r>
          </w:p>
        </w:tc>
        <w:tc>
          <w:tcPr>
            <w:tcW w:w="339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52.7</w:t>
            </w:r>
          </w:p>
        </w:tc>
        <w:tc>
          <w:tcPr>
            <w:tcW w:w="411" w:type="pct"/>
            <w:shd w:val="clear" w:color="auto" w:fill="auto"/>
          </w:tcPr>
          <w:p w:rsidR="00176D65" w:rsidRDefault="00176D65" w:rsidP="00F31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35.0-79.3</w:t>
            </w:r>
          </w:p>
        </w:tc>
      </w:tr>
      <w:tr w:rsidR="00176D65" w:rsidRPr="00B42793" w:rsidTr="00F3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:rsidR="00176D65" w:rsidRPr="00B15BDB" w:rsidRDefault="00176D65" w:rsidP="00F313E3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35-64</w:t>
            </w:r>
          </w:p>
        </w:tc>
        <w:tc>
          <w:tcPr>
            <w:tcW w:w="439" w:type="pct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45</w:t>
            </w:r>
          </w:p>
        </w:tc>
        <w:tc>
          <w:tcPr>
            <w:tcW w:w="381" w:type="pct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71,826</w:t>
            </w:r>
          </w:p>
        </w:tc>
        <w:tc>
          <w:tcPr>
            <w:tcW w:w="329" w:type="pct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62.7</w:t>
            </w:r>
          </w:p>
        </w:tc>
        <w:tc>
          <w:tcPr>
            <w:tcW w:w="439" w:type="pct"/>
          </w:tcPr>
          <w:p w:rsidR="00176D65" w:rsidRPr="001F561A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46.8-83.9</w:t>
            </w:r>
          </w:p>
        </w:tc>
        <w:tc>
          <w:tcPr>
            <w:tcW w:w="379" w:type="pct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</w:t>
            </w:r>
          </w:p>
        </w:tc>
        <w:tc>
          <w:tcPr>
            <w:tcW w:w="379" w:type="pct"/>
          </w:tcPr>
          <w:p w:rsidR="00176D65" w:rsidRPr="00B42793" w:rsidRDefault="00176D65" w:rsidP="00F313E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56,989</w:t>
            </w:r>
          </w:p>
        </w:tc>
        <w:tc>
          <w:tcPr>
            <w:tcW w:w="354" w:type="pct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24.6</w:t>
            </w:r>
          </w:p>
        </w:tc>
        <w:tc>
          <w:tcPr>
            <w:tcW w:w="404" w:type="pct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14.6-41.5</w:t>
            </w:r>
          </w:p>
        </w:tc>
        <w:tc>
          <w:tcPr>
            <w:tcW w:w="379" w:type="pct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379" w:type="pct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54,623</w:t>
            </w:r>
          </w:p>
        </w:tc>
        <w:tc>
          <w:tcPr>
            <w:tcW w:w="339" w:type="pct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22.0</w:t>
            </w:r>
          </w:p>
        </w:tc>
        <w:tc>
          <w:tcPr>
            <w:tcW w:w="411" w:type="pct"/>
          </w:tcPr>
          <w:p w:rsidR="00176D65" w:rsidRDefault="00176D65" w:rsidP="00F31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12.5-38.7</w:t>
            </w:r>
          </w:p>
        </w:tc>
      </w:tr>
    </w:tbl>
    <w:p w:rsidR="00176D65" w:rsidRDefault="00176D65" w:rsidP="00176D65">
      <w:pPr>
        <w:spacing w:after="120"/>
        <w:jc w:val="both"/>
        <w:rPr>
          <w:sz w:val="20"/>
          <w:szCs w:val="20"/>
        </w:rPr>
      </w:pPr>
    </w:p>
    <w:p w:rsidR="00176D65" w:rsidRDefault="00176D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6D65" w:rsidRDefault="00176D65" w:rsidP="00176D65">
      <w:pPr>
        <w:spacing w:after="120"/>
        <w:jc w:val="both"/>
        <w:rPr>
          <w:sz w:val="20"/>
          <w:szCs w:val="20"/>
        </w:rPr>
        <w:sectPr w:rsidR="00176D65" w:rsidSect="00F35E60">
          <w:footerReference w:type="default" r:id="rId14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6D65" w:rsidRDefault="00176D65" w:rsidP="00176D65">
      <w:pPr>
        <w:spacing w:after="120"/>
        <w:jc w:val="both"/>
        <w:rPr>
          <w:sz w:val="20"/>
          <w:szCs w:val="20"/>
        </w:rPr>
      </w:pPr>
    </w:p>
    <w:p w:rsidR="00CF79CF" w:rsidRDefault="00CF79CF" w:rsidP="00CF79CF">
      <w:pPr>
        <w:jc w:val="both"/>
      </w:pPr>
      <w:r>
        <w:rPr>
          <w:b/>
        </w:rPr>
        <w:t xml:space="preserve">Supplementary Figure </w:t>
      </w:r>
      <w:r w:rsidR="00D47238">
        <w:rPr>
          <w:b/>
        </w:rPr>
        <w:t>S</w:t>
      </w:r>
      <w:r>
        <w:rPr>
          <w:b/>
        </w:rPr>
        <w:t>1</w:t>
      </w:r>
      <w:r w:rsidRPr="00960A5A">
        <w:rPr>
          <w:b/>
        </w:rPr>
        <w:t>.</w:t>
      </w:r>
      <w:r>
        <w:t xml:space="preserve"> Age (at detection) specific </w:t>
      </w:r>
      <w:r w:rsidR="00C317B0">
        <w:t xml:space="preserve">unstandardised </w:t>
      </w:r>
      <w:r>
        <w:t>rates of psychosis.</w:t>
      </w:r>
    </w:p>
    <w:p w:rsidR="00CF79CF" w:rsidRDefault="00CF79CF" w:rsidP="00CF79CF">
      <w:pPr>
        <w:jc w:val="both"/>
      </w:pPr>
      <w:r>
        <w:t>a) Chengalpet</w:t>
      </w:r>
    </w:p>
    <w:p w:rsidR="00CF79CF" w:rsidRDefault="00CF79CF" w:rsidP="00CF79CF">
      <w:pPr>
        <w:jc w:val="both"/>
      </w:pPr>
      <w:r>
        <w:rPr>
          <w:noProof/>
        </w:rPr>
        <w:drawing>
          <wp:inline distT="0" distB="0" distL="0" distR="0" wp14:anchorId="1509F2A0" wp14:editId="39ADB31A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79CF" w:rsidRDefault="00CF79CF" w:rsidP="00CF79CF">
      <w:pPr>
        <w:jc w:val="both"/>
      </w:pPr>
      <w:r>
        <w:t>b) Ibadan</w:t>
      </w:r>
    </w:p>
    <w:p w:rsidR="00CF79CF" w:rsidRDefault="00CF79CF" w:rsidP="00CF79CF">
      <w:pPr>
        <w:jc w:val="both"/>
      </w:pPr>
      <w:r>
        <w:rPr>
          <w:noProof/>
        </w:rPr>
        <w:drawing>
          <wp:inline distT="0" distB="0" distL="0" distR="0" wp14:anchorId="57BCB127" wp14:editId="7CE514A8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79CF" w:rsidRDefault="00CF79CF" w:rsidP="00CF79CF">
      <w:pPr>
        <w:jc w:val="both"/>
      </w:pPr>
      <w:r>
        <w:t>c) Tunapuna</w:t>
      </w:r>
      <w:r w:rsidR="00F313E3">
        <w:t>-Piarco</w:t>
      </w:r>
    </w:p>
    <w:p w:rsidR="00CF79CF" w:rsidRDefault="00CF79CF" w:rsidP="00CF79CF">
      <w:pPr>
        <w:jc w:val="both"/>
      </w:pPr>
      <w:r>
        <w:rPr>
          <w:noProof/>
        </w:rPr>
        <w:lastRenderedPageBreak/>
        <w:drawing>
          <wp:inline distT="0" distB="0" distL="0" distR="0" wp14:anchorId="7B567C05" wp14:editId="3FE0C9EC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79CF" w:rsidRDefault="00CF79CF" w:rsidP="00CF79CF">
      <w:pPr>
        <w:jc w:val="both"/>
      </w:pPr>
    </w:p>
    <w:p w:rsidR="00176D65" w:rsidRDefault="00176D65" w:rsidP="00176D65">
      <w:pPr>
        <w:rPr>
          <w:sz w:val="20"/>
          <w:szCs w:val="20"/>
        </w:rPr>
        <w:sectPr w:rsidR="00176D65" w:rsidSect="00176D6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2075C" w:rsidRPr="008D36C2" w:rsidRDefault="0042075C" w:rsidP="0042075C">
      <w:pPr>
        <w:spacing w:after="120"/>
        <w:jc w:val="both"/>
      </w:pPr>
      <w:r>
        <w:rPr>
          <w:b/>
        </w:rPr>
        <w:lastRenderedPageBreak/>
        <w:t xml:space="preserve">Supplementary </w:t>
      </w:r>
      <w:r w:rsidRPr="008D36C2">
        <w:rPr>
          <w:b/>
        </w:rPr>
        <w:t xml:space="preserve">Table </w:t>
      </w:r>
      <w:r w:rsidR="00D47238">
        <w:rPr>
          <w:b/>
        </w:rPr>
        <w:t>S</w:t>
      </w:r>
      <w:r w:rsidR="00FB605F">
        <w:rPr>
          <w:b/>
        </w:rPr>
        <w:t>6</w:t>
      </w:r>
      <w:r w:rsidRPr="008D36C2">
        <w:rPr>
          <w:b/>
        </w:rPr>
        <w:t>.</w:t>
      </w:r>
      <w:r w:rsidRPr="008D36C2">
        <w:t xml:space="preserve"> Age </w:t>
      </w:r>
      <w:r>
        <w:t xml:space="preserve">(at onset) </w:t>
      </w:r>
      <w:r w:rsidRPr="008D36C2">
        <w:t xml:space="preserve">specific </w:t>
      </w:r>
      <w:r w:rsidR="00C317B0">
        <w:t xml:space="preserve">unstandardised </w:t>
      </w:r>
      <w:r w:rsidRPr="008D36C2">
        <w:t>rates of psychosis.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1101"/>
        <w:gridCol w:w="1245"/>
        <w:gridCol w:w="1080"/>
        <w:gridCol w:w="933"/>
        <w:gridCol w:w="1244"/>
        <w:gridCol w:w="1074"/>
        <w:gridCol w:w="1074"/>
        <w:gridCol w:w="1004"/>
        <w:gridCol w:w="1145"/>
        <w:gridCol w:w="1074"/>
        <w:gridCol w:w="1074"/>
        <w:gridCol w:w="961"/>
        <w:gridCol w:w="1165"/>
      </w:tblGrid>
      <w:tr w:rsidR="0042075C" w:rsidRPr="00B42793" w:rsidTr="006B4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shd w:val="clear" w:color="auto" w:fill="auto"/>
          </w:tcPr>
          <w:p w:rsidR="0042075C" w:rsidRPr="00B42793" w:rsidRDefault="0042075C" w:rsidP="006B4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chengalpet</w:t>
            </w:r>
          </w:p>
        </w:tc>
        <w:tc>
          <w:tcPr>
            <w:tcW w:w="1516" w:type="pct"/>
            <w:gridSpan w:val="4"/>
            <w:shd w:val="clear" w:color="auto" w:fill="auto"/>
          </w:tcPr>
          <w:p w:rsidR="0042075C" w:rsidRPr="00B42793" w:rsidRDefault="0042075C" w:rsidP="006B4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ibadan</w:t>
            </w:r>
          </w:p>
        </w:tc>
        <w:tc>
          <w:tcPr>
            <w:tcW w:w="1508" w:type="pct"/>
            <w:gridSpan w:val="4"/>
            <w:shd w:val="clear" w:color="auto" w:fill="auto"/>
          </w:tcPr>
          <w:p w:rsidR="0042075C" w:rsidRPr="00B42793" w:rsidRDefault="0042075C" w:rsidP="006B4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tunapuna-piarco</w:t>
            </w:r>
          </w:p>
        </w:tc>
      </w:tr>
      <w:tr w:rsidR="0042075C" w:rsidRPr="007D167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both"/>
              <w:rPr>
                <w:sz w:val="20"/>
                <w:szCs w:val="20"/>
              </w:rPr>
            </w:pPr>
            <w:r w:rsidRPr="007D1673">
              <w:rPr>
                <w:sz w:val="20"/>
                <w:szCs w:val="20"/>
              </w:rPr>
              <w:t>Age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Person years at risk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Person years at risk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Person years at risk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42075C" w:rsidRPr="007D167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D1673">
              <w:rPr>
                <w:b/>
                <w:sz w:val="20"/>
                <w:szCs w:val="20"/>
              </w:rPr>
              <w:t>95% CI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18-19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10,925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64.1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30.6-134.4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10,274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48.7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20.3-116.9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6,850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43.8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14.1-135.8</w:t>
            </w:r>
          </w:p>
        </w:tc>
      </w:tr>
      <w:tr w:rsidR="0042075C" w:rsidRPr="00B4279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20-24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24,236</w:t>
            </w:r>
          </w:p>
        </w:tc>
        <w:tc>
          <w:tcPr>
            <w:tcW w:w="32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28.9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13.8-60.6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23,861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33.5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16.8-67.0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12,815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85.8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47.5-155.0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25-29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23,400</w:t>
            </w:r>
          </w:p>
        </w:tc>
        <w:tc>
          <w:tcPr>
            <w:tcW w:w="32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51.3</w:t>
            </w:r>
          </w:p>
        </w:tc>
        <w:tc>
          <w:tcPr>
            <w:tcW w:w="43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29.1-90.3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12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24,292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49.4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28.1-87.0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12,983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23.1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7.5-71.7</w:t>
            </w:r>
          </w:p>
        </w:tc>
      </w:tr>
      <w:tr w:rsidR="0042075C" w:rsidRPr="00B4279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30-34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18,574</w:t>
            </w:r>
          </w:p>
        </w:tc>
        <w:tc>
          <w:tcPr>
            <w:tcW w:w="32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37.7</w:t>
            </w:r>
          </w:p>
        </w:tc>
        <w:tc>
          <w:tcPr>
            <w:tcW w:w="43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17.8-79.1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12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19,824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60.5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34.4-106.6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10,989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81.9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42.6-157.4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42793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35-39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381" w:type="pct"/>
            <w:shd w:val="clear" w:color="auto" w:fill="auto"/>
          </w:tcPr>
          <w:p w:rsidR="0042075C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18,935</w:t>
            </w:r>
          </w:p>
        </w:tc>
        <w:tc>
          <w:tcPr>
            <w:tcW w:w="32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58.1</w:t>
            </w:r>
          </w:p>
        </w:tc>
        <w:tc>
          <w:tcPr>
            <w:tcW w:w="43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32.2-104.9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15,608</w:t>
            </w:r>
          </w:p>
        </w:tc>
        <w:tc>
          <w:tcPr>
            <w:tcW w:w="354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51.3</w:t>
            </w:r>
          </w:p>
        </w:tc>
        <w:tc>
          <w:tcPr>
            <w:tcW w:w="404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25.6-102.5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10,553</w:t>
            </w:r>
          </w:p>
        </w:tc>
        <w:tc>
          <w:tcPr>
            <w:tcW w:w="33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19.0</w:t>
            </w:r>
          </w:p>
        </w:tc>
        <w:tc>
          <w:tcPr>
            <w:tcW w:w="411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4.7-75.8</w:t>
            </w:r>
          </w:p>
        </w:tc>
      </w:tr>
      <w:tr w:rsidR="0042075C" w:rsidRPr="00B4279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40-44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381" w:type="pct"/>
            <w:shd w:val="clear" w:color="auto" w:fill="auto"/>
          </w:tcPr>
          <w:p w:rsidR="0042075C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14,268</w:t>
            </w:r>
          </w:p>
        </w:tc>
        <w:tc>
          <w:tcPr>
            <w:tcW w:w="32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56.1</w:t>
            </w:r>
          </w:p>
        </w:tc>
        <w:tc>
          <w:tcPr>
            <w:tcW w:w="439" w:type="pct"/>
            <w:shd w:val="clear" w:color="auto" w:fill="auto"/>
          </w:tcPr>
          <w:p w:rsidR="0042075C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28.0-112.1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12,817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7.8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1.1-55.4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9,493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42.1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15.8-112.3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45-49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13,198</w:t>
            </w:r>
          </w:p>
        </w:tc>
        <w:tc>
          <w:tcPr>
            <w:tcW w:w="32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68.2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35.5-131.1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9,799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10.2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1.4-72.5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10,093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19.8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5.0-79.2</w:t>
            </w:r>
          </w:p>
        </w:tc>
      </w:tr>
      <w:tr w:rsidR="0042075C" w:rsidRPr="00B4279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50-54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10,276</w:t>
            </w:r>
          </w:p>
        </w:tc>
        <w:tc>
          <w:tcPr>
            <w:tcW w:w="32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9.7</w:t>
            </w:r>
          </w:p>
        </w:tc>
        <w:tc>
          <w:tcPr>
            <w:tcW w:w="439" w:type="pct"/>
            <w:shd w:val="clear" w:color="auto" w:fill="auto"/>
          </w:tcPr>
          <w:p w:rsidR="0042075C" w:rsidRPr="001F561A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1.4-69.1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8,449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11.8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1.7-84.0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9,379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55-59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7,813</w:t>
            </w:r>
          </w:p>
        </w:tc>
        <w:tc>
          <w:tcPr>
            <w:tcW w:w="32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12.8</w:t>
            </w:r>
          </w:p>
        </w:tc>
        <w:tc>
          <w:tcPr>
            <w:tcW w:w="43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1.8-90.9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4,807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7,810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12.8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1.8-90.9</w:t>
            </w:r>
          </w:p>
        </w:tc>
      </w:tr>
      <w:tr w:rsidR="0042075C" w:rsidRPr="00B4279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60-64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7,336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13.6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1.9-96.8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5,509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7,295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</w:tcBorders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42075C" w:rsidRPr="00B42793" w:rsidTr="006B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auto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18-34</w:t>
            </w:r>
          </w:p>
        </w:tc>
        <w:tc>
          <w:tcPr>
            <w:tcW w:w="43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33</w:t>
            </w:r>
          </w:p>
        </w:tc>
        <w:tc>
          <w:tcPr>
            <w:tcW w:w="381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77,135</w:t>
            </w:r>
          </w:p>
        </w:tc>
        <w:tc>
          <w:tcPr>
            <w:tcW w:w="32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42.8</w:t>
            </w:r>
          </w:p>
        </w:tc>
        <w:tc>
          <w:tcPr>
            <w:tcW w:w="439" w:type="pct"/>
            <w:shd w:val="clear" w:color="auto" w:fill="auto"/>
          </w:tcPr>
          <w:p w:rsidR="0042075C" w:rsidRPr="001F561A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30.4-60.2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37</w:t>
            </w:r>
          </w:p>
        </w:tc>
        <w:tc>
          <w:tcPr>
            <w:tcW w:w="379" w:type="pct"/>
            <w:shd w:val="clear" w:color="auto" w:fill="auto"/>
          </w:tcPr>
          <w:p w:rsidR="0042075C" w:rsidRPr="00B42793" w:rsidRDefault="0042075C" w:rsidP="006B42F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78,251</w:t>
            </w:r>
          </w:p>
        </w:tc>
        <w:tc>
          <w:tcPr>
            <w:tcW w:w="35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47.3</w:t>
            </w:r>
          </w:p>
        </w:tc>
        <w:tc>
          <w:tcPr>
            <w:tcW w:w="404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34.3-65.3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26</w:t>
            </w:r>
          </w:p>
        </w:tc>
        <w:tc>
          <w:tcPr>
            <w:tcW w:w="37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43,637</w:t>
            </w:r>
          </w:p>
        </w:tc>
        <w:tc>
          <w:tcPr>
            <w:tcW w:w="339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59.6</w:t>
            </w:r>
          </w:p>
        </w:tc>
        <w:tc>
          <w:tcPr>
            <w:tcW w:w="411" w:type="pct"/>
            <w:shd w:val="clear" w:color="auto" w:fill="auto"/>
          </w:tcPr>
          <w:p w:rsidR="0042075C" w:rsidRDefault="0042075C" w:rsidP="006B4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40.6-87.5</w:t>
            </w:r>
          </w:p>
        </w:tc>
      </w:tr>
      <w:tr w:rsidR="0042075C" w:rsidRPr="00B42793" w:rsidTr="006B4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:rsidR="0042075C" w:rsidRPr="00B15BDB" w:rsidRDefault="0042075C" w:rsidP="006B42F4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  <w:t>35-64</w:t>
            </w:r>
          </w:p>
        </w:tc>
        <w:tc>
          <w:tcPr>
            <w:tcW w:w="439" w:type="pct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31</w:t>
            </w:r>
          </w:p>
        </w:tc>
        <w:tc>
          <w:tcPr>
            <w:tcW w:w="381" w:type="pct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71,826</w:t>
            </w:r>
          </w:p>
        </w:tc>
        <w:tc>
          <w:tcPr>
            <w:tcW w:w="329" w:type="pct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43.2</w:t>
            </w:r>
          </w:p>
        </w:tc>
        <w:tc>
          <w:tcPr>
            <w:tcW w:w="439" w:type="pct"/>
          </w:tcPr>
          <w:p w:rsidR="0042075C" w:rsidRPr="001F561A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30.4-61.4</w:t>
            </w:r>
          </w:p>
        </w:tc>
        <w:tc>
          <w:tcPr>
            <w:tcW w:w="379" w:type="pct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11</w:t>
            </w:r>
          </w:p>
        </w:tc>
        <w:tc>
          <w:tcPr>
            <w:tcW w:w="379" w:type="pct"/>
          </w:tcPr>
          <w:p w:rsidR="0042075C" w:rsidRPr="00B42793" w:rsidRDefault="0042075C" w:rsidP="006B42F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56,989</w:t>
            </w:r>
          </w:p>
        </w:tc>
        <w:tc>
          <w:tcPr>
            <w:tcW w:w="354" w:type="pct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19.3</w:t>
            </w:r>
          </w:p>
        </w:tc>
        <w:tc>
          <w:tcPr>
            <w:tcW w:w="404" w:type="pct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10.7-35.9</w:t>
            </w:r>
          </w:p>
        </w:tc>
        <w:tc>
          <w:tcPr>
            <w:tcW w:w="379" w:type="pct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379" w:type="pct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54,623</w:t>
            </w:r>
          </w:p>
        </w:tc>
        <w:tc>
          <w:tcPr>
            <w:tcW w:w="339" w:type="pct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16.5</w:t>
            </w:r>
          </w:p>
        </w:tc>
        <w:tc>
          <w:tcPr>
            <w:tcW w:w="411" w:type="pct"/>
          </w:tcPr>
          <w:p w:rsidR="0042075C" w:rsidRDefault="0042075C" w:rsidP="006B4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8.6-31.8</w:t>
            </w:r>
          </w:p>
        </w:tc>
      </w:tr>
    </w:tbl>
    <w:p w:rsidR="0042075C" w:rsidRDefault="0042075C" w:rsidP="0042075C">
      <w:pPr>
        <w:spacing w:after="120"/>
        <w:jc w:val="both"/>
        <w:rPr>
          <w:sz w:val="20"/>
          <w:szCs w:val="20"/>
        </w:rPr>
      </w:pPr>
    </w:p>
    <w:p w:rsidR="00C3243F" w:rsidRDefault="00C3243F">
      <w:pPr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br w:type="page"/>
      </w:r>
    </w:p>
    <w:p w:rsidR="00C3243F" w:rsidRDefault="00C3243F" w:rsidP="005064B0">
      <w:pPr>
        <w:spacing w:after="120"/>
        <w:jc w:val="both"/>
        <w:rPr>
          <w:b/>
          <w:sz w:val="32"/>
          <w:vertAlign w:val="superscript"/>
        </w:rPr>
        <w:sectPr w:rsidR="00C3243F" w:rsidSect="00C3243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2075C" w:rsidRDefault="0042075C" w:rsidP="0042075C">
      <w:pPr>
        <w:jc w:val="both"/>
      </w:pPr>
      <w:r>
        <w:rPr>
          <w:b/>
        </w:rPr>
        <w:lastRenderedPageBreak/>
        <w:t xml:space="preserve">Supplementary Figure </w:t>
      </w:r>
      <w:r w:rsidR="00D47238">
        <w:rPr>
          <w:b/>
        </w:rPr>
        <w:t>S</w:t>
      </w:r>
      <w:r>
        <w:rPr>
          <w:b/>
        </w:rPr>
        <w:t>2</w:t>
      </w:r>
      <w:r w:rsidRPr="00960A5A">
        <w:rPr>
          <w:b/>
        </w:rPr>
        <w:t>.</w:t>
      </w:r>
      <w:r>
        <w:t xml:space="preserve"> Age (at onset) specific </w:t>
      </w:r>
      <w:r w:rsidR="00C317B0">
        <w:t xml:space="preserve">unstandardised </w:t>
      </w:r>
      <w:r>
        <w:t>rates of psychosis.</w:t>
      </w:r>
    </w:p>
    <w:p w:rsidR="0042075C" w:rsidRDefault="0042075C" w:rsidP="0042075C">
      <w:pPr>
        <w:jc w:val="both"/>
      </w:pPr>
      <w:r>
        <w:t>a) Chengalpet</w:t>
      </w:r>
    </w:p>
    <w:p w:rsidR="0042075C" w:rsidRDefault="0042075C" w:rsidP="0042075C">
      <w:pPr>
        <w:jc w:val="both"/>
      </w:pPr>
      <w:r>
        <w:rPr>
          <w:noProof/>
        </w:rPr>
        <w:drawing>
          <wp:inline distT="0" distB="0" distL="0" distR="0" wp14:anchorId="37FA7572" wp14:editId="1E7857C1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075C" w:rsidRDefault="0042075C" w:rsidP="0042075C">
      <w:pPr>
        <w:jc w:val="both"/>
      </w:pPr>
      <w:r>
        <w:t>b) Ibadan</w:t>
      </w:r>
    </w:p>
    <w:p w:rsidR="0042075C" w:rsidRDefault="0042075C" w:rsidP="0042075C">
      <w:pPr>
        <w:jc w:val="both"/>
      </w:pPr>
      <w:r>
        <w:rPr>
          <w:noProof/>
        </w:rPr>
        <w:drawing>
          <wp:inline distT="0" distB="0" distL="0" distR="0" wp14:anchorId="09CB4994" wp14:editId="56D26AA9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075C" w:rsidRDefault="0042075C" w:rsidP="0042075C">
      <w:pPr>
        <w:jc w:val="both"/>
      </w:pPr>
      <w:r>
        <w:t>c) Tunapuna</w:t>
      </w:r>
      <w:r w:rsidR="00F313E3">
        <w:t>-Piarco</w:t>
      </w:r>
    </w:p>
    <w:p w:rsidR="0042075C" w:rsidRDefault="0042075C" w:rsidP="0042075C">
      <w:pPr>
        <w:jc w:val="both"/>
      </w:pPr>
      <w:r>
        <w:rPr>
          <w:noProof/>
        </w:rPr>
        <w:lastRenderedPageBreak/>
        <w:drawing>
          <wp:inline distT="0" distB="0" distL="0" distR="0" wp14:anchorId="6152C290" wp14:editId="3EFF011A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075C" w:rsidRDefault="0042075C" w:rsidP="0042075C">
      <w:pPr>
        <w:jc w:val="both"/>
      </w:pPr>
    </w:p>
    <w:p w:rsidR="0042075C" w:rsidRDefault="0042075C">
      <w:pPr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br w:type="page"/>
      </w:r>
    </w:p>
    <w:p w:rsidR="005064B0" w:rsidRPr="00C317B0" w:rsidRDefault="009513DE" w:rsidP="00C317B0">
      <w:pPr>
        <w:jc w:val="both"/>
      </w:pPr>
      <w:r w:rsidRPr="00C317B0">
        <w:rPr>
          <w:b/>
        </w:rPr>
        <w:lastRenderedPageBreak/>
        <w:t xml:space="preserve">Supplementary Table </w:t>
      </w:r>
      <w:r w:rsidR="00D47238">
        <w:rPr>
          <w:b/>
        </w:rPr>
        <w:t>S</w:t>
      </w:r>
      <w:bookmarkStart w:id="0" w:name="_GoBack"/>
      <w:bookmarkEnd w:id="0"/>
      <w:r w:rsidR="00FB605F">
        <w:rPr>
          <w:b/>
        </w:rPr>
        <w:t>7</w:t>
      </w:r>
      <w:r w:rsidR="005064B0" w:rsidRPr="00C317B0">
        <w:rPr>
          <w:b/>
        </w:rPr>
        <w:t>.</w:t>
      </w:r>
      <w:r w:rsidR="005064B0" w:rsidRPr="00C317B0">
        <w:t xml:space="preserve"> </w:t>
      </w:r>
      <w:r w:rsidR="00C317B0">
        <w:t>Unstandardised</w:t>
      </w:r>
      <w:r w:rsidR="00C317B0" w:rsidRPr="00C317B0">
        <w:t xml:space="preserve"> r</w:t>
      </w:r>
      <w:r w:rsidR="005064B0" w:rsidRPr="00C317B0">
        <w:t>ates of psychosis, including leakage cases.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2093"/>
        <w:gridCol w:w="1788"/>
        <w:gridCol w:w="1787"/>
        <w:gridCol w:w="1787"/>
        <w:gridCol w:w="1787"/>
      </w:tblGrid>
      <w:tr w:rsidR="005064B0" w:rsidRPr="00B42793" w:rsidTr="00C93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Cases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Person years at risk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Unstandardised rate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2793">
              <w:rPr>
                <w:sz w:val="20"/>
                <w:szCs w:val="20"/>
              </w:rPr>
              <w:t>95% CI</w:t>
            </w:r>
          </w:p>
        </w:tc>
      </w:tr>
      <w:tr w:rsidR="005064B0" w:rsidTr="00C9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psychoses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967" w:type="pct"/>
            <w:shd w:val="clear" w:color="auto" w:fill="auto"/>
          </w:tcPr>
          <w:p w:rsidR="005064B0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  <w:tc>
          <w:tcPr>
            <w:tcW w:w="967" w:type="pct"/>
            <w:shd w:val="clear" w:color="auto" w:fill="auto"/>
          </w:tcPr>
          <w:p w:rsidR="005064B0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</w:tc>
      </w:tr>
      <w:tr w:rsidR="005064B0" w:rsidRPr="00B42793" w:rsidTr="00C9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shd w:val="clear" w:color="auto" w:fill="auto"/>
          </w:tcPr>
          <w:p w:rsidR="005064B0" w:rsidRPr="00B15BDB" w:rsidRDefault="005064B0" w:rsidP="00C93FFF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B15BDB">
              <w:rPr>
                <w:b w:val="0"/>
                <w:sz w:val="20"/>
                <w:szCs w:val="20"/>
              </w:rPr>
              <w:t>Chengalpet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73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148,961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42793">
              <w:rPr>
                <w:sz w:val="20"/>
                <w:szCs w:val="20"/>
                <w:lang w:val="sv-SE"/>
              </w:rPr>
              <w:t>4</w:t>
            </w:r>
            <w:r>
              <w:rPr>
                <w:sz w:val="20"/>
                <w:szCs w:val="20"/>
                <w:lang w:val="sv-SE"/>
              </w:rPr>
              <w:t>9.0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(40.0-61.6</w:t>
            </w:r>
            <w:r w:rsidRPr="00B42793">
              <w:rPr>
                <w:sz w:val="20"/>
                <w:szCs w:val="20"/>
                <w:lang w:val="sv-SE"/>
              </w:rPr>
              <w:t>)</w:t>
            </w:r>
          </w:p>
        </w:tc>
      </w:tr>
      <w:tr w:rsidR="005064B0" w:rsidRPr="001F561A" w:rsidTr="00C9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shd w:val="clear" w:color="auto" w:fill="auto"/>
          </w:tcPr>
          <w:p w:rsidR="005064B0" w:rsidRPr="00B15BDB" w:rsidRDefault="005064B0" w:rsidP="00C93FFF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B15BDB">
              <w:rPr>
                <w:b w:val="0"/>
                <w:sz w:val="20"/>
                <w:szCs w:val="20"/>
              </w:rPr>
              <w:t>Ibadan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52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135,240</w:t>
            </w:r>
          </w:p>
        </w:tc>
        <w:tc>
          <w:tcPr>
            <w:tcW w:w="967" w:type="pct"/>
            <w:shd w:val="clear" w:color="auto" w:fill="auto"/>
          </w:tcPr>
          <w:p w:rsidR="005064B0" w:rsidRPr="001F561A" w:rsidRDefault="005064B0" w:rsidP="00C93FFF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38.5</w:t>
            </w:r>
          </w:p>
        </w:tc>
        <w:tc>
          <w:tcPr>
            <w:tcW w:w="967" w:type="pct"/>
            <w:shd w:val="clear" w:color="auto" w:fill="auto"/>
          </w:tcPr>
          <w:p w:rsidR="005064B0" w:rsidRPr="001F561A" w:rsidRDefault="005064B0" w:rsidP="00C93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(29.3-50.5)</w:t>
            </w:r>
          </w:p>
        </w:tc>
      </w:tr>
      <w:tr w:rsidR="005064B0" w:rsidRPr="001F561A" w:rsidTr="00C93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shd w:val="clear" w:color="auto" w:fill="auto"/>
          </w:tcPr>
          <w:p w:rsidR="005064B0" w:rsidRPr="00B15BDB" w:rsidRDefault="005064B0" w:rsidP="00C93FFF">
            <w:pPr>
              <w:tabs>
                <w:tab w:val="left" w:pos="284"/>
              </w:tabs>
              <w:spacing w:after="20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B15BDB">
              <w:rPr>
                <w:b w:val="0"/>
                <w:sz w:val="20"/>
                <w:szCs w:val="20"/>
              </w:rPr>
              <w:t>Tunapuna-Piarco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</w:t>
            </w:r>
          </w:p>
        </w:tc>
        <w:tc>
          <w:tcPr>
            <w:tcW w:w="967" w:type="pct"/>
            <w:shd w:val="clear" w:color="auto" w:fill="auto"/>
          </w:tcPr>
          <w:p w:rsidR="005064B0" w:rsidRPr="00B42793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B42793">
              <w:rPr>
                <w:sz w:val="20"/>
                <w:szCs w:val="20"/>
                <w:lang w:val="sv-SE"/>
              </w:rPr>
              <w:t>98,</w:t>
            </w:r>
            <w:r>
              <w:rPr>
                <w:sz w:val="20"/>
                <w:szCs w:val="20"/>
                <w:lang w:val="sv-SE"/>
              </w:rPr>
              <w:t>260</w:t>
            </w:r>
          </w:p>
        </w:tc>
        <w:tc>
          <w:tcPr>
            <w:tcW w:w="967" w:type="pct"/>
            <w:shd w:val="clear" w:color="auto" w:fill="auto"/>
          </w:tcPr>
          <w:p w:rsidR="005064B0" w:rsidRPr="001F561A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43.8</w:t>
            </w:r>
          </w:p>
        </w:tc>
        <w:tc>
          <w:tcPr>
            <w:tcW w:w="967" w:type="pct"/>
            <w:shd w:val="clear" w:color="auto" w:fill="auto"/>
          </w:tcPr>
          <w:p w:rsidR="005064B0" w:rsidRPr="001F561A" w:rsidRDefault="005064B0" w:rsidP="00C93FF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sv-SE"/>
              </w:rPr>
            </w:pPr>
            <w:r>
              <w:rPr>
                <w:color w:val="auto"/>
                <w:sz w:val="20"/>
                <w:szCs w:val="20"/>
                <w:lang w:val="sv-SE"/>
              </w:rPr>
              <w:t>(32.5-59.0)</w:t>
            </w:r>
          </w:p>
        </w:tc>
      </w:tr>
    </w:tbl>
    <w:p w:rsidR="004F53DE" w:rsidRDefault="004F53DE" w:rsidP="0077379E">
      <w:pPr>
        <w:jc w:val="both"/>
        <w:rPr>
          <w:sz w:val="20"/>
          <w:szCs w:val="20"/>
        </w:rPr>
      </w:pPr>
    </w:p>
    <w:sectPr w:rsidR="004F53DE" w:rsidSect="007737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93" w:rsidRDefault="00595193" w:rsidP="00DB0192">
      <w:pPr>
        <w:spacing w:after="0" w:line="240" w:lineRule="auto"/>
      </w:pPr>
      <w:r>
        <w:separator/>
      </w:r>
    </w:p>
  </w:endnote>
  <w:endnote w:type="continuationSeparator" w:id="0">
    <w:p w:rsidR="00595193" w:rsidRDefault="00595193" w:rsidP="00D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5901"/>
      <w:docPartObj>
        <w:docPartGallery w:val="Page Numbers (Bottom of Page)"/>
        <w:docPartUnique/>
      </w:docPartObj>
    </w:sdtPr>
    <w:sdtEndPr/>
    <w:sdtContent>
      <w:p w:rsidR="00F313E3" w:rsidRDefault="00F31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13E3" w:rsidRDefault="00F31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954849"/>
      <w:docPartObj>
        <w:docPartGallery w:val="Page Numbers (Bottom of Page)"/>
        <w:docPartUnique/>
      </w:docPartObj>
    </w:sdtPr>
    <w:sdtEndPr/>
    <w:sdtContent>
      <w:p w:rsidR="00F313E3" w:rsidRDefault="00F31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13E3" w:rsidRDefault="00F31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437576"/>
      <w:docPartObj>
        <w:docPartGallery w:val="Page Numbers (Bottom of Page)"/>
        <w:docPartUnique/>
      </w:docPartObj>
    </w:sdtPr>
    <w:sdtEndPr/>
    <w:sdtContent>
      <w:p w:rsidR="00F313E3" w:rsidRDefault="00F31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3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313E3" w:rsidRDefault="00F31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93" w:rsidRDefault="00595193" w:rsidP="00DB0192">
      <w:pPr>
        <w:spacing w:after="0" w:line="240" w:lineRule="auto"/>
      </w:pPr>
      <w:r>
        <w:separator/>
      </w:r>
    </w:p>
  </w:footnote>
  <w:footnote w:type="continuationSeparator" w:id="0">
    <w:p w:rsidR="00595193" w:rsidRDefault="00595193" w:rsidP="00DB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DE9"/>
    <w:multiLevelType w:val="hybridMultilevel"/>
    <w:tmpl w:val="4FB65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380C"/>
    <w:multiLevelType w:val="hybridMultilevel"/>
    <w:tmpl w:val="5234E90E"/>
    <w:lvl w:ilvl="0" w:tplc="F356DAC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1E68"/>
    <w:multiLevelType w:val="hybridMultilevel"/>
    <w:tmpl w:val="E8604D12"/>
    <w:lvl w:ilvl="0" w:tplc="A6E40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E7125"/>
    <w:multiLevelType w:val="hybridMultilevel"/>
    <w:tmpl w:val="D8246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012E8"/>
    <w:multiLevelType w:val="hybridMultilevel"/>
    <w:tmpl w:val="712ABD58"/>
    <w:lvl w:ilvl="0" w:tplc="37842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92var2wb9xdaqerez5v92vgr0vxexdpr2v5&quot;&gt;Mapping paper bib&lt;record-ids&gt;&lt;item&gt;2&lt;/item&gt;&lt;item&gt;16&lt;/item&gt;&lt;item&gt;19&lt;/item&gt;&lt;item&gt;92&lt;/item&gt;&lt;item&gt;126&lt;/item&gt;&lt;/record-ids&gt;&lt;/item&gt;&lt;/Libraries&gt;"/>
  </w:docVars>
  <w:rsids>
    <w:rsidRoot w:val="00064A2E"/>
    <w:rsid w:val="00000560"/>
    <w:rsid w:val="00011D08"/>
    <w:rsid w:val="0002141C"/>
    <w:rsid w:val="00064A2E"/>
    <w:rsid w:val="00085163"/>
    <w:rsid w:val="00091B20"/>
    <w:rsid w:val="000A5B4E"/>
    <w:rsid w:val="000B48D5"/>
    <w:rsid w:val="000C1525"/>
    <w:rsid w:val="000C5E68"/>
    <w:rsid w:val="000E18A3"/>
    <w:rsid w:val="001056C5"/>
    <w:rsid w:val="00117088"/>
    <w:rsid w:val="001174AB"/>
    <w:rsid w:val="00131F6B"/>
    <w:rsid w:val="00147321"/>
    <w:rsid w:val="00154B41"/>
    <w:rsid w:val="00156AED"/>
    <w:rsid w:val="00173596"/>
    <w:rsid w:val="00174EB7"/>
    <w:rsid w:val="00176D65"/>
    <w:rsid w:val="001801DC"/>
    <w:rsid w:val="001828C2"/>
    <w:rsid w:val="00192819"/>
    <w:rsid w:val="001968CF"/>
    <w:rsid w:val="001C77EC"/>
    <w:rsid w:val="001E350B"/>
    <w:rsid w:val="001E3713"/>
    <w:rsid w:val="001E41F9"/>
    <w:rsid w:val="001F2C12"/>
    <w:rsid w:val="001F4A87"/>
    <w:rsid w:val="001F561A"/>
    <w:rsid w:val="00200729"/>
    <w:rsid w:val="00230C01"/>
    <w:rsid w:val="00243CF1"/>
    <w:rsid w:val="00246600"/>
    <w:rsid w:val="00250EA2"/>
    <w:rsid w:val="002511AD"/>
    <w:rsid w:val="002971C1"/>
    <w:rsid w:val="002A7DE3"/>
    <w:rsid w:val="002B5DB7"/>
    <w:rsid w:val="002B6F8E"/>
    <w:rsid w:val="002D16D3"/>
    <w:rsid w:val="002D2EC7"/>
    <w:rsid w:val="002F6CF0"/>
    <w:rsid w:val="0030565F"/>
    <w:rsid w:val="0030602E"/>
    <w:rsid w:val="003151A5"/>
    <w:rsid w:val="00363FA9"/>
    <w:rsid w:val="00396BF5"/>
    <w:rsid w:val="003A3E8D"/>
    <w:rsid w:val="003C30B6"/>
    <w:rsid w:val="003E55C5"/>
    <w:rsid w:val="0040353B"/>
    <w:rsid w:val="0042075C"/>
    <w:rsid w:val="00422F22"/>
    <w:rsid w:val="00440580"/>
    <w:rsid w:val="0044185B"/>
    <w:rsid w:val="004463C4"/>
    <w:rsid w:val="00485B27"/>
    <w:rsid w:val="004A0B23"/>
    <w:rsid w:val="004A4368"/>
    <w:rsid w:val="004B2976"/>
    <w:rsid w:val="004E1E43"/>
    <w:rsid w:val="004E3672"/>
    <w:rsid w:val="004F53DE"/>
    <w:rsid w:val="005004BE"/>
    <w:rsid w:val="00502A0F"/>
    <w:rsid w:val="005064B0"/>
    <w:rsid w:val="00507083"/>
    <w:rsid w:val="00510A46"/>
    <w:rsid w:val="00531F6C"/>
    <w:rsid w:val="00534914"/>
    <w:rsid w:val="00542DE6"/>
    <w:rsid w:val="00595193"/>
    <w:rsid w:val="005B7726"/>
    <w:rsid w:val="005C3895"/>
    <w:rsid w:val="005C7ABF"/>
    <w:rsid w:val="005D7CE1"/>
    <w:rsid w:val="005E76D6"/>
    <w:rsid w:val="00622F0B"/>
    <w:rsid w:val="00631479"/>
    <w:rsid w:val="00633432"/>
    <w:rsid w:val="006736FA"/>
    <w:rsid w:val="00682C01"/>
    <w:rsid w:val="006B42F4"/>
    <w:rsid w:val="006E08FB"/>
    <w:rsid w:val="006E7868"/>
    <w:rsid w:val="00701EC8"/>
    <w:rsid w:val="0074470B"/>
    <w:rsid w:val="00747322"/>
    <w:rsid w:val="00751FDF"/>
    <w:rsid w:val="007659C4"/>
    <w:rsid w:val="0077379E"/>
    <w:rsid w:val="00794626"/>
    <w:rsid w:val="007A2D43"/>
    <w:rsid w:val="007A47ED"/>
    <w:rsid w:val="007B1572"/>
    <w:rsid w:val="007D1673"/>
    <w:rsid w:val="007D25F5"/>
    <w:rsid w:val="007E1366"/>
    <w:rsid w:val="00806955"/>
    <w:rsid w:val="00814C61"/>
    <w:rsid w:val="0081597B"/>
    <w:rsid w:val="00834097"/>
    <w:rsid w:val="00836EE5"/>
    <w:rsid w:val="008B6824"/>
    <w:rsid w:val="008C041C"/>
    <w:rsid w:val="008C7133"/>
    <w:rsid w:val="008D36C2"/>
    <w:rsid w:val="008D79E0"/>
    <w:rsid w:val="008E5DB4"/>
    <w:rsid w:val="008F432A"/>
    <w:rsid w:val="009513DE"/>
    <w:rsid w:val="00960A5A"/>
    <w:rsid w:val="00970471"/>
    <w:rsid w:val="00986CB6"/>
    <w:rsid w:val="00993ECA"/>
    <w:rsid w:val="009B22B5"/>
    <w:rsid w:val="009C1F53"/>
    <w:rsid w:val="009E7FF0"/>
    <w:rsid w:val="009F4B8A"/>
    <w:rsid w:val="009F6B91"/>
    <w:rsid w:val="00A06329"/>
    <w:rsid w:val="00A132B9"/>
    <w:rsid w:val="00A53E7C"/>
    <w:rsid w:val="00A8169C"/>
    <w:rsid w:val="00A92C9B"/>
    <w:rsid w:val="00A95C57"/>
    <w:rsid w:val="00A97ED4"/>
    <w:rsid w:val="00AA1DDA"/>
    <w:rsid w:val="00AD061B"/>
    <w:rsid w:val="00AE25EF"/>
    <w:rsid w:val="00AF435A"/>
    <w:rsid w:val="00B012CF"/>
    <w:rsid w:val="00B1149B"/>
    <w:rsid w:val="00B15BDB"/>
    <w:rsid w:val="00B3185F"/>
    <w:rsid w:val="00B42793"/>
    <w:rsid w:val="00B50CD1"/>
    <w:rsid w:val="00B52EFE"/>
    <w:rsid w:val="00B56D2F"/>
    <w:rsid w:val="00B72130"/>
    <w:rsid w:val="00B86866"/>
    <w:rsid w:val="00B87AC5"/>
    <w:rsid w:val="00B93D3D"/>
    <w:rsid w:val="00BA1A7D"/>
    <w:rsid w:val="00BA41CE"/>
    <w:rsid w:val="00BB741B"/>
    <w:rsid w:val="00C24142"/>
    <w:rsid w:val="00C317B0"/>
    <w:rsid w:val="00C3243F"/>
    <w:rsid w:val="00C47E1C"/>
    <w:rsid w:val="00C5402F"/>
    <w:rsid w:val="00C55F1E"/>
    <w:rsid w:val="00C638E4"/>
    <w:rsid w:val="00C67AB3"/>
    <w:rsid w:val="00C7055D"/>
    <w:rsid w:val="00C709D7"/>
    <w:rsid w:val="00C806A3"/>
    <w:rsid w:val="00C853BC"/>
    <w:rsid w:val="00C87CE6"/>
    <w:rsid w:val="00C93FFF"/>
    <w:rsid w:val="00C95FE1"/>
    <w:rsid w:val="00CA08A5"/>
    <w:rsid w:val="00CA4603"/>
    <w:rsid w:val="00CD03E2"/>
    <w:rsid w:val="00CE2EA5"/>
    <w:rsid w:val="00CF3151"/>
    <w:rsid w:val="00CF4723"/>
    <w:rsid w:val="00CF4FCB"/>
    <w:rsid w:val="00CF762E"/>
    <w:rsid w:val="00CF79CF"/>
    <w:rsid w:val="00D06831"/>
    <w:rsid w:val="00D130E9"/>
    <w:rsid w:val="00D17C71"/>
    <w:rsid w:val="00D20073"/>
    <w:rsid w:val="00D47238"/>
    <w:rsid w:val="00D52376"/>
    <w:rsid w:val="00D86DF4"/>
    <w:rsid w:val="00D910D0"/>
    <w:rsid w:val="00D91D23"/>
    <w:rsid w:val="00DA3D42"/>
    <w:rsid w:val="00DB0192"/>
    <w:rsid w:val="00DB0781"/>
    <w:rsid w:val="00DC7D5A"/>
    <w:rsid w:val="00DD4281"/>
    <w:rsid w:val="00E0472F"/>
    <w:rsid w:val="00E04D66"/>
    <w:rsid w:val="00E1564B"/>
    <w:rsid w:val="00E3534E"/>
    <w:rsid w:val="00E36C9D"/>
    <w:rsid w:val="00E4439F"/>
    <w:rsid w:val="00E576AA"/>
    <w:rsid w:val="00E610B6"/>
    <w:rsid w:val="00E70FCA"/>
    <w:rsid w:val="00E82A72"/>
    <w:rsid w:val="00EC013C"/>
    <w:rsid w:val="00EC0E8F"/>
    <w:rsid w:val="00EC2874"/>
    <w:rsid w:val="00EC299F"/>
    <w:rsid w:val="00EC6837"/>
    <w:rsid w:val="00ED528E"/>
    <w:rsid w:val="00ED5C73"/>
    <w:rsid w:val="00EF164C"/>
    <w:rsid w:val="00F106BA"/>
    <w:rsid w:val="00F1282C"/>
    <w:rsid w:val="00F313E3"/>
    <w:rsid w:val="00F33108"/>
    <w:rsid w:val="00F35E60"/>
    <w:rsid w:val="00F55191"/>
    <w:rsid w:val="00F61EB4"/>
    <w:rsid w:val="00F83F9A"/>
    <w:rsid w:val="00F94182"/>
    <w:rsid w:val="00F96396"/>
    <w:rsid w:val="00FA6714"/>
    <w:rsid w:val="00FB605F"/>
    <w:rsid w:val="00FD0E50"/>
    <w:rsid w:val="00FE161A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E55E1-8268-4B63-8CBB-EC56C2D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353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B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192"/>
  </w:style>
  <w:style w:type="paragraph" w:styleId="Footer">
    <w:name w:val="footer"/>
    <w:basedOn w:val="Normal"/>
    <w:link w:val="FooterChar"/>
    <w:uiPriority w:val="99"/>
    <w:unhideWhenUsed/>
    <w:rsid w:val="00DB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92"/>
  </w:style>
  <w:style w:type="paragraph" w:styleId="NoSpacing">
    <w:name w:val="No Spacing"/>
    <w:qFormat/>
    <w:rsid w:val="00CF4F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B41"/>
    <w:pPr>
      <w:ind w:left="720"/>
      <w:contextualSpacing/>
    </w:pPr>
  </w:style>
  <w:style w:type="paragraph" w:customStyle="1" w:styleId="Body1">
    <w:name w:val="Body 1"/>
    <w:rsid w:val="00154B4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4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63147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NY.GDP.MKTP.KD.ZG" TargetMode="Externa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a.un.org/unpd/wup/CD-ROM/Urban-Rural-Population.htm" TargetMode="Externa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sus.tn.nic.in/census2011data/PPT_taluk_data_final.pdf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https://www.cia.gov/library/publications/the-world-factbook/fields/2103.html" TargetMode="External"/><Relationship Id="rId19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hyperlink" Target="http://resourcedat.com/wp-content/uploads/2012/04/National-Literacy-Survey-2010.pdf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aig\Documents\04-07-2014\(01)%2010-05-2012\00%20-%20IoP\(02)%20Papers\Papers%20(1)%20In%20Progress\INTREPID%20-%20Pilot%20case%20finding\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aig\Documents\04-07-2014\(01)%2010-05-2012\00%20-%20IoP\(02)%20Papers\Papers%20(1)%20In%20Progress\INTREPID%20-%20Pilot%20case%20finding\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aig\Documents\04-07-2014\(01)%2010-05-2012\00%20-%20IoP\(02)%20Papers\Papers%20(1)%20In%20Progress\INTREPID%20-%20Pilot%20case%20finding\Figu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aig\Documents\04-07-2014\(01)%2010-05-2012\00%20-%20IoP\(02)%20Papers\Papers%20(1)%20In%20Progress\INTREPID%20-%20Pilot%20case%20finding\Figur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aig\Documents\04-07-2014\(01)%2010-05-2012\00%20-%20IoP\(02)%20Papers\Papers%20(1)%20In%20Progress\INTREPID%20-%20Pilot%20case%20finding\Figur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raig\Documents\04-07-2014\(01)%2010-05-2012\00%20-%20IoP\(02)%20Papers\Papers%20(1)%20In%20Progress\INTREPID%20-%20Pilot%20case%20finding\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chengalpet</c:v>
                </c:pt>
              </c:strCache>
            </c:strRef>
          </c:tx>
          <c:spPr>
            <a:ln w="19050">
              <a:solidFill>
                <a:schemeClr val="tx1"/>
              </a:solidFill>
              <a:prstDash val="lgDashDotDot"/>
            </a:ln>
          </c:spPr>
          <c:marker>
            <c:symbol val="none"/>
          </c:marker>
          <c:cat>
            <c:strRef>
              <c:f>Sheet2!$A$2:$A$11</c:f>
              <c:strCache>
                <c:ptCount val="10"/>
                <c:pt idx="0">
                  <c:v>18-19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Sheet2!$B$2:$B$11</c:f>
              <c:numCache>
                <c:formatCode>General</c:formatCode>
                <c:ptCount val="10"/>
                <c:pt idx="0">
                  <c:v>18.3</c:v>
                </c:pt>
                <c:pt idx="1">
                  <c:v>12.4</c:v>
                </c:pt>
                <c:pt idx="2">
                  <c:v>29.9</c:v>
                </c:pt>
                <c:pt idx="3">
                  <c:v>37.700000000000003</c:v>
                </c:pt>
                <c:pt idx="4">
                  <c:v>52.8</c:v>
                </c:pt>
                <c:pt idx="5">
                  <c:v>77.099999999999994</c:v>
                </c:pt>
                <c:pt idx="6">
                  <c:v>75.8</c:v>
                </c:pt>
                <c:pt idx="7">
                  <c:v>68.099999999999994</c:v>
                </c:pt>
                <c:pt idx="8">
                  <c:v>64</c:v>
                </c:pt>
                <c:pt idx="9">
                  <c:v>27.3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808024"/>
        <c:axId val="279808416"/>
      </c:lineChart>
      <c:catAx>
        <c:axId val="279808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 group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79808416"/>
        <c:crosses val="autoZero"/>
        <c:auto val="1"/>
        <c:lblAlgn val="ctr"/>
        <c:lblOffset val="100"/>
        <c:noMultiLvlLbl val="0"/>
      </c:catAx>
      <c:valAx>
        <c:axId val="279808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980802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Sheet2!$B$14</c:f>
              <c:strCache>
                <c:ptCount val="1"/>
                <c:pt idx="0">
                  <c:v>ibadan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Sheet2!$A$15:$A$24</c:f>
              <c:strCache>
                <c:ptCount val="10"/>
                <c:pt idx="0">
                  <c:v>18-19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Sheet2!$B$15:$B$24</c:f>
              <c:numCache>
                <c:formatCode>General</c:formatCode>
                <c:ptCount val="10"/>
                <c:pt idx="0">
                  <c:v>29.2</c:v>
                </c:pt>
                <c:pt idx="1">
                  <c:v>16.8</c:v>
                </c:pt>
                <c:pt idx="2">
                  <c:v>45.3</c:v>
                </c:pt>
                <c:pt idx="3">
                  <c:v>80.7</c:v>
                </c:pt>
                <c:pt idx="4">
                  <c:v>57.7</c:v>
                </c:pt>
                <c:pt idx="5">
                  <c:v>15.6</c:v>
                </c:pt>
                <c:pt idx="6">
                  <c:v>10.199999999999999</c:v>
                </c:pt>
                <c:pt idx="7">
                  <c:v>23.7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720576"/>
        <c:axId val="279809200"/>
      </c:lineChart>
      <c:catAx>
        <c:axId val="171720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 group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79809200"/>
        <c:crosses val="autoZero"/>
        <c:auto val="1"/>
        <c:lblAlgn val="ctr"/>
        <c:lblOffset val="100"/>
        <c:noMultiLvlLbl val="0"/>
      </c:catAx>
      <c:valAx>
        <c:axId val="2798092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172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Sheet2!$B$26</c:f>
              <c:strCache>
                <c:ptCount val="1"/>
                <c:pt idx="0">
                  <c:v>tunapuna-piarco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Sheet2!$A$27:$A$36</c:f>
              <c:strCache>
                <c:ptCount val="10"/>
                <c:pt idx="0">
                  <c:v>18-19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Sheet2!$B$27:$B$36</c:f>
              <c:numCache>
                <c:formatCode>General</c:formatCode>
                <c:ptCount val="10"/>
                <c:pt idx="0">
                  <c:v>29.2</c:v>
                </c:pt>
                <c:pt idx="1">
                  <c:v>62.4</c:v>
                </c:pt>
                <c:pt idx="2">
                  <c:v>30.8</c:v>
                </c:pt>
                <c:pt idx="3">
                  <c:v>81.900000000000006</c:v>
                </c:pt>
                <c:pt idx="4">
                  <c:v>28.4</c:v>
                </c:pt>
                <c:pt idx="5">
                  <c:v>21.1</c:v>
                </c:pt>
                <c:pt idx="6">
                  <c:v>39.6</c:v>
                </c:pt>
                <c:pt idx="7">
                  <c:v>10.7</c:v>
                </c:pt>
                <c:pt idx="8">
                  <c:v>12.8</c:v>
                </c:pt>
                <c:pt idx="9">
                  <c:v>13.7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820536"/>
        <c:axId val="279820928"/>
      </c:lineChart>
      <c:catAx>
        <c:axId val="279820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 group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79820928"/>
        <c:crosses val="autoZero"/>
        <c:auto val="1"/>
        <c:lblAlgn val="ctr"/>
        <c:lblOffset val="100"/>
        <c:noMultiLvlLbl val="0"/>
      </c:catAx>
      <c:valAx>
        <c:axId val="2798209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982053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chengalpet</c:v>
                </c:pt>
              </c:strCache>
            </c:strRef>
          </c:tx>
          <c:spPr>
            <a:ln w="19050">
              <a:solidFill>
                <a:schemeClr val="tx1"/>
              </a:solidFill>
              <a:prstDash val="lgDashDotDot"/>
            </a:ln>
          </c:spPr>
          <c:marker>
            <c:symbol val="none"/>
          </c:marker>
          <c:cat>
            <c:strRef>
              <c:f>Sheet3!$A$2:$A$11</c:f>
              <c:strCache>
                <c:ptCount val="10"/>
                <c:pt idx="0">
                  <c:v>18-19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Sheet3!$B$2:$B$11</c:f>
              <c:numCache>
                <c:formatCode>General</c:formatCode>
                <c:ptCount val="10"/>
                <c:pt idx="0">
                  <c:v>64.099999999999994</c:v>
                </c:pt>
                <c:pt idx="1">
                  <c:v>28.9</c:v>
                </c:pt>
                <c:pt idx="2">
                  <c:v>51.3</c:v>
                </c:pt>
                <c:pt idx="3">
                  <c:v>37.700000000000003</c:v>
                </c:pt>
                <c:pt idx="4">
                  <c:v>58.1</c:v>
                </c:pt>
                <c:pt idx="5">
                  <c:v>56.1</c:v>
                </c:pt>
                <c:pt idx="6">
                  <c:v>68.2</c:v>
                </c:pt>
                <c:pt idx="7">
                  <c:v>9.6999999999999993</c:v>
                </c:pt>
                <c:pt idx="8">
                  <c:v>12.8</c:v>
                </c:pt>
                <c:pt idx="9">
                  <c:v>13.6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821712"/>
        <c:axId val="279822104"/>
      </c:lineChart>
      <c:catAx>
        <c:axId val="279821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group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79822104"/>
        <c:crosses val="autoZero"/>
        <c:auto val="1"/>
        <c:lblAlgn val="ctr"/>
        <c:lblOffset val="100"/>
        <c:noMultiLvlLbl val="0"/>
      </c:catAx>
      <c:valAx>
        <c:axId val="2798221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9821712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Sheet3!$B$14</c:f>
              <c:strCache>
                <c:ptCount val="1"/>
                <c:pt idx="0">
                  <c:v>ibadan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Sheet3!$A$15:$A$24</c:f>
              <c:strCache>
                <c:ptCount val="10"/>
                <c:pt idx="0">
                  <c:v>18-19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Sheet3!$B$15:$B$24</c:f>
              <c:numCache>
                <c:formatCode>General</c:formatCode>
                <c:ptCount val="10"/>
                <c:pt idx="0">
                  <c:v>48.7</c:v>
                </c:pt>
                <c:pt idx="1">
                  <c:v>33.5</c:v>
                </c:pt>
                <c:pt idx="2">
                  <c:v>49.4</c:v>
                </c:pt>
                <c:pt idx="3">
                  <c:v>60.5</c:v>
                </c:pt>
                <c:pt idx="4">
                  <c:v>51.3</c:v>
                </c:pt>
                <c:pt idx="5">
                  <c:v>7.8</c:v>
                </c:pt>
                <c:pt idx="6">
                  <c:v>10.199999999999999</c:v>
                </c:pt>
                <c:pt idx="7">
                  <c:v>11.8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822888"/>
        <c:axId val="279823280"/>
      </c:lineChart>
      <c:catAx>
        <c:axId val="279822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group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79823280"/>
        <c:crosses val="autoZero"/>
        <c:auto val="1"/>
        <c:lblAlgn val="ctr"/>
        <c:lblOffset val="100"/>
        <c:noMultiLvlLbl val="0"/>
      </c:catAx>
      <c:valAx>
        <c:axId val="2798232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98228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Sheet3!$B$26</c:f>
              <c:strCache>
                <c:ptCount val="1"/>
                <c:pt idx="0">
                  <c:v>tunapuna-piarco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Sheet3!$A$27:$A$36</c:f>
              <c:strCache>
                <c:ptCount val="10"/>
                <c:pt idx="0">
                  <c:v>18-19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Sheet3!$B$27:$B$36</c:f>
              <c:numCache>
                <c:formatCode>General</c:formatCode>
                <c:ptCount val="10"/>
                <c:pt idx="0">
                  <c:v>43.8</c:v>
                </c:pt>
                <c:pt idx="1">
                  <c:v>85.8</c:v>
                </c:pt>
                <c:pt idx="2">
                  <c:v>23.1</c:v>
                </c:pt>
                <c:pt idx="3">
                  <c:v>81.900000000000006</c:v>
                </c:pt>
                <c:pt idx="4">
                  <c:v>19</c:v>
                </c:pt>
                <c:pt idx="5">
                  <c:v>42.1</c:v>
                </c:pt>
                <c:pt idx="6">
                  <c:v>19.8</c:v>
                </c:pt>
                <c:pt idx="7">
                  <c:v>0</c:v>
                </c:pt>
                <c:pt idx="8">
                  <c:v>12.8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0203744"/>
        <c:axId val="280204136"/>
      </c:lineChart>
      <c:catAx>
        <c:axId val="28020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group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80204136"/>
        <c:crosses val="autoZero"/>
        <c:auto val="1"/>
        <c:lblAlgn val="ctr"/>
        <c:lblOffset val="100"/>
        <c:noMultiLvlLbl val="0"/>
      </c:catAx>
      <c:valAx>
        <c:axId val="2802041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02037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spjucrm</dc:creator>
  <cp:lastModifiedBy>User</cp:lastModifiedBy>
  <cp:revision>6</cp:revision>
  <cp:lastPrinted>2015-06-29T06:39:00Z</cp:lastPrinted>
  <dcterms:created xsi:type="dcterms:W3CDTF">2015-12-29T17:29:00Z</dcterms:created>
  <dcterms:modified xsi:type="dcterms:W3CDTF">2016-02-17T13:06:00Z</dcterms:modified>
</cp:coreProperties>
</file>