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B7" w:rsidRDefault="00EE02C1" w:rsidP="00EE02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043EC1" w:rsidRPr="00EB52A0" w:rsidRDefault="00043EC1" w:rsidP="00043E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52A0">
        <w:rPr>
          <w:rFonts w:ascii="Times New Roman" w:hAnsi="Times New Roman" w:cs="Times New Roman"/>
          <w:b/>
          <w:sz w:val="24"/>
          <w:szCs w:val="24"/>
          <w:lang w:val="en-US"/>
        </w:rPr>
        <w:t>Sample demographics</w:t>
      </w:r>
      <w:bookmarkStart w:id="0" w:name="_GoBack"/>
      <w:bookmarkEnd w:id="0"/>
    </w:p>
    <w:p w:rsidR="00043EC1" w:rsidRDefault="00043EC1" w:rsidP="00EE02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13,722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families returned data for </w:t>
      </w:r>
      <w:r w:rsidRPr="001A5E6B">
        <w:rPr>
          <w:rFonts w:ascii="Times New Roman" w:hAnsi="Times New Roman" w:cs="Times New Roman"/>
          <w:sz w:val="24"/>
          <w:szCs w:val="24"/>
          <w:lang w:val="en-US"/>
        </w:rPr>
        <w:t>first contact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TEDS.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(next page) presents the main demographics of this sample. Details are also provided on the study sample. 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>Further details on the general aims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>, sample and methods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>TEDS may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>be found elsewhere (Haworth, Davis, &amp; Plomin, 2013; Olivier &amp; Plomin, 2007; Trouton et al., 2002;).</w:t>
      </w:r>
    </w:p>
    <w:p w:rsidR="00043EC1" w:rsidRDefault="00043EC1" w:rsidP="00043EC1">
      <w:pPr>
        <w:rPr>
          <w:rFonts w:ascii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  <w:lang w:val="en-US" w:eastAsia="en-GB"/>
        </w:rPr>
        <w:br w:type="page"/>
      </w:r>
    </w:p>
    <w:p w:rsidR="00043EC1" w:rsidRPr="001A5E6B" w:rsidRDefault="00043EC1" w:rsidP="0004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1A5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E6B">
        <w:rPr>
          <w:rFonts w:ascii="Times New Roman" w:hAnsi="Times New Roman" w:cs="Times New Roman"/>
          <w:i/>
          <w:sz w:val="24"/>
          <w:szCs w:val="24"/>
          <w:lang w:val="en-US"/>
        </w:rPr>
        <w:t>Sample demographics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Twins Early Development Study (TEDS)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95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096"/>
        <w:gridCol w:w="1189"/>
        <w:gridCol w:w="1559"/>
        <w:gridCol w:w="1163"/>
        <w:gridCol w:w="1163"/>
        <w:gridCol w:w="1142"/>
        <w:gridCol w:w="836"/>
      </w:tblGrid>
      <w:tr w:rsidR="00043EC1" w:rsidRPr="001A5E6B" w:rsidTr="001A5699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i/>
                <w:lang w:val="en-US" w:eastAsia="en-GB"/>
              </w:rPr>
              <w:t>N</w:t>
            </w:r>
            <w:r w:rsidRPr="00964577">
              <w:rPr>
                <w:rFonts w:ascii="Times New Roman" w:hAnsi="Times New Roman" w:cs="Times New Roman"/>
                <w:lang w:val="en-US" w:eastAsia="en-GB"/>
              </w:rPr>
              <w:t xml:space="preserve"> families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European descent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Mothers with A-levels or higher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Mother employed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Father employed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Female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% MZ</w:t>
            </w:r>
          </w:p>
        </w:tc>
      </w:tr>
      <w:tr w:rsidR="00043EC1" w:rsidRPr="001A5E6B" w:rsidTr="001A5699">
        <w:tc>
          <w:tcPr>
            <w:tcW w:w="1435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UK census</w:t>
            </w:r>
            <w:r w:rsidRPr="00964577">
              <w:rPr>
                <w:rFonts w:ascii="Times New Roman" w:hAnsi="Times New Roman" w:cs="Times New Roman"/>
                <w:vertAlign w:val="superscript"/>
                <w:lang w:val="en-US" w:eastAsia="en-GB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93%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32%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49%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89%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-</w:t>
            </w:r>
          </w:p>
        </w:tc>
      </w:tr>
      <w:tr w:rsidR="00043EC1" w:rsidRPr="001A5E6B" w:rsidTr="001A5699">
        <w:tc>
          <w:tcPr>
            <w:tcW w:w="1435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First contact</w:t>
            </w:r>
          </w:p>
        </w:tc>
        <w:tc>
          <w:tcPr>
            <w:tcW w:w="1096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 xml:space="preserve"> 13,722</w:t>
            </w:r>
          </w:p>
        </w:tc>
        <w:tc>
          <w:tcPr>
            <w:tcW w:w="1189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91.7%</w:t>
            </w:r>
          </w:p>
        </w:tc>
        <w:tc>
          <w:tcPr>
            <w:tcW w:w="1559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35.5%</w:t>
            </w:r>
          </w:p>
        </w:tc>
        <w:tc>
          <w:tcPr>
            <w:tcW w:w="1163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43.1%</w:t>
            </w:r>
          </w:p>
        </w:tc>
        <w:tc>
          <w:tcPr>
            <w:tcW w:w="1163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91.6%</w:t>
            </w:r>
          </w:p>
        </w:tc>
        <w:tc>
          <w:tcPr>
            <w:tcW w:w="1142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50.1%</w:t>
            </w:r>
          </w:p>
        </w:tc>
        <w:tc>
          <w:tcPr>
            <w:tcW w:w="836" w:type="dxa"/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33.2%</w:t>
            </w:r>
          </w:p>
        </w:tc>
      </w:tr>
      <w:tr w:rsidR="00043EC1" w:rsidRPr="001A5E6B" w:rsidTr="001A5699">
        <w:tc>
          <w:tcPr>
            <w:tcW w:w="1435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Study sample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tabs>
                <w:tab w:val="center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ab/>
              <w:t xml:space="preserve">   2,546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95.9%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42.7%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49.0%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94.2%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53.0%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43EC1" w:rsidRPr="00964577" w:rsidRDefault="00043EC1" w:rsidP="001A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964577">
              <w:rPr>
                <w:rFonts w:ascii="Times New Roman" w:hAnsi="Times New Roman" w:cs="Times New Roman"/>
                <w:lang w:val="en-US" w:eastAsia="en-GB"/>
              </w:rPr>
              <w:t>35.4%</w:t>
            </w:r>
          </w:p>
        </w:tc>
      </w:tr>
    </w:tbl>
    <w:p w:rsidR="00043EC1" w:rsidRPr="001A5E6B" w:rsidRDefault="00043EC1" w:rsidP="0004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C92E61">
        <w:rPr>
          <w:rFonts w:ascii="Times New Roman" w:hAnsi="Times New Roman" w:cs="Times New Roman"/>
          <w:i/>
          <w:sz w:val="24"/>
          <w:szCs w:val="24"/>
          <w:lang w:val="en-US" w:eastAsia="en-GB"/>
        </w:rPr>
        <w:t>Note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. </w:t>
      </w:r>
      <w:r w:rsidRPr="001A5E6B">
        <w:rPr>
          <w:rFonts w:ascii="Times New Roman" w:hAnsi="Times New Roman" w:cs="Times New Roman"/>
          <w:sz w:val="24"/>
          <w:szCs w:val="24"/>
          <w:vertAlign w:val="superscript"/>
          <w:lang w:val="en-US" w:eastAsia="en-GB"/>
        </w:rPr>
        <w:t>1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>Data for the 2000 UK census come from Walker et al.</w:t>
      </w:r>
      <w:r w:rsidR="00D10FF8" w:rsidRPr="0096102D">
        <w:rPr>
          <w:rFonts w:ascii="Times New Roman" w:hAnsi="Times New Roman" w:cs="Times New Roman"/>
          <w:sz w:val="24"/>
          <w:szCs w:val="24"/>
          <w:lang w:eastAsia="en-GB"/>
        </w:rPr>
        <w:fldChar w:fldCharType="begin"/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instrText xml:space="preserve"> ADDIN ZOTERO_ITEM CSL_CITATION {"citationID":"jhh8or6gj","properties":{"formattedCitation":"{\\rtf \\super 5\\nosupersub{}}","plainCitation":"5"},"citationItems":[{"id":1566,"uris":["http://zotero.org/users/local/ixgrdeLH/items/2REC6XJ2"],"uri":["http://zotero.org/users/local/ixgrdeLH/items/2REC6XJ2"],"itemData":{"id":1566,"type":"book","title":"Living in Britain: Results from the 2000/2001 General Household Survey","publisher":"TSO","publisher-place":"London","event-place":"London","author":[{"family":"Walker","given":"A"},{"family":"Maher","given":"J"},{"family":"Coulthard","given":"M"},{"family":"Goddard","given":"E"},{"family":"Thomas","given":"M"}],"issued":{"date-parts":[["2001"]]}}}],"schema":"https://github.com/citation-style-language/schema/raw/master/csl-citation.json"} </w:instrText>
      </w:r>
      <w:r w:rsidR="00D10FF8" w:rsidRPr="0096102D">
        <w:rPr>
          <w:rFonts w:ascii="Times New Roman" w:hAnsi="Times New Roman" w:cs="Times New Roman"/>
          <w:sz w:val="24"/>
          <w:szCs w:val="24"/>
          <w:lang w:eastAsia="en-GB"/>
        </w:rPr>
        <w:fldChar w:fldCharType="separate"/>
      </w:r>
      <w:r w:rsidRPr="001A5E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D10FF8" w:rsidRPr="0096102D">
        <w:rPr>
          <w:rFonts w:ascii="Times New Roman" w:hAnsi="Times New Roman" w:cs="Times New Roman"/>
          <w:sz w:val="24"/>
          <w:szCs w:val="24"/>
          <w:lang w:eastAsia="en-GB"/>
        </w:rPr>
        <w:fldChar w:fldCharType="end"/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>(2001). A-levels are the national educational exam taken at 18 years of age in the UK, and refer to parental educational qualifications. MZ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>=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A5E6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monozygotic twins. </w:t>
      </w:r>
    </w:p>
    <w:p w:rsidR="00043EC1" w:rsidRDefault="00043EC1" w:rsidP="00043E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02F7F" w:rsidRPr="00786814" w:rsidRDefault="00D9748C" w:rsidP="00C43D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81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Alternative factor structures</w:t>
      </w:r>
    </w:p>
    <w:p w:rsidR="00702F7F" w:rsidRPr="00786814" w:rsidRDefault="00D9748C" w:rsidP="00EE02C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86814">
        <w:rPr>
          <w:rFonts w:ascii="Times New Roman" w:hAnsi="Times New Roman" w:cs="Times New Roman"/>
          <w:sz w:val="24"/>
          <w:szCs w:val="24"/>
          <w:lang w:val="en-US"/>
        </w:rPr>
        <w:t xml:space="preserve">Six candidate factor structures were tested. 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 xml:space="preserve">First, a one factor model (i.e., all items loading on a single factor) was tested. Second, a three correlated factors model (i.e., items of each ICU dimension, loading on a factor representing this dimension; all factors are intercorrelated) was tested. This model included the above-mentioned Callousness, Uncaring and Unemotional factors. Third, a two correlated factors model was tested. This model included a first factor termed Callousness-Uncaring, encompassing items from both subscales, and a second one termed Unemotional. Fourth, a hierarchical model with three subfactors (i.e., items of each dimension loading on a factor representing this dimension; all factors loading on a higher factor representing an overall CU dimension) was tested. </w:t>
      </w:r>
      <w:r w:rsidR="00CF5EF9" w:rsidRPr="00786814">
        <w:rPr>
          <w:rFonts w:ascii="Times New Roman" w:hAnsi="Times New Roman" w:cs="Times New Roman"/>
          <w:sz w:val="24"/>
          <w:szCs w:val="24"/>
          <w:lang w:val="en-CA"/>
        </w:rPr>
        <w:t>Fifth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 xml:space="preserve">, a hierarchical model with two subfactors (i.e., Callousness-Uncaring and Unemotional) was tested. </w:t>
      </w:r>
      <w:r w:rsidR="00CF5EF9" w:rsidRPr="00786814">
        <w:rPr>
          <w:rFonts w:ascii="Times New Roman" w:hAnsi="Times New Roman" w:cs="Times New Roman"/>
          <w:sz w:val="24"/>
          <w:szCs w:val="24"/>
          <w:lang w:val="en-CA"/>
        </w:rPr>
        <w:t>Sixth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>, a general-specific model, including the Callousness, Uncaring and Unemotional as specific factors, was tested. A s</w:t>
      </w:r>
      <w:r w:rsidR="00CF5EF9" w:rsidRPr="00786814">
        <w:rPr>
          <w:rFonts w:ascii="Times New Roman" w:hAnsi="Times New Roman" w:cs="Times New Roman"/>
          <w:sz w:val="24"/>
          <w:szCs w:val="24"/>
          <w:lang w:val="en-CA"/>
        </w:rPr>
        <w:t>eventh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 xml:space="preserve"> model was tested according to a general-specific structure, this time including only two specific factors: Callousness-Uncaring and Unemotional.</w:t>
      </w:r>
    </w:p>
    <w:p w:rsidR="00702F7F" w:rsidRPr="00786814" w:rsidRDefault="00D9748C" w:rsidP="00702F7F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CA"/>
        </w:rPr>
      </w:pPr>
      <w:r w:rsidRPr="00786814">
        <w:rPr>
          <w:rFonts w:ascii="Times New Roman" w:hAnsi="Times New Roman" w:cs="Times New Roman"/>
          <w:sz w:val="24"/>
          <w:szCs w:val="24"/>
          <w:lang w:val="en-CA"/>
        </w:rPr>
        <w:t>Factorial structures including two, rather than three, specific factors were tested as previous research suggested that: 1) the Callousness and Uncaring dimensions behave similarly in terms of external correlates and factor loadings (Byrd et al., 2013; Kimonis et al., 2008; Roose et al., 2010), and that; 2) several ICU items allocated to Callousness and Uncaring in past studies are very similar in content (e.g., item 5 from the Callousness subscale “</w:t>
      </w:r>
      <w:r w:rsidRPr="00786814">
        <w:rPr>
          <w:rFonts w:ascii="Times New Roman" w:hAnsi="Times New Roman" w:cs="Times New Roman"/>
          <w:sz w:val="24"/>
          <w:szCs w:val="24"/>
          <w:lang w:val="en-US"/>
        </w:rPr>
        <w:t>He/she feels bad or guilty when he/she does something wrong, reversed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>” vs. item 18 from the Uncaring subscale “</w:t>
      </w:r>
      <w:r w:rsidRPr="00786814">
        <w:rPr>
          <w:rFonts w:ascii="Times New Roman" w:hAnsi="Times New Roman" w:cs="Times New Roman"/>
          <w:sz w:val="24"/>
          <w:szCs w:val="24"/>
          <w:lang w:val="en-US"/>
        </w:rPr>
        <w:t>He/she does not feel remorseful when he/she does something wrong.</w:t>
      </w:r>
      <w:r w:rsidRPr="00786814">
        <w:rPr>
          <w:rFonts w:ascii="Times New Roman" w:hAnsi="Times New Roman" w:cs="Times New Roman"/>
          <w:sz w:val="24"/>
          <w:szCs w:val="24"/>
          <w:lang w:val="en-CA"/>
        </w:rPr>
        <w:t>”; e.g., Essau et al., 2006).</w:t>
      </w:r>
    </w:p>
    <w:p w:rsidR="00702F7F" w:rsidRDefault="00702F7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F5EF9" w:rsidRDefault="00CF5EF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Model fit indices</w:t>
      </w:r>
    </w:p>
    <w:p w:rsidR="00CF5EF9" w:rsidRDefault="00CF5EF9" w:rsidP="00EE02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Model fit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 xml:space="preserve"> was assessed using the following indices: </w:t>
      </w:r>
      <w:r w:rsidRPr="00DF6863">
        <w:rPr>
          <w:rFonts w:ascii="Times-Roman" w:hAnsi="Times-Roman" w:cs="Times-Roman"/>
          <w:sz w:val="24"/>
          <w:szCs w:val="24"/>
          <w:lang w:val="en-US"/>
        </w:rPr>
        <w:t>chi square goodness of fit statistic (</w:t>
      </w:r>
      <w:r w:rsidRPr="00DF6863">
        <w:rPr>
          <w:rFonts w:ascii="Times-Roman" w:hAnsi="Times-Roman" w:cs="Times-Roman"/>
          <w:i/>
          <w:sz w:val="24"/>
          <w:szCs w:val="24"/>
          <w:lang w:val="en-US"/>
        </w:rPr>
        <w:t>χ</w:t>
      </w:r>
      <w:r w:rsidRPr="00DF6863">
        <w:rPr>
          <w:rFonts w:ascii="Times-Roman" w:hAnsi="Times-Roman" w:cs="Times-Roman"/>
          <w:sz w:val="24"/>
          <w:szCs w:val="24"/>
          <w:vertAlign w:val="superscript"/>
          <w:lang w:val="en-US"/>
        </w:rPr>
        <w:t>2</w:t>
      </w:r>
      <w:r w:rsidRPr="00DF6863">
        <w:rPr>
          <w:rFonts w:ascii="Times-Roman" w:hAnsi="Times-Roman" w:cs="Times-Roman"/>
          <w:sz w:val="24"/>
          <w:szCs w:val="24"/>
          <w:lang w:val="en-US"/>
        </w:rPr>
        <w:t xml:space="preserve">); Akaike’s Information Criterion (AIC); </w:t>
      </w:r>
      <w:r>
        <w:rPr>
          <w:rFonts w:ascii="Times-Roman" w:hAnsi="Times-Roman" w:cs="Times-Roman"/>
          <w:sz w:val="24"/>
          <w:szCs w:val="24"/>
          <w:lang w:val="en-US"/>
        </w:rPr>
        <w:t xml:space="preserve">Scaled </w:t>
      </w:r>
      <w:r w:rsidRPr="00DF6863">
        <w:rPr>
          <w:rFonts w:ascii="Times-Roman" w:hAnsi="Times-Roman" w:cs="Times-Roman"/>
          <w:sz w:val="24"/>
          <w:szCs w:val="24"/>
          <w:lang w:val="en-US"/>
        </w:rPr>
        <w:t xml:space="preserve">Comparative Fit Index (CFI); </w:t>
      </w:r>
      <w:r>
        <w:rPr>
          <w:rFonts w:ascii="Times-Roman" w:hAnsi="Times-Roman" w:cs="Times-Roman"/>
          <w:sz w:val="24"/>
          <w:szCs w:val="24"/>
          <w:lang w:val="en-US"/>
        </w:rPr>
        <w:t xml:space="preserve">Scaled </w:t>
      </w:r>
      <w:r w:rsidRPr="00DF6863">
        <w:rPr>
          <w:rFonts w:ascii="Times-Roman" w:hAnsi="Times-Roman" w:cs="Times-Roman"/>
          <w:sz w:val="24"/>
          <w:szCs w:val="24"/>
          <w:lang w:val="en-US"/>
        </w:rPr>
        <w:t xml:space="preserve">Root Mean Square </w:t>
      </w:r>
      <w:r w:rsidRPr="00DF6863">
        <w:rPr>
          <w:rFonts w:ascii="Times New Roman" w:hAnsi="Times New Roman" w:cs="Times New Roman"/>
          <w:sz w:val="24"/>
          <w:szCs w:val="24"/>
          <w:lang w:val="en-US"/>
        </w:rPr>
        <w:t xml:space="preserve">Error of Approximation (RMSEA); </w:t>
      </w:r>
      <w:r w:rsidRPr="00DF68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Standardized Root Mean Square Residual</w:t>
      </w:r>
      <w:r w:rsidRPr="00DF68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(SRMR).</w:t>
      </w:r>
      <w:r w:rsidRPr="00DF686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DF6863">
        <w:rPr>
          <w:rFonts w:ascii="Times New Roman" w:hAnsi="Times New Roman" w:cs="Times New Roman"/>
          <w:i/>
          <w:sz w:val="24"/>
          <w:szCs w:val="24"/>
          <w:lang w:val="en-US"/>
        </w:rPr>
        <w:t>χ</w:t>
      </w:r>
      <w:r w:rsidRPr="00DF68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F6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8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 a function of the sample size and the difference between the observed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model </w:t>
      </w:r>
      <w:r w:rsidRPr="00DF68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covarian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 matrices</w:t>
      </w:r>
      <w:r w:rsidRPr="00DF68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DF6863">
        <w:rPr>
          <w:rFonts w:ascii="Times-Roman" w:hAnsi="Times-Roman" w:cs="Times-Roman"/>
          <w:sz w:val="24"/>
          <w:szCs w:val="24"/>
          <w:lang w:val="en-US"/>
        </w:rPr>
        <w:t>Akaike information criterion (AIC) is an index for model comparison, in which smaller values indi</w:t>
      </w:r>
      <w:r>
        <w:rPr>
          <w:rFonts w:ascii="Times-Roman" w:hAnsi="Times-Roman" w:cs="Times-Roman"/>
          <w:sz w:val="24"/>
          <w:szCs w:val="24"/>
          <w:lang w:val="en-US"/>
        </w:rPr>
        <w:t>cate better fit (Akaike, 1987). Different values of CFI have been suggested to indicate adequate fit (e.g.,</w:t>
      </w:r>
      <w:r w:rsidRPr="0023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≥ .90; Segars &amp; Grover, 1993;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≥ .95; Hu &amp; Bentler, 1999). </w:t>
      </w:r>
      <w:r w:rsidRPr="00DF6863">
        <w:rPr>
          <w:rFonts w:ascii="Times-Roman" w:hAnsi="Times-Roman" w:cs="Times-Roman"/>
          <w:sz w:val="24"/>
          <w:szCs w:val="24"/>
          <w:lang w:val="en-US"/>
        </w:rPr>
        <w:t>The RMSEA provides a fit index unaffected by the size of the model</w:t>
      </w:r>
      <w:r>
        <w:rPr>
          <w:rFonts w:ascii="Times-Roman" w:hAnsi="Times-Roman" w:cs="Times-Roman"/>
          <w:sz w:val="24"/>
          <w:szCs w:val="24"/>
          <w:lang w:val="en-US"/>
        </w:rPr>
        <w:t>. A RMSEA value of .06</w:t>
      </w:r>
      <w:r w:rsidRPr="00DF6863">
        <w:rPr>
          <w:rFonts w:ascii="Times-Roman" w:hAnsi="Times-Roman" w:cs="Times-Roman"/>
          <w:sz w:val="24"/>
          <w:szCs w:val="24"/>
          <w:lang w:val="en-US"/>
        </w:rPr>
        <w:t xml:space="preserve"> is considered acceptable (</w:t>
      </w:r>
      <w:r>
        <w:rPr>
          <w:rFonts w:ascii="Times-Roman" w:hAnsi="Times-Roman" w:cs="Times-Roman"/>
          <w:sz w:val="24"/>
          <w:szCs w:val="24"/>
          <w:lang w:val="en-US"/>
        </w:rPr>
        <w:t>Hu &amp; Bentler, 1999</w:t>
      </w:r>
      <w:r w:rsidRPr="00DF6863">
        <w:rPr>
          <w:rFonts w:ascii="Times-Roman" w:hAnsi="Times-Roman" w:cs="Times-Roman"/>
          <w:sz w:val="24"/>
          <w:szCs w:val="24"/>
          <w:lang w:val="en-US"/>
        </w:rPr>
        <w:t>).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F6863">
        <w:rPr>
          <w:rFonts w:ascii="Times New Roman" w:eastAsia="Times New Roman" w:hAnsi="Times New Roman" w:cs="Times New Roman"/>
          <w:sz w:val="24"/>
          <w:szCs w:val="24"/>
          <w:lang w:val="en-US"/>
        </w:rPr>
        <w:t>The SRMR is an absolute fit indicator and a value smaller than .0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DF68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acceptable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 &amp; Bentler, 1999</w:t>
      </w:r>
      <w:r w:rsidRPr="00DF686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On the basis of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 xml:space="preserve"> CFA analyses, we selected the candidate </w:t>
      </w:r>
      <w:r>
        <w:rPr>
          <w:rFonts w:ascii="Times New Roman" w:hAnsi="Times New Roman" w:cs="Times New Roman"/>
          <w:sz w:val="24"/>
          <w:szCs w:val="24"/>
          <w:lang w:val="en-CA"/>
        </w:rPr>
        <w:t>factorial structure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 xml:space="preserve"> for genetic mode</w:t>
      </w:r>
      <w:r>
        <w:rPr>
          <w:rFonts w:ascii="Times New Roman" w:hAnsi="Times New Roman" w:cs="Times New Roman"/>
          <w:sz w:val="24"/>
          <w:szCs w:val="24"/>
          <w:lang w:val="en-CA"/>
        </w:rPr>
        <w:t>l</w:t>
      </w:r>
      <w:r w:rsidRPr="00DF6863">
        <w:rPr>
          <w:rFonts w:ascii="Times New Roman" w:hAnsi="Times New Roman" w:cs="Times New Roman"/>
          <w:sz w:val="24"/>
          <w:szCs w:val="24"/>
          <w:lang w:val="en-CA"/>
        </w:rPr>
        <w:t>ling.</w:t>
      </w:r>
    </w:p>
    <w:p w:rsidR="00CF5EF9" w:rsidRDefault="00CF5EF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:rsidR="00BA635E" w:rsidRDefault="00BA635E" w:rsidP="00CF5E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Multivariate genetic model</w:t>
      </w:r>
    </w:p>
    <w:p w:rsidR="00BA635E" w:rsidRPr="00480E5B" w:rsidRDefault="00EE576C" w:rsidP="00BA63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As intrac</w:t>
      </w:r>
      <w:r w:rsidR="00CB644F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lass correlations for the total </w:t>
      </w:r>
      <w: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ICU score and the Callousness-Uncaring score were indicative of substantial heritability</w:t>
      </w:r>
      <w:r w:rsidR="00CD40C5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(see Results)</w:t>
      </w:r>
      <w: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, a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traditional ACE structure was tested for both the general and Callousness-Uncaring factors. </w:t>
      </w:r>
      <w:r w:rsidR="00CD40C5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I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ntraclass correlations on the Unemotional score </w:t>
      </w:r>
      <w:r w:rsidR="000A2B6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indicated that 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an ADE</w:t>
      </w:r>
      <w:r w:rsidR="000A2B6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structure </w:t>
      </w:r>
      <w:r w:rsidR="000A2B6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– the D component standing for non-additive genetic variance – 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would be best suited for the Unemotional factor (i.e., </w:t>
      </w:r>
      <w:r w:rsidR="00BA635E" w:rsidRPr="00BA635E">
        <w:rPr>
          <w:rFonts w:ascii="Times New Roman" w:eastAsia="Times New Roman" w:hAnsi="Times New Roman" w:cs="Times New Roman"/>
          <w:i/>
          <w:sz w:val="24"/>
          <w:szCs w:val="24"/>
          <w:lang w:val="en-CA" w:eastAsia="fr-CA"/>
        </w:rPr>
        <w:t>r</w:t>
      </w:r>
      <w:r w:rsidR="00BA635E" w:rsidRPr="00BA635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CA" w:eastAsia="fr-CA"/>
        </w:rPr>
        <w:t>dz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</w:t>
      </w:r>
      <w:r w:rsidR="00BA635E">
        <w:rPr>
          <w:rFonts w:ascii="Calibri" w:eastAsia="Times New Roman" w:hAnsi="Calibri" w:cs="Calibri"/>
          <w:sz w:val="24"/>
          <w:szCs w:val="24"/>
          <w:lang w:val="en-CA" w:eastAsia="fr-CA"/>
        </w:rPr>
        <w:t>&lt;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½ </w:t>
      </w:r>
      <w:r w:rsidR="00BA635E" w:rsidRPr="00BA635E">
        <w:rPr>
          <w:rFonts w:ascii="Times New Roman" w:eastAsia="Times New Roman" w:hAnsi="Times New Roman" w:cs="Times New Roman"/>
          <w:i/>
          <w:sz w:val="24"/>
          <w:szCs w:val="24"/>
          <w:lang w:val="en-CA" w:eastAsia="fr-CA"/>
        </w:rPr>
        <w:t>r</w:t>
      </w:r>
      <w:r w:rsidR="00BA635E" w:rsidRPr="00BA635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CA" w:eastAsia="fr-CA"/>
        </w:rPr>
        <w:t>mz</w:t>
      </w:r>
      <w:r w:rsidR="00BA635E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).</w:t>
      </w:r>
      <w:r w:rsidR="00EF4E2C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However, </w:t>
      </w:r>
      <w:r w:rsidR="00D7047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twin </w:t>
      </w:r>
      <w:r w:rsidR="00A74F9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zygosity </w:t>
      </w:r>
      <w:r w:rsidR="00EF4E2C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differences on the Unemotional score</w:t>
      </w:r>
      <w:r w:rsidR="00A74F9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s</w:t>
      </w:r>
      <w:r w:rsidR="00480E5B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were detected in preliminary analyses </w:t>
      </w:r>
      <w:r w:rsidR="00383F8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(twin 1: V</w:t>
      </w:r>
      <w:r w:rsidR="00383F80" w:rsidRPr="008867F5">
        <w:rPr>
          <w:rFonts w:ascii="Times New Roman" w:eastAsia="Times New Roman" w:hAnsi="Times New Roman" w:cs="Times New Roman"/>
          <w:sz w:val="24"/>
          <w:szCs w:val="24"/>
          <w:vertAlign w:val="subscript"/>
          <w:lang w:val="en-CA" w:eastAsia="fr-CA"/>
        </w:rPr>
        <w:t>MZ</w:t>
      </w:r>
      <w:r w:rsidR="00383F8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= 7.51; V</w:t>
      </w:r>
      <w:r w:rsidR="00383F80" w:rsidRPr="008867F5">
        <w:rPr>
          <w:rFonts w:ascii="Times New Roman" w:eastAsia="Times New Roman" w:hAnsi="Times New Roman" w:cs="Times New Roman"/>
          <w:sz w:val="24"/>
          <w:szCs w:val="24"/>
          <w:vertAlign w:val="subscript"/>
          <w:lang w:val="en-CA" w:eastAsia="fr-CA"/>
        </w:rPr>
        <w:t>DZ</w:t>
      </w:r>
      <w:r w:rsidR="00383F8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= 9.27; twin 2: V</w:t>
      </w:r>
      <w:r w:rsidR="00383F80" w:rsidRPr="008867F5">
        <w:rPr>
          <w:rFonts w:ascii="Times New Roman" w:eastAsia="Times New Roman" w:hAnsi="Times New Roman" w:cs="Times New Roman"/>
          <w:sz w:val="24"/>
          <w:szCs w:val="24"/>
          <w:vertAlign w:val="subscript"/>
          <w:lang w:val="en-CA" w:eastAsia="fr-CA"/>
        </w:rPr>
        <w:t>MZ</w:t>
      </w:r>
      <w:r w:rsidR="00383F8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= 7.56; V</w:t>
      </w:r>
      <w:r w:rsidR="00383F80" w:rsidRPr="008867F5">
        <w:rPr>
          <w:rFonts w:ascii="Times New Roman" w:eastAsia="Times New Roman" w:hAnsi="Times New Roman" w:cs="Times New Roman"/>
          <w:sz w:val="24"/>
          <w:szCs w:val="24"/>
          <w:vertAlign w:val="subscript"/>
          <w:lang w:val="en-CA" w:eastAsia="fr-CA"/>
        </w:rPr>
        <w:t xml:space="preserve">DZ </w:t>
      </w:r>
      <w:r w:rsidR="00383F8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= 8.99</w:t>
      </w:r>
      <w:r w:rsidR="00480E5B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). This suggests </w:t>
      </w:r>
      <w:r w:rsidR="00EF4E2C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that sibling interaction effects could partly account for the discrepancy between MZ and DZ intraclass correlations.</w:t>
      </w:r>
      <w:r w:rsidR="00480E5B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We therefore: 1) tested a full multivariate genetic model including an ADE structure for the Unemotional factor, as well as sibling interaction effects on this factor; 2) tested a full multivariate genetic model including an AE structure for the Unemotional factor</w:t>
      </w:r>
      <w:r w:rsidR="00D7047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(without a D component)</w:t>
      </w:r>
      <w:r w:rsidR="00480E5B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, as well as sibling interaction effects on this factor</w:t>
      </w:r>
      <w:r w:rsidR="00D7047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, and; 3) compared the fit of models 1) and 2) in order to test the statistical significance of the Unemotional factor’s D component. Comparison of models 1) and 2) indicated that, in a full model including sibling interaction effects on the Unemotional factor, the D component was not statistically significant. Therefore, an AE structure was tested in the Unemotional factor</w:t>
      </w:r>
      <w:r w:rsidR="00A74F9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(see Figure 1).</w:t>
      </w:r>
      <w:r w:rsidR="00B610A3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Similar steps were taken for the Cholesky decomposition, and this endeavour also revealed than the D component was not statistically significant for the Unemotional subscale score.</w:t>
      </w:r>
      <w:r w:rsidR="00BA635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43DB7" w:rsidRDefault="00C43DB7" w:rsidP="00C43D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Cholesky decomposition</w:t>
      </w:r>
    </w:p>
    <w:p w:rsidR="00EB746A" w:rsidRDefault="00C43DB7" w:rsidP="00C43DB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Cholesky decomposition was</w:t>
      </w:r>
      <w:r w:rsidRPr="00862E74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>
        <w:rPr>
          <w:rFonts w:ascii="Times New Roman" w:hAnsi="Times New Roman" w:cs="Times New Roman"/>
          <w:sz w:val="24"/>
          <w:szCs w:val="24"/>
          <w:lang w:val="en-US"/>
        </w:rPr>
        <w:t>fitted on the Callousness-</w:t>
      </w:r>
      <w:r w:rsidRPr="00862E74">
        <w:rPr>
          <w:rFonts w:ascii="Times New Roman" w:hAnsi="Times New Roman" w:cs="Times New Roman"/>
          <w:sz w:val="24"/>
          <w:szCs w:val="24"/>
          <w:lang w:val="en-US"/>
        </w:rPr>
        <w:t xml:space="preserve">Uncaring and Unemotional </w:t>
      </w:r>
      <w:r>
        <w:rPr>
          <w:rFonts w:ascii="Times New Roman" w:hAnsi="Times New Roman" w:cs="Times New Roman"/>
          <w:sz w:val="24"/>
          <w:szCs w:val="24"/>
          <w:lang w:val="en-US"/>
        </w:rPr>
        <w:t>scores</w:t>
      </w:r>
      <w:r w:rsidRPr="00862E74">
        <w:rPr>
          <w:rFonts w:ascii="Times New Roman" w:hAnsi="Times New Roman" w:cs="Times New Roman"/>
          <w:sz w:val="24"/>
          <w:szCs w:val="24"/>
          <w:lang w:val="en-US"/>
        </w:rPr>
        <w:t xml:space="preserve"> of the ICU.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aim of this complementary analysis was to verify to what extent the genetic contributions on the Unemotional score were unique to this dimension or explained by the Callousness-Uncaring dimension.</w:t>
      </w:r>
      <w:r w:rsidR="00EB746A">
        <w:rPr>
          <w:rFonts w:ascii="Times New Roman" w:hAnsi="Times New Roman" w:cs="Times New Roman"/>
          <w:sz w:val="24"/>
          <w:szCs w:val="24"/>
          <w:lang w:val="en-US"/>
        </w:rPr>
        <w:t xml:space="preserve"> The traditional ACE structure was tested for the Callousness-Uncaring scores. </w:t>
      </w:r>
      <w:r w:rsidR="002553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746A">
        <w:rPr>
          <w:rFonts w:ascii="Times New Roman" w:hAnsi="Times New Roman" w:cs="Times New Roman"/>
          <w:sz w:val="24"/>
          <w:szCs w:val="24"/>
          <w:lang w:val="en-US"/>
        </w:rPr>
        <w:t>ntraclass correlations warranted an ADE structure</w:t>
      </w:r>
      <w:r w:rsidR="002C7E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9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C7E27">
        <w:rPr>
          <w:rFonts w:ascii="Times New Roman" w:hAnsi="Times New Roman" w:cs="Times New Roman"/>
          <w:sz w:val="24"/>
          <w:szCs w:val="24"/>
          <w:lang w:val="en-US"/>
        </w:rPr>
        <w:t xml:space="preserve"> the Unemotional scores</w:t>
      </w:r>
      <w:r w:rsidR="00EB746A">
        <w:rPr>
          <w:rFonts w:ascii="Times New Roman" w:hAnsi="Times New Roman" w:cs="Times New Roman"/>
          <w:sz w:val="24"/>
          <w:szCs w:val="24"/>
          <w:lang w:val="en-US"/>
        </w:rPr>
        <w:t xml:space="preserve">. However, as stated earlier, the D component (i.e., non-additive genetic variance) was largely driven by sibling interaction effects on the Unemotional measure (for more details, see </w:t>
      </w:r>
      <w:r w:rsidR="00BA635E">
        <w:rPr>
          <w:rFonts w:ascii="Times New Roman" w:hAnsi="Times New Roman" w:cs="Times New Roman"/>
          <w:sz w:val="24"/>
          <w:szCs w:val="24"/>
          <w:lang w:val="en-US"/>
        </w:rPr>
        <w:t>the section Multivariate genetic model in the Other Supplementary Material</w:t>
      </w:r>
      <w:r w:rsidR="00EB746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C7E27">
        <w:rPr>
          <w:rFonts w:ascii="Times New Roman" w:hAnsi="Times New Roman" w:cs="Times New Roman"/>
          <w:sz w:val="24"/>
          <w:szCs w:val="24"/>
          <w:lang w:val="en-US"/>
        </w:rPr>
        <w:t>Consequently</w:t>
      </w:r>
      <w:r w:rsidR="00EB746A">
        <w:rPr>
          <w:rFonts w:ascii="Times New Roman" w:hAnsi="Times New Roman" w:cs="Times New Roman"/>
          <w:sz w:val="24"/>
          <w:szCs w:val="24"/>
          <w:lang w:val="en-US"/>
        </w:rPr>
        <w:t xml:space="preserve">, an AE structure was tested in the context of this Cholesky decomposition. </w:t>
      </w:r>
      <w:r w:rsidR="00241B46">
        <w:rPr>
          <w:rFonts w:ascii="Times New Roman" w:hAnsi="Times New Roman" w:cs="Times New Roman"/>
          <w:sz w:val="24"/>
          <w:szCs w:val="24"/>
          <w:lang w:val="en-US"/>
        </w:rPr>
        <w:t>Sibling interaction effects are included for the Unemotional score.</w:t>
      </w:r>
    </w:p>
    <w:p w:rsidR="003F374F" w:rsidRDefault="00C43DB7">
      <w:pPr>
        <w:spacing w:after="0" w:line="48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can be seen in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r w:rsidRPr="00C17612">
        <w:rPr>
          <w:rFonts w:ascii="Times New Roman" w:hAnsi="Times New Roman" w:cs="Times New Roman"/>
          <w:sz w:val="24"/>
          <w:szCs w:val="24"/>
          <w:lang w:val="en-US"/>
        </w:rPr>
        <w:t xml:space="preserve">genetic factors explained </w:t>
      </w:r>
      <w:r w:rsid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7</w:t>
      </w:r>
      <w:r w:rsidR="00466267">
        <w:rPr>
          <w:rFonts w:ascii="Times New Roman" w:hAnsi="Times New Roman" w:cs="Times New Roman"/>
          <w:color w:val="000000"/>
          <w:sz w:val="24"/>
          <w:szCs w:val="24"/>
          <w:lang w:val="en-GB"/>
        </w:rPr>
        <w:t>8</w:t>
      </w:r>
      <w:r w:rsidRP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% of the total variance in the Unemotional score. These genetic contributions were largely specific to the Unemotional score (</w:t>
      </w:r>
      <w:r w:rsid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7</w:t>
      </w:r>
      <w:r w:rsidR="00466267">
        <w:rPr>
          <w:rFonts w:ascii="Times New Roman" w:hAnsi="Times New Roman" w:cs="Times New Roman"/>
          <w:color w:val="000000"/>
          <w:sz w:val="24"/>
          <w:szCs w:val="24"/>
          <w:lang w:val="en-GB"/>
        </w:rPr>
        <w:t>8</w:t>
      </w:r>
      <w:r w:rsidRP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%), rather than explained by the</w:t>
      </w:r>
      <w:r w:rsidR="00E60055" w:rsidRP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Callousness-Uncaring score (</w:t>
      </w:r>
      <w:r w:rsid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2</w:t>
      </w:r>
      <w:r w:rsidR="00466267">
        <w:rPr>
          <w:rFonts w:ascii="Times New Roman" w:hAnsi="Times New Roman" w:cs="Times New Roman"/>
          <w:color w:val="000000"/>
          <w:sz w:val="24"/>
          <w:szCs w:val="24"/>
          <w:lang w:val="en-GB"/>
        </w:rPr>
        <w:t>2</w:t>
      </w:r>
      <w:r w:rsidRP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>%). A similar</w:t>
      </w:r>
      <w:r w:rsidRPr="00C176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pattern was observed for nonshared environmental factors. Shared environmental factors were </w:t>
      </w:r>
      <w:r w:rsidR="00E6005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not </w:t>
      </w:r>
      <w:r w:rsidR="00466267">
        <w:rPr>
          <w:rFonts w:ascii="Times New Roman" w:hAnsi="Times New Roman" w:cs="Times New Roman"/>
          <w:color w:val="000000"/>
          <w:sz w:val="24"/>
          <w:szCs w:val="24"/>
          <w:lang w:val="en-GB"/>
        </w:rPr>
        <w:t>statistically significant</w:t>
      </w:r>
      <w:r w:rsidR="00466267" w:rsidRPr="00C176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17612">
        <w:rPr>
          <w:rFonts w:ascii="Times New Roman" w:hAnsi="Times New Roman" w:cs="Times New Roman"/>
          <w:color w:val="000000"/>
          <w:sz w:val="24"/>
          <w:szCs w:val="24"/>
          <w:lang w:val="en-GB"/>
        </w:rPr>
        <w:t>for the Callousness-Uncaring score.</w:t>
      </w:r>
    </w:p>
    <w:p w:rsidR="00C43DB7" w:rsidRDefault="00C43DB7" w:rsidP="00C43DB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3DB7" w:rsidRDefault="00C43DB7" w:rsidP="00C43DB7">
      <w:pPr>
        <w:tabs>
          <w:tab w:val="left" w:pos="354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3DB7" w:rsidRDefault="00C43DB7" w:rsidP="00C43D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43DB7" w:rsidRPr="008877A7" w:rsidRDefault="00C43DB7" w:rsidP="009645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77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EE02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877A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877A7">
        <w:rPr>
          <w:rFonts w:ascii="Times New Roman" w:hAnsi="Times New Roman" w:cs="Times New Roman"/>
          <w:i/>
          <w:sz w:val="24"/>
          <w:szCs w:val="24"/>
          <w:lang w:val="en-GB"/>
        </w:rPr>
        <w:t xml:space="preserve">Cholesky decomposition of heritability, shared environment, and nonshared environment for the ICU dimensions. </w:t>
      </w:r>
    </w:p>
    <w:tbl>
      <w:tblPr>
        <w:tblW w:w="9428" w:type="dxa"/>
        <w:tblInd w:w="5" w:type="dxa"/>
        <w:tblLook w:val="04A0" w:firstRow="1" w:lastRow="0" w:firstColumn="1" w:lastColumn="0" w:noHBand="0" w:noVBand="1"/>
      </w:tblPr>
      <w:tblGrid>
        <w:gridCol w:w="1096"/>
        <w:gridCol w:w="2831"/>
        <w:gridCol w:w="137"/>
        <w:gridCol w:w="2597"/>
        <w:gridCol w:w="246"/>
        <w:gridCol w:w="2521"/>
      </w:tblGrid>
      <w:tr w:rsidR="00C43DB7" w:rsidRPr="00694F10" w:rsidTr="00964577">
        <w:trPr>
          <w:trHeight w:val="271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A1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A2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694F10" w:rsidTr="00964577">
        <w:trPr>
          <w:trHeight w:val="271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CL-U</w:t>
            </w:r>
            <w:r w:rsidR="007868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C43DB7" w:rsidRPr="008877A7" w:rsidRDefault="00C43DB7" w:rsidP="00155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155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77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155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68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8</w:t>
            </w:r>
            <w:r w:rsidR="00155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B7" w:rsidRPr="008877A7" w:rsidRDefault="00C43DB7" w:rsidP="00155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77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68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rPr>
          <w:trHeight w:val="286"/>
        </w:trPr>
        <w:tc>
          <w:tcPr>
            <w:tcW w:w="1096" w:type="dxa"/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</w:t>
            </w:r>
          </w:p>
        </w:tc>
        <w:tc>
          <w:tcPr>
            <w:tcW w:w="2831" w:type="dxa"/>
            <w:vAlign w:val="center"/>
          </w:tcPr>
          <w:p w:rsidR="00C43DB7" w:rsidRPr="008877A7" w:rsidRDefault="00C43DB7" w:rsidP="00A1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7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-.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19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vAlign w:val="center"/>
          </w:tcPr>
          <w:p w:rsidR="00C43DB7" w:rsidRPr="008877A7" w:rsidRDefault="00C43DB7" w:rsidP="00E6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61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5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7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65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46" w:type="dxa"/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C43DB7" w:rsidRPr="008877A7" w:rsidRDefault="00C43DB7" w:rsidP="00A12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rPr>
          <w:trHeight w:val="271"/>
        </w:trPr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DB7" w:rsidRPr="00694F10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C1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C2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  <w:r w:rsidRPr="008877A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CL-UC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E60055" w:rsidRDefault="00D9748C" w:rsidP="00155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9748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D9748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D974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D9748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.00-.1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D974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B7" w:rsidRPr="008877A7" w:rsidRDefault="00C43DB7" w:rsidP="001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00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="00155E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DB7" w:rsidRPr="00694F10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E2 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  <w:r w:rsidRPr="008877A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lower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-CI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upper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CL-UC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8877A7" w:rsidRDefault="00C43DB7" w:rsidP="00DF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DF6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8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20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B7" w:rsidRPr="008877A7" w:rsidRDefault="00C43DB7" w:rsidP="00DF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="00DF69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43DB7" w:rsidRPr="008877A7" w:rsidTr="009645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DB7" w:rsidRPr="008877A7" w:rsidRDefault="00C43DB7" w:rsidP="0096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3F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3F17B8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0</w:t>
            </w:r>
            <w:r w:rsidR="003F1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3F17B8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.01-.02</w:t>
            </w:r>
            <w:r w:rsidRPr="008877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]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A1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21</w:t>
            </w:r>
            <w:r w:rsidR="00E60055"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7</w:t>
            </w:r>
            <w:r w:rsidRPr="00887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2</w:t>
            </w:r>
            <w:r w:rsidR="00A1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5</w:t>
            </w:r>
            <w:r w:rsidRPr="008877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]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DB7" w:rsidRPr="008877A7" w:rsidRDefault="00C43DB7" w:rsidP="0096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B7" w:rsidRPr="008877A7" w:rsidRDefault="00C43DB7" w:rsidP="00A12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E60055"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Pr="008877A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E600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A12A1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  <w:r w:rsidRPr="008877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C43DB7" w:rsidRDefault="00C43DB7" w:rsidP="0096457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4E3">
        <w:rPr>
          <w:rFonts w:ascii="Times New Roman" w:hAnsi="Times New Roman" w:cs="Times New Roman"/>
          <w:i/>
          <w:sz w:val="24"/>
          <w:szCs w:val="24"/>
          <w:lang w:val="en-GB"/>
        </w:rPr>
        <w:t>Note</w:t>
      </w:r>
      <w:r w:rsidRPr="006C74E3">
        <w:rPr>
          <w:rFonts w:ascii="Times New Roman" w:hAnsi="Times New Roman" w:cs="Times New Roman"/>
          <w:sz w:val="24"/>
          <w:szCs w:val="24"/>
          <w:lang w:val="en-GB"/>
        </w:rPr>
        <w:t>. CL-UC = Callousness-Uncaring; UE = Unemotional; [CI</w:t>
      </w:r>
      <w:r w:rsidRPr="006C74E3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lower</w:t>
      </w:r>
      <w:r w:rsidRPr="006C74E3">
        <w:rPr>
          <w:rFonts w:ascii="Times New Roman" w:hAnsi="Times New Roman" w:cs="Times New Roman"/>
          <w:sz w:val="24"/>
          <w:szCs w:val="24"/>
          <w:lang w:val="en-GB"/>
        </w:rPr>
        <w:t>-CI</w:t>
      </w:r>
      <w:r w:rsidRPr="006C74E3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upper</w:t>
      </w:r>
      <w:r w:rsidRPr="006C74E3">
        <w:rPr>
          <w:rFonts w:ascii="Times New Roman" w:hAnsi="Times New Roman" w:cs="Times New Roman"/>
          <w:sz w:val="24"/>
          <w:szCs w:val="24"/>
          <w:lang w:val="en-GB"/>
        </w:rPr>
        <w:t xml:space="preserve">] = 95% confidence intervals. The values presented in the table are standardized components of variance. Significant paths are 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in bold. Fit indices for the model: χ</w:t>
      </w:r>
      <w:r w:rsidRPr="00AC38D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 w:rsidR="002C7E2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C7E2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34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C38DE">
        <w:rPr>
          <w:rFonts w:ascii="Times New Roman" w:hAnsi="Times New Roman" w:cs="Times New Roman"/>
          <w:i/>
          <w:sz w:val="24"/>
          <w:szCs w:val="24"/>
          <w:lang w:val="en-GB"/>
        </w:rPr>
        <w:t>df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2C7E27" w:rsidRPr="00AC38D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C7E2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C38DE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 &lt; .0001; AIC = </w:t>
      </w:r>
      <w:r w:rsidR="002C7E27">
        <w:rPr>
          <w:rFonts w:ascii="Times New Roman" w:hAnsi="Times New Roman" w:cs="Times New Roman"/>
          <w:sz w:val="24"/>
          <w:szCs w:val="24"/>
          <w:lang w:val="en-GB"/>
        </w:rPr>
        <w:t>100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185</w:t>
      </w:r>
      <w:r w:rsidR="002C7E27">
        <w:rPr>
          <w:rFonts w:ascii="Times New Roman" w:hAnsi="Times New Roman" w:cs="Times New Roman"/>
          <w:sz w:val="24"/>
          <w:szCs w:val="24"/>
          <w:lang w:val="en-GB"/>
        </w:rPr>
        <w:t>.46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; CFI = .</w:t>
      </w:r>
      <w:r w:rsidR="002C7E27" w:rsidRPr="00AC38DE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; SRMR = 0.05; RMSEA [95% CI</w:t>
      </w:r>
      <w:r w:rsidRPr="00AC38D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lower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-CI</w:t>
      </w:r>
      <w:r w:rsidRPr="00AC38D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upper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] = .04</w:t>
      </w:r>
      <w:r w:rsidR="002C7E27" w:rsidRPr="00AC38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AC38D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8F031D" w:rsidRPr="00AC38DE">
        <w:rPr>
          <w:rFonts w:ascii="Times New Roman" w:hAnsi="Times New Roman" w:cs="Times New Roman"/>
          <w:color w:val="000000"/>
          <w:sz w:val="24"/>
          <w:szCs w:val="24"/>
          <w:lang w:val="en-GB"/>
        </w:rPr>
        <w:t>0</w:t>
      </w:r>
      <w:r w:rsidR="008F031D">
        <w:rPr>
          <w:rFonts w:ascii="Times New Roman" w:hAnsi="Times New Roman" w:cs="Times New Roman"/>
          <w:color w:val="000000"/>
          <w:sz w:val="24"/>
          <w:szCs w:val="24"/>
          <w:lang w:val="en-GB"/>
        </w:rPr>
        <w:t>3</w:t>
      </w:r>
      <w:r w:rsidRPr="00AC38DE">
        <w:rPr>
          <w:rFonts w:ascii="Times New Roman" w:hAnsi="Times New Roman" w:cs="Times New Roman"/>
          <w:color w:val="000000"/>
          <w:sz w:val="24"/>
          <w:szCs w:val="24"/>
          <w:lang w:val="en-GB"/>
        </w:rPr>
        <w:t>-.</w:t>
      </w:r>
      <w:r w:rsidR="008F031D" w:rsidRPr="00AC38DE">
        <w:rPr>
          <w:rFonts w:ascii="Times New Roman" w:hAnsi="Times New Roman" w:cs="Times New Roman"/>
          <w:color w:val="000000"/>
          <w:sz w:val="24"/>
          <w:szCs w:val="24"/>
          <w:lang w:val="en-GB"/>
        </w:rPr>
        <w:t>0</w:t>
      </w:r>
      <w:r w:rsidR="008F031D">
        <w:rPr>
          <w:rFonts w:ascii="Times New Roman" w:hAnsi="Times New Roman" w:cs="Times New Roman"/>
          <w:color w:val="000000"/>
          <w:sz w:val="24"/>
          <w:szCs w:val="24"/>
          <w:lang w:val="en-GB"/>
        </w:rPr>
        <w:t>4</w:t>
      </w:r>
      <w:r w:rsidRPr="00AC38DE">
        <w:rPr>
          <w:rFonts w:ascii="Times New Roman" w:hAnsi="Times New Roman" w:cs="Times New Roman"/>
          <w:sz w:val="24"/>
          <w:szCs w:val="24"/>
          <w:lang w:val="en-GB"/>
        </w:rPr>
        <w:t>].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Genetic correlation = .</w:t>
      </w:r>
      <w:r w:rsidR="00E60055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C29A9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&lt; .001; Bivariate heritability = .</w:t>
      </w:r>
      <w:r w:rsidR="00E60055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57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C29A9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&lt; .001;; Nonshared environmental correlation = .</w:t>
      </w:r>
      <w:r w:rsidR="00E6005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66267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C29A9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&lt; .001; Bivariate Nonshared environmental contributions = .05, </w:t>
      </w:r>
      <w:r w:rsidRPr="00BC29A9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&lt; .</w:t>
      </w:r>
      <w:r w:rsidR="00E60055">
        <w:rPr>
          <w:rFonts w:ascii="Times New Roman" w:hAnsi="Times New Roman" w:cs="Times New Roman"/>
          <w:sz w:val="24"/>
          <w:szCs w:val="24"/>
          <w:lang w:val="en-GB"/>
        </w:rPr>
        <w:t>001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011FF">
        <w:rPr>
          <w:rFonts w:ascii="Times New Roman" w:hAnsi="Times New Roman" w:cs="Times New Roman"/>
          <w:sz w:val="24"/>
          <w:szCs w:val="24"/>
          <w:lang w:val="en-GB"/>
        </w:rPr>
        <w:t xml:space="preserve"> An ACE structure was tested on the CL-UC factor, while an AE structure was tested on the UE factor.</w:t>
      </w:r>
      <w:r w:rsidR="00241B46">
        <w:rPr>
          <w:rFonts w:ascii="Times New Roman" w:hAnsi="Times New Roman" w:cs="Times New Roman"/>
          <w:sz w:val="24"/>
          <w:szCs w:val="24"/>
          <w:lang w:val="en-GB"/>
        </w:rPr>
        <w:t xml:space="preserve"> Sibling interaction effects are included for the Unemotional score.</w:t>
      </w:r>
    </w:p>
    <w:p w:rsidR="00C43DB7" w:rsidRPr="008877A7" w:rsidRDefault="00C43DB7" w:rsidP="00C43DB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B5E38" w:rsidRPr="00C43DB7" w:rsidRDefault="005B5E38">
      <w:pPr>
        <w:rPr>
          <w:lang w:val="en-GB"/>
        </w:rPr>
      </w:pPr>
    </w:p>
    <w:sectPr w:rsidR="005B5E38" w:rsidRPr="00C43DB7" w:rsidSect="00EE02C1">
      <w:headerReference w:type="default" r:id="rId7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30" w:rsidRDefault="00530230">
      <w:pPr>
        <w:spacing w:after="0" w:line="240" w:lineRule="auto"/>
      </w:pPr>
      <w:r>
        <w:separator/>
      </w:r>
    </w:p>
  </w:endnote>
  <w:endnote w:type="continuationSeparator" w:id="0">
    <w:p w:rsidR="00530230" w:rsidRDefault="0053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30" w:rsidRDefault="00530230">
      <w:pPr>
        <w:spacing w:after="0" w:line="240" w:lineRule="auto"/>
      </w:pPr>
      <w:r>
        <w:separator/>
      </w:r>
    </w:p>
  </w:footnote>
  <w:footnote w:type="continuationSeparator" w:id="0">
    <w:p w:rsidR="00530230" w:rsidRDefault="0053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64375512"/>
      <w:docPartObj>
        <w:docPartGallery w:val="Page Numbers (Top of Page)"/>
        <w:docPartUnique/>
      </w:docPartObj>
    </w:sdtPr>
    <w:sdtEndPr/>
    <w:sdtContent>
      <w:p w:rsidR="00D07DB7" w:rsidRPr="00D70639" w:rsidRDefault="00D07DB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00485">
          <w:rPr>
            <w:rFonts w:ascii="Times New Roman" w:hAnsi="Times New Roman" w:cs="Times New Roman"/>
            <w:sz w:val="24"/>
            <w:szCs w:val="24"/>
          </w:rPr>
          <w:t xml:space="preserve">GENETIC CONTRIBUTIONS CALLOUS-UNEMOTIONAL TRAITS, </w:t>
        </w:r>
        <w:r w:rsidR="00D10FF8" w:rsidRPr="00E004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4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10FF8" w:rsidRPr="00E004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2C1" w:rsidRPr="00EE02C1">
          <w:rPr>
            <w:rFonts w:ascii="Times New Roman" w:hAnsi="Times New Roman" w:cs="Times New Roman"/>
            <w:noProof/>
            <w:sz w:val="24"/>
            <w:szCs w:val="24"/>
            <w:lang w:val="fr-FR"/>
          </w:rPr>
          <w:t>4</w:t>
        </w:r>
        <w:r w:rsidR="00D10FF8" w:rsidRPr="00E004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7DB7" w:rsidRDefault="00D07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14685"/>
    <w:multiLevelType w:val="hybridMultilevel"/>
    <w:tmpl w:val="E3DC24DA"/>
    <w:lvl w:ilvl="0" w:tplc="5C1868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DB7"/>
    <w:rsid w:val="00022A07"/>
    <w:rsid w:val="00043EC1"/>
    <w:rsid w:val="000A2B61"/>
    <w:rsid w:val="000B1CCC"/>
    <w:rsid w:val="000E000F"/>
    <w:rsid w:val="00155EF5"/>
    <w:rsid w:val="00172DC4"/>
    <w:rsid w:val="001D1D6F"/>
    <w:rsid w:val="00206101"/>
    <w:rsid w:val="00227AAB"/>
    <w:rsid w:val="00241B46"/>
    <w:rsid w:val="00255395"/>
    <w:rsid w:val="00276EC3"/>
    <w:rsid w:val="00283C8C"/>
    <w:rsid w:val="002C7E27"/>
    <w:rsid w:val="003011FF"/>
    <w:rsid w:val="00345084"/>
    <w:rsid w:val="003532CF"/>
    <w:rsid w:val="00383F80"/>
    <w:rsid w:val="00386E02"/>
    <w:rsid w:val="003F0E15"/>
    <w:rsid w:val="003F17B8"/>
    <w:rsid w:val="003F374F"/>
    <w:rsid w:val="00435774"/>
    <w:rsid w:val="00466267"/>
    <w:rsid w:val="00480E5B"/>
    <w:rsid w:val="004C4580"/>
    <w:rsid w:val="004E3DD5"/>
    <w:rsid w:val="00530230"/>
    <w:rsid w:val="005B5E38"/>
    <w:rsid w:val="005E35F2"/>
    <w:rsid w:val="00702F7F"/>
    <w:rsid w:val="0072703F"/>
    <w:rsid w:val="00786814"/>
    <w:rsid w:val="00792D2F"/>
    <w:rsid w:val="007A1CE0"/>
    <w:rsid w:val="00855073"/>
    <w:rsid w:val="00865FA8"/>
    <w:rsid w:val="008867F5"/>
    <w:rsid w:val="008F031D"/>
    <w:rsid w:val="00964577"/>
    <w:rsid w:val="009D204D"/>
    <w:rsid w:val="00A12A10"/>
    <w:rsid w:val="00A74F99"/>
    <w:rsid w:val="00B545B4"/>
    <w:rsid w:val="00B610A3"/>
    <w:rsid w:val="00B955A6"/>
    <w:rsid w:val="00BA635E"/>
    <w:rsid w:val="00BB37DC"/>
    <w:rsid w:val="00C43DB7"/>
    <w:rsid w:val="00CB644F"/>
    <w:rsid w:val="00CB7B70"/>
    <w:rsid w:val="00CD40C5"/>
    <w:rsid w:val="00CF5EF9"/>
    <w:rsid w:val="00D07DB7"/>
    <w:rsid w:val="00D10FF8"/>
    <w:rsid w:val="00D7047A"/>
    <w:rsid w:val="00D91E82"/>
    <w:rsid w:val="00D9748C"/>
    <w:rsid w:val="00DD2F61"/>
    <w:rsid w:val="00DF6955"/>
    <w:rsid w:val="00E60055"/>
    <w:rsid w:val="00E7329E"/>
    <w:rsid w:val="00EB746A"/>
    <w:rsid w:val="00EE02C1"/>
    <w:rsid w:val="00EE576C"/>
    <w:rsid w:val="00EF4E2C"/>
    <w:rsid w:val="00F84642"/>
    <w:rsid w:val="00FA27FF"/>
    <w:rsid w:val="00FC7FB5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1BA6D-6F76-4381-82D3-4C8DE118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D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B7"/>
  </w:style>
  <w:style w:type="table" w:styleId="TableGrid">
    <w:name w:val="Table Grid"/>
    <w:basedOn w:val="TableNormal"/>
    <w:uiPriority w:val="39"/>
    <w:rsid w:val="00C4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43DB7"/>
  </w:style>
  <w:style w:type="character" w:styleId="CommentReference">
    <w:name w:val="annotation reference"/>
    <w:basedOn w:val="DefaultParagraphFont"/>
    <w:uiPriority w:val="99"/>
    <w:semiHidden/>
    <w:unhideWhenUsed/>
    <w:rsid w:val="00702F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2F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7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29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F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Portuaire de Sept-Iles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Morin</dc:creator>
  <cp:lastModifiedBy>User</cp:lastModifiedBy>
  <cp:revision>5</cp:revision>
  <dcterms:created xsi:type="dcterms:W3CDTF">2015-08-21T17:52:00Z</dcterms:created>
  <dcterms:modified xsi:type="dcterms:W3CDTF">2015-09-11T12:56:00Z</dcterms:modified>
</cp:coreProperties>
</file>