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8A" w:rsidRDefault="00E3518A" w:rsidP="00E3518A">
      <w:pPr>
        <w:jc w:val="center"/>
        <w:rPr>
          <w:rFonts w:ascii="Times New Roman" w:hAnsi="Times New Roman" w:cs="Times New Roman"/>
        </w:rPr>
      </w:pPr>
      <w:r w:rsidRPr="00E3518A">
        <w:rPr>
          <w:rFonts w:ascii="Times New Roman" w:hAnsi="Times New Roman" w:cs="Times New Roman"/>
        </w:rPr>
        <w:t>Online Supplement</w:t>
      </w:r>
      <w:r w:rsidR="00665D9A">
        <w:rPr>
          <w:rFonts w:ascii="Times New Roman" w:hAnsi="Times New Roman" w:cs="Times New Roman"/>
        </w:rPr>
        <w:t>ary Material</w:t>
      </w:r>
      <w:r w:rsidRPr="00E3518A">
        <w:rPr>
          <w:rFonts w:ascii="Times New Roman" w:hAnsi="Times New Roman" w:cs="Times New Roman"/>
        </w:rPr>
        <w:t xml:space="preserve"> for </w:t>
      </w:r>
      <w:r w:rsidR="00247411">
        <w:rPr>
          <w:rFonts w:ascii="Times New Roman" w:hAnsi="Times New Roman" w:cs="Times New Roman"/>
        </w:rPr>
        <w:t>“</w:t>
      </w:r>
      <w:r w:rsidR="00247411" w:rsidRPr="00247411">
        <w:rPr>
          <w:rFonts w:ascii="Times New Roman" w:hAnsi="Times New Roman" w:cs="Times New Roman"/>
        </w:rPr>
        <w:t>Overlapping Genetic and Environmental Influences Among Men’s Alcohol Consumption and Problems, Romantic Quality, and Social Support</w:t>
      </w:r>
      <w:r w:rsidR="00247411">
        <w:rPr>
          <w:rFonts w:ascii="Times New Roman" w:hAnsi="Times New Roman" w:cs="Times New Roman"/>
        </w:rPr>
        <w:t>”</w:t>
      </w:r>
    </w:p>
    <w:p w:rsidR="00874E64" w:rsidRPr="00E3518A" w:rsidRDefault="00874E64" w:rsidP="00E3518A">
      <w:pPr>
        <w:jc w:val="center"/>
        <w:rPr>
          <w:rFonts w:ascii="Times New Roman" w:hAnsi="Times New Roman" w:cs="Times New Roman"/>
        </w:rPr>
      </w:pPr>
    </w:p>
    <w:p w:rsidR="00E3518A" w:rsidRPr="00E3518A" w:rsidRDefault="00E3518A" w:rsidP="00E3518A">
      <w:pPr>
        <w:jc w:val="center"/>
        <w:rPr>
          <w:rFonts w:ascii="Times New Roman" w:hAnsi="Times New Roman" w:cs="Times New Roman"/>
        </w:rPr>
      </w:pPr>
      <w:r w:rsidRPr="00E3518A">
        <w:rPr>
          <w:rFonts w:ascii="Times New Roman" w:hAnsi="Times New Roman" w:cs="Times New Roman"/>
        </w:rPr>
        <w:t>Salvatore, Prom-Wormley, Prescott, &amp; Kendler</w:t>
      </w:r>
    </w:p>
    <w:p w:rsidR="008A022D" w:rsidRDefault="008A022D" w:rsidP="00247411">
      <w:pPr>
        <w:rPr>
          <w:rFonts w:ascii="Times New Roman" w:hAnsi="Times New Roman" w:cs="Times New Roman"/>
          <w:b/>
        </w:rPr>
      </w:pPr>
    </w:p>
    <w:p w:rsidR="006A010F" w:rsidRPr="008D296E" w:rsidRDefault="006A010F" w:rsidP="006A010F">
      <w:pPr>
        <w:rPr>
          <w:rFonts w:ascii="Times New Roman" w:hAnsi="Times New Roman" w:cs="Times New Roman"/>
          <w:b/>
        </w:rPr>
      </w:pPr>
      <w:r w:rsidRPr="008D296E">
        <w:rPr>
          <w:rFonts w:ascii="Times New Roman" w:hAnsi="Times New Roman" w:cs="Times New Roman"/>
          <w:b/>
        </w:rPr>
        <w:t xml:space="preserve">Representativeness Analyses </w:t>
      </w:r>
    </w:p>
    <w:p w:rsidR="006A010F" w:rsidRDefault="006A010F" w:rsidP="00C11AB7">
      <w:pPr>
        <w:ind w:firstLine="720"/>
        <w:rPr>
          <w:rFonts w:ascii="Times New Roman" w:hAnsi="Times New Roman" w:cs="Times New Roman"/>
          <w:b/>
        </w:rPr>
      </w:pPr>
      <w:r w:rsidRPr="008D296E">
        <w:rPr>
          <w:rFonts w:ascii="Times New Roman" w:hAnsi="Times New Roman" w:cs="Times New Roman"/>
        </w:rPr>
        <w:t>Twins from incomplete and complete pairs did not significantly differ in alcohol consumption [</w:t>
      </w:r>
      <w:r w:rsidRPr="008D296E">
        <w:rPr>
          <w:rFonts w:ascii="Times New Roman" w:hAnsi="Times New Roman" w:cs="Times New Roman"/>
          <w:i/>
        </w:rPr>
        <w:t>t</w:t>
      </w:r>
      <w:r w:rsidRPr="008D296E">
        <w:rPr>
          <w:rFonts w:ascii="Times New Roman" w:hAnsi="Times New Roman" w:cs="Times New Roman"/>
        </w:rPr>
        <w:t xml:space="preserve">(2463) = 1.37, </w:t>
      </w:r>
      <w:r w:rsidRPr="008D296E">
        <w:rPr>
          <w:rFonts w:ascii="Times New Roman" w:hAnsi="Times New Roman" w:cs="Times New Roman"/>
          <w:i/>
        </w:rPr>
        <w:t xml:space="preserve">p </w:t>
      </w:r>
      <w:r w:rsidRPr="008D296E">
        <w:rPr>
          <w:rFonts w:ascii="Times New Roman" w:hAnsi="Times New Roman" w:cs="Times New Roman"/>
        </w:rPr>
        <w:t>= 0.17], romantic conflict [</w:t>
      </w:r>
      <w:r w:rsidRPr="008D296E">
        <w:rPr>
          <w:rFonts w:ascii="Times New Roman" w:hAnsi="Times New Roman" w:cs="Times New Roman"/>
          <w:i/>
        </w:rPr>
        <w:t>t</w:t>
      </w:r>
      <w:r w:rsidRPr="008D296E">
        <w:rPr>
          <w:rFonts w:ascii="Times New Roman" w:hAnsi="Times New Roman" w:cs="Times New Roman"/>
        </w:rPr>
        <w:t xml:space="preserve">(1840) = -0.30, </w:t>
      </w:r>
      <w:r w:rsidRPr="008D296E">
        <w:rPr>
          <w:rFonts w:ascii="Times New Roman" w:hAnsi="Times New Roman" w:cs="Times New Roman"/>
          <w:i/>
        </w:rPr>
        <w:t>p</w:t>
      </w:r>
      <w:r w:rsidRPr="008D296E">
        <w:rPr>
          <w:rFonts w:ascii="Times New Roman" w:hAnsi="Times New Roman" w:cs="Times New Roman"/>
        </w:rPr>
        <w:t xml:space="preserve"> = 0.76], romantic warmth [</w:t>
      </w:r>
      <w:r w:rsidRPr="008D296E">
        <w:rPr>
          <w:rFonts w:ascii="Times New Roman" w:hAnsi="Times New Roman" w:cs="Times New Roman"/>
          <w:i/>
        </w:rPr>
        <w:t>t</w:t>
      </w:r>
      <w:r w:rsidRPr="008D296E">
        <w:rPr>
          <w:rFonts w:ascii="Times New Roman" w:hAnsi="Times New Roman" w:cs="Times New Roman"/>
        </w:rPr>
        <w:t xml:space="preserve">(1840) = 0.52, </w:t>
      </w:r>
      <w:r w:rsidRPr="008D296E">
        <w:rPr>
          <w:rFonts w:ascii="Times New Roman" w:hAnsi="Times New Roman" w:cs="Times New Roman"/>
          <w:i/>
        </w:rPr>
        <w:t>p</w:t>
      </w:r>
      <w:r w:rsidRPr="008D296E">
        <w:rPr>
          <w:rFonts w:ascii="Times New Roman" w:hAnsi="Times New Roman" w:cs="Times New Roman"/>
        </w:rPr>
        <w:t xml:space="preserve"> = 0.60], friend problems [</w:t>
      </w:r>
      <w:r w:rsidRPr="008D296E">
        <w:rPr>
          <w:rFonts w:ascii="Times New Roman" w:hAnsi="Times New Roman" w:cs="Times New Roman"/>
          <w:i/>
        </w:rPr>
        <w:t>t</w:t>
      </w:r>
      <w:r w:rsidRPr="008D296E">
        <w:rPr>
          <w:rFonts w:ascii="Times New Roman" w:hAnsi="Times New Roman" w:cs="Times New Roman"/>
        </w:rPr>
        <w:t xml:space="preserve">(2547) = -1.09, </w:t>
      </w:r>
      <w:r w:rsidRPr="008D296E">
        <w:rPr>
          <w:rFonts w:ascii="Times New Roman" w:hAnsi="Times New Roman" w:cs="Times New Roman"/>
          <w:i/>
        </w:rPr>
        <w:t>p</w:t>
      </w:r>
      <w:r w:rsidRPr="008D296E">
        <w:rPr>
          <w:rFonts w:ascii="Times New Roman" w:hAnsi="Times New Roman" w:cs="Times New Roman"/>
        </w:rPr>
        <w:t xml:space="preserve"> = 0.28], friend support [</w:t>
      </w:r>
      <w:r w:rsidRPr="008D296E">
        <w:rPr>
          <w:rFonts w:ascii="Times New Roman" w:hAnsi="Times New Roman" w:cs="Times New Roman"/>
          <w:i/>
        </w:rPr>
        <w:t>t</w:t>
      </w:r>
      <w:r w:rsidRPr="008D296E">
        <w:rPr>
          <w:rFonts w:ascii="Times New Roman" w:hAnsi="Times New Roman" w:cs="Times New Roman"/>
        </w:rPr>
        <w:t xml:space="preserve">(2547) = 1.55, </w:t>
      </w:r>
      <w:r w:rsidRPr="008D296E">
        <w:rPr>
          <w:rFonts w:ascii="Times New Roman" w:hAnsi="Times New Roman" w:cs="Times New Roman"/>
          <w:i/>
        </w:rPr>
        <w:t>p</w:t>
      </w:r>
      <w:r w:rsidRPr="008D296E">
        <w:rPr>
          <w:rFonts w:ascii="Times New Roman" w:hAnsi="Times New Roman" w:cs="Times New Roman"/>
        </w:rPr>
        <w:t xml:space="preserve"> = 0.12], or relative problems [</w:t>
      </w:r>
      <w:r w:rsidRPr="008D296E">
        <w:rPr>
          <w:rFonts w:ascii="Times New Roman" w:hAnsi="Times New Roman" w:cs="Times New Roman"/>
          <w:i/>
        </w:rPr>
        <w:t>t</w:t>
      </w:r>
      <w:r w:rsidRPr="008D296E">
        <w:rPr>
          <w:rFonts w:ascii="Times New Roman" w:hAnsi="Times New Roman" w:cs="Times New Roman"/>
        </w:rPr>
        <w:t xml:space="preserve">(2564) = -0.31, </w:t>
      </w:r>
      <w:r w:rsidRPr="008D296E">
        <w:rPr>
          <w:rFonts w:ascii="Times New Roman" w:hAnsi="Times New Roman" w:cs="Times New Roman"/>
          <w:i/>
        </w:rPr>
        <w:t>p</w:t>
      </w:r>
      <w:r w:rsidRPr="008D296E">
        <w:rPr>
          <w:rFonts w:ascii="Times New Roman" w:hAnsi="Times New Roman" w:cs="Times New Roman"/>
        </w:rPr>
        <w:t xml:space="preserve"> = 0.76]. Twins from complete pairs did, however, have fewer alcohol problems [</w:t>
      </w:r>
      <w:r w:rsidRPr="008D296E">
        <w:rPr>
          <w:rFonts w:ascii="Times New Roman" w:hAnsi="Times New Roman" w:cs="Times New Roman"/>
          <w:i/>
        </w:rPr>
        <w:t>t</w:t>
      </w:r>
      <w:r w:rsidRPr="008D296E">
        <w:rPr>
          <w:rFonts w:ascii="Times New Roman" w:hAnsi="Times New Roman" w:cs="Times New Roman"/>
        </w:rPr>
        <w:t xml:space="preserve">(2575) = 2.39, </w:t>
      </w:r>
      <w:r w:rsidRPr="008D296E">
        <w:rPr>
          <w:rFonts w:ascii="Times New Roman" w:hAnsi="Times New Roman" w:cs="Times New Roman"/>
          <w:i/>
        </w:rPr>
        <w:t>p</w:t>
      </w:r>
      <w:r w:rsidRPr="008D296E">
        <w:rPr>
          <w:rFonts w:ascii="Times New Roman" w:hAnsi="Times New Roman" w:cs="Times New Roman"/>
        </w:rPr>
        <w:t xml:space="preserve"> = 0.02, Cohen’s </w:t>
      </w:r>
      <w:r w:rsidRPr="008D296E">
        <w:rPr>
          <w:rFonts w:ascii="Times New Roman" w:hAnsi="Times New Roman" w:cs="Times New Roman"/>
          <w:i/>
        </w:rPr>
        <w:t>d</w:t>
      </w:r>
      <w:r w:rsidRPr="008D296E">
        <w:rPr>
          <w:rFonts w:ascii="Times New Roman" w:hAnsi="Times New Roman" w:cs="Times New Roman"/>
        </w:rPr>
        <w:t xml:space="preserve"> = 0.16] and lower relative support [</w:t>
      </w:r>
      <w:r w:rsidRPr="008D296E">
        <w:rPr>
          <w:rFonts w:ascii="Times New Roman" w:hAnsi="Times New Roman" w:cs="Times New Roman"/>
          <w:i/>
        </w:rPr>
        <w:t>t</w:t>
      </w:r>
      <w:r w:rsidRPr="008D296E">
        <w:rPr>
          <w:rFonts w:ascii="Times New Roman" w:hAnsi="Times New Roman" w:cs="Times New Roman"/>
        </w:rPr>
        <w:t xml:space="preserve">(2564) = 2.10, p = 0.04, Cohen’s </w:t>
      </w:r>
      <w:r w:rsidRPr="008D296E">
        <w:rPr>
          <w:rFonts w:ascii="Times New Roman" w:hAnsi="Times New Roman" w:cs="Times New Roman"/>
          <w:i/>
        </w:rPr>
        <w:t>d</w:t>
      </w:r>
      <w:r w:rsidRPr="008D296E">
        <w:rPr>
          <w:rFonts w:ascii="Times New Roman" w:hAnsi="Times New Roman" w:cs="Times New Roman"/>
        </w:rPr>
        <w:t xml:space="preserve"> = 0.16] compared to twins from incomplete pairs</w:t>
      </w:r>
      <w:r w:rsidR="002B11DA">
        <w:rPr>
          <w:rFonts w:ascii="Times New Roman" w:hAnsi="Times New Roman" w:cs="Times New Roman"/>
        </w:rPr>
        <w:t>. The</w:t>
      </w:r>
      <w:r w:rsidRPr="008D296E">
        <w:rPr>
          <w:rFonts w:ascii="Times New Roman" w:hAnsi="Times New Roman" w:cs="Times New Roman"/>
        </w:rPr>
        <w:t xml:space="preserve"> effect sizes for these differences were small.</w:t>
      </w:r>
    </w:p>
    <w:p w:rsidR="006A010F" w:rsidRDefault="006A010F" w:rsidP="00247411">
      <w:pPr>
        <w:rPr>
          <w:rFonts w:ascii="Times New Roman" w:hAnsi="Times New Roman" w:cs="Times New Roman"/>
          <w:b/>
        </w:rPr>
      </w:pPr>
    </w:p>
    <w:p w:rsidR="00247411" w:rsidRDefault="00247411" w:rsidP="00247411">
      <w:pPr>
        <w:rPr>
          <w:rFonts w:ascii="Times New Roman" w:hAnsi="Times New Roman" w:cs="Times New Roman"/>
          <w:b/>
        </w:rPr>
      </w:pPr>
      <w:r w:rsidRPr="00247411">
        <w:rPr>
          <w:rFonts w:ascii="Times New Roman" w:hAnsi="Times New Roman" w:cs="Times New Roman"/>
          <w:b/>
        </w:rPr>
        <w:t>Transformation of Skewed Variables</w:t>
      </w:r>
    </w:p>
    <w:p w:rsidR="008F2758" w:rsidRDefault="008F2758" w:rsidP="0024741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Preliminary descriptive statistics indicated that the alcohol consumption, alcohol problems, relationship warmth, and relative support variables were skewed (skew &gt; </w:t>
      </w:r>
      <w:r w:rsidRPr="00247411">
        <w:rPr>
          <w:rFonts w:ascii="Times New Roman" w:hAnsi="Times New Roman" w:cs="Times New Roman"/>
        </w:rPr>
        <w:t>|1|</w:t>
      </w:r>
      <w:r>
        <w:rPr>
          <w:rFonts w:ascii="Times New Roman" w:hAnsi="Times New Roman" w:cs="Times New Roman"/>
        </w:rPr>
        <w:t>). We transformed them to reduce skew using the following procedures:</w:t>
      </w:r>
    </w:p>
    <w:p w:rsidR="00247411" w:rsidRPr="00247411" w:rsidRDefault="00247411" w:rsidP="00247411">
      <w:pPr>
        <w:ind w:firstLine="720"/>
        <w:rPr>
          <w:rFonts w:ascii="Times New Roman" w:hAnsi="Times New Roman" w:cs="Times New Roman"/>
        </w:rPr>
      </w:pPr>
      <w:r w:rsidRPr="00247411">
        <w:rPr>
          <w:rFonts w:ascii="Times New Roman" w:hAnsi="Times New Roman" w:cs="Times New Roman"/>
        </w:rPr>
        <w:t xml:space="preserve">We applied a logarithmic transformation to the alcohol consumption variable in view of its positive skew (skew = 5.70). The logarithm of 0 is undefined, and in order to retain individuals who reported no alcohol consumption in the past year in our analyses, we added 1 to each participant’s alcohol consumption product and took the logarithm of this sum [i.e., log(frequency x quantity + 1). </w:t>
      </w:r>
      <w:r w:rsidR="008F2758">
        <w:rPr>
          <w:rFonts w:ascii="Times New Roman" w:hAnsi="Times New Roman" w:cs="Times New Roman"/>
        </w:rPr>
        <w:t>The a</w:t>
      </w:r>
      <w:r w:rsidRPr="00247411">
        <w:rPr>
          <w:rFonts w:ascii="Times New Roman" w:hAnsi="Times New Roman" w:cs="Times New Roman"/>
        </w:rPr>
        <w:t xml:space="preserve">lcohol problems </w:t>
      </w:r>
      <w:r w:rsidR="008F2758">
        <w:rPr>
          <w:rFonts w:ascii="Times New Roman" w:hAnsi="Times New Roman" w:cs="Times New Roman"/>
        </w:rPr>
        <w:t xml:space="preserve">variable </w:t>
      </w:r>
      <w:r w:rsidRPr="00247411">
        <w:rPr>
          <w:rFonts w:ascii="Times New Roman" w:hAnsi="Times New Roman" w:cs="Times New Roman"/>
        </w:rPr>
        <w:t xml:space="preserve">was also positively skewed (skew = 1.23) and we applied a similar logarithmic transformation [i.e., log(alcohol problems + 1)]. </w:t>
      </w:r>
    </w:p>
    <w:p w:rsidR="00247411" w:rsidRPr="00247411" w:rsidRDefault="00247411" w:rsidP="00247411">
      <w:pPr>
        <w:ind w:firstLine="720"/>
        <w:rPr>
          <w:rFonts w:ascii="Times New Roman" w:hAnsi="Times New Roman" w:cs="Times New Roman"/>
          <w:b/>
        </w:rPr>
      </w:pPr>
      <w:r w:rsidRPr="00247411">
        <w:rPr>
          <w:rFonts w:ascii="Times New Roman" w:hAnsi="Times New Roman" w:cs="Times New Roman"/>
        </w:rPr>
        <w:t xml:space="preserve">The relationship warmth and relative support variables were negatively skewed (skew = -1.92 and -1.81, respectively). We </w:t>
      </w:r>
      <w:r w:rsidR="00E5261E">
        <w:rPr>
          <w:rFonts w:ascii="Times New Roman" w:hAnsi="Times New Roman" w:cs="Times New Roman"/>
        </w:rPr>
        <w:t>rescaled</w:t>
      </w:r>
      <w:r w:rsidR="00E5261E" w:rsidRPr="00247411">
        <w:rPr>
          <w:rFonts w:ascii="Times New Roman" w:hAnsi="Times New Roman" w:cs="Times New Roman"/>
        </w:rPr>
        <w:t xml:space="preserve"> </w:t>
      </w:r>
      <w:r w:rsidRPr="00247411">
        <w:rPr>
          <w:rFonts w:ascii="Times New Roman" w:hAnsi="Times New Roman" w:cs="Times New Roman"/>
        </w:rPr>
        <w:t>this for each variable separately by first subtracting each participant’s score from the maximum observed value</w:t>
      </w:r>
      <w:r w:rsidR="008F2758">
        <w:rPr>
          <w:rFonts w:ascii="Times New Roman" w:hAnsi="Times New Roman" w:cs="Times New Roman"/>
        </w:rPr>
        <w:t xml:space="preserve"> in the sample</w:t>
      </w:r>
      <w:r w:rsidRPr="00247411">
        <w:rPr>
          <w:rFonts w:ascii="Times New Roman" w:hAnsi="Times New Roman" w:cs="Times New Roman"/>
        </w:rPr>
        <w:t xml:space="preserve">, creating a new variable whereby low scores indicated high warmth and relative support. We then added 1 to this difference in order to retain individuals who had difference scores of 0, and took the logarithm of this sum. Finally, we multiplied this logarithm by (-1) to retain the original direction of the variable, such that high scores indicated high warmth and relative support [e.g., log(maximum warmth – participant warmth + 1)*(-1). </w:t>
      </w:r>
      <w:r w:rsidR="008F2758">
        <w:rPr>
          <w:rFonts w:ascii="Times New Roman" w:hAnsi="Times New Roman" w:cs="Times New Roman"/>
        </w:rPr>
        <w:t>Following these transformations, the alcohol consumption, alcohol problems, relationship warmth, and relative support variables (along with all other variables us</w:t>
      </w:r>
      <w:r w:rsidR="00E507E9">
        <w:rPr>
          <w:rFonts w:ascii="Times New Roman" w:hAnsi="Times New Roman" w:cs="Times New Roman"/>
        </w:rPr>
        <w:t>ed</w:t>
      </w:r>
      <w:r w:rsidR="008F2758">
        <w:rPr>
          <w:rFonts w:ascii="Times New Roman" w:hAnsi="Times New Roman" w:cs="Times New Roman"/>
        </w:rPr>
        <w:t xml:space="preserve"> in the twin models) had skew </w:t>
      </w:r>
      <w:r w:rsidR="008F2758" w:rsidRPr="00247411">
        <w:rPr>
          <w:rFonts w:ascii="Times New Roman" w:hAnsi="Times New Roman" w:cs="Times New Roman"/>
        </w:rPr>
        <w:t>&lt; |1|</w:t>
      </w:r>
      <w:r w:rsidR="008F2758">
        <w:rPr>
          <w:rFonts w:ascii="Times New Roman" w:hAnsi="Times New Roman" w:cs="Times New Roman"/>
        </w:rPr>
        <w:t>.</w:t>
      </w:r>
    </w:p>
    <w:p w:rsidR="00247411" w:rsidRDefault="00247411" w:rsidP="00247411">
      <w:pPr>
        <w:rPr>
          <w:rFonts w:ascii="Times New Roman" w:hAnsi="Times New Roman" w:cs="Times New Roman"/>
          <w:b/>
        </w:rPr>
      </w:pPr>
    </w:p>
    <w:p w:rsidR="00247411" w:rsidRPr="00247411" w:rsidRDefault="00247411" w:rsidP="00247411">
      <w:pPr>
        <w:rPr>
          <w:rFonts w:ascii="Times New Roman" w:hAnsi="Times New Roman" w:cs="Times New Roman"/>
          <w:b/>
        </w:rPr>
      </w:pPr>
      <w:r w:rsidRPr="00247411">
        <w:rPr>
          <w:rFonts w:ascii="Times New Roman" w:hAnsi="Times New Roman" w:cs="Times New Roman"/>
          <w:b/>
        </w:rPr>
        <w:t>Evaluating Causal Associations</w:t>
      </w:r>
      <w:r w:rsidR="00E40777">
        <w:rPr>
          <w:rFonts w:ascii="Times New Roman" w:hAnsi="Times New Roman" w:cs="Times New Roman"/>
          <w:b/>
        </w:rPr>
        <w:t xml:space="preserve"> Between</w:t>
      </w:r>
      <w:r w:rsidRPr="00247411">
        <w:rPr>
          <w:rFonts w:ascii="Times New Roman" w:hAnsi="Times New Roman" w:cs="Times New Roman"/>
          <w:b/>
        </w:rPr>
        <w:t xml:space="preserve"> </w:t>
      </w:r>
      <w:r w:rsidR="00F84106" w:rsidRPr="00247411">
        <w:rPr>
          <w:rFonts w:ascii="Times New Roman" w:hAnsi="Times New Roman" w:cs="Times New Roman"/>
          <w:b/>
        </w:rPr>
        <w:t xml:space="preserve">Alcohol Consumption </w:t>
      </w:r>
      <w:r w:rsidR="00F84106">
        <w:rPr>
          <w:rFonts w:ascii="Times New Roman" w:hAnsi="Times New Roman" w:cs="Times New Roman"/>
          <w:b/>
        </w:rPr>
        <w:t xml:space="preserve">and </w:t>
      </w:r>
      <w:r w:rsidRPr="00247411">
        <w:rPr>
          <w:rFonts w:ascii="Times New Roman" w:hAnsi="Times New Roman" w:cs="Times New Roman"/>
          <w:b/>
        </w:rPr>
        <w:t>Romantic Conflict</w:t>
      </w:r>
      <w:r w:rsidR="00F84106">
        <w:rPr>
          <w:rFonts w:ascii="Times New Roman" w:hAnsi="Times New Roman" w:cs="Times New Roman"/>
          <w:b/>
        </w:rPr>
        <w:t>,</w:t>
      </w:r>
      <w:r w:rsidRPr="00247411">
        <w:rPr>
          <w:rFonts w:ascii="Times New Roman" w:hAnsi="Times New Roman" w:cs="Times New Roman"/>
          <w:b/>
        </w:rPr>
        <w:t xml:space="preserve"> and</w:t>
      </w:r>
      <w:r w:rsidR="00F84106">
        <w:rPr>
          <w:rFonts w:ascii="Times New Roman" w:hAnsi="Times New Roman" w:cs="Times New Roman"/>
          <w:b/>
        </w:rPr>
        <w:t xml:space="preserve"> </w:t>
      </w:r>
      <w:r w:rsidR="00E40777">
        <w:rPr>
          <w:rFonts w:ascii="Times New Roman" w:hAnsi="Times New Roman" w:cs="Times New Roman"/>
          <w:b/>
        </w:rPr>
        <w:t xml:space="preserve">Between </w:t>
      </w:r>
      <w:r w:rsidR="00F84106" w:rsidRPr="00247411">
        <w:rPr>
          <w:rFonts w:ascii="Times New Roman" w:hAnsi="Times New Roman" w:cs="Times New Roman"/>
          <w:b/>
        </w:rPr>
        <w:t>Alcohol Problems</w:t>
      </w:r>
      <w:r w:rsidR="00F84106">
        <w:rPr>
          <w:rFonts w:ascii="Times New Roman" w:hAnsi="Times New Roman" w:cs="Times New Roman"/>
          <w:b/>
        </w:rPr>
        <w:t xml:space="preserve"> </w:t>
      </w:r>
      <w:r w:rsidRPr="00247411">
        <w:rPr>
          <w:rFonts w:ascii="Times New Roman" w:hAnsi="Times New Roman" w:cs="Times New Roman"/>
          <w:b/>
        </w:rPr>
        <w:t xml:space="preserve">and Friend Problems </w:t>
      </w:r>
    </w:p>
    <w:p w:rsidR="00247411" w:rsidRPr="00247411" w:rsidRDefault="00247411" w:rsidP="00E507E9">
      <w:pPr>
        <w:ind w:firstLine="720"/>
        <w:rPr>
          <w:rFonts w:ascii="Times New Roman" w:hAnsi="Times New Roman" w:cs="Times New Roman"/>
        </w:rPr>
      </w:pPr>
      <w:r w:rsidRPr="00247411">
        <w:rPr>
          <w:rFonts w:ascii="Times New Roman" w:hAnsi="Times New Roman" w:cs="Times New Roman"/>
        </w:rPr>
        <w:t xml:space="preserve">We found significant covariation that is attributable to individual-specific sources of unique environmental variation (E) </w:t>
      </w:r>
      <w:r w:rsidR="00D0093A">
        <w:rPr>
          <w:rFonts w:ascii="Times New Roman" w:hAnsi="Times New Roman" w:cs="Times New Roman"/>
        </w:rPr>
        <w:t xml:space="preserve">in the </w:t>
      </w:r>
      <w:r w:rsidRPr="00247411">
        <w:rPr>
          <w:rFonts w:ascii="Times New Roman" w:hAnsi="Times New Roman" w:cs="Times New Roman"/>
        </w:rPr>
        <w:t xml:space="preserve">alcohol consumption </w:t>
      </w:r>
      <w:r w:rsidR="00D0093A">
        <w:rPr>
          <w:rFonts w:ascii="Times New Roman" w:hAnsi="Times New Roman" w:cs="Times New Roman"/>
        </w:rPr>
        <w:t xml:space="preserve">and </w:t>
      </w:r>
      <w:r w:rsidR="00D0093A" w:rsidRPr="00247411">
        <w:rPr>
          <w:rFonts w:ascii="Times New Roman" w:hAnsi="Times New Roman" w:cs="Times New Roman"/>
        </w:rPr>
        <w:t xml:space="preserve">romantic conflict </w:t>
      </w:r>
      <w:r w:rsidR="00FD2BFF">
        <w:rPr>
          <w:rFonts w:ascii="Times New Roman" w:hAnsi="Times New Roman" w:cs="Times New Roman"/>
        </w:rPr>
        <w:t xml:space="preserve">bivariate model </w:t>
      </w:r>
      <w:r w:rsidR="009B6D6C">
        <w:rPr>
          <w:rFonts w:ascii="Times New Roman" w:hAnsi="Times New Roman" w:cs="Times New Roman"/>
        </w:rPr>
        <w:t>(Table 4, Model 1)</w:t>
      </w:r>
      <w:r w:rsidR="00936489">
        <w:rPr>
          <w:rFonts w:ascii="Times New Roman" w:hAnsi="Times New Roman" w:cs="Times New Roman"/>
        </w:rPr>
        <w:t xml:space="preserve"> </w:t>
      </w:r>
      <w:r w:rsidR="00FD2BFF">
        <w:rPr>
          <w:rFonts w:ascii="Times New Roman" w:hAnsi="Times New Roman" w:cs="Times New Roman"/>
        </w:rPr>
        <w:t xml:space="preserve">and in the </w:t>
      </w:r>
      <w:r w:rsidR="00D0093A">
        <w:rPr>
          <w:rFonts w:ascii="Times New Roman" w:hAnsi="Times New Roman" w:cs="Times New Roman"/>
        </w:rPr>
        <w:t xml:space="preserve">alcohol problems and </w:t>
      </w:r>
      <w:r w:rsidRPr="00247411">
        <w:rPr>
          <w:rFonts w:ascii="Times New Roman" w:hAnsi="Times New Roman" w:cs="Times New Roman"/>
        </w:rPr>
        <w:t xml:space="preserve">friend problems </w:t>
      </w:r>
      <w:r w:rsidR="00FD2BFF">
        <w:rPr>
          <w:rFonts w:ascii="Times New Roman" w:hAnsi="Times New Roman" w:cs="Times New Roman"/>
        </w:rPr>
        <w:t>bivariate model</w:t>
      </w:r>
      <w:r w:rsidR="009B6D6C">
        <w:rPr>
          <w:rFonts w:ascii="Times New Roman" w:hAnsi="Times New Roman" w:cs="Times New Roman"/>
        </w:rPr>
        <w:t xml:space="preserve"> (Table 4, Model 9)</w:t>
      </w:r>
      <w:r w:rsidRPr="00247411">
        <w:rPr>
          <w:rFonts w:ascii="Times New Roman" w:hAnsi="Times New Roman" w:cs="Times New Roman"/>
        </w:rPr>
        <w:t xml:space="preserve">. This pattern </w:t>
      </w:r>
      <w:r w:rsidR="00D0093A">
        <w:rPr>
          <w:rFonts w:ascii="Times New Roman" w:hAnsi="Times New Roman" w:cs="Times New Roman"/>
        </w:rPr>
        <w:t xml:space="preserve">of unique environmental covariation </w:t>
      </w:r>
      <w:r w:rsidRPr="00247411">
        <w:rPr>
          <w:rFonts w:ascii="Times New Roman" w:hAnsi="Times New Roman" w:cs="Times New Roman"/>
        </w:rPr>
        <w:t xml:space="preserve">could be consistent with causal relationships among the variables </w:t>
      </w:r>
      <w:r w:rsidR="00D0093A">
        <w:rPr>
          <w:rFonts w:ascii="Times New Roman" w:hAnsi="Times New Roman" w:cs="Times New Roman"/>
        </w:rPr>
        <w:t>(e.g.,</w:t>
      </w:r>
      <w:r w:rsidRPr="00247411">
        <w:rPr>
          <w:rFonts w:ascii="Times New Roman" w:hAnsi="Times New Roman" w:cs="Times New Roman"/>
        </w:rPr>
        <w:t xml:space="preserve"> high levels of alcohol consumption cause romantic conflict, or </w:t>
      </w:r>
      <w:r w:rsidR="00FD2BFF">
        <w:rPr>
          <w:rFonts w:ascii="Times New Roman" w:hAnsi="Times New Roman" w:cs="Times New Roman"/>
        </w:rPr>
        <w:t>vice versa</w:t>
      </w:r>
      <w:r w:rsidRPr="00247411">
        <w:rPr>
          <w:rFonts w:ascii="Times New Roman" w:hAnsi="Times New Roman" w:cs="Times New Roman"/>
        </w:rPr>
        <w:t>)</w:t>
      </w:r>
      <w:r w:rsidR="008F2758">
        <w:rPr>
          <w:rFonts w:ascii="Times New Roman" w:hAnsi="Times New Roman" w:cs="Times New Roman"/>
        </w:rPr>
        <w:t xml:space="preserve"> </w:t>
      </w:r>
      <w:r w:rsidR="00714B1D">
        <w:rPr>
          <w:rFonts w:ascii="Times New Roman" w:hAnsi="Times New Roman" w:cs="Times New Roman"/>
        </w:rPr>
        <w:fldChar w:fldCharType="begin"/>
      </w:r>
      <w:r w:rsidR="008F2758">
        <w:rPr>
          <w:rFonts w:ascii="Times New Roman" w:hAnsi="Times New Roman" w:cs="Times New Roman"/>
        </w:rPr>
        <w:instrText xml:space="preserve"> ADDIN EN.CITE &lt;EndNote&gt;&lt;Cite&gt;&lt;Author&gt;Prescott&lt;/Author&gt;&lt;Year&gt;1999&lt;/Year&gt;&lt;RecNum&gt;3247&lt;/RecNum&gt;&lt;DisplayText&gt;(Prescott and Kendler, 1999)&lt;/DisplayText&gt;&lt;record&gt;&lt;rec-number&gt;3247&lt;/rec-number&gt;&lt;foreign-keys&gt;&lt;key app="EN" db-id="vfw2ze9fmz00t1e0z965fx0pa9xx25ztr22a" timestamp="1418684512"&gt;3247&lt;/key&gt;&lt;key app="ENWeb" db-id=""&gt;0&lt;/key&gt;&lt;/foreign-keys&gt;&lt;ref-type name="Journal Article"&gt;17&lt;/ref-type&gt;&lt;contributors&gt;&lt;authors&gt;&lt;author&gt;Prescott, C. A.&lt;/author&gt;&lt;author&gt;Kendler, K. S.&lt;/author&gt;&lt;/authors&gt;&lt;/contributors&gt;&lt;titles&gt;&lt;title&gt;Age at first drink and risk for alcoholism: A noncausal association&lt;/title&gt;&lt;secondary-title&gt;Alcoholism-Clinical and Experimental Research&lt;/secondary-title&gt;&lt;/titles&gt;&lt;periodical&gt;&lt;full-title&gt;Alcoholism-Clinical and Experimental Research&lt;/full-title&gt;&lt;abbr-1&gt;Alcohol Clin Exp Res&lt;/abbr-1&gt;&lt;/periodical&gt;&lt;pages&gt;101-107&lt;/pages&gt;&lt;volume&gt;23&lt;/volume&gt;&lt;number&gt;1&lt;/number&gt;&lt;dates&gt;&lt;year&gt;1999&lt;/year&gt;&lt;/dates&gt;&lt;urls&gt;&lt;/urls&gt;&lt;/record&gt;&lt;/Cite&gt;&lt;/EndNote&gt;</w:instrText>
      </w:r>
      <w:r w:rsidR="00714B1D">
        <w:rPr>
          <w:rFonts w:ascii="Times New Roman" w:hAnsi="Times New Roman" w:cs="Times New Roman"/>
        </w:rPr>
        <w:fldChar w:fldCharType="separate"/>
      </w:r>
      <w:r w:rsidR="008F2758">
        <w:rPr>
          <w:rFonts w:ascii="Times New Roman" w:hAnsi="Times New Roman" w:cs="Times New Roman"/>
          <w:noProof/>
        </w:rPr>
        <w:t>(</w:t>
      </w:r>
      <w:hyperlink w:anchor="_ENREF_2" w:tooltip="Prescott, 1999 #3247" w:history="1">
        <w:r w:rsidR="00C27626">
          <w:rPr>
            <w:rFonts w:ascii="Times New Roman" w:hAnsi="Times New Roman" w:cs="Times New Roman"/>
            <w:noProof/>
          </w:rPr>
          <w:t>Prescott and Kendler, 1999</w:t>
        </w:r>
      </w:hyperlink>
      <w:r w:rsidR="008F2758">
        <w:rPr>
          <w:rFonts w:ascii="Times New Roman" w:hAnsi="Times New Roman" w:cs="Times New Roman"/>
          <w:noProof/>
        </w:rPr>
        <w:t>)</w:t>
      </w:r>
      <w:r w:rsidR="00714B1D">
        <w:rPr>
          <w:rFonts w:ascii="Times New Roman" w:hAnsi="Times New Roman" w:cs="Times New Roman"/>
        </w:rPr>
        <w:fldChar w:fldCharType="end"/>
      </w:r>
      <w:r w:rsidRPr="00247411">
        <w:rPr>
          <w:rFonts w:ascii="Times New Roman" w:hAnsi="Times New Roman" w:cs="Times New Roman"/>
        </w:rPr>
        <w:t>.</w:t>
      </w:r>
      <w:r w:rsidR="008F2758">
        <w:rPr>
          <w:rFonts w:ascii="Times New Roman" w:hAnsi="Times New Roman" w:cs="Times New Roman"/>
        </w:rPr>
        <w:t xml:space="preserve"> We probed this possibility in supplemental analyses using a “direction of causation” twin model</w:t>
      </w:r>
      <w:r w:rsidR="00DE134D">
        <w:rPr>
          <w:rFonts w:ascii="Times New Roman" w:hAnsi="Times New Roman" w:cs="Times New Roman"/>
        </w:rPr>
        <w:t xml:space="preserve"> </w:t>
      </w:r>
      <w:r w:rsidR="00714B1D">
        <w:rPr>
          <w:rFonts w:ascii="Times New Roman" w:hAnsi="Times New Roman" w:cs="Times New Roman"/>
        </w:rPr>
        <w:fldChar w:fldCharType="begin"/>
      </w:r>
      <w:r w:rsidR="007C029A">
        <w:rPr>
          <w:rFonts w:ascii="Times New Roman" w:hAnsi="Times New Roman" w:cs="Times New Roman"/>
        </w:rPr>
        <w:instrText xml:space="preserve"> ADDIN EN.CITE &lt;EndNote&gt;&lt;Cite&gt;&lt;Author&gt;Heath&lt;/Author&gt;&lt;Year&gt;1993&lt;/Year&gt;&lt;RecNum&gt;1709&lt;/RecNum&gt;&lt;DisplayText&gt;(Heath et al., 1993)&lt;/DisplayText&gt;&lt;record&gt;&lt;rec-number&gt;1709&lt;/rec-number&gt;&lt;foreign-keys&gt;&lt;key app="EN" db-id="vfw2ze9fmz00t1e0z965fx0pa9xx25ztr22a" timestamp="1379602220"&gt;1709&lt;/key&gt;&lt;/foreign-keys&gt;&lt;ref-type name="Journal Article"&gt;17&lt;/ref-type&gt;&lt;contributors&gt;&lt;authors&gt;&lt;author&gt;Heath, A. C.&lt;/author&gt;&lt;author&gt;Kessler, R. C.&lt;/author&gt;&lt;author&gt;Neale, M. C.&lt;/author&gt;&lt;author&gt;Hewitt, J. K.&lt;/author&gt;&lt;author&gt;Eaves, L. J.&lt;/author&gt;&lt;author&gt;Kendler, K. S.&lt;/author&gt;&lt;/authors&gt;&lt;/contributors&gt;&lt;titles&gt;&lt;title&gt;Testing hypotheses about direction of causation using cross-sectional family data&lt;/title&gt;&lt;secondary-title&gt;Behavior Genetics&lt;/secondary-title&gt;&lt;/titles&gt;&lt;periodical&gt;&lt;full-title&gt;Behavior Genetics&lt;/full-title&gt;&lt;abbr-1&gt;Behav Genet&lt;/abbr-1&gt;&lt;abbr-2&gt;Behavior Genetics&lt;/abbr-2&gt;&lt;/periodical&gt;&lt;pages&gt;29-50&lt;/pages&gt;&lt;volume&gt;23&lt;/volume&gt;&lt;number&gt;1&lt;/number&gt;&lt;dates&gt;&lt;year&gt;1993&lt;/year&gt;&lt;/dates&gt;&lt;urls&gt;&lt;/urls&gt;&lt;/record&gt;&lt;/Cite&gt;&lt;/EndNote&gt;</w:instrText>
      </w:r>
      <w:r w:rsidR="00714B1D">
        <w:rPr>
          <w:rFonts w:ascii="Times New Roman" w:hAnsi="Times New Roman" w:cs="Times New Roman"/>
        </w:rPr>
        <w:fldChar w:fldCharType="separate"/>
      </w:r>
      <w:r w:rsidR="007C029A">
        <w:rPr>
          <w:rFonts w:ascii="Times New Roman" w:hAnsi="Times New Roman" w:cs="Times New Roman"/>
          <w:noProof/>
        </w:rPr>
        <w:t>(</w:t>
      </w:r>
      <w:hyperlink w:anchor="_ENREF_1" w:tooltip="Heath, 1993 #1709" w:history="1">
        <w:r w:rsidR="00C27626">
          <w:rPr>
            <w:rFonts w:ascii="Times New Roman" w:hAnsi="Times New Roman" w:cs="Times New Roman"/>
            <w:noProof/>
          </w:rPr>
          <w:t>Heath et al., 1993</w:t>
        </w:r>
      </w:hyperlink>
      <w:r w:rsidR="007C029A">
        <w:rPr>
          <w:rFonts w:ascii="Times New Roman" w:hAnsi="Times New Roman" w:cs="Times New Roman"/>
          <w:noProof/>
        </w:rPr>
        <w:t>)</w:t>
      </w:r>
      <w:r w:rsidR="00714B1D">
        <w:rPr>
          <w:rFonts w:ascii="Times New Roman" w:hAnsi="Times New Roman" w:cs="Times New Roman"/>
        </w:rPr>
        <w:fldChar w:fldCharType="end"/>
      </w:r>
      <w:r w:rsidR="008F2758">
        <w:rPr>
          <w:rFonts w:ascii="Times New Roman" w:hAnsi="Times New Roman" w:cs="Times New Roman"/>
        </w:rPr>
        <w:t>, which</w:t>
      </w:r>
      <w:r w:rsidR="007C029A">
        <w:rPr>
          <w:rFonts w:ascii="Times New Roman" w:hAnsi="Times New Roman" w:cs="Times New Roman"/>
        </w:rPr>
        <w:t xml:space="preserve"> uses the pattern of cross-twin cross-trait correlations</w:t>
      </w:r>
      <w:r w:rsidR="000E7971">
        <w:rPr>
          <w:rFonts w:ascii="Times New Roman" w:hAnsi="Times New Roman" w:cs="Times New Roman"/>
        </w:rPr>
        <w:t xml:space="preserve"> measured at a single time point </w:t>
      </w:r>
      <w:r w:rsidR="007C029A">
        <w:rPr>
          <w:rFonts w:ascii="Times New Roman" w:hAnsi="Times New Roman" w:cs="Times New Roman"/>
        </w:rPr>
        <w:t>to test hypotheses about the direction of causation between two variables.</w:t>
      </w:r>
      <w:r w:rsidR="000C625B">
        <w:rPr>
          <w:rFonts w:ascii="Times New Roman" w:hAnsi="Times New Roman" w:cs="Times New Roman"/>
        </w:rPr>
        <w:t xml:space="preserve"> </w:t>
      </w:r>
      <w:r w:rsidR="007C1A47">
        <w:rPr>
          <w:rFonts w:ascii="Times New Roman" w:hAnsi="Times New Roman" w:cs="Times New Roman"/>
        </w:rPr>
        <w:t>A</w:t>
      </w:r>
      <w:r w:rsidR="000C625B">
        <w:rPr>
          <w:rFonts w:ascii="Times New Roman" w:hAnsi="Times New Roman" w:cs="Times New Roman"/>
        </w:rPr>
        <w:t xml:space="preserve"> </w:t>
      </w:r>
      <w:r w:rsidR="007C029A">
        <w:rPr>
          <w:rFonts w:ascii="Times New Roman" w:hAnsi="Times New Roman" w:cs="Times New Roman"/>
        </w:rPr>
        <w:t xml:space="preserve">direction of causation </w:t>
      </w:r>
      <w:r w:rsidR="007C029A">
        <w:rPr>
          <w:rFonts w:ascii="Times New Roman" w:hAnsi="Times New Roman" w:cs="Times New Roman"/>
        </w:rPr>
        <w:lastRenderedPageBreak/>
        <w:t xml:space="preserve">model </w:t>
      </w:r>
      <w:r w:rsidR="000C625B">
        <w:rPr>
          <w:rFonts w:ascii="Times New Roman" w:hAnsi="Times New Roman" w:cs="Times New Roman"/>
        </w:rPr>
        <w:t xml:space="preserve">for romantic conflict and alcohol consumption </w:t>
      </w:r>
      <w:r w:rsidR="007C029A">
        <w:rPr>
          <w:rFonts w:ascii="Times New Roman" w:hAnsi="Times New Roman" w:cs="Times New Roman"/>
        </w:rPr>
        <w:t>is shown in Figure S1.</w:t>
      </w:r>
      <w:r w:rsidR="00640900">
        <w:rPr>
          <w:rFonts w:ascii="Times New Roman" w:hAnsi="Times New Roman" w:cs="Times New Roman"/>
        </w:rPr>
        <w:t xml:space="preserve"> In this model, the latent genetic, common environmental, and unique environmental correlations (i.e., r</w:t>
      </w:r>
      <w:r w:rsidR="00640900" w:rsidRPr="0028202C">
        <w:rPr>
          <w:rFonts w:ascii="Times New Roman" w:hAnsi="Times New Roman" w:cs="Times New Roman"/>
          <w:vertAlign w:val="subscript"/>
        </w:rPr>
        <w:t>A</w:t>
      </w:r>
      <w:r w:rsidR="00640900">
        <w:rPr>
          <w:rFonts w:ascii="Times New Roman" w:hAnsi="Times New Roman" w:cs="Times New Roman"/>
        </w:rPr>
        <w:t>, r</w:t>
      </w:r>
      <w:r w:rsidR="00640900" w:rsidRPr="0028202C">
        <w:rPr>
          <w:rFonts w:ascii="Times New Roman" w:hAnsi="Times New Roman" w:cs="Times New Roman"/>
          <w:vertAlign w:val="subscript"/>
        </w:rPr>
        <w:t>C</w:t>
      </w:r>
      <w:r w:rsidR="00640900">
        <w:rPr>
          <w:rFonts w:ascii="Times New Roman" w:hAnsi="Times New Roman" w:cs="Times New Roman"/>
        </w:rPr>
        <w:t>, and r</w:t>
      </w:r>
      <w:r w:rsidR="00640900" w:rsidRPr="0028202C">
        <w:rPr>
          <w:rFonts w:ascii="Times New Roman" w:hAnsi="Times New Roman" w:cs="Times New Roman"/>
          <w:vertAlign w:val="subscript"/>
        </w:rPr>
        <w:t>E</w:t>
      </w:r>
      <w:r w:rsidR="00640900">
        <w:rPr>
          <w:rFonts w:ascii="Times New Roman" w:hAnsi="Times New Roman" w:cs="Times New Roman"/>
        </w:rPr>
        <w:t xml:space="preserve">) </w:t>
      </w:r>
      <w:r w:rsidR="00CC6B30">
        <w:rPr>
          <w:rFonts w:ascii="Times New Roman" w:hAnsi="Times New Roman" w:cs="Times New Roman"/>
        </w:rPr>
        <w:t xml:space="preserve">from </w:t>
      </w:r>
      <w:r w:rsidR="007C1A47">
        <w:rPr>
          <w:rFonts w:ascii="Times New Roman" w:hAnsi="Times New Roman" w:cs="Times New Roman"/>
        </w:rPr>
        <w:t>the bivariate Cholesky model (see Figure</w:t>
      </w:r>
      <w:r w:rsidR="00816CD8">
        <w:rPr>
          <w:rFonts w:ascii="Times New Roman" w:hAnsi="Times New Roman" w:cs="Times New Roman"/>
        </w:rPr>
        <w:t xml:space="preserve"> </w:t>
      </w:r>
      <w:r w:rsidR="00936489">
        <w:rPr>
          <w:rFonts w:ascii="Times New Roman" w:hAnsi="Times New Roman" w:cs="Times New Roman"/>
        </w:rPr>
        <w:t>S</w:t>
      </w:r>
      <w:r w:rsidR="00816CD8">
        <w:rPr>
          <w:rFonts w:ascii="Times New Roman" w:hAnsi="Times New Roman" w:cs="Times New Roman"/>
        </w:rPr>
        <w:t>1</w:t>
      </w:r>
      <w:r w:rsidR="007C1A47">
        <w:rPr>
          <w:rFonts w:ascii="Times New Roman" w:hAnsi="Times New Roman" w:cs="Times New Roman"/>
        </w:rPr>
        <w:t xml:space="preserve">) </w:t>
      </w:r>
      <w:r w:rsidR="00640900">
        <w:rPr>
          <w:rFonts w:ascii="Times New Roman" w:hAnsi="Times New Roman" w:cs="Times New Roman"/>
        </w:rPr>
        <w:t xml:space="preserve">are set to zero, </w:t>
      </w:r>
      <w:r w:rsidR="000C625B">
        <w:rPr>
          <w:rFonts w:ascii="Times New Roman" w:hAnsi="Times New Roman" w:cs="Times New Roman"/>
        </w:rPr>
        <w:t>and the covariance between romantic con</w:t>
      </w:r>
      <w:r w:rsidR="007C1A47">
        <w:rPr>
          <w:rFonts w:ascii="Times New Roman" w:hAnsi="Times New Roman" w:cs="Times New Roman"/>
        </w:rPr>
        <w:t>flict and alcohol consumption are</w:t>
      </w:r>
      <w:r w:rsidR="000C625B">
        <w:rPr>
          <w:rFonts w:ascii="Times New Roman" w:hAnsi="Times New Roman" w:cs="Times New Roman"/>
        </w:rPr>
        <w:t xml:space="preserve"> modeled a</w:t>
      </w:r>
      <w:r w:rsidR="007C1A47">
        <w:rPr>
          <w:rFonts w:ascii="Times New Roman" w:hAnsi="Times New Roman" w:cs="Times New Roman"/>
        </w:rPr>
        <w:t>s reciprocal direct effects</w:t>
      </w:r>
      <w:r w:rsidR="00CC6B30">
        <w:rPr>
          <w:rFonts w:ascii="Times New Roman" w:hAnsi="Times New Roman" w:cs="Times New Roman"/>
        </w:rPr>
        <w:t>, denoted by b</w:t>
      </w:r>
      <w:r w:rsidR="00CC6B30" w:rsidRPr="00190366">
        <w:rPr>
          <w:rFonts w:ascii="Times New Roman" w:hAnsi="Times New Roman" w:cs="Times New Roman"/>
          <w:vertAlign w:val="subscript"/>
        </w:rPr>
        <w:t>21</w:t>
      </w:r>
      <w:r w:rsidR="007C1A47">
        <w:rPr>
          <w:rFonts w:ascii="Times New Roman" w:hAnsi="Times New Roman" w:cs="Times New Roman"/>
        </w:rPr>
        <w:t xml:space="preserve"> </w:t>
      </w:r>
      <w:r w:rsidR="00CC6B30">
        <w:rPr>
          <w:rFonts w:ascii="Times New Roman" w:hAnsi="Times New Roman" w:cs="Times New Roman"/>
        </w:rPr>
        <w:t>and b</w:t>
      </w:r>
      <w:r w:rsidR="00CC6B30">
        <w:rPr>
          <w:rFonts w:ascii="Times New Roman" w:hAnsi="Times New Roman" w:cs="Times New Roman"/>
          <w:vertAlign w:val="subscript"/>
        </w:rPr>
        <w:t>12</w:t>
      </w:r>
      <w:r w:rsidR="00CC6B30">
        <w:rPr>
          <w:rFonts w:ascii="Times New Roman" w:hAnsi="Times New Roman" w:cs="Times New Roman"/>
        </w:rPr>
        <w:t>. W</w:t>
      </w:r>
      <w:r w:rsidR="007C1A47">
        <w:rPr>
          <w:rFonts w:ascii="Times New Roman" w:hAnsi="Times New Roman" w:cs="Times New Roman"/>
        </w:rPr>
        <w:t>e infer that romantic conflict causes alcohol consumption if the model fit is worsened when the b</w:t>
      </w:r>
      <w:r w:rsidR="007C1A47" w:rsidRPr="00190366">
        <w:rPr>
          <w:rFonts w:ascii="Times New Roman" w:hAnsi="Times New Roman" w:cs="Times New Roman"/>
          <w:vertAlign w:val="subscript"/>
        </w:rPr>
        <w:t>21</w:t>
      </w:r>
      <w:r w:rsidR="007C1A47">
        <w:rPr>
          <w:rFonts w:ascii="Times New Roman" w:hAnsi="Times New Roman" w:cs="Times New Roman"/>
          <w:vertAlign w:val="subscript"/>
        </w:rPr>
        <w:t xml:space="preserve"> </w:t>
      </w:r>
      <w:r w:rsidR="007C1A47">
        <w:rPr>
          <w:rFonts w:ascii="Times New Roman" w:hAnsi="Times New Roman" w:cs="Times New Roman"/>
        </w:rPr>
        <w:t>parameter is removed, and that alcohol consumption causes romantic conflict if the model fit is worsened when the b</w:t>
      </w:r>
      <w:r w:rsidR="007C1A47">
        <w:rPr>
          <w:rFonts w:ascii="Times New Roman" w:hAnsi="Times New Roman" w:cs="Times New Roman"/>
          <w:vertAlign w:val="subscript"/>
        </w:rPr>
        <w:t xml:space="preserve">12 </w:t>
      </w:r>
      <w:r w:rsidR="007C1A47">
        <w:rPr>
          <w:rFonts w:ascii="Times New Roman" w:hAnsi="Times New Roman" w:cs="Times New Roman"/>
        </w:rPr>
        <w:t>parameter is removed.</w:t>
      </w:r>
    </w:p>
    <w:p w:rsidR="00247411" w:rsidRPr="00247411" w:rsidRDefault="002D2F84" w:rsidP="0024741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Evaluating causal associations </w:t>
      </w:r>
      <w:r w:rsidR="00465DBC">
        <w:rPr>
          <w:rFonts w:ascii="Times New Roman" w:hAnsi="Times New Roman" w:cs="Times New Roman"/>
          <w:b/>
        </w:rPr>
        <w:t xml:space="preserve">between </w:t>
      </w:r>
      <w:r>
        <w:rPr>
          <w:rFonts w:ascii="Times New Roman" w:hAnsi="Times New Roman" w:cs="Times New Roman"/>
          <w:b/>
        </w:rPr>
        <w:t>a</w:t>
      </w:r>
      <w:r w:rsidR="00D0093A" w:rsidRPr="00247411">
        <w:rPr>
          <w:rFonts w:ascii="Times New Roman" w:hAnsi="Times New Roman" w:cs="Times New Roman"/>
          <w:b/>
        </w:rPr>
        <w:t xml:space="preserve">lcohol consumption </w:t>
      </w:r>
      <w:r w:rsidR="00D0093A">
        <w:rPr>
          <w:rFonts w:ascii="Times New Roman" w:hAnsi="Times New Roman" w:cs="Times New Roman"/>
          <w:b/>
        </w:rPr>
        <w:t>and romantic conflict</w:t>
      </w:r>
      <w:r w:rsidR="00247411" w:rsidRPr="00247411">
        <w:rPr>
          <w:rFonts w:ascii="Times New Roman" w:hAnsi="Times New Roman" w:cs="Times New Roman"/>
          <w:b/>
        </w:rPr>
        <w:t>.</w:t>
      </w:r>
      <w:r w:rsidR="00247411" w:rsidRPr="00247411">
        <w:rPr>
          <w:rFonts w:ascii="Times New Roman" w:hAnsi="Times New Roman" w:cs="Times New Roman"/>
        </w:rPr>
        <w:t xml:space="preserve"> </w:t>
      </w:r>
      <w:r w:rsidR="001B1C6D">
        <w:rPr>
          <w:rFonts w:ascii="Times New Roman" w:hAnsi="Times New Roman" w:cs="Times New Roman"/>
        </w:rPr>
        <w:t xml:space="preserve">The results from the </w:t>
      </w:r>
      <w:r w:rsidR="005C11A6">
        <w:rPr>
          <w:rFonts w:ascii="Times New Roman" w:hAnsi="Times New Roman" w:cs="Times New Roman"/>
        </w:rPr>
        <w:t>reciprocal causation</w:t>
      </w:r>
      <w:r w:rsidR="001B1C6D">
        <w:rPr>
          <w:rFonts w:ascii="Times New Roman" w:hAnsi="Times New Roman" w:cs="Times New Roman"/>
        </w:rPr>
        <w:t xml:space="preserve"> model for alcohol consumption and romantic conflict are summarized in</w:t>
      </w:r>
      <w:r w:rsidR="00FD579B">
        <w:rPr>
          <w:rFonts w:ascii="Times New Roman" w:hAnsi="Times New Roman" w:cs="Times New Roman"/>
        </w:rPr>
        <w:t xml:space="preserve"> </w:t>
      </w:r>
      <w:r w:rsidR="001B1C6D">
        <w:rPr>
          <w:rFonts w:ascii="Times New Roman" w:hAnsi="Times New Roman" w:cs="Times New Roman"/>
        </w:rPr>
        <w:t>Table S1</w:t>
      </w:r>
      <w:r w:rsidR="009B6D6C">
        <w:rPr>
          <w:rFonts w:ascii="Times New Roman" w:hAnsi="Times New Roman" w:cs="Times New Roman"/>
        </w:rPr>
        <w:t xml:space="preserve"> (Model 1)</w:t>
      </w:r>
      <w:r w:rsidR="001B1C6D">
        <w:rPr>
          <w:rFonts w:ascii="Times New Roman" w:hAnsi="Times New Roman" w:cs="Times New Roman"/>
        </w:rPr>
        <w:t xml:space="preserve">. </w:t>
      </w:r>
      <w:r w:rsidR="00936489">
        <w:rPr>
          <w:rFonts w:ascii="Times New Roman" w:hAnsi="Times New Roman" w:cs="Times New Roman"/>
        </w:rPr>
        <w:t>The</w:t>
      </w:r>
      <w:r w:rsidR="001C5A09">
        <w:rPr>
          <w:rFonts w:ascii="Times New Roman" w:hAnsi="Times New Roman" w:cs="Times New Roman"/>
        </w:rPr>
        <w:t xml:space="preserve"> sub-model </w:t>
      </w:r>
      <w:r w:rsidR="001B1C6D">
        <w:rPr>
          <w:rFonts w:ascii="Times New Roman" w:hAnsi="Times New Roman" w:cs="Times New Roman"/>
        </w:rPr>
        <w:t>where</w:t>
      </w:r>
      <w:r w:rsidR="001C5A09">
        <w:rPr>
          <w:rFonts w:ascii="Times New Roman" w:hAnsi="Times New Roman" w:cs="Times New Roman"/>
        </w:rPr>
        <w:t xml:space="preserve"> the causal pathway from </w:t>
      </w:r>
      <w:r w:rsidR="00465DBC">
        <w:rPr>
          <w:rFonts w:ascii="Times New Roman" w:hAnsi="Times New Roman" w:cs="Times New Roman"/>
        </w:rPr>
        <w:t xml:space="preserve">alcohol consumption </w:t>
      </w:r>
      <w:r w:rsidR="00DE134D">
        <w:rPr>
          <w:rFonts w:ascii="Times New Roman" w:hAnsi="Times New Roman" w:cs="Times New Roman"/>
        </w:rPr>
        <w:t>to romantic confli</w:t>
      </w:r>
      <w:r w:rsidR="001C5A09">
        <w:rPr>
          <w:rFonts w:ascii="Times New Roman" w:hAnsi="Times New Roman" w:cs="Times New Roman"/>
        </w:rPr>
        <w:t>c</w:t>
      </w:r>
      <w:r w:rsidR="00DE134D">
        <w:rPr>
          <w:rFonts w:ascii="Times New Roman" w:hAnsi="Times New Roman" w:cs="Times New Roman"/>
        </w:rPr>
        <w:t>t</w:t>
      </w:r>
      <w:r w:rsidR="00ED4E86">
        <w:rPr>
          <w:rFonts w:ascii="Times New Roman" w:hAnsi="Times New Roman" w:cs="Times New Roman"/>
        </w:rPr>
        <w:t xml:space="preserve"> (b</w:t>
      </w:r>
      <w:r w:rsidR="00ED4E86" w:rsidRPr="0028202C">
        <w:rPr>
          <w:rFonts w:ascii="Times New Roman" w:hAnsi="Times New Roman" w:cs="Times New Roman"/>
          <w:vertAlign w:val="subscript"/>
        </w:rPr>
        <w:t>12</w:t>
      </w:r>
      <w:r w:rsidR="00ED4E86">
        <w:rPr>
          <w:rFonts w:ascii="Times New Roman" w:hAnsi="Times New Roman" w:cs="Times New Roman"/>
        </w:rPr>
        <w:t>)</w:t>
      </w:r>
      <w:r w:rsidR="00DE134D">
        <w:rPr>
          <w:rFonts w:ascii="Times New Roman" w:hAnsi="Times New Roman" w:cs="Times New Roman"/>
        </w:rPr>
        <w:t xml:space="preserve"> </w:t>
      </w:r>
      <w:r w:rsidR="00ED4E86">
        <w:rPr>
          <w:rFonts w:ascii="Times New Roman" w:hAnsi="Times New Roman" w:cs="Times New Roman"/>
        </w:rPr>
        <w:t>was set to zero fit worse than the reciprocal causation model</w:t>
      </w:r>
      <w:r w:rsidR="001975D7">
        <w:rPr>
          <w:rFonts w:ascii="Times New Roman" w:hAnsi="Times New Roman" w:cs="Times New Roman"/>
        </w:rPr>
        <w:t xml:space="preserve"> </w:t>
      </w:r>
      <w:r w:rsidR="001975D7" w:rsidRPr="001975D7">
        <w:rPr>
          <w:rFonts w:ascii="Times New Roman" w:hAnsi="Times New Roman" w:cs="Times New Roman"/>
        </w:rPr>
        <w:t>(Model 1</w:t>
      </w:r>
      <w:r w:rsidR="001975D7" w:rsidRPr="0028202C">
        <w:rPr>
          <w:rFonts w:ascii="Times New Roman" w:hAnsi="Times New Roman" w:cs="Times New Roman"/>
        </w:rPr>
        <w:t xml:space="preserve">/ drop </w:t>
      </w:r>
      <w:r w:rsidR="001975D7" w:rsidRPr="001975D7">
        <w:rPr>
          <w:rFonts w:ascii="Times New Roman" w:hAnsi="Times New Roman" w:cs="Times New Roman"/>
        </w:rPr>
        <w:t>b</w:t>
      </w:r>
      <w:r w:rsidR="001975D7" w:rsidRPr="001975D7">
        <w:rPr>
          <w:rFonts w:ascii="Times New Roman" w:hAnsi="Times New Roman"/>
          <w:vertAlign w:val="subscript"/>
        </w:rPr>
        <w:t>12</w:t>
      </w:r>
      <w:r w:rsidR="005F1BE7">
        <w:rPr>
          <w:rFonts w:ascii="Times New Roman" w:hAnsi="Times New Roman"/>
          <w:vertAlign w:val="subscript"/>
        </w:rPr>
        <w:t xml:space="preserve"> </w:t>
      </w:r>
      <w:r w:rsidR="001975D7" w:rsidRPr="0028202C">
        <w:rPr>
          <w:rFonts w:ascii="Times New Roman" w:hAnsi="Times New Roman" w:cs="Times New Roman"/>
        </w:rPr>
        <w:t xml:space="preserve">- </w:t>
      </w:r>
      <w:r w:rsidR="001975D7" w:rsidRPr="0028202C">
        <w:rPr>
          <w:rFonts w:ascii="Times New Roman" w:hAnsi="Times New Roman" w:cs="Times New Roman" w:hint="eastAsia"/>
        </w:rPr>
        <w:t>χ</w:t>
      </w:r>
      <w:r w:rsidR="001975D7" w:rsidRPr="0028202C">
        <w:rPr>
          <w:rFonts w:ascii="Times New Roman" w:hAnsi="Times New Roman" w:cs="Times New Roman"/>
          <w:vertAlign w:val="superscript"/>
        </w:rPr>
        <w:t>2</w:t>
      </w:r>
      <w:r w:rsidR="001975D7" w:rsidRPr="0028202C">
        <w:rPr>
          <w:rFonts w:ascii="Times New Roman" w:hAnsi="Times New Roman" w:cs="Times New Roman"/>
        </w:rPr>
        <w:t xml:space="preserve"> = </w:t>
      </w:r>
      <w:r w:rsidR="001975D7" w:rsidRPr="001975D7">
        <w:rPr>
          <w:rFonts w:ascii="Times New Roman" w:hAnsi="Times New Roman" w:cs="Times New Roman"/>
        </w:rPr>
        <w:t>7.87</w:t>
      </w:r>
      <w:r w:rsidR="001975D7" w:rsidRPr="0028202C">
        <w:rPr>
          <w:rFonts w:ascii="Times New Roman" w:hAnsi="Times New Roman" w:cs="Times New Roman"/>
        </w:rPr>
        <w:t xml:space="preserve">, </w:t>
      </w:r>
      <w:r w:rsidR="001975D7" w:rsidRPr="00936489">
        <w:rPr>
          <w:rFonts w:ascii="Times New Roman" w:hAnsi="Times New Roman" w:cs="Times New Roman"/>
          <w:i/>
        </w:rPr>
        <w:t>p</w:t>
      </w:r>
      <w:r w:rsidR="001975D7" w:rsidRPr="0028202C">
        <w:rPr>
          <w:rFonts w:ascii="Times New Roman" w:hAnsi="Times New Roman" w:cs="Times New Roman"/>
        </w:rPr>
        <w:t xml:space="preserve"> &lt; 0.</w:t>
      </w:r>
      <w:r w:rsidR="001975D7" w:rsidRPr="001975D7">
        <w:rPr>
          <w:rFonts w:ascii="Times New Roman" w:hAnsi="Times New Roman" w:cs="Times New Roman"/>
        </w:rPr>
        <w:t>01</w:t>
      </w:r>
      <w:r w:rsidR="001975D7" w:rsidRPr="0028202C">
        <w:rPr>
          <w:rFonts w:ascii="Times New Roman" w:hAnsi="Times New Roman" w:cs="Times New Roman"/>
        </w:rPr>
        <w:t>)</w:t>
      </w:r>
      <w:r w:rsidR="005C11A6">
        <w:rPr>
          <w:rFonts w:ascii="Times New Roman" w:hAnsi="Times New Roman" w:cs="Times New Roman"/>
        </w:rPr>
        <w:t xml:space="preserve">, indicating that we cannot rule out the hypothesis that alcohol consumption causes romantic conflict. </w:t>
      </w:r>
      <w:r w:rsidR="00ED4E86">
        <w:rPr>
          <w:rFonts w:ascii="Times New Roman" w:hAnsi="Times New Roman" w:cs="Times New Roman"/>
        </w:rPr>
        <w:t>The sub-model in which the causal pathway from romantic conflict to alcohol consumption (</w:t>
      </w:r>
      <w:r w:rsidR="00ED4E86" w:rsidRPr="005C11A6">
        <w:rPr>
          <w:rFonts w:ascii="Times New Roman" w:hAnsi="Times New Roman" w:cs="Times New Roman"/>
        </w:rPr>
        <w:t>b</w:t>
      </w:r>
      <w:r w:rsidR="00ED4E86" w:rsidRPr="0028202C">
        <w:rPr>
          <w:rFonts w:ascii="Times New Roman" w:hAnsi="Times New Roman" w:cs="Times New Roman"/>
          <w:vertAlign w:val="subscript"/>
        </w:rPr>
        <w:t>21</w:t>
      </w:r>
      <w:r w:rsidR="00ED4E86">
        <w:rPr>
          <w:rFonts w:ascii="Times New Roman" w:hAnsi="Times New Roman" w:cs="Times New Roman"/>
        </w:rPr>
        <w:t>) was set to zero did not fit worst than</w:t>
      </w:r>
      <w:r w:rsidR="005C11A6">
        <w:rPr>
          <w:rFonts w:ascii="Times New Roman" w:hAnsi="Times New Roman" w:cs="Times New Roman"/>
        </w:rPr>
        <w:t xml:space="preserve"> the reciprocal causation model</w:t>
      </w:r>
      <w:r w:rsidR="001975D7">
        <w:rPr>
          <w:rFonts w:ascii="Times New Roman" w:hAnsi="Times New Roman" w:cs="Times New Roman"/>
        </w:rPr>
        <w:t xml:space="preserve"> </w:t>
      </w:r>
      <w:r w:rsidR="001975D7" w:rsidRPr="001975D7">
        <w:rPr>
          <w:rFonts w:ascii="Times New Roman" w:hAnsi="Times New Roman" w:cs="Times New Roman"/>
        </w:rPr>
        <w:t>(Model 1</w:t>
      </w:r>
      <w:r w:rsidR="001975D7" w:rsidRPr="00DC0F8E">
        <w:rPr>
          <w:rFonts w:ascii="Times New Roman" w:hAnsi="Times New Roman" w:cs="Times New Roman"/>
        </w:rPr>
        <w:t xml:space="preserve">/ drop </w:t>
      </w:r>
      <w:r w:rsidR="001975D7" w:rsidRPr="001975D7">
        <w:rPr>
          <w:rFonts w:ascii="Times New Roman" w:hAnsi="Times New Roman" w:cs="Times New Roman"/>
        </w:rPr>
        <w:t>b</w:t>
      </w:r>
      <w:r w:rsidR="001975D7" w:rsidRPr="001975D7">
        <w:rPr>
          <w:rFonts w:ascii="Times New Roman" w:hAnsi="Times New Roman"/>
          <w:vertAlign w:val="subscript"/>
        </w:rPr>
        <w:t>2</w:t>
      </w:r>
      <w:r w:rsidR="001975D7">
        <w:rPr>
          <w:rFonts w:ascii="Times New Roman" w:hAnsi="Times New Roman"/>
          <w:vertAlign w:val="subscript"/>
        </w:rPr>
        <w:t>1</w:t>
      </w:r>
      <w:r w:rsidR="005F1BE7">
        <w:rPr>
          <w:rFonts w:ascii="Times New Roman" w:hAnsi="Times New Roman"/>
          <w:vertAlign w:val="subscript"/>
        </w:rPr>
        <w:t xml:space="preserve"> </w:t>
      </w:r>
      <w:r w:rsidR="001975D7" w:rsidRPr="00DC0F8E">
        <w:rPr>
          <w:rFonts w:ascii="Times New Roman" w:hAnsi="Times New Roman" w:cs="Times New Roman"/>
        </w:rPr>
        <w:t xml:space="preserve">- </w:t>
      </w:r>
      <w:r w:rsidR="001975D7" w:rsidRPr="00DC0F8E">
        <w:rPr>
          <w:rFonts w:ascii="Times New Roman" w:hAnsi="Times New Roman" w:cs="Times New Roman" w:hint="eastAsia"/>
        </w:rPr>
        <w:t>χ</w:t>
      </w:r>
      <w:r w:rsidR="001975D7" w:rsidRPr="00DC0F8E">
        <w:rPr>
          <w:rFonts w:ascii="Times New Roman" w:hAnsi="Times New Roman" w:cs="Times New Roman"/>
          <w:vertAlign w:val="superscript"/>
        </w:rPr>
        <w:t>2</w:t>
      </w:r>
      <w:r w:rsidR="001975D7" w:rsidRPr="00DC0F8E">
        <w:rPr>
          <w:rFonts w:ascii="Times New Roman" w:hAnsi="Times New Roman" w:cs="Times New Roman"/>
        </w:rPr>
        <w:t xml:space="preserve"> = </w:t>
      </w:r>
      <w:r w:rsidR="001975D7">
        <w:rPr>
          <w:rFonts w:ascii="Times New Roman" w:hAnsi="Times New Roman" w:cs="Times New Roman"/>
        </w:rPr>
        <w:t>1.33</w:t>
      </w:r>
      <w:r w:rsidR="001975D7" w:rsidRPr="00DC0F8E">
        <w:rPr>
          <w:rFonts w:ascii="Times New Roman" w:hAnsi="Times New Roman" w:cs="Times New Roman"/>
        </w:rPr>
        <w:t xml:space="preserve">, </w:t>
      </w:r>
      <w:r w:rsidR="001975D7" w:rsidRPr="00936489">
        <w:rPr>
          <w:rFonts w:ascii="Times New Roman" w:hAnsi="Times New Roman" w:cs="Times New Roman"/>
          <w:i/>
        </w:rPr>
        <w:t>p</w:t>
      </w:r>
      <w:r w:rsidR="001975D7" w:rsidRPr="00DC0F8E">
        <w:rPr>
          <w:rFonts w:ascii="Times New Roman" w:hAnsi="Times New Roman" w:cs="Times New Roman"/>
        </w:rPr>
        <w:t xml:space="preserve"> </w:t>
      </w:r>
      <w:r w:rsidR="001975D7">
        <w:rPr>
          <w:rFonts w:ascii="Times New Roman" w:hAnsi="Times New Roman" w:cs="Times New Roman"/>
        </w:rPr>
        <w:t xml:space="preserve">&gt; </w:t>
      </w:r>
      <w:r w:rsidR="001975D7" w:rsidRPr="00DC0F8E">
        <w:rPr>
          <w:rFonts w:ascii="Times New Roman" w:hAnsi="Times New Roman" w:cs="Times New Roman"/>
        </w:rPr>
        <w:t>0.</w:t>
      </w:r>
      <w:r w:rsidR="001975D7">
        <w:rPr>
          <w:rFonts w:ascii="Times New Roman" w:hAnsi="Times New Roman" w:cs="Times New Roman"/>
        </w:rPr>
        <w:t>05</w:t>
      </w:r>
      <w:r w:rsidR="001975D7" w:rsidRPr="00DC0F8E">
        <w:rPr>
          <w:rFonts w:ascii="Times New Roman" w:hAnsi="Times New Roman" w:cs="Times New Roman"/>
        </w:rPr>
        <w:t>)</w:t>
      </w:r>
      <w:r w:rsidR="005C11A6">
        <w:rPr>
          <w:rFonts w:ascii="Times New Roman" w:hAnsi="Times New Roman" w:cs="Times New Roman"/>
        </w:rPr>
        <w:t>, suggesting that romantic conflict does not cause alcohol consumption.</w:t>
      </w:r>
    </w:p>
    <w:p w:rsidR="00EC4247" w:rsidRPr="005D6ACF" w:rsidRDefault="004D21DB" w:rsidP="00C56BBA">
      <w:pPr>
        <w:ind w:firstLine="720"/>
        <w:rPr>
          <w:rFonts w:ascii="Times New Roman" w:hAnsi="Times New Roman" w:cs="Times New Roman"/>
        </w:rPr>
      </w:pPr>
      <w:r w:rsidRPr="0028202C">
        <w:rPr>
          <w:rFonts w:ascii="Times New Roman" w:hAnsi="Times New Roman" w:cs="Times New Roman"/>
          <w:b/>
        </w:rPr>
        <w:t>Evaluating causal associations between alcoh</w:t>
      </w:r>
      <w:r w:rsidR="009B6D6C" w:rsidRPr="009B6D6C">
        <w:rPr>
          <w:rFonts w:ascii="Times New Roman" w:hAnsi="Times New Roman" w:cs="Times New Roman"/>
          <w:b/>
        </w:rPr>
        <w:t>ol problems and friend problems</w:t>
      </w:r>
      <w:r w:rsidR="009B6D6C">
        <w:rPr>
          <w:rFonts w:ascii="Times New Roman" w:hAnsi="Times New Roman" w:cs="Times New Roman"/>
          <w:b/>
        </w:rPr>
        <w:t xml:space="preserve">. </w:t>
      </w:r>
      <w:r w:rsidR="005C11A6" w:rsidRPr="005D6ACF">
        <w:rPr>
          <w:rFonts w:ascii="Times New Roman" w:hAnsi="Times New Roman" w:cs="Times New Roman"/>
        </w:rPr>
        <w:t xml:space="preserve">The results from the reciprocal causation model for alcohol problems and friend problems are summarized in </w:t>
      </w:r>
      <w:r w:rsidR="00C56BBA">
        <w:rPr>
          <w:rFonts w:ascii="Times New Roman" w:hAnsi="Times New Roman" w:cs="Times New Roman"/>
        </w:rPr>
        <w:t>Table S1</w:t>
      </w:r>
      <w:r w:rsidR="009B6D6C">
        <w:rPr>
          <w:rFonts w:ascii="Times New Roman" w:hAnsi="Times New Roman" w:cs="Times New Roman"/>
        </w:rPr>
        <w:t xml:space="preserve"> (Model 2)</w:t>
      </w:r>
      <w:r w:rsidR="005C11A6" w:rsidRPr="004D21DB">
        <w:rPr>
          <w:rFonts w:ascii="Times New Roman" w:hAnsi="Times New Roman" w:cs="Times New Roman"/>
        </w:rPr>
        <w:t xml:space="preserve">. </w:t>
      </w:r>
      <w:r w:rsidR="00936489">
        <w:rPr>
          <w:rFonts w:ascii="Times New Roman" w:hAnsi="Times New Roman" w:cs="Times New Roman"/>
        </w:rPr>
        <w:t>The</w:t>
      </w:r>
      <w:r w:rsidR="005C11A6" w:rsidRPr="005D6ACF">
        <w:rPr>
          <w:rFonts w:ascii="Times New Roman" w:hAnsi="Times New Roman" w:cs="Times New Roman"/>
        </w:rPr>
        <w:t xml:space="preserve"> sub-model</w:t>
      </w:r>
      <w:r w:rsidR="005D6ACF" w:rsidRPr="005D6ACF">
        <w:rPr>
          <w:rFonts w:ascii="Times New Roman" w:hAnsi="Times New Roman" w:cs="Times New Roman"/>
        </w:rPr>
        <w:t>s</w:t>
      </w:r>
      <w:r w:rsidR="005C11A6" w:rsidRPr="005D6ACF">
        <w:rPr>
          <w:rFonts w:ascii="Times New Roman" w:hAnsi="Times New Roman" w:cs="Times New Roman"/>
        </w:rPr>
        <w:t xml:space="preserve"> where the causal pathway</w:t>
      </w:r>
      <w:r w:rsidR="005D6ACF" w:rsidRPr="005D6ACF">
        <w:rPr>
          <w:rFonts w:ascii="Times New Roman" w:hAnsi="Times New Roman" w:cs="Times New Roman"/>
        </w:rPr>
        <w:t>s</w:t>
      </w:r>
      <w:r w:rsidR="005C11A6" w:rsidRPr="005D6ACF">
        <w:rPr>
          <w:rFonts w:ascii="Times New Roman" w:hAnsi="Times New Roman" w:cs="Times New Roman"/>
        </w:rPr>
        <w:t xml:space="preserve"> from alcohol problems to friend problems (b</w:t>
      </w:r>
      <w:r w:rsidR="005C11A6" w:rsidRPr="005D6ACF">
        <w:rPr>
          <w:rFonts w:ascii="Times New Roman" w:hAnsi="Times New Roman" w:cs="Times New Roman"/>
          <w:vertAlign w:val="subscript"/>
        </w:rPr>
        <w:t>12</w:t>
      </w:r>
      <w:r w:rsidR="005C11A6" w:rsidRPr="005D6ACF">
        <w:rPr>
          <w:rFonts w:ascii="Times New Roman" w:hAnsi="Times New Roman" w:cs="Times New Roman"/>
        </w:rPr>
        <w:t xml:space="preserve">) </w:t>
      </w:r>
      <w:r w:rsidR="005D6ACF" w:rsidRPr="005D6ACF">
        <w:rPr>
          <w:rFonts w:ascii="Times New Roman" w:hAnsi="Times New Roman" w:cs="Times New Roman"/>
        </w:rPr>
        <w:t>and friend problems to alcohol problems (b</w:t>
      </w:r>
      <w:r w:rsidR="005D6ACF" w:rsidRPr="005D6ACF">
        <w:rPr>
          <w:rFonts w:ascii="Times New Roman" w:hAnsi="Times New Roman" w:cs="Times New Roman"/>
          <w:vertAlign w:val="subscript"/>
        </w:rPr>
        <w:t>21</w:t>
      </w:r>
      <w:r w:rsidR="005D6ACF" w:rsidRPr="005D6ACF">
        <w:rPr>
          <w:rFonts w:ascii="Times New Roman" w:hAnsi="Times New Roman" w:cs="Times New Roman"/>
        </w:rPr>
        <w:t>) were</w:t>
      </w:r>
      <w:r w:rsidR="005C11A6" w:rsidRPr="005D6ACF">
        <w:rPr>
          <w:rFonts w:ascii="Times New Roman" w:hAnsi="Times New Roman" w:cs="Times New Roman"/>
        </w:rPr>
        <w:t xml:space="preserve"> set to zero </w:t>
      </w:r>
      <w:r w:rsidR="005D6ACF" w:rsidRPr="005D6ACF">
        <w:rPr>
          <w:rFonts w:ascii="Times New Roman" w:hAnsi="Times New Roman" w:cs="Times New Roman"/>
        </w:rPr>
        <w:t xml:space="preserve">did not </w:t>
      </w:r>
      <w:r w:rsidR="005C11A6" w:rsidRPr="005D6ACF">
        <w:rPr>
          <w:rFonts w:ascii="Times New Roman" w:hAnsi="Times New Roman" w:cs="Times New Roman"/>
        </w:rPr>
        <w:t>fit worse than the reciprocal causation model</w:t>
      </w:r>
      <w:r w:rsidR="001975D7">
        <w:rPr>
          <w:rFonts w:ascii="Times New Roman" w:hAnsi="Times New Roman" w:cs="Times New Roman"/>
        </w:rPr>
        <w:t xml:space="preserve"> (Model 2</w:t>
      </w:r>
      <w:r w:rsidR="001975D7" w:rsidRPr="00DC0F8E">
        <w:rPr>
          <w:rFonts w:ascii="Times New Roman" w:hAnsi="Times New Roman" w:cs="Times New Roman"/>
        </w:rPr>
        <w:t xml:space="preserve">/ drop </w:t>
      </w:r>
      <w:r w:rsidR="001975D7" w:rsidRPr="001975D7">
        <w:rPr>
          <w:rFonts w:ascii="Times New Roman" w:hAnsi="Times New Roman" w:cs="Times New Roman"/>
        </w:rPr>
        <w:t>b</w:t>
      </w:r>
      <w:r w:rsidR="001975D7">
        <w:rPr>
          <w:rFonts w:ascii="Times New Roman" w:hAnsi="Times New Roman"/>
          <w:vertAlign w:val="subscript"/>
        </w:rPr>
        <w:t>12</w:t>
      </w:r>
      <w:r w:rsidR="005F1BE7">
        <w:rPr>
          <w:rFonts w:ascii="Times New Roman" w:hAnsi="Times New Roman"/>
          <w:vertAlign w:val="subscript"/>
        </w:rPr>
        <w:t xml:space="preserve"> </w:t>
      </w:r>
      <w:r w:rsidR="001975D7" w:rsidRPr="00DC0F8E">
        <w:rPr>
          <w:rFonts w:ascii="Times New Roman" w:hAnsi="Times New Roman" w:cs="Times New Roman"/>
        </w:rPr>
        <w:t xml:space="preserve">- </w:t>
      </w:r>
      <w:r w:rsidR="001975D7" w:rsidRPr="00DC0F8E">
        <w:rPr>
          <w:rFonts w:ascii="Times New Roman" w:hAnsi="Times New Roman" w:cs="Times New Roman" w:hint="eastAsia"/>
        </w:rPr>
        <w:t>χ</w:t>
      </w:r>
      <w:r w:rsidR="001975D7" w:rsidRPr="00DC0F8E">
        <w:rPr>
          <w:rFonts w:ascii="Times New Roman" w:hAnsi="Times New Roman" w:cs="Times New Roman"/>
          <w:vertAlign w:val="superscript"/>
        </w:rPr>
        <w:t>2</w:t>
      </w:r>
      <w:r w:rsidR="001975D7" w:rsidRPr="00DC0F8E">
        <w:rPr>
          <w:rFonts w:ascii="Times New Roman" w:hAnsi="Times New Roman" w:cs="Times New Roman"/>
        </w:rPr>
        <w:t xml:space="preserve"> = </w:t>
      </w:r>
      <w:r w:rsidR="001975D7">
        <w:rPr>
          <w:rFonts w:ascii="Times New Roman" w:hAnsi="Times New Roman" w:cs="Times New Roman"/>
        </w:rPr>
        <w:t>1.52</w:t>
      </w:r>
      <w:r w:rsidR="001975D7" w:rsidRPr="00DC0F8E">
        <w:rPr>
          <w:rFonts w:ascii="Times New Roman" w:hAnsi="Times New Roman" w:cs="Times New Roman"/>
        </w:rPr>
        <w:t>,</w:t>
      </w:r>
      <w:r w:rsidR="001975D7" w:rsidRPr="00936489">
        <w:rPr>
          <w:rFonts w:ascii="Times New Roman" w:hAnsi="Times New Roman" w:cs="Times New Roman"/>
          <w:i/>
        </w:rPr>
        <w:t xml:space="preserve"> p</w:t>
      </w:r>
      <w:r w:rsidR="001975D7" w:rsidRPr="00DC0F8E">
        <w:rPr>
          <w:rFonts w:ascii="Times New Roman" w:hAnsi="Times New Roman" w:cs="Times New Roman"/>
        </w:rPr>
        <w:t xml:space="preserve"> </w:t>
      </w:r>
      <w:r w:rsidR="001975D7">
        <w:rPr>
          <w:rFonts w:ascii="Times New Roman" w:hAnsi="Times New Roman" w:cs="Times New Roman"/>
        </w:rPr>
        <w:t xml:space="preserve">&gt; </w:t>
      </w:r>
      <w:r w:rsidR="001975D7" w:rsidRPr="00DC0F8E">
        <w:rPr>
          <w:rFonts w:ascii="Times New Roman" w:hAnsi="Times New Roman" w:cs="Times New Roman"/>
        </w:rPr>
        <w:t>0.</w:t>
      </w:r>
      <w:r w:rsidR="005F1BE7">
        <w:rPr>
          <w:rFonts w:ascii="Times New Roman" w:hAnsi="Times New Roman" w:cs="Times New Roman"/>
        </w:rPr>
        <w:t xml:space="preserve">05; </w:t>
      </w:r>
      <w:r w:rsidR="001975D7" w:rsidRPr="00DC0F8E">
        <w:rPr>
          <w:rFonts w:ascii="Times New Roman" w:hAnsi="Times New Roman" w:cs="Times New Roman"/>
        </w:rPr>
        <w:t xml:space="preserve">drop </w:t>
      </w:r>
      <w:r w:rsidR="001975D7" w:rsidRPr="001975D7">
        <w:rPr>
          <w:rFonts w:ascii="Times New Roman" w:hAnsi="Times New Roman" w:cs="Times New Roman"/>
        </w:rPr>
        <w:t>b</w:t>
      </w:r>
      <w:r w:rsidR="001975D7">
        <w:rPr>
          <w:rFonts w:ascii="Times New Roman" w:hAnsi="Times New Roman"/>
          <w:vertAlign w:val="subscript"/>
        </w:rPr>
        <w:t xml:space="preserve">21 </w:t>
      </w:r>
      <w:r w:rsidR="001975D7" w:rsidRPr="00DC0F8E">
        <w:rPr>
          <w:rFonts w:ascii="Times New Roman" w:hAnsi="Times New Roman" w:cs="Times New Roman"/>
        </w:rPr>
        <w:t xml:space="preserve">- </w:t>
      </w:r>
      <w:r w:rsidR="001975D7" w:rsidRPr="00DC0F8E">
        <w:rPr>
          <w:rFonts w:ascii="Times New Roman" w:hAnsi="Times New Roman" w:cs="Times New Roman" w:hint="eastAsia"/>
        </w:rPr>
        <w:t>χ</w:t>
      </w:r>
      <w:r w:rsidR="001975D7" w:rsidRPr="00DC0F8E">
        <w:rPr>
          <w:rFonts w:ascii="Times New Roman" w:hAnsi="Times New Roman" w:cs="Times New Roman"/>
          <w:vertAlign w:val="superscript"/>
        </w:rPr>
        <w:t>2</w:t>
      </w:r>
      <w:r w:rsidR="001975D7" w:rsidRPr="00DC0F8E">
        <w:rPr>
          <w:rFonts w:ascii="Times New Roman" w:hAnsi="Times New Roman" w:cs="Times New Roman"/>
        </w:rPr>
        <w:t xml:space="preserve"> = </w:t>
      </w:r>
      <w:r w:rsidR="005F1BE7">
        <w:rPr>
          <w:rFonts w:ascii="Times New Roman" w:hAnsi="Times New Roman" w:cs="Times New Roman"/>
        </w:rPr>
        <w:t>0.19</w:t>
      </w:r>
      <w:r w:rsidR="001975D7" w:rsidRPr="00DC0F8E">
        <w:rPr>
          <w:rFonts w:ascii="Times New Roman" w:hAnsi="Times New Roman" w:cs="Times New Roman"/>
        </w:rPr>
        <w:t xml:space="preserve">, </w:t>
      </w:r>
      <w:r w:rsidR="001975D7" w:rsidRPr="00936489">
        <w:rPr>
          <w:rFonts w:ascii="Times New Roman" w:hAnsi="Times New Roman" w:cs="Times New Roman"/>
          <w:i/>
        </w:rPr>
        <w:t>p</w:t>
      </w:r>
      <w:r w:rsidR="001975D7" w:rsidRPr="00DC0F8E">
        <w:rPr>
          <w:rFonts w:ascii="Times New Roman" w:hAnsi="Times New Roman" w:cs="Times New Roman"/>
        </w:rPr>
        <w:t xml:space="preserve"> </w:t>
      </w:r>
      <w:r w:rsidR="001975D7">
        <w:rPr>
          <w:rFonts w:ascii="Times New Roman" w:hAnsi="Times New Roman" w:cs="Times New Roman"/>
        </w:rPr>
        <w:t xml:space="preserve">&gt; </w:t>
      </w:r>
      <w:r w:rsidR="001975D7" w:rsidRPr="00DC0F8E">
        <w:rPr>
          <w:rFonts w:ascii="Times New Roman" w:hAnsi="Times New Roman" w:cs="Times New Roman"/>
        </w:rPr>
        <w:t>0.</w:t>
      </w:r>
      <w:r w:rsidR="001975D7">
        <w:rPr>
          <w:rFonts w:ascii="Times New Roman" w:hAnsi="Times New Roman" w:cs="Times New Roman"/>
        </w:rPr>
        <w:t>05</w:t>
      </w:r>
      <w:r w:rsidR="001975D7" w:rsidRPr="00DC0F8E">
        <w:rPr>
          <w:rFonts w:ascii="Times New Roman" w:hAnsi="Times New Roman" w:cs="Times New Roman"/>
        </w:rPr>
        <w:t>)</w:t>
      </w:r>
      <w:r w:rsidR="005C11A6" w:rsidRPr="005D6ACF">
        <w:rPr>
          <w:rFonts w:ascii="Times New Roman" w:hAnsi="Times New Roman" w:cs="Times New Roman"/>
        </w:rPr>
        <w:t xml:space="preserve">, suggesting that </w:t>
      </w:r>
      <w:r w:rsidR="005D6ACF" w:rsidRPr="005D6ACF">
        <w:rPr>
          <w:rFonts w:ascii="Times New Roman" w:hAnsi="Times New Roman" w:cs="Times New Roman"/>
        </w:rPr>
        <w:t>friend problems</w:t>
      </w:r>
      <w:r>
        <w:rPr>
          <w:rFonts w:ascii="Times New Roman" w:hAnsi="Times New Roman" w:cs="Times New Roman"/>
        </w:rPr>
        <w:t xml:space="preserve"> do</w:t>
      </w:r>
      <w:r w:rsidR="005C11A6" w:rsidRPr="005D6ACF">
        <w:rPr>
          <w:rFonts w:ascii="Times New Roman" w:hAnsi="Times New Roman" w:cs="Times New Roman"/>
        </w:rPr>
        <w:t xml:space="preserve"> not cause alcohol </w:t>
      </w:r>
      <w:r w:rsidR="005D6ACF" w:rsidRPr="005D6ACF">
        <w:rPr>
          <w:rFonts w:ascii="Times New Roman" w:hAnsi="Times New Roman" w:cs="Times New Roman"/>
        </w:rPr>
        <w:t>problems or vice versa</w:t>
      </w:r>
      <w:r w:rsidR="005C11A6" w:rsidRPr="005D6ACF">
        <w:rPr>
          <w:rFonts w:ascii="Times New Roman" w:hAnsi="Times New Roman" w:cs="Times New Roman"/>
        </w:rPr>
        <w:t>.</w:t>
      </w:r>
      <w:r w:rsidR="005D6ACF" w:rsidRPr="005D6ACF">
        <w:rPr>
          <w:rFonts w:ascii="Times New Roman" w:hAnsi="Times New Roman" w:cs="Times New Roman"/>
        </w:rPr>
        <w:t xml:space="preserve"> We note that these findings should be interpreted with caution because we used a lifetime alcohol problems measure, and therefore it is possible that some participants’ alcohol problems could have predated (and been resolved) prior to involvement with their current friends. </w:t>
      </w:r>
    </w:p>
    <w:p w:rsidR="005D6ACF" w:rsidRDefault="005D6ACF" w:rsidP="00C56BBA">
      <w:pPr>
        <w:rPr>
          <w:rFonts w:ascii="Times New Roman" w:hAnsi="Times New Roman" w:cs="Times New Roman"/>
          <w:b/>
        </w:rPr>
      </w:pPr>
    </w:p>
    <w:p w:rsidR="00FD579B" w:rsidRDefault="00FD57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D579B" w:rsidRDefault="00FD579B" w:rsidP="00247411">
      <w:pPr>
        <w:ind w:firstLine="720"/>
        <w:rPr>
          <w:rFonts w:ascii="Times New Roman" w:hAnsi="Times New Roman" w:cs="Times New Roman"/>
        </w:rPr>
        <w:sectPr w:rsidR="00FD579B" w:rsidSect="00247411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2943" w:type="dxa"/>
        <w:tblLayout w:type="fixed"/>
        <w:tblLook w:val="04A0"/>
      </w:tblPr>
      <w:tblGrid>
        <w:gridCol w:w="1433"/>
        <w:gridCol w:w="1119"/>
        <w:gridCol w:w="1128"/>
        <w:gridCol w:w="71"/>
        <w:gridCol w:w="8"/>
        <w:gridCol w:w="203"/>
        <w:gridCol w:w="64"/>
        <w:gridCol w:w="1303"/>
        <w:gridCol w:w="58"/>
        <w:gridCol w:w="1070"/>
        <w:gridCol w:w="58"/>
        <w:gridCol w:w="1031"/>
        <w:gridCol w:w="58"/>
        <w:gridCol w:w="686"/>
        <w:gridCol w:w="7"/>
        <w:gridCol w:w="58"/>
        <w:gridCol w:w="243"/>
        <w:gridCol w:w="58"/>
        <w:gridCol w:w="1211"/>
        <w:gridCol w:w="58"/>
        <w:gridCol w:w="1070"/>
        <w:gridCol w:w="58"/>
        <w:gridCol w:w="835"/>
        <w:gridCol w:w="58"/>
        <w:gridCol w:w="933"/>
        <w:gridCol w:w="6"/>
        <w:gridCol w:w="58"/>
      </w:tblGrid>
      <w:tr w:rsidR="00FD579B" w:rsidRPr="00936489" w:rsidTr="00936489">
        <w:trPr>
          <w:gridAfter w:val="2"/>
          <w:wAfter w:w="64" w:type="dxa"/>
          <w:trHeight w:val="305"/>
        </w:trPr>
        <w:tc>
          <w:tcPr>
            <w:tcW w:w="12879" w:type="dxa"/>
            <w:gridSpan w:val="25"/>
            <w:shd w:val="clear" w:color="auto" w:fill="auto"/>
            <w:noWrap/>
            <w:vAlign w:val="center"/>
            <w:hideMark/>
          </w:tcPr>
          <w:p w:rsidR="00FD579B" w:rsidRPr="00936489" w:rsidRDefault="00FD579B" w:rsidP="003C10EB">
            <w:pPr>
              <w:framePr w:hSpace="180" w:wrap="notBeside" w:vAnchor="text" w:hAnchor="page" w:x="1390" w:y="541"/>
              <w:rPr>
                <w:rFonts w:ascii="Times New Roman" w:eastAsia="Times New Roman" w:hAnsi="Times New Roman" w:cs="Times New Roman"/>
                <w:color w:val="000000"/>
              </w:rPr>
            </w:pPr>
            <w:r w:rsidRPr="009364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Table S1</w:t>
            </w:r>
          </w:p>
        </w:tc>
      </w:tr>
      <w:tr w:rsidR="00FD579B" w:rsidRPr="00936489" w:rsidTr="00936489">
        <w:trPr>
          <w:gridAfter w:val="2"/>
          <w:wAfter w:w="64" w:type="dxa"/>
          <w:trHeight w:val="305"/>
        </w:trPr>
        <w:tc>
          <w:tcPr>
            <w:tcW w:w="12879" w:type="dxa"/>
            <w:gridSpan w:val="25"/>
            <w:shd w:val="clear" w:color="auto" w:fill="auto"/>
            <w:noWrap/>
            <w:vAlign w:val="center"/>
            <w:hideMark/>
          </w:tcPr>
          <w:p w:rsidR="00FD579B" w:rsidRPr="00936489" w:rsidRDefault="00FD579B" w:rsidP="003C10EB">
            <w:pPr>
              <w:framePr w:hSpace="180" w:wrap="notBeside" w:vAnchor="text" w:hAnchor="page" w:x="1390" w:y="5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579B" w:rsidRPr="00936489" w:rsidTr="00936489">
        <w:trPr>
          <w:gridAfter w:val="2"/>
          <w:wAfter w:w="64" w:type="dxa"/>
          <w:trHeight w:val="326"/>
        </w:trPr>
        <w:tc>
          <w:tcPr>
            <w:tcW w:w="12879" w:type="dxa"/>
            <w:gridSpan w:val="2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79B" w:rsidRPr="00936489" w:rsidRDefault="00FD579B" w:rsidP="003C10EB">
            <w:pPr>
              <w:framePr w:hSpace="180" w:wrap="notBeside" w:vAnchor="text" w:hAnchor="page" w:x="1390" w:y="5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3648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Model fitting results examining direction of causation models for alcohol consumption and romantic conflict, and alcohol problems and friend problems</w:t>
            </w:r>
          </w:p>
        </w:tc>
      </w:tr>
      <w:tr w:rsidR="003C10EB" w:rsidRPr="00936489" w:rsidTr="00936489">
        <w:trPr>
          <w:gridAfter w:val="2"/>
          <w:wAfter w:w="64" w:type="dxa"/>
          <w:trHeight w:val="326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79B" w:rsidRPr="00936489" w:rsidRDefault="00FD579B" w:rsidP="003C10EB">
            <w:pPr>
              <w:framePr w:hSpace="180" w:wrap="notBeside" w:vAnchor="text" w:hAnchor="page" w:x="1390" w:y="5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489">
              <w:rPr>
                <w:rFonts w:ascii="Times New Roman" w:eastAsia="Times New Roman" w:hAnsi="Times New Roman" w:cs="Times New Roman"/>
                <w:color w:val="000000"/>
              </w:rPr>
              <w:t>Model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79B" w:rsidRPr="00936489" w:rsidRDefault="00125BE3" w:rsidP="005C11A6">
            <w:pPr>
              <w:framePr w:hSpace="180" w:wrap="notBeside" w:vAnchor="text" w:hAnchor="page" w:x="1390" w:y="5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489">
              <w:rPr>
                <w:rFonts w:ascii="Times New Roman" w:eastAsia="Times New Roman" w:hAnsi="Times New Roman" w:cs="Times New Roman"/>
                <w:color w:val="000000"/>
              </w:rPr>
              <w:t>Baseline Model</w:t>
            </w:r>
            <w:r w:rsidR="005C11A6" w:rsidRPr="00936489">
              <w:rPr>
                <w:rFonts w:ascii="Times New Roman" w:eastAsia="Times New Roman" w:hAnsi="Times New Roman" w:cs="Times New Roman"/>
                <w:color w:val="000000"/>
              </w:rPr>
              <w:t xml:space="preserve"> (Reciprocal</w:t>
            </w:r>
            <w:r w:rsidR="0008740E" w:rsidRPr="00936489">
              <w:rPr>
                <w:rFonts w:ascii="Times New Roman" w:eastAsia="Times New Roman" w:hAnsi="Times New Roman" w:cs="Times New Roman"/>
                <w:color w:val="000000"/>
              </w:rPr>
              <w:t xml:space="preserve"> Causation</w:t>
            </w:r>
            <w:r w:rsidR="005C11A6" w:rsidRPr="0093648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3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79B" w:rsidRPr="00936489" w:rsidRDefault="00FD579B" w:rsidP="003C10EB">
            <w:pPr>
              <w:framePr w:hSpace="180" w:wrap="notBeside" w:vAnchor="text" w:hAnchor="page" w:x="1390" w:y="5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489">
              <w:rPr>
                <w:rFonts w:ascii="Times New Roman" w:eastAsia="Times New Roman" w:hAnsi="Times New Roman" w:cs="Times New Roman"/>
                <w:color w:val="000000"/>
              </w:rPr>
              <w:t>Drop b</w:t>
            </w:r>
            <w:r w:rsidRPr="0093648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21</w:t>
            </w:r>
          </w:p>
        </w:tc>
        <w:tc>
          <w:tcPr>
            <w:tcW w:w="458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79B" w:rsidRPr="00936489" w:rsidRDefault="00FD579B" w:rsidP="003C10EB">
            <w:pPr>
              <w:framePr w:hSpace="180" w:wrap="notBeside" w:vAnchor="text" w:hAnchor="page" w:x="1390" w:y="5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489">
              <w:rPr>
                <w:rFonts w:ascii="Times New Roman" w:eastAsia="Times New Roman" w:hAnsi="Times New Roman" w:cs="Times New Roman"/>
                <w:color w:val="000000"/>
              </w:rPr>
              <w:t>Drop b</w:t>
            </w:r>
            <w:r w:rsidRPr="0093648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12</w:t>
            </w:r>
          </w:p>
        </w:tc>
      </w:tr>
      <w:tr w:rsidR="00936489" w:rsidRPr="00936489" w:rsidTr="00936489">
        <w:trPr>
          <w:trHeight w:val="326"/>
        </w:trPr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79B" w:rsidRPr="00936489" w:rsidRDefault="00FD579B" w:rsidP="003C10EB">
            <w:pPr>
              <w:framePr w:hSpace="180" w:wrap="notBeside" w:vAnchor="text" w:hAnchor="page" w:x="1390" w:y="5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79B" w:rsidRPr="00936489" w:rsidRDefault="00FD579B" w:rsidP="003C10EB">
            <w:pPr>
              <w:framePr w:hSpace="180" w:wrap="notBeside" w:vAnchor="text" w:hAnchor="page" w:x="1390" w:y="5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489">
              <w:rPr>
                <w:rFonts w:ascii="Times New Roman" w:eastAsia="Times New Roman" w:hAnsi="Times New Roman" w:cs="Times New Roman"/>
                <w:color w:val="000000"/>
              </w:rPr>
              <w:t>-2 LL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79B" w:rsidRPr="00936489" w:rsidRDefault="00FD579B" w:rsidP="003C10EB">
            <w:pPr>
              <w:framePr w:hSpace="180" w:wrap="notBeside" w:vAnchor="text" w:hAnchor="page" w:x="1390" w:y="5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489">
              <w:rPr>
                <w:rFonts w:ascii="Times New Roman" w:eastAsia="Times New Roman" w:hAnsi="Times New Roman" w:cs="Times New Roman"/>
                <w:color w:val="000000"/>
              </w:rPr>
              <w:t>AIC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79B" w:rsidRPr="00936489" w:rsidRDefault="00FD579B" w:rsidP="003C10EB">
            <w:pPr>
              <w:framePr w:hSpace="180" w:wrap="notBeside" w:vAnchor="text" w:hAnchor="page" w:x="1390" w:y="5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579B" w:rsidRPr="00936489" w:rsidRDefault="00FD579B" w:rsidP="003C10EB">
            <w:pPr>
              <w:framePr w:hSpace="180" w:wrap="notBeside" w:vAnchor="text" w:hAnchor="page" w:x="1390" w:y="5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489">
              <w:rPr>
                <w:rFonts w:ascii="Times New Roman" w:eastAsia="Times New Roman" w:hAnsi="Times New Roman" w:cs="Times New Roman"/>
                <w:color w:val="000000"/>
              </w:rPr>
              <w:t>-2 LL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79B" w:rsidRPr="00936489" w:rsidRDefault="00FD579B" w:rsidP="003C10EB">
            <w:pPr>
              <w:framePr w:hSpace="180" w:wrap="notBeside" w:vAnchor="text" w:hAnchor="page" w:x="1390" w:y="5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489">
              <w:rPr>
                <w:rFonts w:ascii="Times New Roman" w:eastAsia="Times New Roman" w:hAnsi="Times New Roman" w:cs="Times New Roman"/>
                <w:color w:val="000000"/>
              </w:rPr>
              <w:t>AIC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79B" w:rsidRPr="00936489" w:rsidRDefault="00FD579B" w:rsidP="003C10EB">
            <w:pPr>
              <w:framePr w:hSpace="180" w:wrap="notBeside" w:vAnchor="text" w:hAnchor="page" w:x="1390" w:y="5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489">
              <w:rPr>
                <w:rFonts w:ascii="Times New Roman" w:eastAsia="Times New Roman" w:hAnsi="Times New Roman" w:cs="Times New Roman"/>
                <w:color w:val="000000"/>
              </w:rPr>
              <w:t>ΔAIC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79B" w:rsidRPr="00936489" w:rsidRDefault="00FD579B" w:rsidP="003C10EB">
            <w:pPr>
              <w:framePr w:hSpace="180" w:wrap="notBeside" w:vAnchor="text" w:hAnchor="page" w:x="1390" w:y="5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489">
              <w:rPr>
                <w:rFonts w:ascii="Times New Roman" w:eastAsia="Times New Roman" w:hAnsi="Times New Roman" w:cs="Times New Roman"/>
                <w:color w:val="000000"/>
              </w:rPr>
              <w:t>χ2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79B" w:rsidRPr="00936489" w:rsidRDefault="00FD579B" w:rsidP="003C10EB">
            <w:pPr>
              <w:framePr w:hSpace="180" w:wrap="notBeside" w:vAnchor="text" w:hAnchor="page" w:x="1390" w:y="5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579B" w:rsidRPr="00936489" w:rsidRDefault="00FD579B" w:rsidP="003C10EB">
            <w:pPr>
              <w:framePr w:hSpace="180" w:wrap="notBeside" w:vAnchor="text" w:hAnchor="page" w:x="1390" w:y="5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489">
              <w:rPr>
                <w:rFonts w:ascii="Times New Roman" w:eastAsia="Times New Roman" w:hAnsi="Times New Roman" w:cs="Times New Roman"/>
                <w:color w:val="000000"/>
              </w:rPr>
              <w:t>-2 LL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79B" w:rsidRPr="00936489" w:rsidRDefault="00FD579B" w:rsidP="003C10EB">
            <w:pPr>
              <w:framePr w:hSpace="180" w:wrap="notBeside" w:vAnchor="text" w:hAnchor="page" w:x="1390" w:y="5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489">
              <w:rPr>
                <w:rFonts w:ascii="Times New Roman" w:eastAsia="Times New Roman" w:hAnsi="Times New Roman" w:cs="Times New Roman"/>
                <w:color w:val="000000"/>
              </w:rPr>
              <w:t>AIC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79B" w:rsidRPr="00936489" w:rsidRDefault="00FD579B" w:rsidP="003C10EB">
            <w:pPr>
              <w:framePr w:hSpace="180" w:wrap="notBeside" w:vAnchor="text" w:hAnchor="page" w:x="1390" w:y="5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489">
              <w:rPr>
                <w:rFonts w:ascii="Times New Roman" w:eastAsia="Times New Roman" w:hAnsi="Times New Roman" w:cs="Times New Roman"/>
                <w:color w:val="000000"/>
              </w:rPr>
              <w:t>ΔAIC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79B" w:rsidRPr="00936489" w:rsidRDefault="00FD579B" w:rsidP="003C10EB">
            <w:pPr>
              <w:framePr w:hSpace="180" w:wrap="notBeside" w:vAnchor="text" w:hAnchor="page" w:x="1390" w:y="5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489">
              <w:rPr>
                <w:rFonts w:ascii="Times New Roman" w:eastAsia="Times New Roman" w:hAnsi="Times New Roman" w:cs="Times New Roman"/>
                <w:color w:val="000000"/>
              </w:rPr>
              <w:t>χ2</w:t>
            </w:r>
          </w:p>
        </w:tc>
      </w:tr>
      <w:tr w:rsidR="003C10EB" w:rsidRPr="00936489" w:rsidTr="00936489">
        <w:trPr>
          <w:gridAfter w:val="2"/>
          <w:wAfter w:w="64" w:type="dxa"/>
          <w:trHeight w:val="30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FD579B" w:rsidRPr="00936489" w:rsidRDefault="00FD579B" w:rsidP="003C10EB">
            <w:pPr>
              <w:framePr w:hSpace="180" w:wrap="notBeside" w:vAnchor="text" w:hAnchor="page" w:x="1390" w:y="5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46" w:type="dxa"/>
            <w:gridSpan w:val="2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79B" w:rsidRPr="00936489" w:rsidRDefault="00FD579B" w:rsidP="003C10EB">
            <w:pPr>
              <w:framePr w:hSpace="180" w:wrap="notBeside" w:vAnchor="text" w:hAnchor="page" w:x="1390" w:y="5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489">
              <w:rPr>
                <w:rFonts w:ascii="Times New Roman" w:eastAsia="Times New Roman" w:hAnsi="Times New Roman" w:cs="Times New Roman"/>
                <w:color w:val="000000"/>
              </w:rPr>
              <w:t>Alcohol Consumption</w:t>
            </w:r>
          </w:p>
        </w:tc>
      </w:tr>
      <w:tr w:rsidR="00936489" w:rsidRPr="00936489" w:rsidTr="00936489">
        <w:trPr>
          <w:gridAfter w:val="1"/>
          <w:wAfter w:w="58" w:type="dxa"/>
          <w:trHeight w:val="469"/>
        </w:trPr>
        <w:tc>
          <w:tcPr>
            <w:tcW w:w="1433" w:type="dxa"/>
            <w:shd w:val="clear" w:color="auto" w:fill="auto"/>
            <w:vAlign w:val="center"/>
            <w:hideMark/>
          </w:tcPr>
          <w:p w:rsidR="003C10EB" w:rsidRPr="00936489" w:rsidRDefault="009B6D6C" w:rsidP="003C10EB">
            <w:pPr>
              <w:framePr w:hSpace="180" w:wrap="notBeside" w:vAnchor="text" w:hAnchor="page" w:x="1390" w:y="541"/>
              <w:rPr>
                <w:rFonts w:ascii="Times New Roman" w:eastAsia="Times New Roman" w:hAnsi="Times New Roman" w:cs="Times New Roman"/>
                <w:color w:val="000000"/>
              </w:rPr>
            </w:pPr>
            <w:r w:rsidRPr="00936489">
              <w:rPr>
                <w:rFonts w:ascii="Times New Roman" w:eastAsia="Times New Roman" w:hAnsi="Times New Roman" w:cs="Times New Roman"/>
                <w:color w:val="000000"/>
              </w:rPr>
              <w:t>1-</w:t>
            </w:r>
            <w:r w:rsidR="003C10EB" w:rsidRPr="00936489">
              <w:rPr>
                <w:rFonts w:ascii="Times New Roman" w:eastAsia="Times New Roman" w:hAnsi="Times New Roman" w:cs="Times New Roman"/>
                <w:color w:val="000000"/>
              </w:rPr>
              <w:t>Romantic Conflict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EB" w:rsidRPr="00936489" w:rsidRDefault="003C10EB" w:rsidP="003C10EB">
            <w:pPr>
              <w:framePr w:hSpace="180" w:wrap="notBeside" w:vAnchor="text" w:hAnchor="page" w:x="1390" w:y="541"/>
              <w:rPr>
                <w:rFonts w:ascii="Times New Roman" w:eastAsia="Times New Roman" w:hAnsi="Times New Roman" w:cs="Times New Roman"/>
                <w:color w:val="000000"/>
              </w:rPr>
            </w:pPr>
            <w:r w:rsidRPr="00936489">
              <w:rPr>
                <w:rFonts w:ascii="Times New Roman" w:eastAsia="Times New Roman" w:hAnsi="Times New Roman" w:cs="Times New Roman"/>
                <w:color w:val="000000"/>
              </w:rPr>
              <w:t>10174.09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EB" w:rsidRPr="00936489" w:rsidRDefault="003C10EB" w:rsidP="003C10EB">
            <w:pPr>
              <w:framePr w:hSpace="180" w:wrap="notBeside" w:vAnchor="text" w:hAnchor="page" w:x="1390" w:y="541"/>
              <w:rPr>
                <w:rFonts w:ascii="Times New Roman" w:eastAsia="Times New Roman" w:hAnsi="Times New Roman" w:cs="Times New Roman"/>
                <w:color w:val="000000"/>
              </w:rPr>
            </w:pPr>
            <w:r w:rsidRPr="00936489">
              <w:rPr>
                <w:rFonts w:ascii="Times New Roman" w:eastAsia="Times New Roman" w:hAnsi="Times New Roman" w:cs="Times New Roman"/>
                <w:color w:val="000000"/>
              </w:rPr>
              <w:t>1580.09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EB" w:rsidRPr="00936489" w:rsidRDefault="003C10EB" w:rsidP="003C10EB">
            <w:pPr>
              <w:framePr w:hSpace="180" w:wrap="notBeside" w:vAnchor="text" w:hAnchor="page" w:x="1390" w:y="5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0EB" w:rsidRPr="00936489" w:rsidRDefault="003C10EB" w:rsidP="003C10EB">
            <w:pPr>
              <w:framePr w:hSpace="180" w:wrap="notBeside" w:vAnchor="text" w:hAnchor="page" w:x="1390" w:y="5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489">
              <w:rPr>
                <w:rFonts w:ascii="Times New Roman" w:eastAsia="Times New Roman" w:hAnsi="Times New Roman" w:cs="Times New Roman"/>
                <w:color w:val="000000"/>
              </w:rPr>
              <w:t>10175.42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EB" w:rsidRPr="00936489" w:rsidRDefault="003C10EB" w:rsidP="003C10EB">
            <w:pPr>
              <w:framePr w:hSpace="180" w:wrap="notBeside" w:vAnchor="text" w:hAnchor="page" w:x="1390" w:y="5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489">
              <w:rPr>
                <w:rFonts w:ascii="Times New Roman" w:eastAsia="Times New Roman" w:hAnsi="Times New Roman" w:cs="Times New Roman"/>
                <w:color w:val="000000"/>
              </w:rPr>
              <w:t>1579.42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10EB" w:rsidRPr="00936489" w:rsidRDefault="003C10EB" w:rsidP="003C10EB">
            <w:pPr>
              <w:framePr w:hSpace="180" w:wrap="notBeside" w:vAnchor="text" w:hAnchor="page" w:x="1390" w:y="5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489">
              <w:rPr>
                <w:rFonts w:ascii="Times New Roman" w:eastAsia="Times New Roman" w:hAnsi="Times New Roman" w:cs="Times New Roman"/>
                <w:color w:val="000000"/>
              </w:rPr>
              <w:t>-0.67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10EB" w:rsidRPr="00936489" w:rsidRDefault="003C10EB" w:rsidP="003C10EB">
            <w:pPr>
              <w:framePr w:hSpace="180" w:wrap="notBeside" w:vAnchor="text" w:hAnchor="page" w:x="1390" w:y="5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489">
              <w:rPr>
                <w:rFonts w:ascii="Times New Roman" w:eastAsia="Times New Roman" w:hAnsi="Times New Roman" w:cs="Times New Roman"/>
                <w:color w:val="000000"/>
              </w:rPr>
              <w:t>1.33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EB" w:rsidRPr="00936489" w:rsidRDefault="003C10EB" w:rsidP="003C10EB">
            <w:pPr>
              <w:framePr w:hSpace="180" w:wrap="notBeside" w:vAnchor="text" w:hAnchor="page" w:x="1390" w:y="5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0EB" w:rsidRPr="00936489" w:rsidRDefault="003C10EB" w:rsidP="003C10EB">
            <w:pPr>
              <w:framePr w:hSpace="180" w:wrap="notBeside" w:vAnchor="text" w:hAnchor="page" w:x="1390" w:y="541"/>
              <w:rPr>
                <w:rFonts w:ascii="Times New Roman" w:eastAsia="Times New Roman" w:hAnsi="Times New Roman" w:cs="Times New Roman"/>
                <w:color w:val="000000"/>
              </w:rPr>
            </w:pPr>
            <w:r w:rsidRPr="00936489">
              <w:rPr>
                <w:rFonts w:ascii="Times New Roman" w:eastAsia="Times New Roman" w:hAnsi="Times New Roman" w:cs="Times New Roman"/>
                <w:color w:val="000000"/>
              </w:rPr>
              <w:t>10181.96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EB" w:rsidRPr="00936489" w:rsidRDefault="003C10EB" w:rsidP="003C10EB">
            <w:pPr>
              <w:framePr w:hSpace="180" w:wrap="notBeside" w:vAnchor="text" w:hAnchor="page" w:x="1390" w:y="541"/>
              <w:rPr>
                <w:rFonts w:ascii="Times New Roman" w:eastAsia="Times New Roman" w:hAnsi="Times New Roman" w:cs="Times New Roman"/>
                <w:color w:val="000000"/>
              </w:rPr>
            </w:pPr>
            <w:r w:rsidRPr="00936489">
              <w:rPr>
                <w:rFonts w:ascii="Times New Roman" w:eastAsia="Times New Roman" w:hAnsi="Times New Roman" w:cs="Times New Roman"/>
                <w:color w:val="000000"/>
              </w:rPr>
              <w:t>1585.96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EB" w:rsidRPr="00936489" w:rsidRDefault="003C10EB" w:rsidP="003C10EB">
            <w:pPr>
              <w:framePr w:hSpace="180" w:wrap="notBeside" w:vAnchor="text" w:hAnchor="page" w:x="1390" w:y="541"/>
              <w:rPr>
                <w:rFonts w:ascii="Times New Roman" w:eastAsia="Times New Roman" w:hAnsi="Times New Roman" w:cs="Times New Roman"/>
                <w:color w:val="000000"/>
              </w:rPr>
            </w:pPr>
            <w:r w:rsidRPr="00936489">
              <w:rPr>
                <w:rFonts w:ascii="Times New Roman" w:eastAsia="Times New Roman" w:hAnsi="Times New Roman" w:cs="Times New Roman"/>
                <w:color w:val="000000"/>
              </w:rPr>
              <w:t>5.87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EB" w:rsidRPr="00936489" w:rsidRDefault="003C10EB" w:rsidP="003C10EB">
            <w:pPr>
              <w:framePr w:hSpace="180" w:wrap="notBeside" w:vAnchor="text" w:hAnchor="page" w:x="1390" w:y="541"/>
              <w:rPr>
                <w:rFonts w:ascii="Times New Roman" w:eastAsia="Times New Roman" w:hAnsi="Times New Roman" w:cs="Times New Roman"/>
                <w:color w:val="000000"/>
              </w:rPr>
            </w:pPr>
            <w:r w:rsidRPr="00936489">
              <w:rPr>
                <w:rFonts w:ascii="Times New Roman" w:eastAsia="Times New Roman" w:hAnsi="Times New Roman" w:cs="Times New Roman"/>
                <w:color w:val="000000"/>
              </w:rPr>
              <w:t>7.87**</w:t>
            </w:r>
          </w:p>
        </w:tc>
      </w:tr>
      <w:tr w:rsidR="003C10EB" w:rsidRPr="00936489" w:rsidTr="00936489">
        <w:trPr>
          <w:gridAfter w:val="2"/>
          <w:wAfter w:w="64" w:type="dxa"/>
          <w:trHeight w:val="32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FD579B" w:rsidRPr="00936489" w:rsidRDefault="0008740E" w:rsidP="003C10EB">
            <w:pPr>
              <w:framePr w:hSpace="180" w:wrap="notBeside" w:vAnchor="text" w:hAnchor="page" w:x="1390" w:y="541"/>
              <w:rPr>
                <w:rFonts w:ascii="Times New Roman" w:eastAsia="Times New Roman" w:hAnsi="Times New Roman" w:cs="Times New Roman"/>
                <w:color w:val="000000"/>
              </w:rPr>
            </w:pPr>
            <w:r w:rsidRPr="009364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446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79B" w:rsidRPr="00936489" w:rsidRDefault="00FD579B" w:rsidP="003C10EB">
            <w:pPr>
              <w:framePr w:hSpace="180" w:wrap="notBeside" w:vAnchor="text" w:hAnchor="page" w:x="1390" w:y="5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489">
              <w:rPr>
                <w:rFonts w:ascii="Times New Roman" w:eastAsia="Times New Roman" w:hAnsi="Times New Roman" w:cs="Times New Roman"/>
                <w:color w:val="000000"/>
              </w:rPr>
              <w:t>Alcohol Problems</w:t>
            </w:r>
          </w:p>
        </w:tc>
      </w:tr>
      <w:tr w:rsidR="00936489" w:rsidRPr="00936489" w:rsidTr="00936489">
        <w:trPr>
          <w:gridAfter w:val="1"/>
          <w:wAfter w:w="58" w:type="dxa"/>
          <w:trHeight w:val="469"/>
        </w:trPr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0EB" w:rsidRPr="00936489" w:rsidRDefault="009B6D6C" w:rsidP="003C10EB">
            <w:pPr>
              <w:framePr w:hSpace="180" w:wrap="notBeside" w:vAnchor="text" w:hAnchor="page" w:x="1390" w:y="541"/>
              <w:rPr>
                <w:rFonts w:ascii="Times New Roman" w:eastAsia="Times New Roman" w:hAnsi="Times New Roman" w:cs="Times New Roman"/>
                <w:color w:val="000000"/>
              </w:rPr>
            </w:pPr>
            <w:r w:rsidRPr="00936489">
              <w:rPr>
                <w:rFonts w:ascii="Times New Roman" w:eastAsia="Times New Roman" w:hAnsi="Times New Roman" w:cs="Times New Roman"/>
                <w:color w:val="000000"/>
              </w:rPr>
              <w:t xml:space="preserve">2- </w:t>
            </w:r>
            <w:r w:rsidR="003C10EB" w:rsidRPr="00936489">
              <w:rPr>
                <w:rFonts w:ascii="Times New Roman" w:eastAsia="Times New Roman" w:hAnsi="Times New Roman" w:cs="Times New Roman"/>
                <w:color w:val="000000"/>
              </w:rPr>
              <w:t>Friend Problems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10EB" w:rsidRPr="00936489" w:rsidRDefault="00C56BBA" w:rsidP="003C10EB">
            <w:pPr>
              <w:framePr w:hSpace="180" w:wrap="notBeside" w:vAnchor="text" w:hAnchor="page" w:x="1390" w:y="541"/>
              <w:rPr>
                <w:rFonts w:ascii="Times New Roman" w:eastAsia="Times New Roman" w:hAnsi="Times New Roman" w:cs="Times New Roman"/>
                <w:color w:val="000000"/>
              </w:rPr>
            </w:pPr>
            <w:r w:rsidRPr="00936489">
              <w:rPr>
                <w:rFonts w:ascii="Times New Roman" w:eastAsia="Times New Roman" w:hAnsi="Times New Roman" w:cs="Times New Roman"/>
                <w:color w:val="000000"/>
              </w:rPr>
              <w:t>1099.78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10EB" w:rsidRPr="00936489" w:rsidRDefault="00C56BBA" w:rsidP="003C10EB">
            <w:pPr>
              <w:framePr w:hSpace="180" w:wrap="notBeside" w:vAnchor="text" w:hAnchor="page" w:x="1390" w:y="541"/>
              <w:rPr>
                <w:rFonts w:ascii="Times New Roman" w:eastAsia="Times New Roman" w:hAnsi="Times New Roman" w:cs="Times New Roman"/>
                <w:color w:val="000000"/>
              </w:rPr>
            </w:pPr>
            <w:r w:rsidRPr="00936489">
              <w:rPr>
                <w:rFonts w:ascii="Times New Roman" w:eastAsia="Times New Roman" w:hAnsi="Times New Roman" w:cs="Times New Roman"/>
                <w:color w:val="000000"/>
              </w:rPr>
              <w:t>867.78</w:t>
            </w: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10EB" w:rsidRPr="00936489" w:rsidRDefault="003C10EB" w:rsidP="003C10EB">
            <w:pPr>
              <w:framePr w:hSpace="180" w:wrap="notBeside" w:vAnchor="text" w:hAnchor="page" w:x="1390" w:y="5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10EB" w:rsidRPr="00936489" w:rsidRDefault="00C56BBA" w:rsidP="003C10EB">
            <w:pPr>
              <w:framePr w:hSpace="180" w:wrap="notBeside" w:vAnchor="text" w:hAnchor="page" w:x="1390" w:y="5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489">
              <w:rPr>
                <w:rFonts w:ascii="Times New Roman" w:eastAsia="Times New Roman" w:hAnsi="Times New Roman" w:cs="Times New Roman"/>
                <w:color w:val="000000"/>
              </w:rPr>
              <w:t>11099.96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10EB" w:rsidRPr="00936489" w:rsidRDefault="00C56BBA" w:rsidP="003C10EB">
            <w:pPr>
              <w:framePr w:hSpace="180" w:wrap="notBeside" w:vAnchor="text" w:hAnchor="page" w:x="1390" w:y="5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489">
              <w:rPr>
                <w:rFonts w:ascii="Times New Roman" w:eastAsia="Times New Roman" w:hAnsi="Times New Roman" w:cs="Times New Roman"/>
                <w:color w:val="000000"/>
              </w:rPr>
              <w:t>865.96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0EB" w:rsidRPr="00936489" w:rsidRDefault="00C56BBA" w:rsidP="003C10EB">
            <w:pPr>
              <w:framePr w:hSpace="180" w:wrap="notBeside" w:vAnchor="text" w:hAnchor="page" w:x="1390" w:y="5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489">
              <w:rPr>
                <w:rFonts w:ascii="Times New Roman" w:eastAsia="Times New Roman" w:hAnsi="Times New Roman" w:cs="Times New Roman"/>
                <w:color w:val="000000"/>
              </w:rPr>
              <w:t>-1.82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10EB" w:rsidRPr="00936489" w:rsidRDefault="00C56BBA" w:rsidP="003C10EB">
            <w:pPr>
              <w:framePr w:hSpace="180" w:wrap="notBeside" w:vAnchor="text" w:hAnchor="page" w:x="1390" w:y="5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489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157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10EB" w:rsidRPr="00936489" w:rsidRDefault="00C56BBA" w:rsidP="00FF6465">
            <w:pPr>
              <w:framePr w:hSpace="180" w:wrap="notBeside" w:vAnchor="text" w:hAnchor="page" w:x="1390" w:y="5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489">
              <w:rPr>
                <w:rFonts w:ascii="Times New Roman" w:eastAsia="Times New Roman" w:hAnsi="Times New Roman" w:cs="Times New Roman"/>
                <w:color w:val="000000"/>
              </w:rPr>
              <w:t>11101.3</w:t>
            </w: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10EB" w:rsidRPr="00936489" w:rsidRDefault="00C56BBA" w:rsidP="00FF6465">
            <w:pPr>
              <w:framePr w:hSpace="180" w:wrap="notBeside" w:vAnchor="text" w:hAnchor="page" w:x="1390" w:y="5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489">
              <w:rPr>
                <w:rFonts w:ascii="Times New Roman" w:eastAsia="Times New Roman" w:hAnsi="Times New Roman" w:cs="Times New Roman"/>
                <w:color w:val="000000"/>
              </w:rPr>
              <w:t>867.3</w:t>
            </w:r>
          </w:p>
        </w:tc>
        <w:tc>
          <w:tcPr>
            <w:tcW w:w="89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10EB" w:rsidRPr="00936489" w:rsidRDefault="00C56BBA" w:rsidP="00FF6465">
            <w:pPr>
              <w:framePr w:hSpace="180" w:wrap="notBeside" w:vAnchor="text" w:hAnchor="page" w:x="1390" w:y="5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489">
              <w:rPr>
                <w:rFonts w:ascii="Times New Roman" w:eastAsia="Times New Roman" w:hAnsi="Times New Roman" w:cs="Times New Roman"/>
                <w:color w:val="000000"/>
              </w:rPr>
              <w:t>-0.48</w:t>
            </w: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10EB" w:rsidRPr="00936489" w:rsidRDefault="00C56BBA" w:rsidP="00FF6465">
            <w:pPr>
              <w:framePr w:hSpace="180" w:wrap="notBeside" w:vAnchor="text" w:hAnchor="page" w:x="1390" w:y="5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489">
              <w:rPr>
                <w:rFonts w:ascii="Times New Roman" w:eastAsia="Times New Roman" w:hAnsi="Times New Roman" w:cs="Times New Roman"/>
                <w:color w:val="000000"/>
              </w:rPr>
              <w:t>1.52</w:t>
            </w:r>
          </w:p>
        </w:tc>
      </w:tr>
      <w:tr w:rsidR="003C10EB" w:rsidRPr="00936489" w:rsidTr="00936489">
        <w:trPr>
          <w:gridAfter w:val="2"/>
          <w:wAfter w:w="64" w:type="dxa"/>
          <w:trHeight w:val="407"/>
        </w:trPr>
        <w:tc>
          <w:tcPr>
            <w:tcW w:w="12879" w:type="dxa"/>
            <w:gridSpan w:val="2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10EB" w:rsidRPr="00936489" w:rsidRDefault="003C10EB" w:rsidP="00C56BBA">
            <w:pPr>
              <w:framePr w:hSpace="180" w:wrap="notBeside" w:vAnchor="text" w:hAnchor="page" w:x="1390" w:y="54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3648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Note. </w:t>
            </w:r>
            <w:r w:rsidRPr="00936489">
              <w:rPr>
                <w:rFonts w:ascii="Times New Roman" w:eastAsia="Times New Roman" w:hAnsi="Times New Roman" w:cs="Times New Roman"/>
                <w:color w:val="000000"/>
              </w:rPr>
              <w:t xml:space="preserve">** denotes </w:t>
            </w:r>
            <w:r w:rsidRPr="0093648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 </w:t>
            </w:r>
            <w:r w:rsidRPr="00936489">
              <w:rPr>
                <w:rFonts w:ascii="Times New Roman" w:eastAsia="Times New Roman" w:hAnsi="Times New Roman" w:cs="Times New Roman"/>
                <w:color w:val="000000"/>
              </w:rPr>
              <w:t>&lt; 0.01. Abbreviations:  -2LL, -2 log likelihood model fit; AIC, Akaike Information Criterion; ΔAIC, change in AIC (AIC</w:t>
            </w:r>
            <w:r w:rsidRPr="0093648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reduced model</w:t>
            </w:r>
            <w:r w:rsidRPr="00936489">
              <w:rPr>
                <w:rFonts w:ascii="Times New Roman" w:eastAsia="Times New Roman" w:hAnsi="Times New Roman" w:cs="Times New Roman"/>
                <w:color w:val="000000"/>
              </w:rPr>
              <w:t xml:space="preserve"> – AIC</w:t>
            </w:r>
            <w:r w:rsidRPr="0093648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baseline model</w:t>
            </w:r>
            <w:r w:rsidRPr="00936489">
              <w:rPr>
                <w:rFonts w:ascii="Times New Roman" w:eastAsia="Times New Roman" w:hAnsi="Times New Roman" w:cs="Times New Roman"/>
                <w:color w:val="000000"/>
              </w:rPr>
              <w:t xml:space="preserve">); </w:t>
            </w:r>
            <w:r w:rsidRPr="0093648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χ</w:t>
            </w:r>
            <w:r w:rsidRPr="0093648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2</w:t>
            </w:r>
            <w:r w:rsidRPr="0093648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93648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 xml:space="preserve"> </w:t>
            </w:r>
            <w:r w:rsidRPr="00936489">
              <w:rPr>
                <w:rFonts w:ascii="Times New Roman" w:eastAsia="Times New Roman" w:hAnsi="Times New Roman" w:cs="Times New Roman"/>
                <w:color w:val="000000"/>
              </w:rPr>
              <w:t>chi-square test statistic (1 degree of freedom) evaluating the loss in -2LL model fit (i.e., -2LL</w:t>
            </w:r>
            <w:r w:rsidRPr="0093648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reduced model</w:t>
            </w:r>
            <w:r w:rsidRPr="00936489">
              <w:rPr>
                <w:rFonts w:ascii="Times New Roman" w:eastAsia="Times New Roman" w:hAnsi="Times New Roman" w:cs="Times New Roman"/>
                <w:color w:val="000000"/>
              </w:rPr>
              <w:t xml:space="preserve"> – -2LL</w:t>
            </w:r>
            <w:r w:rsidR="00C56BBA" w:rsidRPr="0093648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baseline</w:t>
            </w:r>
            <w:r w:rsidRPr="0093648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 xml:space="preserve"> model</w:t>
            </w:r>
            <w:r w:rsidRPr="00936489">
              <w:rPr>
                <w:rFonts w:ascii="Times New Roman" w:eastAsia="Times New Roman" w:hAnsi="Times New Roman" w:cs="Times New Roman"/>
                <w:color w:val="000000"/>
              </w:rPr>
              <w:t xml:space="preserve">) as a result of dropping the respective parameter. </w:t>
            </w:r>
          </w:p>
        </w:tc>
      </w:tr>
    </w:tbl>
    <w:p w:rsidR="00FD579B" w:rsidRDefault="00FD579B" w:rsidP="00247411">
      <w:pPr>
        <w:ind w:firstLine="720"/>
        <w:rPr>
          <w:rFonts w:ascii="Times New Roman" w:hAnsi="Times New Roman" w:cs="Times New Roman"/>
        </w:rPr>
      </w:pPr>
    </w:p>
    <w:p w:rsidR="001B1C6D" w:rsidRDefault="001B1C6D" w:rsidP="00247411">
      <w:pPr>
        <w:ind w:firstLine="720"/>
        <w:rPr>
          <w:rFonts w:ascii="Times New Roman" w:hAnsi="Times New Roman" w:cs="Times New Roman"/>
        </w:rPr>
      </w:pPr>
    </w:p>
    <w:p w:rsidR="001B1C6D" w:rsidRDefault="001B1C6D" w:rsidP="00247411">
      <w:pPr>
        <w:ind w:firstLine="720"/>
        <w:rPr>
          <w:rFonts w:ascii="Times New Roman" w:hAnsi="Times New Roman" w:cs="Times New Roman"/>
        </w:rPr>
      </w:pPr>
    </w:p>
    <w:p w:rsidR="00247411" w:rsidRPr="00247411" w:rsidRDefault="00247411" w:rsidP="001B1C6D">
      <w:pPr>
        <w:rPr>
          <w:rFonts w:ascii="Times New Roman" w:hAnsi="Times New Roman" w:cs="Times New Roman"/>
        </w:rPr>
        <w:sectPr w:rsidR="00247411" w:rsidRPr="00247411" w:rsidSect="00FD579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E4000" w:rsidRDefault="008E4000">
      <w:pPr>
        <w:rPr>
          <w:rFonts w:ascii="Times New Roman" w:hAnsi="Times New Roman" w:cs="Times New Roman"/>
          <w:i/>
        </w:rPr>
        <w:sectPr w:rsidR="008E4000" w:rsidSect="008E400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6A2C" w:rsidRDefault="00346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 xml:space="preserve">Figure S1. </w:t>
      </w:r>
      <w:r w:rsidRPr="008959E0">
        <w:rPr>
          <w:rFonts w:ascii="Times New Roman" w:hAnsi="Times New Roman" w:cs="Times New Roman"/>
        </w:rPr>
        <w:t xml:space="preserve">Illustrative </w:t>
      </w:r>
      <w:r>
        <w:rPr>
          <w:rFonts w:ascii="Times New Roman" w:hAnsi="Times New Roman" w:cs="Times New Roman"/>
        </w:rPr>
        <w:t xml:space="preserve">twin </w:t>
      </w:r>
      <w:r w:rsidRPr="008959E0">
        <w:rPr>
          <w:rFonts w:ascii="Times New Roman" w:hAnsi="Times New Roman" w:cs="Times New Roman"/>
        </w:rPr>
        <w:t xml:space="preserve">model </w:t>
      </w:r>
      <w:r>
        <w:rPr>
          <w:rFonts w:ascii="Times New Roman" w:hAnsi="Times New Roman" w:cs="Times New Roman"/>
        </w:rPr>
        <w:t>depicting the direction of causation model for romantic conflict</w:t>
      </w:r>
      <w:r w:rsidR="000C625B">
        <w:rPr>
          <w:rFonts w:ascii="Times New Roman" w:hAnsi="Times New Roman" w:cs="Times New Roman"/>
        </w:rPr>
        <w:t xml:space="preserve"> (RC)</w:t>
      </w:r>
      <w:r>
        <w:rPr>
          <w:rFonts w:ascii="Times New Roman" w:hAnsi="Times New Roman" w:cs="Times New Roman"/>
        </w:rPr>
        <w:t xml:space="preserve"> and alcohol consumption</w:t>
      </w:r>
      <w:r w:rsidR="000C625B">
        <w:rPr>
          <w:rFonts w:ascii="Times New Roman" w:hAnsi="Times New Roman" w:cs="Times New Roman"/>
        </w:rPr>
        <w:t xml:space="preserve"> (AC)</w:t>
      </w:r>
      <w:r>
        <w:rPr>
          <w:rFonts w:ascii="Times New Roman" w:hAnsi="Times New Roman" w:cs="Times New Roman"/>
        </w:rPr>
        <w:t>. A, additive genetic factors; C, common environmental factors; E, unique environmental factors</w:t>
      </w:r>
      <w:r w:rsidR="000C625B">
        <w:rPr>
          <w:rFonts w:ascii="Times New Roman" w:hAnsi="Times New Roman" w:cs="Times New Roman"/>
        </w:rPr>
        <w:t>; T1, twin one; T2, twin two</w:t>
      </w:r>
      <w:r>
        <w:rPr>
          <w:rFonts w:ascii="Times New Roman" w:hAnsi="Times New Roman" w:cs="Times New Roman"/>
        </w:rPr>
        <w:t>. We infer that romantic conflict causes alcohol consumption if the model fit is worsened when the b</w:t>
      </w:r>
      <w:r w:rsidRPr="00190366">
        <w:rPr>
          <w:rFonts w:ascii="Times New Roman" w:hAnsi="Times New Roman" w:cs="Times New Roman"/>
          <w:vertAlign w:val="subscript"/>
        </w:rPr>
        <w:t>21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parameter is removed, and that alcohol consumption causes romantic conflict if the model fit is worsened when the b</w:t>
      </w:r>
      <w:r>
        <w:rPr>
          <w:rFonts w:ascii="Times New Roman" w:hAnsi="Times New Roman" w:cs="Times New Roman"/>
          <w:vertAlign w:val="subscript"/>
        </w:rPr>
        <w:t xml:space="preserve">12 </w:t>
      </w:r>
      <w:r>
        <w:rPr>
          <w:rFonts w:ascii="Times New Roman" w:hAnsi="Times New Roman" w:cs="Times New Roman"/>
        </w:rPr>
        <w:t xml:space="preserve">parameter is removed. Mean values were estimated but are not shown. </w:t>
      </w:r>
    </w:p>
    <w:p w:rsidR="00346A2C" w:rsidRDefault="00346A2C">
      <w:pPr>
        <w:rPr>
          <w:rFonts w:ascii="Times New Roman" w:hAnsi="Times New Roman" w:cs="Times New Roman"/>
        </w:rPr>
      </w:pPr>
    </w:p>
    <w:p w:rsidR="00346A2C" w:rsidRDefault="00346A2C">
      <w:pPr>
        <w:rPr>
          <w:rFonts w:ascii="Times New Roman" w:hAnsi="Times New Roman" w:cs="Times New Roman"/>
        </w:rPr>
      </w:pPr>
    </w:p>
    <w:p w:rsidR="00346A2C" w:rsidRDefault="00346A2C">
      <w:pPr>
        <w:rPr>
          <w:rFonts w:ascii="Times New Roman" w:hAnsi="Times New Roman" w:cs="Times New Roman"/>
        </w:rPr>
      </w:pPr>
    </w:p>
    <w:p w:rsidR="00247411" w:rsidRDefault="00346A2C">
      <w:pPr>
        <w:rPr>
          <w:rFonts w:ascii="Times New Roman" w:hAnsi="Times New Roman" w:cs="Times New Roman"/>
          <w:i/>
        </w:rPr>
      </w:pPr>
      <w:r w:rsidRPr="00346A2C">
        <w:rPr>
          <w:rFonts w:ascii="Times New Roman" w:hAnsi="Times New Roman" w:cs="Times New Roman"/>
          <w:i/>
          <w:noProof/>
          <w:lang w:val="en-GB" w:eastAsia="en-GB"/>
        </w:rPr>
        <w:drawing>
          <wp:inline distT="0" distB="0" distL="0" distR="0">
            <wp:extent cx="5600700" cy="4200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626" w:rsidRDefault="00C27626">
      <w:pPr>
        <w:rPr>
          <w:rFonts w:ascii="Times New Roman" w:hAnsi="Times New Roman" w:cs="Times New Roman"/>
        </w:rPr>
        <w:sectPr w:rsidR="00C27626" w:rsidSect="008E40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2758" w:rsidRDefault="008F2758">
      <w:pPr>
        <w:rPr>
          <w:rFonts w:ascii="Times New Roman" w:hAnsi="Times New Roman" w:cs="Times New Roman"/>
        </w:rPr>
      </w:pPr>
    </w:p>
    <w:p w:rsidR="008F2758" w:rsidRDefault="008F2758" w:rsidP="002820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</w:t>
      </w:r>
    </w:p>
    <w:p w:rsidR="00C27626" w:rsidRDefault="00C27626" w:rsidP="0028202C">
      <w:pPr>
        <w:jc w:val="center"/>
        <w:rPr>
          <w:rFonts w:ascii="Times New Roman" w:hAnsi="Times New Roman" w:cs="Times New Roman"/>
        </w:rPr>
      </w:pPr>
    </w:p>
    <w:p w:rsidR="00C27626" w:rsidRPr="00C27626" w:rsidRDefault="00714B1D" w:rsidP="00C27626">
      <w:pPr>
        <w:pStyle w:val="EndNoteBibliography"/>
        <w:ind w:left="720" w:hanging="720"/>
        <w:rPr>
          <w:noProof/>
        </w:rPr>
      </w:pPr>
      <w:r>
        <w:fldChar w:fldCharType="begin"/>
      </w:r>
      <w:r w:rsidR="008F2758">
        <w:instrText xml:space="preserve"> ADDIN EN.REFLIST </w:instrText>
      </w:r>
      <w:r>
        <w:fldChar w:fldCharType="separate"/>
      </w:r>
      <w:bookmarkStart w:id="0" w:name="_ENREF_1"/>
      <w:r w:rsidR="00C27626" w:rsidRPr="00C27626">
        <w:rPr>
          <w:b/>
          <w:noProof/>
        </w:rPr>
        <w:t>Heath, A. C., Kessler, R. C., Neale, M. C., Hewitt, J. K., Eaves, L. J. &amp; Kendler, K. S.</w:t>
      </w:r>
      <w:r w:rsidR="00C27626" w:rsidRPr="00C27626">
        <w:rPr>
          <w:noProof/>
        </w:rPr>
        <w:t xml:space="preserve"> (1993). Testing hypotheses about direction of causation using cross-sectional family data. </w:t>
      </w:r>
      <w:r w:rsidR="00C27626" w:rsidRPr="00C27626">
        <w:rPr>
          <w:i/>
          <w:noProof/>
        </w:rPr>
        <w:t>Behavior Genetics</w:t>
      </w:r>
      <w:r w:rsidR="00C27626" w:rsidRPr="00C27626">
        <w:rPr>
          <w:noProof/>
        </w:rPr>
        <w:t xml:space="preserve"> 23</w:t>
      </w:r>
      <w:r w:rsidR="00C27626" w:rsidRPr="00C27626">
        <w:rPr>
          <w:b/>
          <w:noProof/>
        </w:rPr>
        <w:t>,</w:t>
      </w:r>
      <w:r w:rsidR="00C27626" w:rsidRPr="00C27626">
        <w:rPr>
          <w:noProof/>
        </w:rPr>
        <w:t xml:space="preserve"> 29-50.</w:t>
      </w:r>
      <w:bookmarkEnd w:id="0"/>
    </w:p>
    <w:p w:rsidR="00C27626" w:rsidRPr="00C27626" w:rsidRDefault="00C27626" w:rsidP="00C27626">
      <w:pPr>
        <w:pStyle w:val="EndNoteBibliography"/>
        <w:ind w:left="720" w:hanging="720"/>
        <w:rPr>
          <w:noProof/>
        </w:rPr>
      </w:pPr>
      <w:bookmarkStart w:id="1" w:name="_ENREF_2"/>
      <w:r w:rsidRPr="00C27626">
        <w:rPr>
          <w:b/>
          <w:noProof/>
        </w:rPr>
        <w:t>Prescott, C. A. &amp; Kendler, K. S.</w:t>
      </w:r>
      <w:r w:rsidRPr="00C27626">
        <w:rPr>
          <w:noProof/>
        </w:rPr>
        <w:t xml:space="preserve"> (1999). Age at first drink and risk for alcoholism: A noncausal association. </w:t>
      </w:r>
      <w:r w:rsidRPr="00C27626">
        <w:rPr>
          <w:i/>
          <w:noProof/>
        </w:rPr>
        <w:t>Alcoholism-Clinical and Experimental Research</w:t>
      </w:r>
      <w:r w:rsidRPr="00C27626">
        <w:rPr>
          <w:noProof/>
        </w:rPr>
        <w:t xml:space="preserve"> 23</w:t>
      </w:r>
      <w:r w:rsidRPr="00C27626">
        <w:rPr>
          <w:b/>
          <w:noProof/>
        </w:rPr>
        <w:t>,</w:t>
      </w:r>
      <w:r w:rsidRPr="00C27626">
        <w:rPr>
          <w:noProof/>
        </w:rPr>
        <w:t xml:space="preserve"> 101-107.</w:t>
      </w:r>
      <w:bookmarkEnd w:id="1"/>
    </w:p>
    <w:p w:rsidR="00023C98" w:rsidRPr="008E7B6A" w:rsidRDefault="00714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  <w:bookmarkStart w:id="2" w:name="_GoBack"/>
      <w:bookmarkEnd w:id="2"/>
    </w:p>
    <w:sectPr w:rsidR="00023C98" w:rsidRPr="008E7B6A" w:rsidSect="00C27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3D7F93" w15:done="0"/>
  <w15:commentEx w15:paraId="312B7F77" w15:done="0"/>
  <w15:commentEx w15:paraId="67E09C41" w15:done="0"/>
  <w15:commentEx w15:paraId="73005DA5" w15:done="0"/>
  <w15:commentEx w15:paraId="352ADC78" w15:done="0"/>
  <w15:commentEx w15:paraId="1381FD93" w15:done="0"/>
  <w15:commentEx w15:paraId="047C45AB" w15:done="0"/>
  <w15:commentEx w15:paraId="0E172B8A" w15:done="0"/>
  <w15:commentEx w15:paraId="4CE364C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D35" w:rsidRDefault="00C71D35" w:rsidP="002B209E">
      <w:r>
        <w:separator/>
      </w:r>
    </w:p>
  </w:endnote>
  <w:endnote w:type="continuationSeparator" w:id="0">
    <w:p w:rsidR="00C71D35" w:rsidRDefault="00C71D35" w:rsidP="002B2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0F" w:rsidRDefault="00714B1D" w:rsidP="008959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01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010F" w:rsidRDefault="006A010F" w:rsidP="002B209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0F" w:rsidRPr="002B209E" w:rsidRDefault="00714B1D" w:rsidP="008959E0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2B209E">
      <w:rPr>
        <w:rStyle w:val="PageNumber"/>
        <w:rFonts w:ascii="Times New Roman" w:hAnsi="Times New Roman" w:cs="Times New Roman"/>
      </w:rPr>
      <w:fldChar w:fldCharType="begin"/>
    </w:r>
    <w:r w:rsidR="006A010F" w:rsidRPr="002B209E">
      <w:rPr>
        <w:rStyle w:val="PageNumber"/>
        <w:rFonts w:ascii="Times New Roman" w:hAnsi="Times New Roman" w:cs="Times New Roman"/>
      </w:rPr>
      <w:instrText xml:space="preserve">PAGE  </w:instrText>
    </w:r>
    <w:r w:rsidRPr="002B209E">
      <w:rPr>
        <w:rStyle w:val="PageNumber"/>
        <w:rFonts w:ascii="Times New Roman" w:hAnsi="Times New Roman" w:cs="Times New Roman"/>
      </w:rPr>
      <w:fldChar w:fldCharType="separate"/>
    </w:r>
    <w:r w:rsidR="00665D9A">
      <w:rPr>
        <w:rStyle w:val="PageNumber"/>
        <w:rFonts w:ascii="Times New Roman" w:hAnsi="Times New Roman" w:cs="Times New Roman"/>
        <w:noProof/>
      </w:rPr>
      <w:t>1</w:t>
    </w:r>
    <w:r w:rsidRPr="002B209E">
      <w:rPr>
        <w:rStyle w:val="PageNumber"/>
        <w:rFonts w:ascii="Times New Roman" w:hAnsi="Times New Roman" w:cs="Times New Roman"/>
      </w:rPr>
      <w:fldChar w:fldCharType="end"/>
    </w:r>
  </w:p>
  <w:p w:rsidR="006A010F" w:rsidRDefault="006A010F" w:rsidP="002B209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D35" w:rsidRDefault="00C71D35" w:rsidP="002B209E">
      <w:r>
        <w:separator/>
      </w:r>
    </w:p>
  </w:footnote>
  <w:footnote w:type="continuationSeparator" w:id="0">
    <w:p w:rsidR="00C71D35" w:rsidRDefault="00C71D35" w:rsidP="002B209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 Prescott">
    <w15:presenceInfo w15:providerId="AD" w15:userId="S-1-5-21-3219880125-777411061-2701532866-430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fw2ze9fmz00t1e0z965fx0pa9xx25ztr22a&quot;&gt;EndNote Library-2.4.2010&lt;record-ids&gt;&lt;item&gt;1709&lt;/item&gt;&lt;item&gt;3247&lt;/item&gt;&lt;/record-ids&gt;&lt;/item&gt;&lt;/Libraries&gt;"/>
  </w:docVars>
  <w:rsids>
    <w:rsidRoot w:val="001474B6"/>
    <w:rsid w:val="00013F44"/>
    <w:rsid w:val="00023C98"/>
    <w:rsid w:val="000464BA"/>
    <w:rsid w:val="00054577"/>
    <w:rsid w:val="0008740E"/>
    <w:rsid w:val="000A3484"/>
    <w:rsid w:val="000C574B"/>
    <w:rsid w:val="000C625B"/>
    <w:rsid w:val="000E7971"/>
    <w:rsid w:val="00103BCD"/>
    <w:rsid w:val="00116C6E"/>
    <w:rsid w:val="00125BE3"/>
    <w:rsid w:val="001474B6"/>
    <w:rsid w:val="001526A1"/>
    <w:rsid w:val="00157323"/>
    <w:rsid w:val="00180A81"/>
    <w:rsid w:val="001818E1"/>
    <w:rsid w:val="00190366"/>
    <w:rsid w:val="001975D7"/>
    <w:rsid w:val="001B1C6D"/>
    <w:rsid w:val="001C5A09"/>
    <w:rsid w:val="001C6518"/>
    <w:rsid w:val="001D6973"/>
    <w:rsid w:val="001F7460"/>
    <w:rsid w:val="00247411"/>
    <w:rsid w:val="0025169B"/>
    <w:rsid w:val="00274884"/>
    <w:rsid w:val="0028202C"/>
    <w:rsid w:val="00294230"/>
    <w:rsid w:val="002B11DA"/>
    <w:rsid w:val="002B209E"/>
    <w:rsid w:val="002C7B0B"/>
    <w:rsid w:val="002D2F84"/>
    <w:rsid w:val="002D333B"/>
    <w:rsid w:val="002F0569"/>
    <w:rsid w:val="0031605C"/>
    <w:rsid w:val="00346A2C"/>
    <w:rsid w:val="00350645"/>
    <w:rsid w:val="00393645"/>
    <w:rsid w:val="00394A9D"/>
    <w:rsid w:val="00396601"/>
    <w:rsid w:val="003C10EB"/>
    <w:rsid w:val="003E18FD"/>
    <w:rsid w:val="003F14B5"/>
    <w:rsid w:val="00402C97"/>
    <w:rsid w:val="00407875"/>
    <w:rsid w:val="004273EC"/>
    <w:rsid w:val="00437BFB"/>
    <w:rsid w:val="00450145"/>
    <w:rsid w:val="00465DBC"/>
    <w:rsid w:val="004770E5"/>
    <w:rsid w:val="00481E9A"/>
    <w:rsid w:val="004C02B3"/>
    <w:rsid w:val="004D21DB"/>
    <w:rsid w:val="004F5484"/>
    <w:rsid w:val="00526FE0"/>
    <w:rsid w:val="00543D55"/>
    <w:rsid w:val="00544B0C"/>
    <w:rsid w:val="00576434"/>
    <w:rsid w:val="005775AF"/>
    <w:rsid w:val="005A1B08"/>
    <w:rsid w:val="005C11A6"/>
    <w:rsid w:val="005D0738"/>
    <w:rsid w:val="005D2C86"/>
    <w:rsid w:val="005D6ACF"/>
    <w:rsid w:val="005F1BE7"/>
    <w:rsid w:val="00606835"/>
    <w:rsid w:val="00640900"/>
    <w:rsid w:val="00665D9A"/>
    <w:rsid w:val="00696E96"/>
    <w:rsid w:val="006A010F"/>
    <w:rsid w:val="006B32AE"/>
    <w:rsid w:val="006B4F76"/>
    <w:rsid w:val="006C7C4E"/>
    <w:rsid w:val="006D261C"/>
    <w:rsid w:val="006D7BA3"/>
    <w:rsid w:val="007029AE"/>
    <w:rsid w:val="00714B1D"/>
    <w:rsid w:val="0073374B"/>
    <w:rsid w:val="00734FE6"/>
    <w:rsid w:val="00775FE2"/>
    <w:rsid w:val="007A3CDE"/>
    <w:rsid w:val="007C029A"/>
    <w:rsid w:val="007C1A47"/>
    <w:rsid w:val="007E37FF"/>
    <w:rsid w:val="007E5463"/>
    <w:rsid w:val="0080018F"/>
    <w:rsid w:val="00816CD8"/>
    <w:rsid w:val="00820248"/>
    <w:rsid w:val="0083697C"/>
    <w:rsid w:val="008645C7"/>
    <w:rsid w:val="00874E64"/>
    <w:rsid w:val="00886EAF"/>
    <w:rsid w:val="008959E0"/>
    <w:rsid w:val="00896E2E"/>
    <w:rsid w:val="008A022D"/>
    <w:rsid w:val="008E4000"/>
    <w:rsid w:val="008E7B6A"/>
    <w:rsid w:val="008F2758"/>
    <w:rsid w:val="008F4B1E"/>
    <w:rsid w:val="00931B1D"/>
    <w:rsid w:val="009358E1"/>
    <w:rsid w:val="00936489"/>
    <w:rsid w:val="00962B41"/>
    <w:rsid w:val="009678F7"/>
    <w:rsid w:val="00972BA8"/>
    <w:rsid w:val="009B6D6C"/>
    <w:rsid w:val="009B7B17"/>
    <w:rsid w:val="00A119C7"/>
    <w:rsid w:val="00AD16C0"/>
    <w:rsid w:val="00AF1204"/>
    <w:rsid w:val="00B1709D"/>
    <w:rsid w:val="00B95B22"/>
    <w:rsid w:val="00BA3FE1"/>
    <w:rsid w:val="00BC07E4"/>
    <w:rsid w:val="00BC3E7A"/>
    <w:rsid w:val="00BE619E"/>
    <w:rsid w:val="00BF718A"/>
    <w:rsid w:val="00C021C4"/>
    <w:rsid w:val="00C11AB7"/>
    <w:rsid w:val="00C27626"/>
    <w:rsid w:val="00C35AE0"/>
    <w:rsid w:val="00C56BBA"/>
    <w:rsid w:val="00C63635"/>
    <w:rsid w:val="00C71D35"/>
    <w:rsid w:val="00C7649B"/>
    <w:rsid w:val="00CA35C9"/>
    <w:rsid w:val="00CC6B30"/>
    <w:rsid w:val="00CE7CB7"/>
    <w:rsid w:val="00D0093A"/>
    <w:rsid w:val="00D064DD"/>
    <w:rsid w:val="00D16DB9"/>
    <w:rsid w:val="00D249BB"/>
    <w:rsid w:val="00D30C4F"/>
    <w:rsid w:val="00D7137A"/>
    <w:rsid w:val="00D7405B"/>
    <w:rsid w:val="00D865CC"/>
    <w:rsid w:val="00D96897"/>
    <w:rsid w:val="00DA51AF"/>
    <w:rsid w:val="00DE134D"/>
    <w:rsid w:val="00DE293E"/>
    <w:rsid w:val="00DF1427"/>
    <w:rsid w:val="00E3518A"/>
    <w:rsid w:val="00E40777"/>
    <w:rsid w:val="00E507E9"/>
    <w:rsid w:val="00E5261E"/>
    <w:rsid w:val="00E6391E"/>
    <w:rsid w:val="00E765C6"/>
    <w:rsid w:val="00EC4247"/>
    <w:rsid w:val="00ED4E86"/>
    <w:rsid w:val="00EF75CC"/>
    <w:rsid w:val="00F438C8"/>
    <w:rsid w:val="00F64442"/>
    <w:rsid w:val="00F72DFB"/>
    <w:rsid w:val="00F84106"/>
    <w:rsid w:val="00F84121"/>
    <w:rsid w:val="00F94F9C"/>
    <w:rsid w:val="00F965A0"/>
    <w:rsid w:val="00FC514D"/>
    <w:rsid w:val="00FD2BFF"/>
    <w:rsid w:val="00FD579B"/>
    <w:rsid w:val="00FF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6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645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B20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09E"/>
  </w:style>
  <w:style w:type="character" w:styleId="PageNumber">
    <w:name w:val="page number"/>
    <w:basedOn w:val="DefaultParagraphFont"/>
    <w:uiPriority w:val="99"/>
    <w:semiHidden/>
    <w:unhideWhenUsed/>
    <w:rsid w:val="002B209E"/>
  </w:style>
  <w:style w:type="paragraph" w:styleId="Header">
    <w:name w:val="header"/>
    <w:basedOn w:val="Normal"/>
    <w:link w:val="HeaderChar"/>
    <w:uiPriority w:val="99"/>
    <w:unhideWhenUsed/>
    <w:rsid w:val="002B20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09E"/>
  </w:style>
  <w:style w:type="character" w:styleId="CommentReference">
    <w:name w:val="annotation reference"/>
    <w:basedOn w:val="DefaultParagraphFont"/>
    <w:uiPriority w:val="99"/>
    <w:semiHidden/>
    <w:unhideWhenUsed/>
    <w:rsid w:val="00820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2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2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24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0C4F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rsid w:val="008F2758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8F2758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1B1C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6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645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B20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09E"/>
  </w:style>
  <w:style w:type="character" w:styleId="PageNumber">
    <w:name w:val="page number"/>
    <w:basedOn w:val="DefaultParagraphFont"/>
    <w:uiPriority w:val="99"/>
    <w:semiHidden/>
    <w:unhideWhenUsed/>
    <w:rsid w:val="002B209E"/>
  </w:style>
  <w:style w:type="paragraph" w:styleId="Header">
    <w:name w:val="header"/>
    <w:basedOn w:val="Normal"/>
    <w:link w:val="HeaderChar"/>
    <w:uiPriority w:val="99"/>
    <w:unhideWhenUsed/>
    <w:rsid w:val="002B20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09E"/>
  </w:style>
  <w:style w:type="character" w:styleId="CommentReference">
    <w:name w:val="annotation reference"/>
    <w:basedOn w:val="DefaultParagraphFont"/>
    <w:uiPriority w:val="99"/>
    <w:semiHidden/>
    <w:unhideWhenUsed/>
    <w:rsid w:val="00820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2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2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24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0C4F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rsid w:val="008F2758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8F2758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1B1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5CE150-5F77-4CAA-9E73-5A368D8B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Salvatore</dc:creator>
  <cp:keywords/>
  <dc:description/>
  <cp:lastModifiedBy>Chris</cp:lastModifiedBy>
  <cp:revision>10</cp:revision>
  <dcterms:created xsi:type="dcterms:W3CDTF">2014-12-30T15:13:00Z</dcterms:created>
  <dcterms:modified xsi:type="dcterms:W3CDTF">2015-02-09T15:54:00Z</dcterms:modified>
</cp:coreProperties>
</file>