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A1" w:rsidRDefault="00300E9A" w:rsidP="00FC76A0">
      <w:pPr>
        <w:spacing w:line="480" w:lineRule="auto"/>
        <w:rPr>
          <w:b/>
          <w:color w:val="000000"/>
        </w:rPr>
      </w:pPr>
      <w:proofErr w:type="gramStart"/>
      <w:r>
        <w:rPr>
          <w:b/>
          <w:color w:val="000000"/>
        </w:rPr>
        <w:t>SUPPLEMENTARY DATA</w:t>
      </w:r>
      <w:r w:rsidR="00A34E39">
        <w:rPr>
          <w:b/>
          <w:color w:val="000000"/>
        </w:rPr>
        <w:t xml:space="preserve"> </w:t>
      </w:r>
      <w:r w:rsidR="00FC76A0">
        <w:rPr>
          <w:b/>
          <w:color w:val="000000"/>
        </w:rPr>
        <w:t xml:space="preserve">PSM-D-14-00251 </w:t>
      </w:r>
      <w:r w:rsidR="00443E8A">
        <w:rPr>
          <w:b/>
          <w:color w:val="000000"/>
        </w:rPr>
        <w:t>(</w:t>
      </w:r>
      <w:r w:rsidR="00FC76A0">
        <w:rPr>
          <w:b/>
          <w:color w:val="000000"/>
        </w:rPr>
        <w:t xml:space="preserve">Lemmens </w:t>
      </w:r>
      <w:r w:rsidR="00FC76A0" w:rsidRPr="006474AA">
        <w:rPr>
          <w:b/>
          <w:i/>
          <w:color w:val="000000"/>
        </w:rPr>
        <w:t>et al.</w:t>
      </w:r>
      <w:r w:rsidR="00443E8A">
        <w:rPr>
          <w:b/>
          <w:color w:val="000000"/>
        </w:rPr>
        <w:t>)</w:t>
      </w:r>
      <w:proofErr w:type="gramEnd"/>
    </w:p>
    <w:p w:rsidR="00B06BF6" w:rsidRDefault="00B06BF6" w:rsidP="00F21EA1">
      <w:pPr>
        <w:spacing w:line="480" w:lineRule="auto"/>
      </w:pPr>
    </w:p>
    <w:p w:rsidR="00B06BF6" w:rsidRPr="00986664" w:rsidRDefault="00A738E2" w:rsidP="00B06BF6">
      <w:pPr>
        <w:spacing w:line="480" w:lineRule="auto"/>
        <w:rPr>
          <w:b/>
          <w:bCs/>
        </w:rPr>
      </w:pPr>
      <w:r>
        <w:rPr>
          <w:b/>
          <w:bCs/>
        </w:rPr>
        <w:t>DATA SUPPLEMENT</w:t>
      </w:r>
      <w:r w:rsidR="00B06BF6" w:rsidRPr="00D74EA6">
        <w:rPr>
          <w:b/>
          <w:bCs/>
        </w:rPr>
        <w:t xml:space="preserve"> I</w:t>
      </w:r>
      <w:r w:rsidR="00B06BF6">
        <w:rPr>
          <w:b/>
          <w:bCs/>
        </w:rPr>
        <w:t>:</w:t>
      </w:r>
      <w:r w:rsidR="00B06BF6" w:rsidRPr="00D74EA6">
        <w:rPr>
          <w:b/>
          <w:bCs/>
        </w:rPr>
        <w:t xml:space="preserve"> </w:t>
      </w:r>
      <w:r w:rsidR="00B06BF6">
        <w:rPr>
          <w:color w:val="000000"/>
        </w:rPr>
        <w:t>Detailed procedure of statistical analyses</w:t>
      </w:r>
    </w:p>
    <w:p w:rsidR="00B06BF6" w:rsidRDefault="00B06BF6" w:rsidP="00B06BF6">
      <w:pPr>
        <w:autoSpaceDE w:val="0"/>
        <w:autoSpaceDN w:val="0"/>
        <w:adjustRightInd w:val="0"/>
        <w:spacing w:line="480" w:lineRule="auto"/>
        <w:jc w:val="both"/>
        <w:rPr>
          <w:color w:val="000000"/>
        </w:rPr>
      </w:pPr>
    </w:p>
    <w:p w:rsidR="008E4783" w:rsidRPr="00CC5ED8" w:rsidRDefault="008E4783" w:rsidP="00B06BF6">
      <w:pPr>
        <w:autoSpaceDE w:val="0"/>
        <w:autoSpaceDN w:val="0"/>
        <w:adjustRightInd w:val="0"/>
        <w:spacing w:line="480" w:lineRule="auto"/>
        <w:jc w:val="both"/>
        <w:rPr>
          <w:i/>
          <w:color w:val="000000"/>
        </w:rPr>
      </w:pPr>
      <w:r w:rsidRPr="00CC5ED8">
        <w:rPr>
          <w:i/>
          <w:color w:val="000000"/>
        </w:rPr>
        <w:t>Statistical Analyses</w:t>
      </w:r>
    </w:p>
    <w:p w:rsidR="00CC5ED8" w:rsidRPr="00CC5ED8" w:rsidRDefault="00CC5ED8" w:rsidP="00CC5ED8">
      <w:pPr>
        <w:pStyle w:val="NoSpacing"/>
        <w:spacing w:line="480" w:lineRule="auto"/>
        <w:jc w:val="both"/>
        <w:rPr>
          <w:rFonts w:ascii="Times New Roman" w:hAnsi="Times New Roman"/>
          <w:color w:val="FF0000"/>
          <w:sz w:val="24"/>
          <w:szCs w:val="24"/>
          <w:lang w:val="en-GB"/>
        </w:rPr>
      </w:pPr>
      <w:r w:rsidRPr="003F3F51">
        <w:rPr>
          <w:rFonts w:ascii="Times New Roman" w:hAnsi="Times New Roman"/>
          <w:color w:val="000000"/>
          <w:sz w:val="24"/>
          <w:szCs w:val="24"/>
          <w:lang w:val="en-US"/>
        </w:rPr>
        <w:t>We started by mapping</w:t>
      </w:r>
      <w:r w:rsidRPr="00CC5ED8">
        <w:rPr>
          <w:rFonts w:ascii="Times New Roman" w:hAnsi="Times New Roman"/>
          <w:color w:val="000000"/>
          <w:sz w:val="24"/>
          <w:szCs w:val="24"/>
          <w:lang w:val="en-GB"/>
        </w:rPr>
        <w:t xml:space="preserve"> </w:t>
      </w:r>
      <w:proofErr w:type="spellStart"/>
      <w:r w:rsidRPr="00CC5ED8">
        <w:rPr>
          <w:rFonts w:ascii="Times New Roman" w:hAnsi="Times New Roman"/>
          <w:color w:val="000000"/>
          <w:sz w:val="24"/>
          <w:szCs w:val="24"/>
          <w:lang w:val="en-GB"/>
        </w:rPr>
        <w:t>out patient</w:t>
      </w:r>
      <w:proofErr w:type="spellEnd"/>
      <w:r w:rsidRPr="00CC5ED8">
        <w:rPr>
          <w:rFonts w:ascii="Times New Roman" w:hAnsi="Times New Roman"/>
          <w:color w:val="000000"/>
          <w:sz w:val="24"/>
          <w:szCs w:val="24"/>
          <w:lang w:val="en-GB"/>
        </w:rPr>
        <w:t xml:space="preserve"> flow from screening to randomization.</w:t>
      </w:r>
      <w:r w:rsidRPr="003F3F51">
        <w:rPr>
          <w:rFonts w:ascii="Times New Roman" w:hAnsi="Times New Roman"/>
          <w:color w:val="000000"/>
          <w:sz w:val="24"/>
          <w:szCs w:val="24"/>
          <w:lang w:val="en-US"/>
        </w:rPr>
        <w:t xml:space="preserve"> After that, we </w:t>
      </w:r>
      <w:r w:rsidR="00C21558" w:rsidRPr="003F3F51">
        <w:rPr>
          <w:rFonts w:ascii="Times New Roman" w:hAnsi="Times New Roman"/>
          <w:color w:val="000000"/>
          <w:sz w:val="24"/>
          <w:szCs w:val="24"/>
          <w:lang w:val="en-US"/>
        </w:rPr>
        <w:t>explored p</w:t>
      </w:r>
      <w:r w:rsidR="00B06BF6" w:rsidRPr="003F3F51">
        <w:rPr>
          <w:rFonts w:ascii="Times New Roman" w:hAnsi="Times New Roman"/>
          <w:color w:val="000000"/>
          <w:sz w:val="24"/>
          <w:szCs w:val="24"/>
          <w:lang w:val="en-US"/>
        </w:rPr>
        <w:t xml:space="preserve">re-treatment demographic and clinical variables </w:t>
      </w:r>
      <w:r w:rsidR="00C21558" w:rsidRPr="003F3F51">
        <w:rPr>
          <w:rFonts w:ascii="Times New Roman" w:hAnsi="Times New Roman"/>
          <w:color w:val="000000"/>
          <w:sz w:val="24"/>
          <w:szCs w:val="24"/>
          <w:lang w:val="en-US"/>
        </w:rPr>
        <w:t xml:space="preserve">of the three groups using descriptive statistics and checked for baseline differences between conditions in terms of size and clinical importance. </w:t>
      </w:r>
      <w:r w:rsidRPr="00CC5ED8">
        <w:rPr>
          <w:rFonts w:ascii="Times New Roman" w:hAnsi="Times New Roman"/>
          <w:sz w:val="24"/>
          <w:szCs w:val="24"/>
          <w:lang w:val="en-GB"/>
        </w:rPr>
        <w:t xml:space="preserve">Subsequently, therapist characteristics, treatment- and study compliance, and treatment integrity was determined, followed by examination of descriptive statistics on all clinical outcome measures at each time-point. </w:t>
      </w:r>
    </w:p>
    <w:p w:rsidR="00B06BF6" w:rsidRPr="00AB39E8" w:rsidRDefault="00CC5ED8" w:rsidP="00AB39E8">
      <w:pPr>
        <w:autoSpaceDE w:val="0"/>
        <w:autoSpaceDN w:val="0"/>
        <w:adjustRightInd w:val="0"/>
        <w:spacing w:line="480" w:lineRule="auto"/>
        <w:ind w:firstLine="708"/>
        <w:jc w:val="both"/>
      </w:pPr>
      <w:r w:rsidRPr="00CC5ED8">
        <w:rPr>
          <w:shd w:val="clear" w:color="auto" w:fill="FFFFFF"/>
        </w:rPr>
        <w:t xml:space="preserve">In order to </w:t>
      </w:r>
      <w:r w:rsidRPr="00CC5ED8">
        <w:t>examine whether CT and IPT differed in the reduction of depressive symptoms</w:t>
      </w:r>
      <w:r w:rsidRPr="00CC5ED8">
        <w:rPr>
          <w:shd w:val="clear" w:color="auto" w:fill="FFFFFF"/>
        </w:rPr>
        <w:t xml:space="preserve"> mixed (multilevel) regression analysis </w:t>
      </w:r>
      <w:r w:rsidR="00AB39E8" w:rsidRPr="00E86DA6">
        <w:rPr>
          <w:color w:val="000000"/>
        </w:rPr>
        <w:t>using restricted maximum likelihood estimation was used</w:t>
      </w:r>
      <w:r w:rsidRPr="00CC5ED8">
        <w:rPr>
          <w:shd w:val="clear" w:color="auto" w:fill="FFFFFF"/>
        </w:rPr>
        <w:t>.</w:t>
      </w:r>
      <w:r w:rsidR="00AB39E8">
        <w:t xml:space="preserve"> </w:t>
      </w:r>
      <w:r w:rsidR="00B06BF6" w:rsidRPr="00E86DA6">
        <w:rPr>
          <w:color w:val="000000"/>
        </w:rPr>
        <w:t xml:space="preserve">Visual inspection of change on the primary outcome BDI-II over time showed separate linear time slopes for the acute phase and the follow-up. Since it was not possible to fit them in one model, we separately assessed change over time for the Treatment Phase (0-7 months) and the Trial Follow-up Phase (7-12 months). Further inspection of the data and residuals of ordinary mixed regression showed that the assumption of normality was violated by a right skewed distribution from month 7 onwards. Therefore, gamma regression with a log link was used with BDI-II + 1 scores (1 added as gamma regression cannot handle zero’s and quite some participants had zero scores). All analyses were intention-to-treat, meaning that all patients that enrolled in the study were included in </w:t>
      </w:r>
      <w:r w:rsidR="00B06BF6">
        <w:rPr>
          <w:color w:val="000000"/>
        </w:rPr>
        <w:t xml:space="preserve">the </w:t>
      </w:r>
      <w:r w:rsidR="00B06BF6" w:rsidRPr="00E86DA6">
        <w:rPr>
          <w:color w:val="000000"/>
        </w:rPr>
        <w:t>analyses, irrespective of completing therapy or assessments</w:t>
      </w:r>
      <w:r w:rsidR="00B06BF6">
        <w:rPr>
          <w:color w:val="000000"/>
        </w:rPr>
        <w:t xml:space="preserve"> </w:t>
      </w:r>
      <w:r w:rsidR="00B06BF6" w:rsidRPr="00E86DA6">
        <w:rPr>
          <w:color w:val="000000"/>
        </w:rPr>
        <w:fldChar w:fldCharType="begin"/>
      </w:r>
      <w:r w:rsidR="00B06BF6">
        <w:rPr>
          <w:color w:val="000000"/>
        </w:rPr>
        <w:instrText xml:space="preserve"> ADDIN EN.CITE &lt;EndNote&gt;&lt;Cite&gt;&lt;Author&gt;Hollis&lt;/Author&gt;&lt;Year&gt;1999&lt;/Year&gt;&lt;RecNum&gt;422&lt;/RecNum&gt;&lt;DisplayText&gt;(Hollis &amp;amp; Campbell 1999)&lt;/DisplayText&gt;&lt;record&gt;&lt;rec-number&gt;422&lt;/rec-number&gt;&lt;foreign-keys&gt;&lt;key app="EN" db-id="t95vdtsspv5fvkewa0e5rttnvxx95rrzazxe"&gt;422&lt;/key&gt;&lt;/foreign-keys&gt;&lt;ref-type name="Journal Article"&gt;17&lt;/ref-type&gt;&lt;contributors&gt;&lt;authors&gt;&lt;author&gt;Hollis, S.&lt;/author&gt;&lt;author&gt;Campbell, F.&lt;/author&gt;&lt;/authors&gt;&lt;/contributors&gt;&lt;titles&gt;&lt;title&gt;What is meant by intention to treat analysis? Survey of published randomised controlled trials&lt;/title&gt;&lt;secondary-title&gt;British Medical Journal&lt;/secondary-title&gt;&lt;/titles&gt;&lt;periodical&gt;&lt;full-title&gt;British Medical Journal&lt;/full-title&gt;&lt;abbr-1&gt;Br. Med. J.&lt;/abbr-1&gt;&lt;abbr-2&gt;Br Med J&lt;/abbr-2&gt;&lt;/periodical&gt;&lt;pages&gt;670-674&lt;/pages&gt;&lt;number&gt;319&lt;/number&gt;&lt;dates&gt;&lt;year&gt;1999&lt;/year&gt;&lt;/dates&gt;&lt;urls&gt;&lt;/urls&gt;&lt;/record&gt;&lt;/Cite&gt;&lt;/EndNote&gt;</w:instrText>
      </w:r>
      <w:r w:rsidR="00B06BF6" w:rsidRPr="00E86DA6">
        <w:rPr>
          <w:color w:val="000000"/>
        </w:rPr>
        <w:fldChar w:fldCharType="separate"/>
      </w:r>
      <w:r w:rsidR="00B06BF6">
        <w:rPr>
          <w:noProof/>
          <w:color w:val="000000"/>
        </w:rPr>
        <w:t>(</w:t>
      </w:r>
      <w:hyperlink w:anchor="_ENREF_3" w:tooltip="Hollis, 1999 #422" w:history="1">
        <w:r w:rsidR="00040D69">
          <w:rPr>
            <w:noProof/>
            <w:color w:val="000000"/>
          </w:rPr>
          <w:t>Hollis &amp; Campbell 1999</w:t>
        </w:r>
      </w:hyperlink>
      <w:r w:rsidR="00B06BF6">
        <w:rPr>
          <w:noProof/>
          <w:color w:val="000000"/>
        </w:rPr>
        <w:t>)</w:t>
      </w:r>
      <w:r w:rsidR="00B06BF6" w:rsidRPr="00E86DA6">
        <w:rPr>
          <w:color w:val="000000"/>
        </w:rPr>
        <w:fldChar w:fldCharType="end"/>
      </w:r>
      <w:r w:rsidR="00B06BF6" w:rsidRPr="00E86DA6">
        <w:rPr>
          <w:color w:val="000000"/>
        </w:rPr>
        <w:t>. Acute effects were examined by modeling time effects from baseline to 7 months using an unstructured covariance structure for the repeated parts as simpler models had poorer fit. For the endur</w:t>
      </w:r>
      <w:r w:rsidR="00505B73">
        <w:rPr>
          <w:color w:val="000000"/>
        </w:rPr>
        <w:t xml:space="preserve">ing </w:t>
      </w:r>
      <w:r w:rsidR="00505B73">
        <w:rPr>
          <w:color w:val="000000"/>
        </w:rPr>
        <w:lastRenderedPageBreak/>
        <w:t>effects (7 – 12 months), a T</w:t>
      </w:r>
      <w:r w:rsidR="00B06BF6" w:rsidRPr="00E86DA6">
        <w:rPr>
          <w:color w:val="000000"/>
        </w:rPr>
        <w:t xml:space="preserve">oeplitz covariance structure was used, being the </w:t>
      </w:r>
      <w:r w:rsidR="00B06BF6" w:rsidRPr="00AB53B5">
        <w:rPr>
          <w:color w:val="000000"/>
        </w:rPr>
        <w:t xml:space="preserve">simplest structure NS different from unstructured. </w:t>
      </w:r>
    </w:p>
    <w:p w:rsidR="00AB39E8" w:rsidRDefault="00B06BF6" w:rsidP="00AB39E8">
      <w:pPr>
        <w:spacing w:line="480" w:lineRule="auto"/>
        <w:ind w:firstLine="708"/>
        <w:jc w:val="both"/>
        <w:rPr>
          <w:color w:val="000000"/>
        </w:rPr>
      </w:pPr>
      <w:r w:rsidRPr="00AB53B5">
        <w:rPr>
          <w:color w:val="000000"/>
        </w:rPr>
        <w:t>Our initial basic model was a 3-level</w:t>
      </w:r>
      <w:r w:rsidRPr="00AB53B5">
        <w:rPr>
          <w:b/>
          <w:color w:val="000000"/>
        </w:rPr>
        <w:t xml:space="preserve"> </w:t>
      </w:r>
      <w:r w:rsidRPr="00AB53B5">
        <w:rPr>
          <w:color w:val="000000"/>
        </w:rPr>
        <w:t xml:space="preserve">repeated measures design (therapists, patients and measurements) with depression severity (measured with the BDI-II) as the dependent variable, condition (CT vs. IPT, centered at -0.5 and 0.5) as a between subject variable and time of measurement in weeks as a within-subject factor. </w:t>
      </w:r>
      <w:r w:rsidR="00AB39E8" w:rsidRPr="00AB53B5">
        <w:rPr>
          <w:color w:val="000000"/>
        </w:rPr>
        <w:t xml:space="preserve">We set weeks at zero at 7 months, respectively at 12 months, so that the main effect of condition represented the condition effect at these measurements. </w:t>
      </w:r>
      <w:r w:rsidR="00AB39E8">
        <w:rPr>
          <w:color w:val="000000"/>
        </w:rPr>
        <w:t xml:space="preserve">The difference between CT and IPT was represented by the time*condition interaction in the model. </w:t>
      </w:r>
      <w:r w:rsidRPr="00AB53B5">
        <w:rPr>
          <w:color w:val="000000"/>
        </w:rPr>
        <w:t xml:space="preserve">Because of </w:t>
      </w:r>
      <w:r>
        <w:rPr>
          <w:color w:val="000000"/>
        </w:rPr>
        <w:t>relevant</w:t>
      </w:r>
      <w:r w:rsidRPr="00AB53B5">
        <w:rPr>
          <w:color w:val="000000"/>
        </w:rPr>
        <w:t xml:space="preserve"> </w:t>
      </w:r>
      <w:r>
        <w:rPr>
          <w:color w:val="000000"/>
        </w:rPr>
        <w:t>differences</w:t>
      </w:r>
      <w:r w:rsidRPr="00AB53B5">
        <w:rPr>
          <w:color w:val="000000"/>
        </w:rPr>
        <w:t xml:space="preserve"> in baseline severity (BDI-II) and quality of life utilities (EQ5D) between CT and IPT, we controlled for this in all analyses by adding their standardised baseline scores as covariates to all </w:t>
      </w:r>
      <w:r w:rsidRPr="00A158C0">
        <w:t>models</w:t>
      </w:r>
      <w:r w:rsidRPr="00A158C0">
        <w:rPr>
          <w:rStyle w:val="FootnoteReference"/>
        </w:rPr>
        <w:footnoteReference w:id="1"/>
      </w:r>
      <w:r w:rsidR="00AB39E8">
        <w:t xml:space="preserve">. </w:t>
      </w:r>
      <w:r w:rsidRPr="00AB53B5">
        <w:rPr>
          <w:color w:val="000000"/>
        </w:rPr>
        <w:t xml:space="preserve">Despite trying various (simple) models and covariance structures, the estimations including therapists as random level failed to converge, probably because the number of patients nested within therapists was too small. Therefore therapist was omitted from further analyses as a random effect. </w:t>
      </w:r>
      <w:r w:rsidR="00AB39E8" w:rsidRPr="00AB53B5">
        <w:rPr>
          <w:color w:val="000000"/>
        </w:rPr>
        <w:t>Nevertheless</w:t>
      </w:r>
      <w:r w:rsidR="00AB39E8" w:rsidRPr="00E86DA6">
        <w:rPr>
          <w:color w:val="000000"/>
        </w:rPr>
        <w:t>, the effect of therapist was examined later by adding it as a fixed effect to the final model</w:t>
      </w:r>
      <w:r w:rsidR="00AB39E8">
        <w:rPr>
          <w:color w:val="000000"/>
        </w:rPr>
        <w:t xml:space="preserve"> (see further)</w:t>
      </w:r>
      <w:r w:rsidR="00AB39E8" w:rsidRPr="00E86DA6">
        <w:rPr>
          <w:color w:val="000000"/>
        </w:rPr>
        <w:t>.</w:t>
      </w:r>
    </w:p>
    <w:p w:rsidR="001255CB" w:rsidRDefault="00AB39E8" w:rsidP="001255CB">
      <w:pPr>
        <w:autoSpaceDE w:val="0"/>
        <w:autoSpaceDN w:val="0"/>
        <w:adjustRightInd w:val="0"/>
        <w:spacing w:line="480" w:lineRule="auto"/>
        <w:ind w:firstLine="708"/>
        <w:jc w:val="both"/>
        <w:rPr>
          <w:color w:val="000000"/>
        </w:rPr>
      </w:pPr>
      <w:r>
        <w:rPr>
          <w:color w:val="000000"/>
        </w:rPr>
        <w:t>After that, c</w:t>
      </w:r>
      <w:r w:rsidRPr="00E86DA6">
        <w:rPr>
          <w:color w:val="000000"/>
        </w:rPr>
        <w:t xml:space="preserve">hange on secondary outcomes was assessed by testing the 2-level basic model (time, condition, and time*condition, </w:t>
      </w:r>
      <w:r>
        <w:rPr>
          <w:color w:val="000000"/>
        </w:rPr>
        <w:t>controlling</w:t>
      </w:r>
      <w:r w:rsidRPr="00E86DA6">
        <w:rPr>
          <w:color w:val="000000"/>
        </w:rPr>
        <w:t xml:space="preserve"> for baseline BDI-II and EQ5D scores) on dependent variables BSI, WSAS, RAND36 and EQ5D. For RAND36, mixed models regression was used. Given the right skewed distribution of BSI and WSAS scores, we used gamma regression with a log link for BSI +1 and WSAS+1 scores. Since EQ5D utilities showed a left skewed distribution, scores were transformed ((-1 * EQ5D utility score + 1.01)*100) to meet assumptions of gamma regression. </w:t>
      </w:r>
    </w:p>
    <w:p w:rsidR="00AB39E8" w:rsidRDefault="001255CB" w:rsidP="001255CB">
      <w:pPr>
        <w:autoSpaceDE w:val="0"/>
        <w:autoSpaceDN w:val="0"/>
        <w:adjustRightInd w:val="0"/>
        <w:spacing w:line="480" w:lineRule="auto"/>
        <w:ind w:firstLine="708"/>
        <w:jc w:val="both"/>
        <w:rPr>
          <w:color w:val="000000"/>
        </w:rPr>
      </w:pPr>
      <w:r w:rsidRPr="00E86DA6">
        <w:rPr>
          <w:color w:val="000000"/>
        </w:rPr>
        <w:lastRenderedPageBreak/>
        <w:t xml:space="preserve">Effect sizes Cohen’s </w:t>
      </w:r>
      <w:r w:rsidRPr="00E86DA6">
        <w:rPr>
          <w:i/>
          <w:color w:val="000000"/>
        </w:rPr>
        <w:t>d</w:t>
      </w:r>
      <w:r w:rsidRPr="00E86DA6">
        <w:rPr>
          <w:color w:val="000000"/>
        </w:rPr>
        <w:t xml:space="preserve"> and </w:t>
      </w:r>
      <w:r w:rsidRPr="00E86DA6">
        <w:rPr>
          <w:i/>
          <w:color w:val="000000"/>
        </w:rPr>
        <w:t>r</w:t>
      </w:r>
      <w:r>
        <w:rPr>
          <w:i/>
          <w:color w:val="000000"/>
        </w:rPr>
        <w:t xml:space="preserve"> </w:t>
      </w:r>
      <w:r w:rsidRPr="00E86DA6">
        <w:rPr>
          <w:color w:val="000000"/>
        </w:rPr>
        <w:fldChar w:fldCharType="begin"/>
      </w:r>
      <w:r>
        <w:rPr>
          <w:color w:val="000000"/>
        </w:rPr>
        <w:instrText xml:space="preserve"> ADDIN EN.CITE &lt;EndNote&gt;&lt;Cite&gt;&lt;Author&gt;Cohen&lt;/Author&gt;&lt;Year&gt;1988&lt;/Year&gt;&lt;RecNum&gt;315&lt;/RecNum&gt;&lt;DisplayText&gt;(Cohen 1988)&lt;/DisplayText&gt;&lt;record&gt;&lt;rec-number&gt;315&lt;/rec-number&gt;&lt;foreign-keys&gt;&lt;key app="EN" db-id="t95vdtsspv5fvkewa0e5rttnvxx95rrzazxe"&gt;315&lt;/key&gt;&lt;/foreign-keys&gt;&lt;ref-type name="Book"&gt;6&lt;/ref-type&gt;&lt;contributors&gt;&lt;authors&gt;&lt;author&gt;Cohen, J.&lt;/author&gt;&lt;/authors&gt;&lt;/contributors&gt;&lt;titles&gt;&lt;title&gt;Statistical power analysis for the behavioral sciences&lt;/title&gt;&lt;/titles&gt;&lt;dates&gt;&lt;year&gt;1988&lt;/year&gt;&lt;/dates&gt;&lt;pub-location&gt;Hillsdale, NJ&lt;/pub-location&gt;&lt;publisher&gt;Erlbaum&lt;/publisher&gt;&lt;urls&gt;&lt;/urls&gt;&lt;/record&gt;&lt;/Cite&gt;&lt;/EndNote&gt;</w:instrText>
      </w:r>
      <w:r w:rsidRPr="00E86DA6">
        <w:rPr>
          <w:color w:val="000000"/>
        </w:rPr>
        <w:fldChar w:fldCharType="separate"/>
      </w:r>
      <w:r>
        <w:rPr>
          <w:noProof/>
          <w:color w:val="000000"/>
        </w:rPr>
        <w:t>(</w:t>
      </w:r>
      <w:hyperlink w:anchor="_ENREF_1" w:tooltip="Cohen, 1988 #315" w:history="1">
        <w:r w:rsidR="00040D69">
          <w:rPr>
            <w:noProof/>
            <w:color w:val="000000"/>
          </w:rPr>
          <w:t>Cohen 1988</w:t>
        </w:r>
      </w:hyperlink>
      <w:r>
        <w:rPr>
          <w:noProof/>
          <w:color w:val="000000"/>
        </w:rPr>
        <w:t>)</w:t>
      </w:r>
      <w:r w:rsidRPr="00E86DA6">
        <w:rPr>
          <w:color w:val="000000"/>
        </w:rPr>
        <w:fldChar w:fldCharType="end"/>
      </w:r>
      <w:r w:rsidRPr="00E86DA6">
        <w:rPr>
          <w:color w:val="000000"/>
        </w:rPr>
        <w:t xml:space="preserve"> for the continuous primary and secondary outcomes were computed from the multilevel estimates. Within-condition change was defined as Cohen’s </w:t>
      </w:r>
      <w:r w:rsidRPr="00E86DA6">
        <w:rPr>
          <w:i/>
          <w:color w:val="000000"/>
        </w:rPr>
        <w:t>d</w:t>
      </w:r>
      <w:r w:rsidRPr="00E86DA6">
        <w:rPr>
          <w:color w:val="000000"/>
        </w:rPr>
        <w:t xml:space="preserve"> = (baseline mean – mean at time </w:t>
      </w:r>
      <w:r w:rsidRPr="00E86DA6">
        <w:rPr>
          <w:i/>
          <w:color w:val="000000"/>
        </w:rPr>
        <w:t>i</w:t>
      </w:r>
      <w:r w:rsidRPr="00E86DA6">
        <w:rPr>
          <w:color w:val="000000"/>
        </w:rPr>
        <w:t>)</w:t>
      </w:r>
      <w:proofErr w:type="gramStart"/>
      <w:r w:rsidRPr="00E86DA6">
        <w:rPr>
          <w:color w:val="000000"/>
        </w:rPr>
        <w:t>/(</w:t>
      </w:r>
      <w:proofErr w:type="gramEnd"/>
      <w:r w:rsidRPr="00E86DA6">
        <w:rPr>
          <w:color w:val="000000"/>
        </w:rPr>
        <w:t xml:space="preserve">√baseline variance). Between-group effect sizes were determined by calculating the difference between the within-condition effect sizes of CT and IPT at time </w:t>
      </w:r>
      <w:r w:rsidRPr="00E86DA6">
        <w:rPr>
          <w:i/>
          <w:color w:val="000000"/>
        </w:rPr>
        <w:t>i</w:t>
      </w:r>
      <w:r w:rsidRPr="00E86DA6">
        <w:rPr>
          <w:color w:val="000000"/>
        </w:rPr>
        <w:t xml:space="preserve">. </w:t>
      </w:r>
      <w:r w:rsidRPr="00E86DA6">
        <w:rPr>
          <w:i/>
          <w:color w:val="000000"/>
        </w:rPr>
        <w:t>r</w:t>
      </w:r>
      <w:r w:rsidRPr="00E86DA6">
        <w:rPr>
          <w:color w:val="000000"/>
        </w:rPr>
        <w:t xml:space="preserve"> was defined as </w:t>
      </w:r>
      <w:proofErr w:type="gramStart"/>
      <w:r w:rsidRPr="00E86DA6">
        <w:rPr>
          <w:color w:val="000000"/>
        </w:rPr>
        <w:t>√(</w:t>
      </w:r>
      <w:proofErr w:type="gramEnd"/>
      <w:r w:rsidRPr="00E86DA6">
        <w:rPr>
          <w:i/>
          <w:color w:val="000000"/>
        </w:rPr>
        <w:t>F</w:t>
      </w:r>
      <w:r w:rsidRPr="00E86DA6">
        <w:rPr>
          <w:color w:val="000000"/>
        </w:rPr>
        <w:t>/(</w:t>
      </w:r>
      <w:r w:rsidRPr="00E86DA6">
        <w:rPr>
          <w:i/>
          <w:color w:val="000000"/>
        </w:rPr>
        <w:t>F</w:t>
      </w:r>
      <w:r w:rsidRPr="00E86DA6">
        <w:rPr>
          <w:color w:val="000000"/>
        </w:rPr>
        <w:t xml:space="preserve"> + d.f.)).</w:t>
      </w:r>
    </w:p>
    <w:p w:rsidR="00B06BF6" w:rsidRDefault="00AB39E8" w:rsidP="00AB39E8">
      <w:pPr>
        <w:autoSpaceDE w:val="0"/>
        <w:autoSpaceDN w:val="0"/>
        <w:adjustRightInd w:val="0"/>
        <w:spacing w:line="480" w:lineRule="auto"/>
        <w:ind w:firstLine="708"/>
        <w:jc w:val="both"/>
        <w:rPr>
          <w:color w:val="000000"/>
        </w:rPr>
      </w:pPr>
      <w:r>
        <w:rPr>
          <w:color w:val="000000"/>
        </w:rPr>
        <w:t xml:space="preserve">Then, we tested whether </w:t>
      </w:r>
      <w:r w:rsidRPr="0085198E">
        <w:t>initial depression severity moderated the effect of time and condition</w:t>
      </w:r>
      <w:r>
        <w:t xml:space="preserve"> </w:t>
      </w:r>
      <w:r>
        <w:rPr>
          <w:color w:val="000000"/>
        </w:rPr>
        <w:t>by adding</w:t>
      </w:r>
      <w:r w:rsidRPr="0085198E">
        <w:rPr>
          <w:color w:val="000000"/>
        </w:rPr>
        <w:t xml:space="preserve"> the two- and three-way interaction(s) of baseline depression severity (</w:t>
      </w:r>
      <w:r>
        <w:rPr>
          <w:color w:val="000000"/>
        </w:rPr>
        <w:t xml:space="preserve">continuous standardised </w:t>
      </w:r>
      <w:r w:rsidRPr="0085198E">
        <w:rPr>
          <w:color w:val="000000"/>
        </w:rPr>
        <w:t>BDI-II</w:t>
      </w:r>
      <w:r>
        <w:rPr>
          <w:color w:val="000000"/>
        </w:rPr>
        <w:t xml:space="preserve"> score</w:t>
      </w:r>
      <w:r w:rsidRPr="0085198E">
        <w:rPr>
          <w:color w:val="000000"/>
        </w:rPr>
        <w:t>) with time and condition to the basic mode</w:t>
      </w:r>
      <w:r>
        <w:rPr>
          <w:color w:val="000000"/>
        </w:rPr>
        <w:t>l of the primary outcome BDI-II</w:t>
      </w:r>
      <w:r w:rsidRPr="0085198E">
        <w:rPr>
          <w:color w:val="000000"/>
        </w:rPr>
        <w:t>.</w:t>
      </w:r>
      <w:r>
        <w:rPr>
          <w:color w:val="000000"/>
        </w:rPr>
        <w:t xml:space="preserve"> </w:t>
      </w:r>
      <w:r w:rsidR="00B06BF6" w:rsidRPr="00E86DA6">
        <w:rPr>
          <w:color w:val="000000"/>
        </w:rPr>
        <w:t>The moderator*condition and moderator*time*condition interactions were of primary interest in this analysis</w:t>
      </w:r>
      <w:r w:rsidR="00B06BF6" w:rsidRPr="00A158C0">
        <w:t>. Power analysis showed that our study was powered at 80% to detect medium effect size interactions (</w:t>
      </w:r>
      <w:r w:rsidR="00B06BF6" w:rsidRPr="00A158C0">
        <w:rPr>
          <w:i/>
        </w:rPr>
        <w:t>f</w:t>
      </w:r>
      <w:r w:rsidR="00B06BF6" w:rsidRPr="00A158C0">
        <w:t xml:space="preserve"> = 0.25) at two tailed α = .05. Non-significant </w:t>
      </w:r>
      <w:r w:rsidR="00B06BF6" w:rsidRPr="00E86DA6">
        <w:rPr>
          <w:color w:val="000000"/>
        </w:rPr>
        <w:t xml:space="preserve">interactions were hierarchically excluded from the model until only statistically significant prognostic variables remained. Subsequently, we checked for influence of therapist and number of sessions by univariately adding them as fixed factors </w:t>
      </w:r>
      <w:r w:rsidR="003B2D5C" w:rsidRPr="0085198E">
        <w:rPr>
          <w:color w:val="000000"/>
        </w:rPr>
        <w:t>(main effect, and interaction with time)</w:t>
      </w:r>
      <w:r w:rsidR="003B2D5C">
        <w:rPr>
          <w:color w:val="000000"/>
        </w:rPr>
        <w:t xml:space="preserve"> </w:t>
      </w:r>
      <w:r w:rsidR="00B06BF6" w:rsidRPr="00E86DA6">
        <w:rPr>
          <w:color w:val="000000"/>
        </w:rPr>
        <w:t xml:space="preserve">to the final model. To conclude, several </w:t>
      </w:r>
      <w:r w:rsidR="00B06BF6">
        <w:rPr>
          <w:color w:val="000000"/>
        </w:rPr>
        <w:t xml:space="preserve">other </w:t>
      </w:r>
      <w:r w:rsidR="00B06BF6" w:rsidRPr="00E86DA6">
        <w:rPr>
          <w:color w:val="000000"/>
        </w:rPr>
        <w:t xml:space="preserve">baseline characteristics that displayed potentially relevant differences between the treatment groups (gender, work- and marital status) were added to the model as covariates to see whether they would affect the results. All effects were tested at the </w:t>
      </w:r>
      <w:r w:rsidR="00B06BF6" w:rsidRPr="00E86DA6">
        <w:rPr>
          <w:i/>
          <w:color w:val="000000"/>
        </w:rPr>
        <w:t>p</w:t>
      </w:r>
      <w:r w:rsidR="00B06BF6" w:rsidRPr="00E86DA6">
        <w:rPr>
          <w:color w:val="000000"/>
        </w:rPr>
        <w:t xml:space="preserve"> &lt; 0.05 level (two-tailed). </w:t>
      </w:r>
    </w:p>
    <w:p w:rsidR="009E625F" w:rsidRDefault="001469D0" w:rsidP="009E625F">
      <w:pPr>
        <w:spacing w:line="480" w:lineRule="auto"/>
        <w:ind w:firstLine="708"/>
        <w:jc w:val="both"/>
        <w:rPr>
          <w:color w:val="000000"/>
        </w:rPr>
      </w:pPr>
      <w:r>
        <w:rPr>
          <w:color w:val="000000"/>
        </w:rPr>
        <w:t xml:space="preserve">Subsequently, </w:t>
      </w:r>
      <w:r w:rsidR="009E625F" w:rsidRPr="00CC5ED8">
        <w:rPr>
          <w:color w:val="000000"/>
        </w:rPr>
        <w:t>we examined whether therapy outperformed the waiting list by</w:t>
      </w:r>
      <w:r w:rsidR="009E625F" w:rsidRPr="00E86DA6">
        <w:rPr>
          <w:color w:val="000000"/>
        </w:rPr>
        <w:t xml:space="preserve"> comparing change in BDI-II scores of patients in the active groups after 2 months of therapy with those of patients in the WLC condition after 2 months of no-treatment. </w:t>
      </w:r>
      <w:r w:rsidR="009E625F" w:rsidRPr="003B2D5C">
        <w:rPr>
          <w:color w:val="000000"/>
        </w:rPr>
        <w:t xml:space="preserve">All analyses were carried out in SPSS version 21.0 and results are reported according to the CONSORT guidelines for reporting trials </w:t>
      </w:r>
      <w:r w:rsidR="009E625F" w:rsidRPr="003B2D5C">
        <w:rPr>
          <w:color w:val="000000"/>
        </w:rPr>
        <w:fldChar w:fldCharType="begin"/>
      </w:r>
      <w:r w:rsidR="009E625F" w:rsidRPr="003B2D5C">
        <w:rPr>
          <w:color w:val="000000"/>
        </w:rPr>
        <w:instrText xml:space="preserve"> ADDIN EN.CITE &lt;EndNote&gt;&lt;Cite&gt;&lt;Author&gt;Moher&lt;/Author&gt;&lt;Year&gt;2010&lt;/Year&gt;&lt;RecNum&gt;663&lt;/RecNum&gt;&lt;DisplayText&gt;(Moher&lt;style face="italic"&gt; et al.&lt;/style&gt; 2010)&lt;/DisplayText&gt;&lt;record&gt;&lt;rec-number&gt;663&lt;/rec-number&gt;&lt;foreign-keys&gt;&lt;key app="EN" db-id="t95vdtsspv5fvkewa0e5rttnvxx95rrzazxe"&gt;663&lt;/key&gt;&lt;/foreign-keys&gt;&lt;ref-type name="Journal Article"&gt;17&lt;/ref-type&gt;&lt;contributors&gt;&lt;authors&gt;&lt;author&gt;Moher, D.,&lt;/author&gt;&lt;author&gt;Hopewell, S.,&lt;/author&gt;&lt;author&gt;Schulz, K.F.,&lt;/author&gt;&lt;author&gt;Montori, V.,&lt;/author&gt;&lt;author&gt;Gotzsche, P.C.,&lt;/author&gt;&lt;author&gt;Deveraux, P.J.,&lt;/author&gt;&lt;author&gt;Elbourne, D.,&lt;/author&gt;&lt;author&gt;Egger, M.,&lt;/author&gt;&lt;author&gt;Altman, D.G.&lt;/author&gt;&lt;/authors&gt;&lt;/contributors&gt;&lt;titles&gt;&lt;title&gt;Research Methods &amp;amp; Reporting: CONSORT 2010 Explanation and Elaboration: Updated guidelines for reporting parallel group ranomised trials&lt;/title&gt;&lt;secondary-title&gt;BMJ&lt;/secondary-title&gt;&lt;/titles&gt;&lt;periodical&gt;&lt;full-title&gt;BMJ (Clinical Research Ed.)&lt;/full-title&gt;&lt;abbr-1&gt;BMJ&lt;/abbr-1&gt;&lt;abbr-2&gt;BMJ&lt;/abbr-2&gt;&lt;/periodical&gt;&lt;pages&gt;c869&lt;/pages&gt;&lt;volume&gt;340&lt;/volume&gt;&lt;dates&gt;&lt;year&gt;2010&lt;/year&gt;&lt;/dates&gt;&lt;urls&gt;&lt;/urls&gt;&lt;electronic-resource-num&gt;10.1136/bmj.c869&lt;/electronic-resource-num&gt;&lt;/record&gt;&lt;/Cite&gt;&lt;/EndNote&gt;</w:instrText>
      </w:r>
      <w:r w:rsidR="009E625F" w:rsidRPr="003B2D5C">
        <w:rPr>
          <w:color w:val="000000"/>
        </w:rPr>
        <w:fldChar w:fldCharType="separate"/>
      </w:r>
      <w:r w:rsidR="009E625F" w:rsidRPr="003B2D5C">
        <w:rPr>
          <w:noProof/>
          <w:color w:val="000000"/>
        </w:rPr>
        <w:t>(</w:t>
      </w:r>
      <w:hyperlink w:anchor="_ENREF_7" w:tooltip="Moher, 2010 #663" w:history="1">
        <w:r w:rsidR="00040D69" w:rsidRPr="003B2D5C">
          <w:rPr>
            <w:noProof/>
            <w:color w:val="000000"/>
          </w:rPr>
          <w:t>Moher</w:t>
        </w:r>
        <w:r w:rsidR="00040D69" w:rsidRPr="003B2D5C">
          <w:rPr>
            <w:i/>
            <w:noProof/>
            <w:color w:val="000000"/>
          </w:rPr>
          <w:t xml:space="preserve"> et al.</w:t>
        </w:r>
        <w:r w:rsidR="00040D69" w:rsidRPr="003B2D5C">
          <w:rPr>
            <w:noProof/>
            <w:color w:val="000000"/>
          </w:rPr>
          <w:t xml:space="preserve"> 2010</w:t>
        </w:r>
      </w:hyperlink>
      <w:r w:rsidR="009E625F" w:rsidRPr="003B2D5C">
        <w:rPr>
          <w:noProof/>
          <w:color w:val="000000"/>
        </w:rPr>
        <w:t>)</w:t>
      </w:r>
      <w:r w:rsidR="009E625F" w:rsidRPr="003B2D5C">
        <w:rPr>
          <w:color w:val="000000"/>
        </w:rPr>
        <w:fldChar w:fldCharType="end"/>
      </w:r>
      <w:r w:rsidR="009E625F" w:rsidRPr="003B2D5C">
        <w:rPr>
          <w:color w:val="000000"/>
        </w:rPr>
        <w:t>.</w:t>
      </w:r>
    </w:p>
    <w:p w:rsidR="009E625F" w:rsidRPr="00E86DA6" w:rsidRDefault="009E625F" w:rsidP="009E625F">
      <w:pPr>
        <w:autoSpaceDE w:val="0"/>
        <w:autoSpaceDN w:val="0"/>
        <w:adjustRightInd w:val="0"/>
        <w:spacing w:line="480" w:lineRule="auto"/>
        <w:jc w:val="both"/>
        <w:rPr>
          <w:color w:val="000000"/>
        </w:rPr>
      </w:pPr>
    </w:p>
    <w:p w:rsidR="003B2D5C" w:rsidRPr="00E86DA6" w:rsidRDefault="003B2D5C" w:rsidP="009E625F">
      <w:pPr>
        <w:autoSpaceDE w:val="0"/>
        <w:autoSpaceDN w:val="0"/>
        <w:adjustRightInd w:val="0"/>
        <w:spacing w:line="480" w:lineRule="auto"/>
        <w:jc w:val="both"/>
        <w:rPr>
          <w:color w:val="000000"/>
        </w:rPr>
      </w:pPr>
    </w:p>
    <w:p w:rsidR="003B2D5C" w:rsidRDefault="009E625F" w:rsidP="009E625F">
      <w:pPr>
        <w:autoSpaceDE w:val="0"/>
        <w:autoSpaceDN w:val="0"/>
        <w:adjustRightInd w:val="0"/>
        <w:spacing w:line="480" w:lineRule="auto"/>
        <w:ind w:firstLine="708"/>
        <w:jc w:val="both"/>
        <w:rPr>
          <w:color w:val="000000"/>
        </w:rPr>
      </w:pPr>
      <w:r>
        <w:rPr>
          <w:color w:val="000000"/>
        </w:rPr>
        <w:lastRenderedPageBreak/>
        <w:t>T</w:t>
      </w:r>
      <w:r w:rsidRPr="00E86DA6">
        <w:rPr>
          <w:color w:val="000000"/>
        </w:rPr>
        <w:t xml:space="preserve">he methodology of Jacobson </w:t>
      </w:r>
      <w:r>
        <w:rPr>
          <w:color w:val="000000"/>
        </w:rPr>
        <w:t>&amp;</w:t>
      </w:r>
      <w:r w:rsidRPr="00E86DA6">
        <w:rPr>
          <w:color w:val="000000"/>
        </w:rPr>
        <w:t xml:space="preserve"> Truax</w:t>
      </w:r>
      <w:r>
        <w:rPr>
          <w:color w:val="000000"/>
        </w:rPr>
        <w:t xml:space="preserve"> </w:t>
      </w:r>
      <w:r w:rsidRPr="00E86DA6">
        <w:rPr>
          <w:color w:val="000000"/>
        </w:rPr>
        <w:fldChar w:fldCharType="begin"/>
      </w:r>
      <w:r>
        <w:rPr>
          <w:color w:val="000000"/>
        </w:rPr>
        <w:instrText xml:space="preserve"> ADDIN EN.CITE &lt;EndNote&gt;&lt;Cite ExcludeAuth="1"&gt;&lt;Author&gt;Jacobson&lt;/Author&gt;&lt;Year&gt;1991&lt;/Year&gt;&lt;RecNum&gt;344&lt;/RecNum&gt;&lt;DisplayText&gt;(1991)&lt;/DisplayText&gt;&lt;record&gt;&lt;rec-number&gt;344&lt;/rec-number&gt;&lt;foreign-keys&gt;&lt;key app="EN" db-id="t95vdtsspv5fvkewa0e5rttnvxx95rrzazxe"&gt;344&lt;/key&gt;&lt;/foreign-keys&gt;&lt;ref-type name="Journal Article"&gt;17&lt;/ref-type&gt;&lt;contributors&gt;&lt;authors&gt;&lt;author&gt;Jacobson, Neil S.&lt;/author&gt;&lt;author&gt;Truax, Paula&lt;/author&gt;&lt;/authors&gt;&lt;/contributors&gt;&lt;titles&gt;&lt;title&gt;Clinical significance: A statistical approach to define meaningful change in psychotherapy research&lt;/title&gt;&lt;secondary-title&gt;Journal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Psychology&lt;/abbr-3&gt;&lt;/periodical&gt;&lt;pages&gt;12-19&lt;/pages&gt;&lt;volume&gt;59&lt;/volume&gt;&lt;number&gt;1&lt;/number&gt;&lt;keywords&gt;&lt;keyword&gt;operationalization of definition &amp;amp; statistical reliability of measurement of clinically significant change, psychotherapy clients&lt;/keyword&gt;&lt;keyword&gt;Psychotherapeutic Outcomes&lt;/keyword&gt;&lt;keyword&gt;Statistical Reliability&lt;/keyword&gt;&lt;keyword&gt;Treatment Effectiveness Evaluation&lt;/keyword&gt;&lt;keyword&gt;Behavior Change&lt;/keyword&gt;&lt;keyword&gt;Personality Change&lt;/keyword&gt;&lt;/keywords&gt;&lt;dates&gt;&lt;year&gt;1991&lt;/year&gt;&lt;/dates&gt;&lt;publisher&gt;American Psychological Association&lt;/publisher&gt;&lt;accession-num&gt;ccp-59-1-12&lt;/accession-num&gt;&lt;urls&gt;&lt;related-urls&gt;&lt;url&gt;10.1037/0022-006X.59.1.12&lt;/url&gt;&lt;url&gt;http://search.ebscohost.com/login.aspx?direct=true&amp;amp;db=pdh&amp;amp;AN=ccp-59-1-12&amp;amp;site=ehost-live&amp;amp;scope=site &lt;/url&gt;&lt;/related-urls&gt;&lt;/urls&gt;&lt;/record&gt;&lt;/Cite&gt;&lt;/EndNote&gt;</w:instrText>
      </w:r>
      <w:r w:rsidRPr="00E86DA6">
        <w:rPr>
          <w:color w:val="000000"/>
        </w:rPr>
        <w:fldChar w:fldCharType="separate"/>
      </w:r>
      <w:r>
        <w:rPr>
          <w:noProof/>
          <w:color w:val="000000"/>
        </w:rPr>
        <w:t>(</w:t>
      </w:r>
      <w:hyperlink w:anchor="_ENREF_4" w:tooltip="Jacobson, 1991 #344" w:history="1">
        <w:r w:rsidR="00040D69">
          <w:rPr>
            <w:noProof/>
            <w:color w:val="000000"/>
          </w:rPr>
          <w:t>1991</w:t>
        </w:r>
      </w:hyperlink>
      <w:r>
        <w:rPr>
          <w:noProof/>
          <w:color w:val="000000"/>
        </w:rPr>
        <w:t>)</w:t>
      </w:r>
      <w:r w:rsidRPr="00E86DA6">
        <w:rPr>
          <w:color w:val="000000"/>
        </w:rPr>
        <w:fldChar w:fldCharType="end"/>
      </w:r>
      <w:r w:rsidRPr="00E86DA6">
        <w:rPr>
          <w:color w:val="000000"/>
        </w:rPr>
        <w:t xml:space="preserve"> was used</w:t>
      </w:r>
      <w:r>
        <w:rPr>
          <w:color w:val="000000"/>
        </w:rPr>
        <w:t xml:space="preserve"> t</w:t>
      </w:r>
      <w:r w:rsidR="001469D0">
        <w:rPr>
          <w:color w:val="000000"/>
        </w:rPr>
        <w:t xml:space="preserve">o determine the proportion </w:t>
      </w:r>
      <w:r w:rsidR="00B06BF6" w:rsidRPr="00E86DA6">
        <w:rPr>
          <w:color w:val="000000"/>
        </w:rPr>
        <w:t xml:space="preserve">of patients that showed clinically </w:t>
      </w:r>
      <w:r>
        <w:rPr>
          <w:color w:val="000000"/>
        </w:rPr>
        <w:t>meaningful change on the BDI-II</w:t>
      </w:r>
      <w:r w:rsidR="00B06BF6" w:rsidRPr="00E86DA6">
        <w:rPr>
          <w:color w:val="000000"/>
        </w:rPr>
        <w:t>. Response (the minimum amount of decrease in symptoms that has to be accomplished during therapy) was defined as a decrease of at least 9 BDI-II points during the Treatment Phase. Remission (the cut-off point between healthy and ‘ill’) was defined as an absolute value of 9 or less on the BDI-II. To examine frequency differences in response and remission rates between the groups, mixed binary logistic regression with an unstructured covariance structure was used. All model</w:t>
      </w:r>
      <w:r w:rsidR="00B06BF6">
        <w:rPr>
          <w:color w:val="000000"/>
        </w:rPr>
        <w:t>s were controlled for standardis</w:t>
      </w:r>
      <w:r w:rsidR="00B06BF6" w:rsidRPr="00E86DA6">
        <w:rPr>
          <w:color w:val="000000"/>
        </w:rPr>
        <w:t>ed baseline BDI-II and EQ5D scores, Time*Baseline BDI-II, and Condition*Time. All analyses were carried out in SPSS version 21.0 and results are reported according to the CONSORT guidelines for reporting trials</w:t>
      </w:r>
      <w:r w:rsidR="00B06BF6">
        <w:rPr>
          <w:color w:val="000000"/>
        </w:rPr>
        <w:t xml:space="preserve"> </w:t>
      </w:r>
      <w:r w:rsidR="00B06BF6" w:rsidRPr="00E86DA6">
        <w:rPr>
          <w:color w:val="000000"/>
        </w:rPr>
        <w:fldChar w:fldCharType="begin"/>
      </w:r>
      <w:r w:rsidR="00B06BF6">
        <w:rPr>
          <w:color w:val="000000"/>
        </w:rPr>
        <w:instrText xml:space="preserve"> ADDIN EN.CITE &lt;EndNote&gt;&lt;Cite&gt;&lt;Author&gt;Moher&lt;/Author&gt;&lt;Year&gt;2001&lt;/Year&gt;&lt;RecNum&gt;426&lt;/RecNum&gt;&lt;DisplayText&gt;(Moher&lt;style face="italic"&gt; et al.&lt;/style&gt; 2001)&lt;/DisplayText&gt;&lt;record&gt;&lt;rec-number&gt;426&lt;/rec-number&gt;&lt;foreign-keys&gt;&lt;key app="EN" db-id="t95vdtsspv5fvkewa0e5rttnvxx95rrzazxe"&gt;426&lt;/key&gt;&lt;/foreign-keys&gt;&lt;ref-type name="Journal Article"&gt;17&lt;/ref-type&gt;&lt;contributors&gt;&lt;authors&gt;&lt;author&gt;Moher, David&lt;/author&gt;&lt;author&gt;Schulz, Kenneth F.&lt;/author&gt;&lt;author&gt;Altman, Douglas G.&lt;/author&gt;&lt;/authors&gt;&lt;/contributors&gt;&lt;titles&gt;&lt;title&gt;The CONSORT statement: revised recommendations for improving the quality of reports of parallel-group randomised trials&lt;/title&gt;&lt;secondary-title&gt;The Lancet&lt;/secondary-title&gt;&lt;/titles&gt;&lt;periodical&gt;&lt;full-title&gt;The Lancet&lt;/full-title&gt;&lt;abbr-2&gt;Lancet&lt;/abbr-2&gt;&lt;/periodical&gt;&lt;pages&gt;1191-1194&lt;/pages&gt;&lt;volume&gt;357&lt;/volume&gt;&lt;number&gt;9263&lt;/number&gt;&lt;dates&gt;&lt;year&gt;2001&lt;/year&gt;&lt;/dates&gt;&lt;accession-num&gt;S0140-6736(00)04337-3&lt;/accession-num&gt;&lt;urls&gt;&lt;related-urls&gt;&lt;url&gt;http://linkinghub.elsevier.com/retrieve/pii/S0140673600043373 &lt;/url&gt;&lt;/related-urls&gt;&lt;/urls&gt;&lt;/record&gt;&lt;/Cite&gt;&lt;/EndNote&gt;</w:instrText>
      </w:r>
      <w:r w:rsidR="00B06BF6" w:rsidRPr="00E86DA6">
        <w:rPr>
          <w:color w:val="000000"/>
        </w:rPr>
        <w:fldChar w:fldCharType="separate"/>
      </w:r>
      <w:r w:rsidR="00B06BF6">
        <w:rPr>
          <w:noProof/>
          <w:color w:val="000000"/>
        </w:rPr>
        <w:t>(</w:t>
      </w:r>
      <w:hyperlink w:anchor="_ENREF_8" w:tooltip="Moher, 2001 #426" w:history="1">
        <w:r w:rsidR="00040D69">
          <w:rPr>
            <w:noProof/>
            <w:color w:val="000000"/>
          </w:rPr>
          <w:t>Moher</w:t>
        </w:r>
        <w:r w:rsidR="00040D69" w:rsidRPr="00A9348D">
          <w:rPr>
            <w:i/>
            <w:noProof/>
            <w:color w:val="000000"/>
          </w:rPr>
          <w:t xml:space="preserve"> et al.</w:t>
        </w:r>
        <w:r w:rsidR="00040D69">
          <w:rPr>
            <w:noProof/>
            <w:color w:val="000000"/>
          </w:rPr>
          <w:t xml:space="preserve"> 2001</w:t>
        </w:r>
      </w:hyperlink>
      <w:r w:rsidR="00B06BF6">
        <w:rPr>
          <w:noProof/>
          <w:color w:val="000000"/>
        </w:rPr>
        <w:t>)</w:t>
      </w:r>
      <w:r w:rsidR="00B06BF6" w:rsidRPr="00E86DA6">
        <w:rPr>
          <w:color w:val="000000"/>
        </w:rPr>
        <w:fldChar w:fldCharType="end"/>
      </w:r>
      <w:r w:rsidR="00B06BF6" w:rsidRPr="00E86DA6">
        <w:rPr>
          <w:color w:val="000000"/>
        </w:rPr>
        <w:t>.</w:t>
      </w:r>
    </w:p>
    <w:p w:rsidR="009E625F" w:rsidRDefault="009E625F" w:rsidP="009E625F">
      <w:pPr>
        <w:spacing w:line="480" w:lineRule="auto"/>
        <w:ind w:firstLine="708"/>
        <w:jc w:val="both"/>
      </w:pPr>
      <w:r w:rsidRPr="00F725DD">
        <w:t xml:space="preserve">In order to determine the relative contribution of our study to the field, </w:t>
      </w:r>
      <w:r w:rsidRPr="00F725DD">
        <w:rPr>
          <w:iCs/>
        </w:rPr>
        <w:t xml:space="preserve">we meta-analysed findings from all four randomised trials that examined individual CT and IPT (Elkin </w:t>
      </w:r>
      <w:r w:rsidRPr="00F725DD">
        <w:rPr>
          <w:i/>
          <w:iCs/>
        </w:rPr>
        <w:t>et al.</w:t>
      </w:r>
      <w:r w:rsidRPr="00F725DD">
        <w:rPr>
          <w:iCs/>
        </w:rPr>
        <w:t xml:space="preserve"> 1989; Luty </w:t>
      </w:r>
      <w:r w:rsidRPr="00F725DD">
        <w:rPr>
          <w:i/>
          <w:iCs/>
        </w:rPr>
        <w:t>et al.</w:t>
      </w:r>
      <w:r w:rsidRPr="00F725DD">
        <w:rPr>
          <w:iCs/>
        </w:rPr>
        <w:t xml:space="preserve"> 2007; Quilty </w:t>
      </w:r>
      <w:r w:rsidRPr="00F725DD">
        <w:rPr>
          <w:i/>
          <w:iCs/>
        </w:rPr>
        <w:t>et al.</w:t>
      </w:r>
      <w:r w:rsidRPr="00F725DD">
        <w:rPr>
          <w:iCs/>
        </w:rPr>
        <w:t xml:space="preserve"> 2008; Lemmens </w:t>
      </w:r>
      <w:r w:rsidRPr="00F725DD">
        <w:rPr>
          <w:i/>
          <w:iCs/>
        </w:rPr>
        <w:t>et al.</w:t>
      </w:r>
      <w:r w:rsidRPr="00F725DD">
        <w:rPr>
          <w:iCs/>
        </w:rPr>
        <w:t xml:space="preserve"> 2014)</w:t>
      </w:r>
      <w:r w:rsidRPr="00F725DD">
        <w:rPr>
          <w:iCs/>
        </w:rPr>
        <w:fldChar w:fldCharType="begin">
          <w:fldData xml:space="preserve">PEVuZE5vdGU+PENpdGUgSGlkZGVuPSIxIj48QXV0aG9yPkVsa2luPC9BdXRob3I+PFllYXI+MTk4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</w:fldData>
        </w:fldChar>
      </w:r>
      <w:r w:rsidRPr="00F725DD">
        <w:rPr>
          <w:iCs/>
        </w:rPr>
        <w:instrText xml:space="preserve"> ADDIN EN.CITE </w:instrText>
      </w:r>
      <w:r w:rsidRPr="00F725DD">
        <w:rPr>
          <w:iCs/>
        </w:rPr>
        <w:fldChar w:fldCharType="begin">
          <w:fldData xml:space="preserve">PEVuZE5vdGU+PENpdGUgSGlkZGVuPSIxIj48QXV0aG9yPkVsa2luPC9BdXRob3I+PFllYXI+MTk4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</w:fldData>
        </w:fldChar>
      </w:r>
      <w:r w:rsidRPr="00F725DD">
        <w:rPr>
          <w:iCs/>
        </w:rPr>
        <w:instrText xml:space="preserve"> ADDIN EN.CITE.DATA </w:instrText>
      </w:r>
      <w:r w:rsidRPr="00F725DD">
        <w:rPr>
          <w:iCs/>
        </w:rPr>
      </w:r>
      <w:r w:rsidRPr="00F725DD">
        <w:rPr>
          <w:iCs/>
        </w:rPr>
        <w:fldChar w:fldCharType="end"/>
      </w:r>
      <w:r w:rsidRPr="00F725DD">
        <w:rPr>
          <w:iCs/>
        </w:rPr>
      </w:r>
      <w:r w:rsidRPr="00F725DD">
        <w:rPr>
          <w:iCs/>
        </w:rPr>
        <w:fldChar w:fldCharType="end"/>
      </w:r>
      <w:r w:rsidRPr="00F725DD">
        <w:rPr>
          <w:iCs/>
        </w:rPr>
        <w:t xml:space="preserve">. Using the statistical program Open Meta Analysis </w:t>
      </w:r>
      <w:r w:rsidRPr="00F725DD">
        <w:rPr>
          <w:iCs/>
        </w:rPr>
        <w:fldChar w:fldCharType="begin"/>
      </w:r>
      <w:r>
        <w:rPr>
          <w:iCs/>
        </w:rPr>
        <w:instrText xml:space="preserve"> ADDIN EN.CITE &lt;EndNote&gt;&lt;Cite&gt;&lt;Author&gt;Wallace&lt;/Author&gt;&lt;Year&gt;2012&lt;/Year&gt;&lt;RecNum&gt;664&lt;/RecNum&gt;&lt;DisplayText&gt;(Wallace&lt;style face="italic"&gt; et al.&lt;/style&gt; 2012)&lt;/DisplayText&gt;&lt;record&gt;&lt;rec-number&gt;664&lt;/rec-number&gt;&lt;foreign-keys&gt;&lt;key app="EN" db-id="t95vdtsspv5fvkewa0e5rttnvxx95rrzazxe"&gt;664&lt;/key&gt;&lt;/foreign-keys&gt;&lt;ref-type name="Journal Article"&gt;17&lt;/ref-type&gt;&lt;contributors&gt;&lt;authors&gt;&lt;author&gt;Wallace, B. C.,&lt;/author&gt;&lt;author&gt;Daharbreh, I. J.,&lt;/author&gt;&lt;author&gt;Trikalinos, T. A.,&lt;/author&gt;&lt;author&gt;Lau, J.,&lt;/author&gt;&lt;author&gt;Trow, P.,&lt;/author&gt;&lt;author&gt;Schmid, C. H. &lt;/author&gt;&lt;/authors&gt;&lt;/contributors&gt;&lt;titles&gt;&lt;title&gt;Closing the Gap between Methodologists and End-Users: R as a Computational Back-End&lt;/title&gt;&lt;secondary-title&gt;Journal of Statistical Software&lt;/secondary-title&gt;&lt;/titles&gt;&lt;periodical&gt;&lt;full-title&gt;Journal of Statistical Software&lt;/full-title&gt;&lt;/periodical&gt;&lt;volume&gt;49&lt;/volume&gt;&lt;number&gt;5&lt;/number&gt;&lt;dates&gt;&lt;year&gt;2012&lt;/year&gt;&lt;/dates&gt;&lt;urls&gt;&lt;/urls&gt;&lt;/record&gt;&lt;/Cite&gt;&lt;/EndNote&gt;</w:instrText>
      </w:r>
      <w:r w:rsidRPr="00F725DD">
        <w:rPr>
          <w:iCs/>
        </w:rPr>
        <w:fldChar w:fldCharType="separate"/>
      </w:r>
      <w:r>
        <w:rPr>
          <w:iCs/>
          <w:noProof/>
        </w:rPr>
        <w:t>(</w:t>
      </w:r>
      <w:hyperlink w:anchor="_ENREF_10" w:tooltip="Wallace, 2012 #664" w:history="1">
        <w:r w:rsidR="00040D69">
          <w:rPr>
            <w:iCs/>
            <w:noProof/>
          </w:rPr>
          <w:t>Wallace</w:t>
        </w:r>
        <w:r w:rsidR="00040D69" w:rsidRPr="009E625F">
          <w:rPr>
            <w:i/>
            <w:iCs/>
            <w:noProof/>
          </w:rPr>
          <w:t xml:space="preserve"> et al.</w:t>
        </w:r>
        <w:r w:rsidR="00040D69">
          <w:rPr>
            <w:iCs/>
            <w:noProof/>
          </w:rPr>
          <w:t xml:space="preserve"> 2012</w:t>
        </w:r>
      </w:hyperlink>
      <w:r>
        <w:rPr>
          <w:iCs/>
          <w:noProof/>
        </w:rPr>
        <w:t>)</w:t>
      </w:r>
      <w:r w:rsidRPr="00F725DD">
        <w:rPr>
          <w:iCs/>
        </w:rPr>
        <w:fldChar w:fldCharType="end"/>
      </w:r>
      <w:r w:rsidRPr="00F725DD">
        <w:rPr>
          <w:iCs/>
        </w:rPr>
        <w:t xml:space="preserve">, we analysed the post-treatment BDI-II scores with a </w:t>
      </w:r>
      <w:r w:rsidR="002E2FB4">
        <w:rPr>
          <w:iCs/>
        </w:rPr>
        <w:t>r</w:t>
      </w:r>
      <w:r w:rsidR="007205F5" w:rsidRPr="007205F5">
        <w:rPr>
          <w:iCs/>
        </w:rPr>
        <w:t>andom</w:t>
      </w:r>
      <w:r w:rsidRPr="007205F5">
        <w:rPr>
          <w:iCs/>
        </w:rPr>
        <w:t>-effect</w:t>
      </w:r>
      <w:r w:rsidR="00B50E62">
        <w:rPr>
          <w:iCs/>
        </w:rPr>
        <w:t>s</w:t>
      </w:r>
      <w:r w:rsidRPr="007205F5">
        <w:rPr>
          <w:iCs/>
        </w:rPr>
        <w:t xml:space="preserve"> </w:t>
      </w:r>
      <w:r w:rsidRPr="00F725DD">
        <w:rPr>
          <w:iCs/>
        </w:rPr>
        <w:t xml:space="preserve">model using the unstandardized mean difference score with a 95% confidence interval (CI). Since other trials did not adjust their outcome variable according to baseline values, we included non-covariate corrected means as estimates of the effects of the current study. As a sensitivity analysis, we repeated the analysis with adjusted post-treatment BDI-II scores. </w:t>
      </w:r>
      <w:r w:rsidR="00067A20" w:rsidRPr="00067A20">
        <w:rPr>
          <w:iCs/>
        </w:rPr>
        <w:t xml:space="preserve">The same set of four studies was used to perform trial sequential analysis on the BDI-II. Following </w:t>
      </w:r>
      <w:r w:rsidR="00067A20" w:rsidRPr="00067A20">
        <w:rPr>
          <w:iCs/>
        </w:rPr>
        <w:fldChar w:fldCharType="begin"/>
      </w:r>
      <w:r w:rsidR="00067A20" w:rsidRPr="00067A20">
        <w:rPr>
          <w:iCs/>
        </w:rPr>
        <w:instrText xml:space="preserve"> ADDIN EN.CITE &lt;EndNote&gt;&lt;Cite AuthorYear="1"&gt;&lt;Author&gt;Jakobsen&lt;/Author&gt;&lt;Year&gt;2012&lt;/Year&gt;&lt;RecNum&gt;433&lt;/RecNum&gt;&lt;DisplayText&gt;Jakobsen&lt;style face="italic"&gt; et al.&lt;/style&gt; (2012)&lt;/DisplayText&gt;&lt;record&gt;&lt;rec-number&gt;433&lt;/rec-number&gt;&lt;foreign-keys&gt;&lt;key app="EN" db-id="t95vdtsspv5fvkewa0e5rttnvxx95rrzazxe"&gt;433&lt;/key&gt;&lt;/foreign-keys&gt;&lt;ref-type name="Journal Article"&gt;17&lt;/ref-type&gt;&lt;contributors&gt;&lt;authors&gt;&lt;author&gt;Jakobsen, J. C.,&lt;/author&gt;&lt;author&gt;Hansen, J. L.,&lt;/author&gt;&lt;author&gt;Simonsen, S.,&lt;/author&gt;&lt;author&gt;Simonsen, E.,&lt;/author&gt;&lt;author&gt;Gluud, C.&lt;/author&gt;&lt;/authors&gt;&lt;/contributors&gt;&lt;titles&gt;&lt;title&gt;Effects of cognitive therapy versus interpersonal psychotherapy in patients with major depressive disorder: a systematic review of randomized clinical trials with meta-analyses and trial sequential analyses.&lt;/title&gt;&lt;secondary-title&gt;Psychological Medicine&lt;/secondary-title&gt;&lt;/titles&gt;&lt;periodical&gt;&lt;full-title&gt;Psychological Medicine&lt;/full-title&gt;&lt;abbr-1&gt;Psychol. Med.&lt;/abbr-1&gt;&lt;abbr-2&gt;Psychol Med&lt;/abbr-2&gt;&lt;/periodical&gt;&lt;pages&gt;1343-1357&lt;/pages&gt;&lt;volume&gt;42&lt;/volume&gt;&lt;dates&gt;&lt;year&gt;2012&lt;/year&gt;&lt;/dates&gt;&lt;urls&gt;&lt;/urls&gt;&lt;/record&gt;&lt;/Cite&gt;&lt;/EndNote&gt;</w:instrText>
      </w:r>
      <w:r w:rsidR="00067A20" w:rsidRPr="00067A20">
        <w:rPr>
          <w:iCs/>
        </w:rPr>
        <w:fldChar w:fldCharType="separate"/>
      </w:r>
      <w:hyperlink w:anchor="_ENREF_5" w:tooltip="Jakobsen, 2012 #433" w:history="1">
        <w:r w:rsidR="00040D69" w:rsidRPr="00067A20">
          <w:rPr>
            <w:iCs/>
            <w:noProof/>
          </w:rPr>
          <w:t>Jakobsen</w:t>
        </w:r>
        <w:r w:rsidR="00040D69" w:rsidRPr="00067A20">
          <w:rPr>
            <w:i/>
            <w:iCs/>
            <w:noProof/>
          </w:rPr>
          <w:t xml:space="preserve"> et al.</w:t>
        </w:r>
        <w:r w:rsidR="00040D69" w:rsidRPr="00067A20">
          <w:rPr>
            <w:iCs/>
            <w:noProof/>
          </w:rPr>
          <w:t xml:space="preserve"> (2012</w:t>
        </w:r>
      </w:hyperlink>
      <w:r w:rsidR="00067A20" w:rsidRPr="00067A20">
        <w:rPr>
          <w:iCs/>
          <w:noProof/>
        </w:rPr>
        <w:t>)</w:t>
      </w:r>
      <w:r w:rsidR="00067A20" w:rsidRPr="00067A20">
        <w:rPr>
          <w:iCs/>
        </w:rPr>
        <w:fldChar w:fldCharType="end"/>
      </w:r>
      <w:r w:rsidR="00067A20" w:rsidRPr="00067A20">
        <w:rPr>
          <w:iCs/>
        </w:rPr>
        <w:t xml:space="preserve">, we conducted two analyses; one with a minimal relevant difference of 4 BDI points and 80% power, and one with more strict presumptions (BDI difference of 3 points and 90% power). Both analyses were based on a type I error of 5% and on the variance of all trials. Similar to the meta-analysis, effects of both non-covariate corrected as well as covariate corrected means as estimates of the effects of the current study were explored. In addition, resembling </w:t>
      </w:r>
      <w:r w:rsidRPr="00F725DD">
        <w:rPr>
          <w:iCs/>
        </w:rPr>
        <w:t xml:space="preserve">Jakobsen </w:t>
      </w:r>
      <w:r w:rsidRPr="00F725DD">
        <w:rPr>
          <w:i/>
          <w:iCs/>
        </w:rPr>
        <w:lastRenderedPageBreak/>
        <w:t>et al.</w:t>
      </w:r>
      <w:r w:rsidRPr="00F725DD">
        <w:rPr>
          <w:iCs/>
        </w:rPr>
        <w:t xml:space="preserve"> (2012) bias risk was assessed with regard to </w:t>
      </w:r>
      <w:r w:rsidRPr="00F725DD">
        <w:t>sequence generation, allocation concealment, intention-to-treat analysis, blinding, drop-out, outcome measure reporting, presence of economic- and academic bias (see data supplement V for a full description of the criteria). An independent rater</w:t>
      </w:r>
      <w:r w:rsidRPr="00F725DD">
        <w:rPr>
          <w:rStyle w:val="FootnoteReference"/>
        </w:rPr>
        <w:footnoteReference w:id="2"/>
      </w:r>
      <w:r w:rsidRPr="00F725DD">
        <w:t xml:space="preserve"> checked the generated table entries for accuracy.</w:t>
      </w:r>
    </w:p>
    <w:p w:rsidR="003B2D5C" w:rsidRDefault="003B2D5C" w:rsidP="003B2D5C"/>
    <w:p w:rsidR="00A738E2" w:rsidRPr="00A738E2" w:rsidRDefault="00A738E2" w:rsidP="008E4783">
      <w:pPr>
        <w:spacing w:line="480" w:lineRule="auto"/>
        <w:jc w:val="both"/>
        <w:rPr>
          <w:i/>
          <w:color w:val="000000"/>
        </w:rPr>
      </w:pPr>
      <w:r w:rsidRPr="00A738E2">
        <w:rPr>
          <w:i/>
          <w:color w:val="000000"/>
        </w:rPr>
        <w:t xml:space="preserve">References: </w:t>
      </w:r>
    </w:p>
    <w:p w:rsidR="00040D69" w:rsidRDefault="00B06BF6" w:rsidP="00040D69">
      <w:pPr>
        <w:spacing w:line="480" w:lineRule="auto"/>
        <w:ind w:left="720" w:hanging="720"/>
        <w:jc w:val="both"/>
        <w:rPr>
          <w:noProof/>
          <w:color w:val="000000"/>
        </w:rPr>
      </w:pPr>
      <w:r>
        <w:rPr>
          <w:color w:val="000000"/>
        </w:rPr>
        <w:fldChar w:fldCharType="begin"/>
      </w:r>
      <w:r>
        <w:rPr>
          <w:color w:val="000000"/>
        </w:rPr>
        <w:instrText xml:space="preserve"> ADDIN EN.REFLIST </w:instrText>
      </w:r>
      <w:r>
        <w:rPr>
          <w:color w:val="000000"/>
        </w:rPr>
        <w:fldChar w:fldCharType="separate"/>
      </w:r>
      <w:bookmarkStart w:id="0" w:name="_ENREF_1"/>
      <w:r w:rsidR="00040D69" w:rsidRPr="00040D69">
        <w:rPr>
          <w:b/>
          <w:noProof/>
          <w:color w:val="000000"/>
        </w:rPr>
        <w:t xml:space="preserve">Cohen J </w:t>
      </w:r>
      <w:r w:rsidR="00040D69">
        <w:rPr>
          <w:noProof/>
          <w:color w:val="000000"/>
        </w:rPr>
        <w:t xml:space="preserve">1988. </w:t>
      </w:r>
      <w:r w:rsidR="00040D69" w:rsidRPr="00040D69">
        <w:rPr>
          <w:i/>
          <w:noProof/>
          <w:color w:val="000000"/>
        </w:rPr>
        <w:t xml:space="preserve">Statistical power analysis for the behavioral sciences. </w:t>
      </w:r>
      <w:r w:rsidR="00040D69">
        <w:rPr>
          <w:noProof/>
          <w:color w:val="000000"/>
        </w:rPr>
        <w:t>Hillsdale, NJ, Erlbaum.</w:t>
      </w:r>
      <w:bookmarkEnd w:id="0"/>
    </w:p>
    <w:p w:rsidR="00040D69" w:rsidRDefault="00040D69" w:rsidP="00040D69">
      <w:pPr>
        <w:spacing w:line="480" w:lineRule="auto"/>
        <w:ind w:left="720" w:hanging="720"/>
        <w:jc w:val="both"/>
        <w:rPr>
          <w:noProof/>
          <w:color w:val="000000"/>
        </w:rPr>
      </w:pPr>
      <w:bookmarkStart w:id="1" w:name="_ENREF_2"/>
      <w:r w:rsidRPr="00040D69">
        <w:rPr>
          <w:b/>
          <w:noProof/>
          <w:color w:val="000000"/>
        </w:rPr>
        <w:t xml:space="preserve">Elkin I, Shea MT, Watkins JT, Imber SD </w:t>
      </w:r>
      <w:r>
        <w:rPr>
          <w:noProof/>
          <w:color w:val="000000"/>
        </w:rPr>
        <w:t xml:space="preserve">1989. National Institute of Mental Health Treatment of Depression Collaborative Research Program: General effectiveness of treatments. </w:t>
      </w:r>
      <w:r w:rsidRPr="00040D69">
        <w:rPr>
          <w:i/>
          <w:noProof/>
          <w:color w:val="000000"/>
        </w:rPr>
        <w:t>Archives of General Psychiatry</w:t>
      </w:r>
      <w:r>
        <w:rPr>
          <w:noProof/>
          <w:color w:val="000000"/>
        </w:rPr>
        <w:t xml:space="preserve"> </w:t>
      </w:r>
      <w:r w:rsidRPr="00040D69">
        <w:rPr>
          <w:b/>
          <w:noProof/>
          <w:color w:val="000000"/>
        </w:rPr>
        <w:t>46,</w:t>
      </w:r>
      <w:r>
        <w:rPr>
          <w:noProof/>
          <w:color w:val="000000"/>
        </w:rPr>
        <w:t xml:space="preserve"> 971-982.</w:t>
      </w:r>
      <w:bookmarkEnd w:id="1"/>
    </w:p>
    <w:p w:rsidR="00040D69" w:rsidRDefault="00040D69" w:rsidP="00040D69">
      <w:pPr>
        <w:spacing w:line="480" w:lineRule="auto"/>
        <w:ind w:left="720" w:hanging="720"/>
        <w:jc w:val="both"/>
        <w:rPr>
          <w:noProof/>
          <w:color w:val="000000"/>
        </w:rPr>
      </w:pPr>
      <w:bookmarkStart w:id="2" w:name="_ENREF_3"/>
      <w:r w:rsidRPr="00040D69">
        <w:rPr>
          <w:b/>
          <w:noProof/>
          <w:color w:val="000000"/>
        </w:rPr>
        <w:t xml:space="preserve">Hollis S, Campbell F </w:t>
      </w:r>
      <w:r>
        <w:rPr>
          <w:noProof/>
          <w:color w:val="000000"/>
        </w:rPr>
        <w:t xml:space="preserve">1999. What is meant by intention to treat analysis? Survey of published randomised controlled trials. </w:t>
      </w:r>
      <w:r w:rsidRPr="00040D69">
        <w:rPr>
          <w:i/>
          <w:noProof/>
          <w:color w:val="000000"/>
        </w:rPr>
        <w:t>British Medical Journal</w:t>
      </w:r>
      <w:r w:rsidRPr="00040D69">
        <w:rPr>
          <w:b/>
          <w:noProof/>
          <w:color w:val="000000"/>
        </w:rPr>
        <w:t>,</w:t>
      </w:r>
      <w:r>
        <w:rPr>
          <w:noProof/>
          <w:color w:val="000000"/>
        </w:rPr>
        <w:t xml:space="preserve"> 670-674.</w:t>
      </w:r>
      <w:bookmarkEnd w:id="2"/>
    </w:p>
    <w:p w:rsidR="00040D69" w:rsidRDefault="00040D69" w:rsidP="00040D69">
      <w:pPr>
        <w:spacing w:line="480" w:lineRule="auto"/>
        <w:ind w:left="720" w:hanging="720"/>
        <w:jc w:val="both"/>
        <w:rPr>
          <w:noProof/>
          <w:color w:val="000000"/>
        </w:rPr>
      </w:pPr>
      <w:bookmarkStart w:id="3" w:name="_ENREF_4"/>
      <w:r w:rsidRPr="00040D69">
        <w:rPr>
          <w:b/>
          <w:noProof/>
          <w:color w:val="000000"/>
        </w:rPr>
        <w:t xml:space="preserve">Jacobson NS, Truax P </w:t>
      </w:r>
      <w:r>
        <w:rPr>
          <w:noProof/>
          <w:color w:val="000000"/>
        </w:rPr>
        <w:t xml:space="preserve">1991. Clinical significance: A statistical approach to define meaningful change in psychotherapy research. </w:t>
      </w:r>
      <w:r w:rsidRPr="00040D69">
        <w:rPr>
          <w:i/>
          <w:noProof/>
          <w:color w:val="000000"/>
        </w:rPr>
        <w:t>Journal of Consulting and Clinical Psychology</w:t>
      </w:r>
      <w:r>
        <w:rPr>
          <w:noProof/>
          <w:color w:val="000000"/>
        </w:rPr>
        <w:t xml:space="preserve"> </w:t>
      </w:r>
      <w:r w:rsidRPr="00040D69">
        <w:rPr>
          <w:b/>
          <w:noProof/>
          <w:color w:val="000000"/>
        </w:rPr>
        <w:t>59,</w:t>
      </w:r>
      <w:r>
        <w:rPr>
          <w:noProof/>
          <w:color w:val="000000"/>
        </w:rPr>
        <w:t xml:space="preserve"> 12-19.</w:t>
      </w:r>
      <w:bookmarkEnd w:id="3"/>
    </w:p>
    <w:p w:rsidR="00040D69" w:rsidRDefault="00040D69" w:rsidP="00040D69">
      <w:pPr>
        <w:spacing w:line="480" w:lineRule="auto"/>
        <w:ind w:left="720" w:hanging="720"/>
        <w:jc w:val="both"/>
        <w:rPr>
          <w:noProof/>
          <w:color w:val="000000"/>
        </w:rPr>
      </w:pPr>
      <w:bookmarkStart w:id="4" w:name="_ENREF_5"/>
      <w:r w:rsidRPr="00040D69">
        <w:rPr>
          <w:b/>
          <w:noProof/>
          <w:color w:val="000000"/>
        </w:rPr>
        <w:t xml:space="preserve">Jakobsen JC, Hansen JL, Simonsen S, Simonsen E, Gluud C </w:t>
      </w:r>
      <w:r>
        <w:rPr>
          <w:noProof/>
          <w:color w:val="000000"/>
        </w:rPr>
        <w:t xml:space="preserve">2012. Effects of cognitive therapy versus interpersonal psychotherapy in patients with major depressive disorder: a systematic review of randomized clinical trials with meta-analyses and trial sequential analyses. </w:t>
      </w:r>
      <w:r w:rsidRPr="00040D69">
        <w:rPr>
          <w:i/>
          <w:noProof/>
          <w:color w:val="000000"/>
        </w:rPr>
        <w:t>Psychological Medicine</w:t>
      </w:r>
      <w:r>
        <w:rPr>
          <w:noProof/>
          <w:color w:val="000000"/>
        </w:rPr>
        <w:t xml:space="preserve"> </w:t>
      </w:r>
      <w:r w:rsidRPr="00040D69">
        <w:rPr>
          <w:b/>
          <w:noProof/>
          <w:color w:val="000000"/>
        </w:rPr>
        <w:t>42,</w:t>
      </w:r>
      <w:r>
        <w:rPr>
          <w:noProof/>
          <w:color w:val="000000"/>
        </w:rPr>
        <w:t xml:space="preserve"> 1343-1357.</w:t>
      </w:r>
      <w:bookmarkEnd w:id="4"/>
    </w:p>
    <w:p w:rsidR="00040D69" w:rsidRDefault="00040D69" w:rsidP="00040D69">
      <w:pPr>
        <w:spacing w:line="480" w:lineRule="auto"/>
        <w:ind w:left="720" w:hanging="720"/>
        <w:jc w:val="both"/>
        <w:rPr>
          <w:noProof/>
          <w:color w:val="000000"/>
        </w:rPr>
      </w:pPr>
      <w:bookmarkStart w:id="5" w:name="_ENREF_6"/>
      <w:r w:rsidRPr="00040D69">
        <w:rPr>
          <w:b/>
          <w:noProof/>
          <w:color w:val="000000"/>
        </w:rPr>
        <w:t xml:space="preserve">Luty SE, Carter JD, McKenzie JM, Rae AM, Frampton CMA, Mulder RT, Joyce PR </w:t>
      </w:r>
      <w:r>
        <w:rPr>
          <w:noProof/>
          <w:color w:val="000000"/>
        </w:rPr>
        <w:t xml:space="preserve">2007. Randomised controlled trial of interpersonal psychotherapy and cognitive-behavioural therapy for depression. </w:t>
      </w:r>
      <w:r w:rsidRPr="00040D69">
        <w:rPr>
          <w:i/>
          <w:noProof/>
          <w:color w:val="000000"/>
        </w:rPr>
        <w:t>British Journal of Psychiatry</w:t>
      </w:r>
      <w:r>
        <w:rPr>
          <w:noProof/>
          <w:color w:val="000000"/>
        </w:rPr>
        <w:t xml:space="preserve"> </w:t>
      </w:r>
      <w:r w:rsidRPr="00040D69">
        <w:rPr>
          <w:b/>
          <w:noProof/>
          <w:color w:val="000000"/>
        </w:rPr>
        <w:t>190,</w:t>
      </w:r>
      <w:r>
        <w:rPr>
          <w:noProof/>
          <w:color w:val="000000"/>
        </w:rPr>
        <w:t xml:space="preserve"> 496-502.</w:t>
      </w:r>
      <w:bookmarkEnd w:id="5"/>
    </w:p>
    <w:p w:rsidR="00040D69" w:rsidRDefault="00040D69" w:rsidP="00040D69">
      <w:pPr>
        <w:spacing w:line="480" w:lineRule="auto"/>
        <w:ind w:left="720" w:hanging="720"/>
        <w:jc w:val="both"/>
        <w:rPr>
          <w:noProof/>
          <w:color w:val="000000"/>
        </w:rPr>
      </w:pPr>
      <w:bookmarkStart w:id="6" w:name="_ENREF_7"/>
      <w:r w:rsidRPr="00040D69">
        <w:rPr>
          <w:b/>
          <w:noProof/>
          <w:color w:val="000000"/>
        </w:rPr>
        <w:t xml:space="preserve">Moher D, Hopewell S, Schulz KF, Montori V, Gotzsche PC, Deveraux PJ, Elbourne D, Egger M, Altman DG </w:t>
      </w:r>
      <w:r>
        <w:rPr>
          <w:noProof/>
          <w:color w:val="000000"/>
        </w:rPr>
        <w:t xml:space="preserve">2010. Research Methods &amp; Reporting: CONSORT 2010 </w:t>
      </w:r>
      <w:r>
        <w:rPr>
          <w:noProof/>
          <w:color w:val="000000"/>
        </w:rPr>
        <w:lastRenderedPageBreak/>
        <w:t xml:space="preserve">Explanation and Elaboration: Updated guidelines for reporting parallel group ranomised trials. </w:t>
      </w:r>
      <w:r w:rsidRPr="00040D69">
        <w:rPr>
          <w:i/>
          <w:noProof/>
          <w:color w:val="000000"/>
        </w:rPr>
        <w:t>BMJ (Clinical Research Ed.)</w:t>
      </w:r>
      <w:r>
        <w:rPr>
          <w:noProof/>
          <w:color w:val="000000"/>
        </w:rPr>
        <w:t xml:space="preserve"> </w:t>
      </w:r>
      <w:r w:rsidRPr="00040D69">
        <w:rPr>
          <w:b/>
          <w:noProof/>
          <w:color w:val="000000"/>
        </w:rPr>
        <w:t>340,</w:t>
      </w:r>
      <w:r>
        <w:rPr>
          <w:noProof/>
          <w:color w:val="000000"/>
        </w:rPr>
        <w:t xml:space="preserve"> c869.</w:t>
      </w:r>
      <w:bookmarkEnd w:id="6"/>
    </w:p>
    <w:p w:rsidR="00040D69" w:rsidRDefault="00040D69" w:rsidP="00040D69">
      <w:pPr>
        <w:spacing w:line="480" w:lineRule="auto"/>
        <w:ind w:left="720" w:hanging="720"/>
        <w:jc w:val="both"/>
        <w:rPr>
          <w:noProof/>
          <w:color w:val="000000"/>
        </w:rPr>
      </w:pPr>
      <w:bookmarkStart w:id="7" w:name="_ENREF_8"/>
      <w:r w:rsidRPr="00040D69">
        <w:rPr>
          <w:b/>
          <w:noProof/>
          <w:color w:val="000000"/>
        </w:rPr>
        <w:t xml:space="preserve">Moher D, Schulz KF, Altman DG </w:t>
      </w:r>
      <w:r>
        <w:rPr>
          <w:noProof/>
          <w:color w:val="000000"/>
        </w:rPr>
        <w:t xml:space="preserve">2001. The CONSORT statement: revised recommendations for improving the quality of reports of parallel-group randomised trials. </w:t>
      </w:r>
      <w:r w:rsidRPr="00040D69">
        <w:rPr>
          <w:i/>
          <w:noProof/>
          <w:color w:val="000000"/>
        </w:rPr>
        <w:t>The Lancet</w:t>
      </w:r>
      <w:r>
        <w:rPr>
          <w:noProof/>
          <w:color w:val="000000"/>
        </w:rPr>
        <w:t xml:space="preserve"> </w:t>
      </w:r>
      <w:r w:rsidRPr="00040D69">
        <w:rPr>
          <w:b/>
          <w:noProof/>
          <w:color w:val="000000"/>
        </w:rPr>
        <w:t>357,</w:t>
      </w:r>
      <w:r>
        <w:rPr>
          <w:noProof/>
          <w:color w:val="000000"/>
        </w:rPr>
        <w:t xml:space="preserve"> 1191-1194.</w:t>
      </w:r>
      <w:bookmarkEnd w:id="7"/>
    </w:p>
    <w:p w:rsidR="00040D69" w:rsidRDefault="00040D69" w:rsidP="00040D69">
      <w:pPr>
        <w:spacing w:line="480" w:lineRule="auto"/>
        <w:ind w:left="720" w:hanging="720"/>
        <w:jc w:val="both"/>
        <w:rPr>
          <w:noProof/>
          <w:color w:val="000000"/>
        </w:rPr>
      </w:pPr>
      <w:bookmarkStart w:id="8" w:name="_ENREF_9"/>
      <w:r w:rsidRPr="00040D69">
        <w:rPr>
          <w:b/>
          <w:noProof/>
          <w:color w:val="000000"/>
        </w:rPr>
        <w:t xml:space="preserve">Quilty LC, McBride C, Bagby RM </w:t>
      </w:r>
      <w:r>
        <w:rPr>
          <w:noProof/>
          <w:color w:val="000000"/>
        </w:rPr>
        <w:t xml:space="preserve">2008. Evidence for the cognitive mediational model of cognitive behavioural therapy for depression. </w:t>
      </w:r>
      <w:r w:rsidRPr="00040D69">
        <w:rPr>
          <w:i/>
          <w:noProof/>
          <w:color w:val="000000"/>
        </w:rPr>
        <w:t>Psychological Medicine</w:t>
      </w:r>
      <w:r>
        <w:rPr>
          <w:noProof/>
          <w:color w:val="000000"/>
        </w:rPr>
        <w:t xml:space="preserve"> </w:t>
      </w:r>
      <w:r w:rsidRPr="00040D69">
        <w:rPr>
          <w:b/>
          <w:noProof/>
          <w:color w:val="000000"/>
        </w:rPr>
        <w:t>38,</w:t>
      </w:r>
      <w:r>
        <w:rPr>
          <w:noProof/>
          <w:color w:val="000000"/>
        </w:rPr>
        <w:t xml:space="preserve"> 1531-1541.</w:t>
      </w:r>
      <w:bookmarkEnd w:id="8"/>
    </w:p>
    <w:p w:rsidR="00040D69" w:rsidRDefault="00040D69" w:rsidP="00040D69">
      <w:pPr>
        <w:spacing w:line="480" w:lineRule="auto"/>
        <w:ind w:left="720" w:hanging="720"/>
        <w:jc w:val="both"/>
        <w:rPr>
          <w:noProof/>
          <w:color w:val="000000"/>
        </w:rPr>
      </w:pPr>
      <w:bookmarkStart w:id="9" w:name="_ENREF_10"/>
      <w:r w:rsidRPr="00040D69">
        <w:rPr>
          <w:b/>
          <w:noProof/>
          <w:color w:val="000000"/>
        </w:rPr>
        <w:t xml:space="preserve">Wallace BC, Daharbreh IJ, Trikalinos TA, Lau J, Trow P, Schmid CH </w:t>
      </w:r>
      <w:r>
        <w:rPr>
          <w:noProof/>
          <w:color w:val="000000"/>
        </w:rPr>
        <w:t xml:space="preserve">2012. Closing the Gap between Methodologists and End-Users: R as a Computational Back-End. </w:t>
      </w:r>
      <w:r w:rsidRPr="00040D69">
        <w:rPr>
          <w:i/>
          <w:noProof/>
          <w:color w:val="000000"/>
        </w:rPr>
        <w:t>Journal of Statistical Software</w:t>
      </w:r>
      <w:r>
        <w:rPr>
          <w:noProof/>
          <w:color w:val="000000"/>
        </w:rPr>
        <w:t xml:space="preserve"> </w:t>
      </w:r>
      <w:r w:rsidRPr="00040D69">
        <w:rPr>
          <w:b/>
          <w:noProof/>
          <w:color w:val="000000"/>
        </w:rPr>
        <w:t>49</w:t>
      </w:r>
      <w:r>
        <w:rPr>
          <w:noProof/>
          <w:color w:val="000000"/>
        </w:rPr>
        <w:t>.</w:t>
      </w:r>
      <w:bookmarkEnd w:id="9"/>
    </w:p>
    <w:p w:rsidR="00040D69" w:rsidRDefault="00040D69" w:rsidP="00040D69">
      <w:pPr>
        <w:jc w:val="both"/>
        <w:rPr>
          <w:b/>
          <w:noProof/>
          <w:color w:val="000000"/>
        </w:rPr>
      </w:pPr>
    </w:p>
    <w:p w:rsidR="00300E9A" w:rsidRDefault="00B06BF6" w:rsidP="00F725DD">
      <w:pPr>
        <w:spacing w:line="480" w:lineRule="auto"/>
        <w:jc w:val="both"/>
        <w:rPr>
          <w:color w:val="000000"/>
        </w:rPr>
        <w:sectPr w:rsidR="00300E9A" w:rsidSect="00300E9A">
          <w:headerReference w:type="default" r:id="rId8"/>
          <w:pgSz w:w="11906" w:h="16838"/>
          <w:pgMar w:top="1418" w:right="1418" w:bottom="1418" w:left="1418" w:header="709" w:footer="709" w:gutter="0"/>
          <w:cols w:space="708"/>
          <w:docGrid w:linePitch="360"/>
        </w:sectPr>
      </w:pPr>
      <w:r>
        <w:rPr>
          <w:color w:val="000000"/>
        </w:rPr>
        <w:fldChar w:fldCharType="end"/>
      </w:r>
    </w:p>
    <w:p w:rsidR="00443E8A" w:rsidRDefault="00443E8A" w:rsidP="00443E8A">
      <w:pPr>
        <w:spacing w:line="480" w:lineRule="auto"/>
        <w:jc w:val="both"/>
        <w:rPr>
          <w:b/>
          <w:bCs/>
        </w:rPr>
      </w:pPr>
      <w:r>
        <w:rPr>
          <w:b/>
          <w:bCs/>
        </w:rPr>
        <w:lastRenderedPageBreak/>
        <w:t>DATA SUPPLEMENT</w:t>
      </w:r>
      <w:r w:rsidRPr="00D74EA6">
        <w:rPr>
          <w:b/>
          <w:bCs/>
        </w:rPr>
        <w:t xml:space="preserve"> I</w:t>
      </w:r>
      <w:r>
        <w:rPr>
          <w:b/>
          <w:bCs/>
        </w:rPr>
        <w:t>I:</w:t>
      </w:r>
      <w:r w:rsidRPr="00D74EA6">
        <w:rPr>
          <w:b/>
          <w:bCs/>
        </w:rPr>
        <w:t xml:space="preserve"> </w:t>
      </w:r>
    </w:p>
    <w:p w:rsidR="00443E8A" w:rsidRPr="00986664" w:rsidRDefault="00443E8A" w:rsidP="00443E8A">
      <w:pPr>
        <w:spacing w:line="480" w:lineRule="auto"/>
        <w:jc w:val="both"/>
        <w:rPr>
          <w:rFonts w:eastAsia="TimesNewRoman"/>
          <w:color w:val="000000"/>
        </w:rPr>
      </w:pPr>
      <w:r w:rsidRPr="00D74EA6">
        <w:rPr>
          <w:bCs/>
        </w:rPr>
        <w:t xml:space="preserve">Final </w:t>
      </w:r>
      <w:r>
        <w:rPr>
          <w:bCs/>
        </w:rPr>
        <w:t xml:space="preserve">BDI-II </w:t>
      </w:r>
      <w:r w:rsidRPr="00D74EA6">
        <w:rPr>
          <w:bCs/>
        </w:rPr>
        <w:t xml:space="preserve">model </w:t>
      </w:r>
      <w:r>
        <w:rPr>
          <w:bCs/>
        </w:rPr>
        <w:t>in</w:t>
      </w:r>
      <w:r w:rsidRPr="00D74EA6">
        <w:rPr>
          <w:bCs/>
        </w:rPr>
        <w:t xml:space="preserve"> the Treatment Phase (0-7 months) controlled for potential confounders</w:t>
      </w:r>
      <w:r>
        <w:rPr>
          <w:bCs/>
        </w:rPr>
        <w:t>.</w:t>
      </w:r>
    </w:p>
    <w:p w:rsidR="00443E8A" w:rsidRPr="00B23271" w:rsidRDefault="00443E8A" w:rsidP="00443E8A">
      <w:pPr>
        <w:rPr>
          <w:color w:val="000000"/>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0"/>
        <w:gridCol w:w="2265"/>
        <w:gridCol w:w="852"/>
        <w:gridCol w:w="1563"/>
        <w:gridCol w:w="852"/>
        <w:gridCol w:w="1030"/>
        <w:gridCol w:w="840"/>
        <w:gridCol w:w="1534"/>
      </w:tblGrid>
      <w:tr w:rsidR="00443E8A" w:rsidRPr="00E86DA6" w:rsidTr="00BB2FA6">
        <w:trPr>
          <w:trHeight w:val="270"/>
        </w:trPr>
        <w:tc>
          <w:tcPr>
            <w:tcW w:w="9356" w:type="dxa"/>
            <w:gridSpan w:val="8"/>
            <w:tcBorders>
              <w:left w:val="nil"/>
              <w:bottom w:val="single" w:sz="6" w:space="0" w:color="auto"/>
              <w:right w:val="nil"/>
            </w:tcBorders>
            <w:shd w:val="clear" w:color="auto" w:fill="595959"/>
          </w:tcPr>
          <w:p w:rsidR="00443E8A" w:rsidRPr="00E86DA6" w:rsidRDefault="00443E8A" w:rsidP="00BB2FA6">
            <w:pPr>
              <w:spacing w:line="276" w:lineRule="auto"/>
              <w:rPr>
                <w:rFonts w:ascii="Arial" w:hAnsi="Arial" w:cs="Arial"/>
                <w:b/>
                <w:bCs/>
                <w:color w:val="FFFFFF"/>
                <w:sz w:val="18"/>
                <w:szCs w:val="18"/>
              </w:rPr>
            </w:pPr>
            <w:r w:rsidRPr="00E86DA6">
              <w:rPr>
                <w:rFonts w:ascii="Arial" w:hAnsi="Arial" w:cs="Arial"/>
                <w:b/>
                <w:bCs/>
                <w:color w:val="FFFFFF"/>
                <w:sz w:val="18"/>
                <w:szCs w:val="18"/>
              </w:rPr>
              <w:t>Data Supplement I</w:t>
            </w:r>
            <w:r>
              <w:rPr>
                <w:rFonts w:ascii="Arial" w:hAnsi="Arial" w:cs="Arial"/>
                <w:b/>
                <w:bCs/>
                <w:color w:val="FFFFFF"/>
                <w:sz w:val="18"/>
                <w:szCs w:val="18"/>
              </w:rPr>
              <w:t>I:</w:t>
            </w:r>
            <w:r w:rsidRPr="00E86DA6">
              <w:rPr>
                <w:rFonts w:ascii="Arial" w:hAnsi="Arial" w:cs="Arial"/>
                <w:b/>
                <w:bCs/>
                <w:color w:val="FFFFFF"/>
                <w:sz w:val="18"/>
                <w:szCs w:val="18"/>
              </w:rPr>
              <w:t xml:space="preserve"> </w:t>
            </w:r>
            <w:r w:rsidRPr="00E86DA6">
              <w:rPr>
                <w:rFonts w:ascii="Arial" w:hAnsi="Arial" w:cs="Arial"/>
                <w:bCs/>
                <w:color w:val="FFFFFF"/>
                <w:sz w:val="18"/>
                <w:szCs w:val="18"/>
              </w:rPr>
              <w:t xml:space="preserve">Final </w:t>
            </w:r>
            <w:r>
              <w:rPr>
                <w:rFonts w:ascii="Arial" w:hAnsi="Arial" w:cs="Arial"/>
                <w:bCs/>
                <w:color w:val="FFFFFF"/>
                <w:sz w:val="18"/>
                <w:szCs w:val="18"/>
              </w:rPr>
              <w:t xml:space="preserve">BDI-II </w:t>
            </w:r>
            <w:r w:rsidRPr="00E86DA6">
              <w:rPr>
                <w:rFonts w:ascii="Arial" w:hAnsi="Arial" w:cs="Arial"/>
                <w:bCs/>
                <w:color w:val="FFFFFF"/>
                <w:sz w:val="18"/>
                <w:szCs w:val="18"/>
              </w:rPr>
              <w:t xml:space="preserve">model </w:t>
            </w:r>
            <w:r>
              <w:rPr>
                <w:rFonts w:ascii="Arial" w:hAnsi="Arial" w:cs="Arial"/>
                <w:bCs/>
                <w:color w:val="FFFFFF"/>
                <w:sz w:val="18"/>
                <w:szCs w:val="18"/>
              </w:rPr>
              <w:t>in</w:t>
            </w:r>
            <w:r w:rsidRPr="00E86DA6">
              <w:rPr>
                <w:rFonts w:ascii="Arial" w:hAnsi="Arial" w:cs="Arial"/>
                <w:bCs/>
                <w:color w:val="FFFFFF"/>
                <w:sz w:val="18"/>
                <w:szCs w:val="18"/>
              </w:rPr>
              <w:t xml:space="preserve"> the Treatment Phase (0-7 months) controlled for potential confounders</w:t>
            </w:r>
            <w:r>
              <w:rPr>
                <w:rFonts w:ascii="Arial" w:hAnsi="Arial" w:cs="Arial"/>
                <w:bCs/>
                <w:color w:val="FFFFFF"/>
                <w:sz w:val="18"/>
                <w:szCs w:val="18"/>
              </w:rPr>
              <w:t>.</w:t>
            </w:r>
          </w:p>
        </w:tc>
      </w:tr>
      <w:tr w:rsidR="00443E8A" w:rsidRPr="00E86DA6" w:rsidTr="00BB2FA6">
        <w:trPr>
          <w:trHeight w:val="255"/>
        </w:trPr>
        <w:tc>
          <w:tcPr>
            <w:tcW w:w="2685" w:type="dxa"/>
            <w:gridSpan w:val="2"/>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rPr>
                <w:rFonts w:ascii="Arial" w:hAnsi="Arial" w:cs="Arial"/>
                <w:b/>
                <w:bCs/>
                <w:color w:val="000000"/>
                <w:sz w:val="18"/>
                <w:szCs w:val="18"/>
              </w:rPr>
            </w:pPr>
          </w:p>
        </w:tc>
        <w:tc>
          <w:tcPr>
            <w:tcW w:w="852" w:type="dxa"/>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jc w:val="center"/>
              <w:rPr>
                <w:rFonts w:ascii="Arial" w:hAnsi="Arial" w:cs="Arial"/>
                <w:b/>
                <w:color w:val="000000"/>
                <w:sz w:val="18"/>
                <w:szCs w:val="18"/>
              </w:rPr>
            </w:pPr>
            <w:r w:rsidRPr="00E86DA6">
              <w:rPr>
                <w:rFonts w:ascii="Arial" w:hAnsi="Arial" w:cs="Arial"/>
                <w:b/>
                <w:color w:val="000000"/>
                <w:sz w:val="18"/>
                <w:szCs w:val="18"/>
              </w:rPr>
              <w:t>B</w:t>
            </w:r>
          </w:p>
        </w:tc>
        <w:tc>
          <w:tcPr>
            <w:tcW w:w="1563" w:type="dxa"/>
            <w:tcBorders>
              <w:left w:val="nil"/>
              <w:bottom w:val="single" w:sz="6" w:space="0" w:color="auto"/>
              <w:right w:val="nil"/>
            </w:tcBorders>
            <w:shd w:val="clear" w:color="auto" w:fill="BFBFBF" w:themeFill="background1" w:themeFillShade="BF"/>
          </w:tcPr>
          <w:p w:rsidR="00443E8A" w:rsidRPr="00E86DA6" w:rsidRDefault="00443E8A" w:rsidP="00BB2FA6">
            <w:pPr>
              <w:pStyle w:val="Geenafstand1"/>
              <w:spacing w:line="280" w:lineRule="exact"/>
              <w:jc w:val="center"/>
              <w:rPr>
                <w:rFonts w:ascii="Arial" w:hAnsi="Arial" w:cs="Arial"/>
                <w:b/>
                <w:color w:val="000000"/>
                <w:sz w:val="18"/>
                <w:szCs w:val="18"/>
                <w:lang w:val="en-GB"/>
              </w:rPr>
            </w:pPr>
            <w:r w:rsidRPr="00E86DA6">
              <w:rPr>
                <w:rFonts w:ascii="Arial" w:hAnsi="Arial" w:cs="Arial"/>
                <w:b/>
                <w:color w:val="000000"/>
                <w:sz w:val="18"/>
                <w:szCs w:val="18"/>
                <w:lang w:val="en-GB"/>
              </w:rPr>
              <w:t>95% CI</w:t>
            </w:r>
          </w:p>
        </w:tc>
        <w:tc>
          <w:tcPr>
            <w:tcW w:w="852" w:type="dxa"/>
            <w:tcBorders>
              <w:left w:val="nil"/>
              <w:bottom w:val="single" w:sz="6" w:space="0" w:color="auto"/>
              <w:right w:val="nil"/>
            </w:tcBorders>
            <w:shd w:val="clear" w:color="auto" w:fill="BFBFBF" w:themeFill="background1" w:themeFillShade="BF"/>
          </w:tcPr>
          <w:p w:rsidR="00443E8A" w:rsidRPr="00E86DA6" w:rsidRDefault="00443E8A" w:rsidP="00BB2FA6">
            <w:pPr>
              <w:pStyle w:val="Geenafstand1"/>
              <w:spacing w:line="280" w:lineRule="exact"/>
              <w:jc w:val="center"/>
              <w:rPr>
                <w:rFonts w:ascii="Arial" w:hAnsi="Arial" w:cs="Arial"/>
                <w:b/>
                <w:i/>
                <w:color w:val="000000"/>
                <w:sz w:val="18"/>
                <w:szCs w:val="18"/>
                <w:lang w:val="en-GB"/>
              </w:rPr>
            </w:pPr>
            <w:r w:rsidRPr="00E86DA6">
              <w:rPr>
                <w:rFonts w:ascii="Arial" w:hAnsi="Arial" w:cs="Arial"/>
                <w:b/>
                <w:i/>
                <w:color w:val="000000"/>
                <w:sz w:val="18"/>
                <w:szCs w:val="18"/>
                <w:lang w:val="en-GB"/>
              </w:rPr>
              <w:t>F</w:t>
            </w:r>
          </w:p>
        </w:tc>
        <w:tc>
          <w:tcPr>
            <w:tcW w:w="1030" w:type="dxa"/>
            <w:tcBorders>
              <w:left w:val="nil"/>
              <w:bottom w:val="single" w:sz="6" w:space="0" w:color="auto"/>
              <w:right w:val="nil"/>
            </w:tcBorders>
            <w:shd w:val="clear" w:color="auto" w:fill="BFBFBF" w:themeFill="background1" w:themeFillShade="BF"/>
          </w:tcPr>
          <w:p w:rsidR="00443E8A" w:rsidRPr="00E86DA6" w:rsidRDefault="00443E8A" w:rsidP="00BB2FA6">
            <w:pPr>
              <w:pStyle w:val="Geenafstand1"/>
              <w:spacing w:line="280" w:lineRule="exact"/>
              <w:jc w:val="center"/>
              <w:rPr>
                <w:rFonts w:ascii="Arial" w:hAnsi="Arial" w:cs="Arial"/>
                <w:b/>
                <w:color w:val="000000"/>
                <w:sz w:val="18"/>
                <w:szCs w:val="18"/>
                <w:lang w:val="en-GB"/>
              </w:rPr>
            </w:pPr>
            <w:r w:rsidRPr="00E86DA6">
              <w:rPr>
                <w:rFonts w:ascii="Arial" w:hAnsi="Arial" w:cs="Arial"/>
                <w:b/>
                <w:color w:val="000000"/>
                <w:sz w:val="18"/>
                <w:szCs w:val="18"/>
                <w:lang w:val="en-GB"/>
              </w:rPr>
              <w:t>d.f.</w:t>
            </w:r>
          </w:p>
        </w:tc>
        <w:tc>
          <w:tcPr>
            <w:tcW w:w="840" w:type="dxa"/>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jc w:val="center"/>
              <w:rPr>
                <w:rFonts w:ascii="Arial" w:hAnsi="Arial" w:cs="Arial"/>
                <w:b/>
                <w:color w:val="000000"/>
                <w:sz w:val="18"/>
                <w:szCs w:val="18"/>
              </w:rPr>
            </w:pPr>
            <w:r w:rsidRPr="00E86DA6">
              <w:rPr>
                <w:rFonts w:ascii="Arial" w:hAnsi="Arial" w:cs="Arial"/>
                <w:b/>
                <w:i/>
                <w:color w:val="000000"/>
                <w:sz w:val="18"/>
                <w:szCs w:val="18"/>
              </w:rPr>
              <w:t>r</w:t>
            </w:r>
            <w:r w:rsidRPr="00E86DA6">
              <w:rPr>
                <w:rFonts w:ascii="Arial" w:hAnsi="Arial" w:cs="Arial"/>
                <w:b/>
                <w:color w:val="000000"/>
                <w:sz w:val="18"/>
                <w:szCs w:val="18"/>
              </w:rPr>
              <w:t>*</w:t>
            </w:r>
          </w:p>
        </w:tc>
        <w:tc>
          <w:tcPr>
            <w:tcW w:w="1534" w:type="dxa"/>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jc w:val="center"/>
              <w:rPr>
                <w:rFonts w:ascii="Arial" w:hAnsi="Arial" w:cs="Arial"/>
                <w:b/>
                <w:i/>
                <w:color w:val="000000"/>
                <w:sz w:val="18"/>
                <w:szCs w:val="18"/>
              </w:rPr>
            </w:pPr>
            <w:r w:rsidRPr="00E86DA6">
              <w:rPr>
                <w:rFonts w:ascii="Arial" w:hAnsi="Arial" w:cs="Arial"/>
                <w:b/>
                <w:i/>
                <w:color w:val="000000"/>
                <w:sz w:val="18"/>
                <w:szCs w:val="18"/>
              </w:rPr>
              <w:t>p</w:t>
            </w:r>
          </w:p>
        </w:tc>
      </w:tr>
      <w:tr w:rsidR="00443E8A" w:rsidRPr="00E86DA6" w:rsidTr="00BB2FA6">
        <w:trPr>
          <w:trHeight w:val="255"/>
        </w:trPr>
        <w:tc>
          <w:tcPr>
            <w:tcW w:w="2685" w:type="dxa"/>
            <w:gridSpan w:val="2"/>
            <w:tcBorders>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Final Model</w:t>
            </w:r>
            <w:r w:rsidRPr="00E86DA6">
              <w:rPr>
                <w:color w:val="000000"/>
                <w:sz w:val="16"/>
                <w:szCs w:val="16"/>
              </w:rPr>
              <w:t> </w:t>
            </w:r>
          </w:p>
        </w:tc>
        <w:tc>
          <w:tcPr>
            <w:tcW w:w="852"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63"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2"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bCs/>
                <w:i/>
                <w:iCs/>
                <w:color w:val="000000"/>
                <w:sz w:val="18"/>
                <w:szCs w:val="18"/>
              </w:rPr>
            </w:pPr>
          </w:p>
        </w:tc>
        <w:tc>
          <w:tcPr>
            <w:tcW w:w="1030"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p>
        </w:tc>
        <w:tc>
          <w:tcPr>
            <w:tcW w:w="840"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34"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i/>
                <w:iCs/>
                <w:color w:val="000000"/>
                <w:sz w:val="18"/>
                <w:szCs w:val="18"/>
              </w:rPr>
            </w:pP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2.59 – 2.83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37.59</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274</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0.35</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0.35</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0.28 – 0.43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88.74</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274</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0.49</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-0.17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6.30</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274</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0.15</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-0.02</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59.81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274</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0.42</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-0.25 – 0.23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274</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.94</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0.38</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274</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.54</w:t>
            </w:r>
          </w:p>
        </w:tc>
      </w:tr>
      <w:tr w:rsidR="00443E8A" w:rsidRPr="00E86DA6" w:rsidTr="00BB2FA6">
        <w:trPr>
          <w:trHeight w:val="255"/>
        </w:trPr>
        <w:tc>
          <w:tcPr>
            <w:tcW w:w="2685" w:type="dxa"/>
            <w:gridSpan w:val="2"/>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Sessions</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2.59 – 2.83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31.48</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0.32</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0.35</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0.28 – 0.43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86.81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0.49</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-0.17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6.19</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0.15</w:t>
            </w:r>
          </w:p>
        </w:tc>
        <w:tc>
          <w:tcPr>
            <w:tcW w:w="1534" w:type="dxa"/>
            <w:tcBorders>
              <w:top w:val="nil"/>
              <w:left w:val="nil"/>
              <w:bottom w:val="nil"/>
              <w:right w:val="nil"/>
            </w:tcBorders>
            <w:shd w:val="clear" w:color="auto" w:fill="auto"/>
          </w:tcPr>
          <w:p w:rsidR="00443E8A" w:rsidRPr="00E86DA6" w:rsidRDefault="00443E8A" w:rsidP="00BB2FA6">
            <w:pPr>
              <w:tabs>
                <w:tab w:val="left" w:pos="410"/>
              </w:tabs>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-0.02</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59.49</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0.42</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-0.25 – 0.23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.95</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0.36</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.55</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Number of sessions</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0.05</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0.12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1.55</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0.08</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.21</w:t>
            </w:r>
          </w:p>
        </w:tc>
      </w:tr>
      <w:tr w:rsidR="00443E8A" w:rsidRPr="00E86DA6" w:rsidTr="00BB2FA6">
        <w:trPr>
          <w:trHeight w:val="255"/>
        </w:trPr>
        <w:tc>
          <w:tcPr>
            <w:tcW w:w="2685" w:type="dxa"/>
            <w:gridSpan w:val="2"/>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Therapist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16.05</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9.88 – 22.22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15.64</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267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6.34</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4.77 – 7.91</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63.37</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267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-2.27</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-3.83 – -0.71</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8.19</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267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0.17</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-0.40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-0.56 – -0.36</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81.13</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267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0.48</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0.58</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-9.24 – 10.40</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267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0.06</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-0.14 – 0.26</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0.30</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267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.58</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Therapist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0.35</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267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color w:val="000000"/>
                <w:sz w:val="18"/>
                <w:szCs w:val="18"/>
              </w:rPr>
              <w:t xml:space="preserve">  .93</w:t>
            </w:r>
          </w:p>
        </w:tc>
      </w:tr>
      <w:tr w:rsidR="00443E8A" w:rsidRPr="00E86DA6" w:rsidTr="00BB2FA6">
        <w:trPr>
          <w:trHeight w:val="255"/>
        </w:trPr>
        <w:tc>
          <w:tcPr>
            <w:tcW w:w="2685" w:type="dxa"/>
            <w:gridSpan w:val="2"/>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b/>
                <w:bCs/>
                <w:color w:val="000000"/>
                <w:sz w:val="18"/>
                <w:szCs w:val="18"/>
              </w:rPr>
              <w:t>Employment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2.59 – 2.83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32.67</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271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0.33</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0.36</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0.29 – 0.43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92.81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0.51</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-0.09</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-0.16 – -0.01</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5.51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.02</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-0.03</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59.60</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0.42</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-0.24 – 0.24</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0.00</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.99</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.58</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Employment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0.25</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2.32</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0.09</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.13</w:t>
            </w:r>
          </w:p>
        </w:tc>
      </w:tr>
      <w:tr w:rsidR="00443E8A" w:rsidRPr="00E86DA6" w:rsidTr="00BB2FA6">
        <w:trPr>
          <w:trHeight w:val="255"/>
        </w:trPr>
        <w:tc>
          <w:tcPr>
            <w:tcW w:w="2685" w:type="dxa"/>
            <w:gridSpan w:val="2"/>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Gender</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2.69</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2.57 – 2.81</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31.25</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0.32</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0.35</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0.27 – 0.42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84.60</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0.49</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-0.09</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-0.17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5.80</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.02</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-0.02</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60.83</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0.43</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-0.24 –  0.24</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0.00</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.97</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0.39</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.53</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Gender</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0.09</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-0.06 – 0.25</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1.48</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0.07</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.23</w:t>
            </w:r>
          </w:p>
        </w:tc>
      </w:tr>
      <w:tr w:rsidR="00443E8A" w:rsidRPr="00E86DA6" w:rsidTr="00BB2FA6">
        <w:trPr>
          <w:trHeight w:val="270"/>
        </w:trPr>
        <w:tc>
          <w:tcPr>
            <w:tcW w:w="2685" w:type="dxa"/>
            <w:gridSpan w:val="2"/>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 xml:space="preserve">Partner </w:t>
            </w:r>
            <w:r w:rsidRPr="00E86DA6">
              <w:rPr>
                <w:color w:val="000000"/>
                <w:sz w:val="16"/>
                <w:szCs w:val="16"/>
              </w:rPr>
              <w:t> </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2.59 – 2.83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31.35</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0.32</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0.34</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0.28 – 0.43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88.58</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0.49</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lastRenderedPageBreak/>
              <w:t xml:space="preserve">- </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-0.17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6.27</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0.15</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.13</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-0.02</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60.27</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0.43</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-0.25 – 0.23</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0.01</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.93</w:t>
            </w:r>
          </w:p>
        </w:tc>
      </w:tr>
      <w:tr w:rsidR="00443E8A" w:rsidRPr="00E86DA6" w:rsidTr="00BB2FA6">
        <w:trPr>
          <w:trHeight w:val="255"/>
        </w:trPr>
        <w:tc>
          <w:tcPr>
            <w:tcW w:w="42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2"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3"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 – 0.02</w:t>
            </w:r>
          </w:p>
        </w:tc>
        <w:tc>
          <w:tcPr>
            <w:tcW w:w="852"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0.37</w:t>
            </w:r>
          </w:p>
        </w:tc>
        <w:tc>
          <w:tcPr>
            <w:tcW w:w="1030" w:type="dxa"/>
            <w:tcBorders>
              <w:top w:val="nil"/>
              <w:left w:val="nil"/>
              <w:bottom w:val="nil"/>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0.04</w:t>
            </w:r>
          </w:p>
        </w:tc>
        <w:tc>
          <w:tcPr>
            <w:tcW w:w="1534"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.54</w:t>
            </w:r>
          </w:p>
        </w:tc>
      </w:tr>
      <w:tr w:rsidR="00443E8A" w:rsidRPr="00E86DA6" w:rsidTr="00BB2FA6">
        <w:trPr>
          <w:trHeight w:val="270"/>
        </w:trPr>
        <w:tc>
          <w:tcPr>
            <w:tcW w:w="420" w:type="dxa"/>
            <w:tcBorders>
              <w:top w:val="nil"/>
              <w:left w:val="nil"/>
              <w:bottom w:val="single" w:sz="6" w:space="0" w:color="auto"/>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5" w:type="dxa"/>
            <w:tcBorders>
              <w:top w:val="nil"/>
              <w:left w:val="nil"/>
              <w:bottom w:val="single" w:sz="6" w:space="0" w:color="auto"/>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Partner</w:t>
            </w:r>
          </w:p>
        </w:tc>
        <w:tc>
          <w:tcPr>
            <w:tcW w:w="852" w:type="dxa"/>
            <w:tcBorders>
              <w:top w:val="nil"/>
              <w:left w:val="nil"/>
              <w:bottom w:val="single" w:sz="6" w:space="0" w:color="auto"/>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0.02</w:t>
            </w:r>
          </w:p>
        </w:tc>
        <w:tc>
          <w:tcPr>
            <w:tcW w:w="1563" w:type="dxa"/>
            <w:tcBorders>
              <w:top w:val="nil"/>
              <w:left w:val="nil"/>
              <w:bottom w:val="single" w:sz="6" w:space="0" w:color="auto"/>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-0.12 – 0.17</w:t>
            </w:r>
          </w:p>
        </w:tc>
        <w:tc>
          <w:tcPr>
            <w:tcW w:w="852" w:type="dxa"/>
            <w:tcBorders>
              <w:top w:val="nil"/>
              <w:left w:val="nil"/>
              <w:bottom w:val="single" w:sz="6" w:space="0" w:color="auto"/>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0.08</w:t>
            </w:r>
          </w:p>
        </w:tc>
        <w:tc>
          <w:tcPr>
            <w:tcW w:w="1030" w:type="dxa"/>
            <w:tcBorders>
              <w:top w:val="nil"/>
              <w:left w:val="nil"/>
              <w:bottom w:val="single" w:sz="6" w:space="0" w:color="auto"/>
              <w:right w:val="nil"/>
            </w:tcBorders>
            <w:shd w:val="clear" w:color="auto" w:fill="auto"/>
          </w:tcPr>
          <w:p w:rsidR="00443E8A" w:rsidRPr="00E86DA6" w:rsidRDefault="00443E8A" w:rsidP="00BB2FA6">
            <w:pPr>
              <w:spacing w:line="280" w:lineRule="exact"/>
              <w:jc w:val="center"/>
              <w:rPr>
                <w:color w:val="000000"/>
              </w:rPr>
            </w:pPr>
            <w:r w:rsidRPr="00E86DA6">
              <w:rPr>
                <w:rFonts w:ascii="Arial" w:hAnsi="Arial" w:cs="Arial"/>
                <w:bCs/>
                <w:color w:val="000000"/>
                <w:sz w:val="18"/>
                <w:szCs w:val="18"/>
              </w:rPr>
              <w:t>273</w:t>
            </w:r>
          </w:p>
        </w:tc>
        <w:tc>
          <w:tcPr>
            <w:tcW w:w="840" w:type="dxa"/>
            <w:tcBorders>
              <w:top w:val="nil"/>
              <w:left w:val="nil"/>
              <w:bottom w:val="single" w:sz="6" w:space="0" w:color="auto"/>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0.02</w:t>
            </w:r>
          </w:p>
        </w:tc>
        <w:tc>
          <w:tcPr>
            <w:tcW w:w="1534" w:type="dxa"/>
            <w:tcBorders>
              <w:top w:val="nil"/>
              <w:left w:val="nil"/>
              <w:bottom w:val="single" w:sz="6" w:space="0" w:color="auto"/>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.78</w:t>
            </w:r>
          </w:p>
        </w:tc>
      </w:tr>
      <w:tr w:rsidR="00443E8A" w:rsidRPr="00E86DA6" w:rsidTr="00BB2FA6">
        <w:trPr>
          <w:trHeight w:val="270"/>
        </w:trPr>
        <w:tc>
          <w:tcPr>
            <w:tcW w:w="9356" w:type="dxa"/>
            <w:gridSpan w:val="8"/>
            <w:tcBorders>
              <w:left w:val="nil"/>
              <w:bottom w:val="single" w:sz="6" w:space="0" w:color="auto"/>
              <w:right w:val="nil"/>
            </w:tcBorders>
            <w:shd w:val="clear" w:color="auto" w:fill="BFBFBF" w:themeFill="background1" w:themeFillShade="BF"/>
          </w:tcPr>
          <w:p w:rsidR="00443E8A" w:rsidRPr="00D82834" w:rsidRDefault="00443E8A" w:rsidP="00BB2FA6">
            <w:pPr>
              <w:spacing w:before="40" w:line="276" w:lineRule="auto"/>
              <w:rPr>
                <w:rFonts w:ascii="Arial" w:hAnsi="Arial" w:cs="Arial"/>
                <w:color w:val="000000"/>
                <w:sz w:val="16"/>
                <w:szCs w:val="16"/>
              </w:rPr>
            </w:pPr>
            <w:r w:rsidRPr="00D82834">
              <w:rPr>
                <w:rFonts w:ascii="Arial" w:hAnsi="Arial" w:cs="Arial"/>
                <w:color w:val="000000"/>
                <w:sz w:val="16"/>
                <w:szCs w:val="16"/>
              </w:rPr>
              <w:t xml:space="preserve">Note: Mixed Models Gamma Regression with log-link on Beck Depression Inventory-II (BDI-II) + 1; Baseline Severity is standardised BDI-II score at baseline; Baseline Quality of Life is standardised EQ5D utility score at baseline; Condition is CT vs. IPT, centered at -.5 and .5 respectively; Time is the linear trend in weeks, with week = 0 at 7 months; Time effects represent change from baseline to 7 months, Condition main effects represent the difference between conditions at 7 months; * = Effect size </w:t>
            </w:r>
            <w:r w:rsidRPr="00D82834">
              <w:rPr>
                <w:rFonts w:ascii="Arial" w:hAnsi="Arial" w:cs="Arial"/>
                <w:i/>
                <w:color w:val="000000"/>
                <w:sz w:val="16"/>
                <w:szCs w:val="16"/>
              </w:rPr>
              <w:t>r</w:t>
            </w:r>
            <w:r w:rsidRPr="00D82834">
              <w:rPr>
                <w:rFonts w:ascii="Arial" w:hAnsi="Arial" w:cs="Arial"/>
                <w:color w:val="000000"/>
                <w:sz w:val="16"/>
                <w:szCs w:val="16"/>
              </w:rPr>
              <w:t xml:space="preserve"> =√(</w:t>
            </w:r>
            <w:r w:rsidRPr="00D82834">
              <w:rPr>
                <w:rFonts w:ascii="Arial" w:hAnsi="Arial" w:cs="Arial"/>
                <w:i/>
                <w:color w:val="000000"/>
                <w:sz w:val="16"/>
                <w:szCs w:val="16"/>
              </w:rPr>
              <w:t>F</w:t>
            </w:r>
            <w:r w:rsidRPr="00D82834">
              <w:rPr>
                <w:rFonts w:ascii="Arial" w:hAnsi="Arial" w:cs="Arial"/>
                <w:color w:val="000000"/>
                <w:sz w:val="16"/>
                <w:szCs w:val="16"/>
              </w:rPr>
              <w:t>/(</w:t>
            </w:r>
            <w:proofErr w:type="spellStart"/>
            <w:r w:rsidRPr="00D82834">
              <w:rPr>
                <w:rFonts w:ascii="Arial" w:hAnsi="Arial" w:cs="Arial"/>
                <w:i/>
                <w:color w:val="000000"/>
                <w:sz w:val="16"/>
                <w:szCs w:val="16"/>
              </w:rPr>
              <w:t>F</w:t>
            </w:r>
            <w:r w:rsidRPr="00D82834">
              <w:rPr>
                <w:rFonts w:ascii="Arial" w:hAnsi="Arial" w:cs="Arial"/>
                <w:color w:val="000000"/>
                <w:sz w:val="16"/>
                <w:szCs w:val="16"/>
              </w:rPr>
              <w:t>+d.f</w:t>
            </w:r>
            <w:proofErr w:type="spellEnd"/>
            <w:r w:rsidRPr="00D82834">
              <w:rPr>
                <w:rFonts w:ascii="Arial" w:hAnsi="Arial" w:cs="Arial"/>
                <w:color w:val="000000"/>
                <w:sz w:val="16"/>
                <w:szCs w:val="16"/>
              </w:rPr>
              <w:t>.)).</w:t>
            </w:r>
          </w:p>
        </w:tc>
      </w:tr>
    </w:tbl>
    <w:p w:rsidR="00443E8A" w:rsidRDefault="00443E8A" w:rsidP="00443E8A">
      <w:pPr>
        <w:spacing w:line="480" w:lineRule="auto"/>
        <w:jc w:val="both"/>
        <w:rPr>
          <w:b/>
          <w:bCs/>
        </w:rPr>
      </w:pPr>
    </w:p>
    <w:p w:rsidR="005954B7" w:rsidRDefault="005954B7">
      <w:pPr>
        <w:spacing w:after="200" w:line="276" w:lineRule="auto"/>
        <w:rPr>
          <w:b/>
          <w:bCs/>
        </w:rPr>
      </w:pPr>
      <w:r>
        <w:rPr>
          <w:b/>
          <w:bCs/>
        </w:rPr>
        <w:br w:type="page"/>
      </w:r>
    </w:p>
    <w:p w:rsidR="00443E8A" w:rsidRDefault="00443E8A" w:rsidP="00A34E39">
      <w:pPr>
        <w:spacing w:after="200" w:line="276" w:lineRule="auto"/>
        <w:rPr>
          <w:b/>
          <w:bCs/>
        </w:rPr>
      </w:pPr>
      <w:r>
        <w:rPr>
          <w:b/>
          <w:bCs/>
        </w:rPr>
        <w:lastRenderedPageBreak/>
        <w:t>DATA SUPPLEMENT III</w:t>
      </w:r>
      <w:r w:rsidRPr="00D74EA6">
        <w:rPr>
          <w:b/>
          <w:bCs/>
        </w:rPr>
        <w:t xml:space="preserve">: </w:t>
      </w:r>
    </w:p>
    <w:p w:rsidR="00443E8A" w:rsidRPr="00D74EA6" w:rsidRDefault="00443E8A" w:rsidP="00443E8A">
      <w:pPr>
        <w:spacing w:line="480" w:lineRule="auto"/>
        <w:jc w:val="both"/>
        <w:rPr>
          <w:bCs/>
        </w:rPr>
      </w:pPr>
      <w:r w:rsidRPr="00D74EA6">
        <w:rPr>
          <w:bCs/>
        </w:rPr>
        <w:t>Final</w:t>
      </w:r>
      <w:r>
        <w:rPr>
          <w:bCs/>
        </w:rPr>
        <w:t xml:space="preserve"> BDI-II</w:t>
      </w:r>
      <w:r w:rsidRPr="00D74EA6">
        <w:rPr>
          <w:bCs/>
        </w:rPr>
        <w:t xml:space="preserve"> model </w:t>
      </w:r>
      <w:r>
        <w:rPr>
          <w:bCs/>
        </w:rPr>
        <w:t>in</w:t>
      </w:r>
      <w:r w:rsidRPr="00D74EA6">
        <w:rPr>
          <w:bCs/>
        </w:rPr>
        <w:t xml:space="preserve"> the Trial FU Phase (7-12 months) controlled for potential confounders.</w:t>
      </w: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09"/>
        <w:gridCol w:w="2159"/>
        <w:gridCol w:w="850"/>
        <w:gridCol w:w="1560"/>
        <w:gridCol w:w="850"/>
        <w:gridCol w:w="1028"/>
        <w:gridCol w:w="840"/>
        <w:gridCol w:w="1392"/>
      </w:tblGrid>
      <w:tr w:rsidR="00443E8A" w:rsidRPr="00E86DA6" w:rsidTr="00BB2FA6">
        <w:trPr>
          <w:trHeight w:val="270"/>
        </w:trPr>
        <w:tc>
          <w:tcPr>
            <w:tcW w:w="9214" w:type="dxa"/>
            <w:gridSpan w:val="9"/>
            <w:tcBorders>
              <w:left w:val="nil"/>
              <w:bottom w:val="single" w:sz="6" w:space="0" w:color="auto"/>
              <w:right w:val="nil"/>
            </w:tcBorders>
            <w:shd w:val="clear" w:color="auto" w:fill="595959"/>
          </w:tcPr>
          <w:p w:rsidR="00443E8A" w:rsidRPr="00E86DA6" w:rsidRDefault="00443E8A" w:rsidP="00BB2FA6">
            <w:pPr>
              <w:spacing w:line="276" w:lineRule="auto"/>
              <w:rPr>
                <w:rFonts w:ascii="Arial" w:hAnsi="Arial" w:cs="Arial"/>
                <w:color w:val="FFFFFF"/>
                <w:sz w:val="16"/>
                <w:szCs w:val="16"/>
              </w:rPr>
            </w:pPr>
            <w:r>
              <w:rPr>
                <w:rFonts w:ascii="Arial" w:hAnsi="Arial" w:cs="Arial"/>
                <w:b/>
                <w:bCs/>
                <w:color w:val="FFFFFF"/>
                <w:sz w:val="18"/>
                <w:szCs w:val="18"/>
              </w:rPr>
              <w:t>Data Supplement III:</w:t>
            </w:r>
            <w:r w:rsidRPr="00E86DA6">
              <w:rPr>
                <w:rFonts w:ascii="Arial" w:hAnsi="Arial" w:cs="Arial"/>
                <w:b/>
                <w:bCs/>
                <w:color w:val="FFFFFF"/>
                <w:sz w:val="18"/>
                <w:szCs w:val="18"/>
              </w:rPr>
              <w:t xml:space="preserve"> </w:t>
            </w:r>
            <w:r w:rsidRPr="00E86DA6">
              <w:rPr>
                <w:rFonts w:ascii="Arial" w:hAnsi="Arial" w:cs="Arial"/>
                <w:bCs/>
                <w:color w:val="FFFFFF"/>
                <w:sz w:val="18"/>
                <w:szCs w:val="18"/>
              </w:rPr>
              <w:t xml:space="preserve">Final </w:t>
            </w:r>
            <w:r>
              <w:rPr>
                <w:rFonts w:ascii="Arial" w:hAnsi="Arial" w:cs="Arial"/>
                <w:bCs/>
                <w:color w:val="FFFFFF"/>
                <w:sz w:val="18"/>
                <w:szCs w:val="18"/>
              </w:rPr>
              <w:t xml:space="preserve">BDI-II </w:t>
            </w:r>
            <w:r w:rsidRPr="00E86DA6">
              <w:rPr>
                <w:rFonts w:ascii="Arial" w:hAnsi="Arial" w:cs="Arial"/>
                <w:bCs/>
                <w:color w:val="FFFFFF"/>
                <w:sz w:val="18"/>
                <w:szCs w:val="18"/>
              </w:rPr>
              <w:t xml:space="preserve">model </w:t>
            </w:r>
            <w:r>
              <w:rPr>
                <w:rFonts w:ascii="Arial" w:hAnsi="Arial" w:cs="Arial"/>
                <w:bCs/>
                <w:color w:val="FFFFFF"/>
                <w:sz w:val="18"/>
                <w:szCs w:val="18"/>
              </w:rPr>
              <w:t>in</w:t>
            </w:r>
            <w:r w:rsidRPr="00E86DA6">
              <w:rPr>
                <w:rFonts w:ascii="Arial" w:hAnsi="Arial" w:cs="Arial"/>
                <w:bCs/>
                <w:color w:val="FFFFFF"/>
                <w:sz w:val="18"/>
                <w:szCs w:val="18"/>
              </w:rPr>
              <w:t xml:space="preserve"> the Trial FU Phase (7-12 months) controlled for potential confounders</w:t>
            </w:r>
            <w:r>
              <w:rPr>
                <w:rFonts w:ascii="Arial" w:hAnsi="Arial" w:cs="Arial"/>
                <w:bCs/>
                <w:color w:val="FFFFFF"/>
                <w:sz w:val="18"/>
                <w:szCs w:val="18"/>
              </w:rPr>
              <w:t>.</w:t>
            </w:r>
          </w:p>
        </w:tc>
      </w:tr>
      <w:tr w:rsidR="00443E8A" w:rsidRPr="00E86DA6" w:rsidTr="00BB2FA6">
        <w:trPr>
          <w:trHeight w:val="255"/>
        </w:trPr>
        <w:tc>
          <w:tcPr>
            <w:tcW w:w="2694" w:type="dxa"/>
            <w:gridSpan w:val="3"/>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rPr>
                <w:rFonts w:ascii="Arial" w:hAnsi="Arial" w:cs="Arial"/>
                <w:b/>
                <w:bCs/>
                <w:color w:val="000000"/>
                <w:sz w:val="18"/>
                <w:szCs w:val="18"/>
              </w:rPr>
            </w:pPr>
          </w:p>
        </w:tc>
        <w:tc>
          <w:tcPr>
            <w:tcW w:w="850" w:type="dxa"/>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jc w:val="center"/>
              <w:rPr>
                <w:rFonts w:ascii="Arial" w:hAnsi="Arial" w:cs="Arial"/>
                <w:b/>
                <w:color w:val="000000"/>
                <w:sz w:val="18"/>
                <w:szCs w:val="18"/>
              </w:rPr>
            </w:pPr>
            <w:r w:rsidRPr="00E86DA6">
              <w:rPr>
                <w:rFonts w:ascii="Arial" w:hAnsi="Arial" w:cs="Arial"/>
                <w:b/>
                <w:color w:val="000000"/>
                <w:sz w:val="18"/>
                <w:szCs w:val="18"/>
              </w:rPr>
              <w:t>B</w:t>
            </w:r>
          </w:p>
        </w:tc>
        <w:tc>
          <w:tcPr>
            <w:tcW w:w="1560" w:type="dxa"/>
            <w:tcBorders>
              <w:left w:val="nil"/>
              <w:bottom w:val="single" w:sz="6" w:space="0" w:color="auto"/>
              <w:right w:val="nil"/>
            </w:tcBorders>
            <w:shd w:val="clear" w:color="auto" w:fill="BFBFBF" w:themeFill="background1" w:themeFillShade="BF"/>
          </w:tcPr>
          <w:p w:rsidR="00443E8A" w:rsidRPr="00E86DA6" w:rsidRDefault="00443E8A" w:rsidP="00BB2FA6">
            <w:pPr>
              <w:pStyle w:val="Geenafstand1"/>
              <w:spacing w:line="280" w:lineRule="exact"/>
              <w:jc w:val="center"/>
              <w:rPr>
                <w:rFonts w:ascii="Arial" w:hAnsi="Arial" w:cs="Arial"/>
                <w:b/>
                <w:color w:val="000000"/>
                <w:sz w:val="18"/>
                <w:szCs w:val="18"/>
                <w:lang w:val="en-GB"/>
              </w:rPr>
            </w:pPr>
            <w:r w:rsidRPr="00E86DA6">
              <w:rPr>
                <w:rFonts w:ascii="Arial" w:hAnsi="Arial" w:cs="Arial"/>
                <w:b/>
                <w:color w:val="000000"/>
                <w:sz w:val="18"/>
                <w:szCs w:val="18"/>
                <w:lang w:val="en-GB"/>
              </w:rPr>
              <w:t>95% CI</w:t>
            </w:r>
          </w:p>
        </w:tc>
        <w:tc>
          <w:tcPr>
            <w:tcW w:w="850" w:type="dxa"/>
            <w:tcBorders>
              <w:left w:val="nil"/>
              <w:bottom w:val="single" w:sz="6" w:space="0" w:color="auto"/>
              <w:right w:val="nil"/>
            </w:tcBorders>
            <w:shd w:val="clear" w:color="auto" w:fill="BFBFBF" w:themeFill="background1" w:themeFillShade="BF"/>
          </w:tcPr>
          <w:p w:rsidR="00443E8A" w:rsidRPr="00E86DA6" w:rsidRDefault="00443E8A" w:rsidP="00BB2FA6">
            <w:pPr>
              <w:pStyle w:val="Geenafstand1"/>
              <w:spacing w:line="280" w:lineRule="exact"/>
              <w:jc w:val="center"/>
              <w:rPr>
                <w:rFonts w:ascii="Arial" w:hAnsi="Arial" w:cs="Arial"/>
                <w:b/>
                <w:i/>
                <w:color w:val="000000"/>
                <w:sz w:val="18"/>
                <w:szCs w:val="18"/>
                <w:lang w:val="en-GB"/>
              </w:rPr>
            </w:pPr>
            <w:r w:rsidRPr="00E86DA6">
              <w:rPr>
                <w:rFonts w:ascii="Arial" w:hAnsi="Arial" w:cs="Arial"/>
                <w:b/>
                <w:i/>
                <w:color w:val="000000"/>
                <w:sz w:val="18"/>
                <w:szCs w:val="18"/>
                <w:lang w:val="en-GB"/>
              </w:rPr>
              <w:t>F</w:t>
            </w:r>
          </w:p>
        </w:tc>
        <w:tc>
          <w:tcPr>
            <w:tcW w:w="1028" w:type="dxa"/>
            <w:tcBorders>
              <w:left w:val="nil"/>
              <w:bottom w:val="single" w:sz="6" w:space="0" w:color="auto"/>
              <w:right w:val="nil"/>
            </w:tcBorders>
            <w:shd w:val="clear" w:color="auto" w:fill="BFBFBF" w:themeFill="background1" w:themeFillShade="BF"/>
          </w:tcPr>
          <w:p w:rsidR="00443E8A" w:rsidRPr="00E86DA6" w:rsidRDefault="00443E8A" w:rsidP="00BB2FA6">
            <w:pPr>
              <w:pStyle w:val="Geenafstand1"/>
              <w:spacing w:line="280" w:lineRule="exact"/>
              <w:jc w:val="center"/>
              <w:rPr>
                <w:rFonts w:ascii="Arial" w:hAnsi="Arial" w:cs="Arial"/>
                <w:b/>
                <w:color w:val="000000"/>
                <w:sz w:val="18"/>
                <w:szCs w:val="18"/>
                <w:lang w:val="en-GB"/>
              </w:rPr>
            </w:pPr>
            <w:r w:rsidRPr="00E86DA6">
              <w:rPr>
                <w:rFonts w:ascii="Arial" w:hAnsi="Arial" w:cs="Arial"/>
                <w:b/>
                <w:color w:val="000000"/>
                <w:sz w:val="18"/>
                <w:szCs w:val="18"/>
                <w:lang w:val="en-GB"/>
              </w:rPr>
              <w:t>d.f.</w:t>
            </w:r>
          </w:p>
        </w:tc>
        <w:tc>
          <w:tcPr>
            <w:tcW w:w="840" w:type="dxa"/>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jc w:val="center"/>
              <w:rPr>
                <w:rFonts w:ascii="Arial" w:hAnsi="Arial" w:cs="Arial"/>
                <w:b/>
                <w:color w:val="000000"/>
                <w:sz w:val="18"/>
                <w:szCs w:val="18"/>
              </w:rPr>
            </w:pPr>
            <w:r w:rsidRPr="00E86DA6">
              <w:rPr>
                <w:rFonts w:ascii="Arial" w:hAnsi="Arial" w:cs="Arial"/>
                <w:b/>
                <w:i/>
                <w:color w:val="000000"/>
                <w:sz w:val="18"/>
                <w:szCs w:val="18"/>
              </w:rPr>
              <w:t>r</w:t>
            </w:r>
            <w:r w:rsidRPr="00E86DA6">
              <w:rPr>
                <w:rFonts w:ascii="Arial" w:hAnsi="Arial" w:cs="Arial"/>
                <w:b/>
                <w:color w:val="000000"/>
                <w:sz w:val="18"/>
                <w:szCs w:val="18"/>
              </w:rPr>
              <w:t>*</w:t>
            </w:r>
          </w:p>
        </w:tc>
        <w:tc>
          <w:tcPr>
            <w:tcW w:w="1392" w:type="dxa"/>
            <w:tcBorders>
              <w:left w:val="nil"/>
              <w:bottom w:val="single" w:sz="6" w:space="0" w:color="auto"/>
              <w:right w:val="nil"/>
            </w:tcBorders>
            <w:shd w:val="clear" w:color="auto" w:fill="BFBFBF" w:themeFill="background1" w:themeFillShade="BF"/>
          </w:tcPr>
          <w:p w:rsidR="00443E8A" w:rsidRPr="00E86DA6" w:rsidRDefault="00443E8A" w:rsidP="00BB2FA6">
            <w:pPr>
              <w:spacing w:line="280" w:lineRule="exact"/>
              <w:jc w:val="center"/>
              <w:rPr>
                <w:rFonts w:ascii="Arial" w:hAnsi="Arial" w:cs="Arial"/>
                <w:b/>
                <w:i/>
                <w:color w:val="000000"/>
                <w:sz w:val="18"/>
                <w:szCs w:val="18"/>
              </w:rPr>
            </w:pPr>
            <w:r w:rsidRPr="00E86DA6">
              <w:rPr>
                <w:rFonts w:ascii="Arial" w:hAnsi="Arial" w:cs="Arial"/>
                <w:b/>
                <w:i/>
                <w:color w:val="000000"/>
                <w:sz w:val="18"/>
                <w:szCs w:val="18"/>
              </w:rPr>
              <w:t>p</w:t>
            </w:r>
          </w:p>
        </w:tc>
      </w:tr>
      <w:tr w:rsidR="00443E8A" w:rsidRPr="00E86DA6" w:rsidTr="00BB2FA6">
        <w:trPr>
          <w:trHeight w:val="255"/>
        </w:trPr>
        <w:tc>
          <w:tcPr>
            <w:tcW w:w="2694" w:type="dxa"/>
            <w:gridSpan w:val="3"/>
            <w:tcBorders>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Final Model</w:t>
            </w:r>
            <w:r w:rsidRPr="00E86DA6">
              <w:rPr>
                <w:rFonts w:ascii="Arial" w:hAnsi="Arial" w:cs="Arial"/>
                <w:color w:val="000000"/>
                <w:sz w:val="18"/>
                <w:szCs w:val="18"/>
              </w:rPr>
              <w:t> </w:t>
            </w:r>
          </w:p>
        </w:tc>
        <w:tc>
          <w:tcPr>
            <w:tcW w:w="850"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560"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0"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bCs/>
                <w:i/>
                <w:iCs/>
                <w:color w:val="000000"/>
                <w:sz w:val="18"/>
                <w:szCs w:val="18"/>
              </w:rPr>
            </w:pPr>
          </w:p>
        </w:tc>
        <w:tc>
          <w:tcPr>
            <w:tcW w:w="1028"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p>
        </w:tc>
        <w:tc>
          <w:tcPr>
            <w:tcW w:w="840"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392" w:type="dxa"/>
            <w:tcBorders>
              <w:left w:val="nil"/>
              <w:bottom w:val="nil"/>
              <w:right w:val="nil"/>
            </w:tcBorders>
            <w:shd w:val="clear" w:color="auto" w:fill="auto"/>
          </w:tcPr>
          <w:p w:rsidR="00443E8A" w:rsidRPr="00E86DA6" w:rsidRDefault="00443E8A" w:rsidP="00BB2FA6">
            <w:pPr>
              <w:spacing w:line="280" w:lineRule="exact"/>
              <w:jc w:val="center"/>
              <w:rPr>
                <w:rFonts w:ascii="Arial" w:hAnsi="Arial" w:cs="Arial"/>
                <w:i/>
                <w:iCs/>
                <w:color w:val="000000"/>
                <w:sz w:val="18"/>
                <w:szCs w:val="18"/>
              </w:rPr>
            </w:pPr>
          </w:p>
        </w:tc>
      </w:tr>
      <w:tr w:rsidR="00443E8A" w:rsidRPr="00E86DA6" w:rsidTr="00BB2FA6">
        <w:trPr>
          <w:trHeight w:val="255"/>
        </w:trPr>
        <w:tc>
          <w:tcPr>
            <w:tcW w:w="426"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8" w:type="dxa"/>
            <w:gridSpan w:val="2"/>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2.72</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2.60 –  2.85</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10.72</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758</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0.12</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6"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8" w:type="dxa"/>
            <w:gridSpan w:val="2"/>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0.34</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0.21 –  0.46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27.38</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758</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0.19</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6"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268" w:type="dxa"/>
            <w:gridSpan w:val="2"/>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-0.18</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-0.31 – -0.06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8.27</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758</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0.10</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&lt; .001</w:t>
            </w:r>
          </w:p>
        </w:tc>
      </w:tr>
      <w:tr w:rsidR="00443E8A" w:rsidRPr="00E86DA6" w:rsidTr="00BB2FA6">
        <w:trPr>
          <w:trHeight w:val="255"/>
        </w:trPr>
        <w:tc>
          <w:tcPr>
            <w:tcW w:w="426"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8" w:type="dxa"/>
            <w:gridSpan w:val="2"/>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0.00</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0.12</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758</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.73</w:t>
            </w:r>
          </w:p>
        </w:tc>
      </w:tr>
      <w:tr w:rsidR="00443E8A" w:rsidRPr="00E86DA6" w:rsidTr="00BB2FA6">
        <w:trPr>
          <w:trHeight w:val="255"/>
        </w:trPr>
        <w:tc>
          <w:tcPr>
            <w:tcW w:w="426"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8" w:type="dxa"/>
            <w:gridSpan w:val="2"/>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0.05</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-0.20 –  0.30</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0.14</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758</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.71</w:t>
            </w:r>
          </w:p>
        </w:tc>
      </w:tr>
      <w:tr w:rsidR="00443E8A" w:rsidRPr="00E86DA6" w:rsidTr="00BB2FA6">
        <w:trPr>
          <w:trHeight w:val="255"/>
        </w:trPr>
        <w:tc>
          <w:tcPr>
            <w:tcW w:w="426"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268" w:type="dxa"/>
            <w:gridSpan w:val="2"/>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0.01</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2.06</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758</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0.05</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.15</w:t>
            </w:r>
          </w:p>
        </w:tc>
      </w:tr>
      <w:tr w:rsidR="00443E8A" w:rsidRPr="00E86DA6" w:rsidTr="00BB2FA6">
        <w:trPr>
          <w:trHeight w:val="255"/>
        </w:trPr>
        <w:tc>
          <w:tcPr>
            <w:tcW w:w="2694" w:type="dxa"/>
            <w:gridSpan w:val="3"/>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Sessions</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2.72</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2.60 –  2.85</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8.86</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0.34</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0.21 –  0.46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26.24</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0.18</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-0.18</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-0.31 - -0.06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8.17</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0.10</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 –  0.00</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0.11</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.74</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0.05</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-0.21 –  0.30</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0.14</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.71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0.01</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2.06</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0.05</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.15</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Number of sessions</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-0.13 –  0.13</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0.00</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.98</w:t>
            </w:r>
          </w:p>
        </w:tc>
      </w:tr>
      <w:tr w:rsidR="00443E8A" w:rsidRPr="00E86DA6" w:rsidTr="00BB2FA6">
        <w:trPr>
          <w:trHeight w:val="255"/>
        </w:trPr>
        <w:tc>
          <w:tcPr>
            <w:tcW w:w="2694" w:type="dxa"/>
            <w:gridSpan w:val="3"/>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Therapist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13.43</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5.28 – 21.58</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3.40</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0.07</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4.10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2.05 –   6.15</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15.45</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0.14</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-3.05</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-5.07 – -1.04</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8.83</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0" w:type="dxa"/>
            <w:tcBorders>
              <w:top w:val="nil"/>
              <w:left w:val="nil"/>
              <w:bottom w:val="nil"/>
              <w:right w:val="nil"/>
            </w:tcBorders>
            <w:shd w:val="clear" w:color="auto" w:fill="auto"/>
          </w:tcPr>
          <w:p w:rsidR="00443E8A" w:rsidRPr="00E86DA6" w:rsidRDefault="00443E8A" w:rsidP="00BB2FA6">
            <w:pPr>
              <w:tabs>
                <w:tab w:val="left" w:pos="1223"/>
              </w:tabs>
              <w:spacing w:line="280" w:lineRule="exact"/>
              <w:jc w:val="center"/>
              <w:rPr>
                <w:rFonts w:ascii="Arial" w:hAnsi="Arial" w:cs="Arial"/>
                <w:color w:val="000000"/>
                <w:sz w:val="18"/>
                <w:szCs w:val="18"/>
              </w:rPr>
            </w:pPr>
            <w:r w:rsidRPr="00E86DA6">
              <w:rPr>
                <w:rFonts w:ascii="Arial" w:hAnsi="Arial" w:cs="Arial"/>
                <w:color w:val="000000"/>
                <w:sz w:val="18"/>
                <w:szCs w:val="18"/>
              </w:rPr>
              <w:t>-0.05 –   0.06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0.04</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.85</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-2.65</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-15.81 – 10.50</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0.16</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.69</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0.07</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-0.04 –  0.19</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1.54</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0.05</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.22</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Therapist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0.20</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0.02</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.99</w:t>
            </w:r>
          </w:p>
        </w:tc>
      </w:tr>
      <w:tr w:rsidR="00443E8A" w:rsidRPr="00E86DA6" w:rsidTr="00BB2FA6">
        <w:trPr>
          <w:trHeight w:val="255"/>
        </w:trPr>
        <w:tc>
          <w:tcPr>
            <w:tcW w:w="2694" w:type="dxa"/>
            <w:gridSpan w:val="3"/>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b/>
                <w:bCs/>
                <w:color w:val="000000"/>
                <w:sz w:val="18"/>
                <w:szCs w:val="18"/>
              </w:rPr>
              <w:t>Employment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2.72</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2.60 –  2.85</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9.93</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0.34</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0.22 –  0.47</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29.05</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0.19</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-0.17</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-0.30 - -0.04</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6.89</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0.10</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0.00</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0.05</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.82</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0.08</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-0.18 –  0.33</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0.36</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0.02</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.55</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0.01</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2.72</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0.06</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.10</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Employment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0.22</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-0.02 –  0.46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3.14</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751</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0.06</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.08</w:t>
            </w:r>
          </w:p>
        </w:tc>
      </w:tr>
      <w:tr w:rsidR="00443E8A" w:rsidRPr="00E86DA6" w:rsidTr="00BB2FA6">
        <w:trPr>
          <w:trHeight w:val="255"/>
        </w:trPr>
        <w:tc>
          <w:tcPr>
            <w:tcW w:w="2694" w:type="dxa"/>
            <w:gridSpan w:val="3"/>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Gender</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2.57 –  2.84</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9.02</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0.33</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0.21 –  0.46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26.45</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0.18</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-0.19</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-0.31 - -0.06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8.27</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0.10</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0.01</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0.19</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0.02</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.66</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0.06</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-0.20 –  0.32</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0.21</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0.02</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.65</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0.01</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1.99</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0.05</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.16</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Gender</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0.11</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-0.14 –  0.37</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0.75</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0.03</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.39</w:t>
            </w:r>
          </w:p>
        </w:tc>
      </w:tr>
      <w:tr w:rsidR="00443E8A" w:rsidRPr="00E86DA6" w:rsidTr="00BB2FA6">
        <w:trPr>
          <w:trHeight w:val="270"/>
        </w:trPr>
        <w:tc>
          <w:tcPr>
            <w:tcW w:w="2694" w:type="dxa"/>
            <w:gridSpan w:val="3"/>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
                <w:bCs/>
                <w:color w:val="000000"/>
                <w:sz w:val="18"/>
                <w:szCs w:val="18"/>
              </w:rPr>
            </w:pPr>
            <w:r w:rsidRPr="00E86DA6">
              <w:rPr>
                <w:rFonts w:ascii="Arial" w:hAnsi="Arial" w:cs="Arial"/>
                <w:b/>
                <w:bCs/>
                <w:color w:val="000000"/>
                <w:sz w:val="18"/>
                <w:szCs w:val="18"/>
              </w:rPr>
              <w:t xml:space="preserve">Partner </w:t>
            </w:r>
            <w:r w:rsidRPr="00E86DA6">
              <w:rPr>
                <w:rFonts w:ascii="Arial" w:hAnsi="Arial" w:cs="Arial"/>
                <w:color w:val="000000"/>
                <w:sz w:val="18"/>
                <w:szCs w:val="18"/>
              </w:rPr>
              <w:t> </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p>
        </w:tc>
        <w:tc>
          <w:tcPr>
            <w:tcW w:w="156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color w:val="000000"/>
                <w:sz w:val="18"/>
                <w:szCs w:val="18"/>
              </w:rPr>
            </w:pP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i/>
                <w:iCs/>
                <w:color w:val="000000"/>
                <w:sz w:val="18"/>
                <w:szCs w:val="18"/>
              </w:rPr>
            </w:pP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Intercept</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2.73</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2.60 –   2.86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8.89</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bCs/>
                <w:color w:val="000000"/>
                <w:sz w:val="18"/>
                <w:szCs w:val="18"/>
              </w:rPr>
            </w:pPr>
            <w:r w:rsidRPr="00E86DA6">
              <w:rPr>
                <w:rFonts w:ascii="Arial" w:hAnsi="Arial" w:cs="Arial"/>
                <w:bCs/>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Severity</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0.34</w:t>
            </w:r>
          </w:p>
        </w:tc>
        <w:tc>
          <w:tcPr>
            <w:tcW w:w="1560" w:type="dxa"/>
            <w:tcBorders>
              <w:top w:val="nil"/>
              <w:left w:val="nil"/>
              <w:bottom w:val="nil"/>
              <w:right w:val="nil"/>
            </w:tcBorders>
            <w:shd w:val="clear" w:color="auto" w:fill="auto"/>
          </w:tcPr>
          <w:p w:rsidR="00443E8A" w:rsidRPr="00E86DA6" w:rsidRDefault="00443E8A" w:rsidP="00BB2FA6">
            <w:pPr>
              <w:tabs>
                <w:tab w:val="left" w:pos="1178"/>
              </w:tabs>
              <w:spacing w:line="280" w:lineRule="exact"/>
              <w:jc w:val="center"/>
              <w:rPr>
                <w:rFonts w:ascii="Arial" w:hAnsi="Arial" w:cs="Arial"/>
                <w:color w:val="000000"/>
                <w:sz w:val="18"/>
                <w:szCs w:val="18"/>
              </w:rPr>
            </w:pPr>
            <w:r w:rsidRPr="00E86DA6">
              <w:rPr>
                <w:rFonts w:ascii="Arial" w:hAnsi="Arial" w:cs="Arial"/>
                <w:color w:val="000000"/>
                <w:sz w:val="18"/>
                <w:szCs w:val="18"/>
              </w:rPr>
              <w:t>0.21 –   0.46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27.21</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0.19</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 xml:space="preserve">- </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Baseline Quality of Life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-0.19</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-0.31 – -0.06</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8.31</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0.10</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pPr>
            <w:r w:rsidRPr="00E86DA6">
              <w:rPr>
                <w:rFonts w:ascii="Arial" w:hAnsi="Arial" w:cs="Arial"/>
                <w:color w:val="000000"/>
                <w:sz w:val="18"/>
                <w:szCs w:val="18"/>
              </w:rPr>
              <w:t>&lt; .001</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lastRenderedPageBreak/>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0.00</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0.01</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0.12</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.73</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0.05</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-0.21 –  0.30</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0.13</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.72</w:t>
            </w:r>
          </w:p>
        </w:tc>
      </w:tr>
      <w:tr w:rsidR="00443E8A" w:rsidRPr="00E86DA6" w:rsidTr="00BB2FA6">
        <w:trPr>
          <w:trHeight w:val="255"/>
        </w:trPr>
        <w:tc>
          <w:tcPr>
            <w:tcW w:w="535" w:type="dxa"/>
            <w:gridSpan w:val="2"/>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nil"/>
              <w:right w:val="nil"/>
            </w:tcBorders>
            <w:shd w:val="clear" w:color="auto" w:fill="auto"/>
          </w:tcPr>
          <w:p w:rsidR="00443E8A" w:rsidRPr="00E86DA6" w:rsidRDefault="00443E8A" w:rsidP="00BB2FA6">
            <w:pPr>
              <w:spacing w:line="280" w:lineRule="exact"/>
              <w:jc w:val="both"/>
              <w:rPr>
                <w:rFonts w:ascii="Arial" w:hAnsi="Arial" w:cs="Arial"/>
                <w:color w:val="000000"/>
                <w:sz w:val="18"/>
                <w:szCs w:val="18"/>
              </w:rPr>
            </w:pPr>
            <w:r w:rsidRPr="00E86DA6">
              <w:rPr>
                <w:rFonts w:ascii="Arial" w:hAnsi="Arial" w:cs="Arial"/>
                <w:color w:val="000000"/>
                <w:sz w:val="18"/>
                <w:szCs w:val="18"/>
              </w:rPr>
              <w:t>Time x Condition</w:t>
            </w:r>
          </w:p>
        </w:tc>
        <w:tc>
          <w:tcPr>
            <w:tcW w:w="850" w:type="dxa"/>
            <w:tcBorders>
              <w:top w:val="nil"/>
              <w:left w:val="nil"/>
              <w:bottom w:val="nil"/>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0.01</w:t>
            </w:r>
          </w:p>
        </w:tc>
        <w:tc>
          <w:tcPr>
            <w:tcW w:w="156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-0.00 –  0.01</w:t>
            </w:r>
          </w:p>
        </w:tc>
        <w:tc>
          <w:tcPr>
            <w:tcW w:w="850" w:type="dxa"/>
            <w:tcBorders>
              <w:top w:val="nil"/>
              <w:left w:val="nil"/>
              <w:bottom w:val="nil"/>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2.04</w:t>
            </w:r>
          </w:p>
        </w:tc>
        <w:tc>
          <w:tcPr>
            <w:tcW w:w="1028"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0.05</w:t>
            </w:r>
          </w:p>
        </w:tc>
        <w:tc>
          <w:tcPr>
            <w:tcW w:w="1392" w:type="dxa"/>
            <w:tcBorders>
              <w:top w:val="nil"/>
              <w:left w:val="nil"/>
              <w:bottom w:val="nil"/>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.15</w:t>
            </w:r>
          </w:p>
        </w:tc>
      </w:tr>
      <w:tr w:rsidR="00443E8A" w:rsidRPr="00E86DA6" w:rsidTr="00BB2FA6">
        <w:trPr>
          <w:trHeight w:val="270"/>
        </w:trPr>
        <w:tc>
          <w:tcPr>
            <w:tcW w:w="535" w:type="dxa"/>
            <w:gridSpan w:val="2"/>
            <w:tcBorders>
              <w:top w:val="nil"/>
              <w:left w:val="nil"/>
              <w:bottom w:val="single" w:sz="6" w:space="0" w:color="auto"/>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w:t>
            </w:r>
          </w:p>
        </w:tc>
        <w:tc>
          <w:tcPr>
            <w:tcW w:w="2159" w:type="dxa"/>
            <w:tcBorders>
              <w:top w:val="nil"/>
              <w:left w:val="nil"/>
              <w:bottom w:val="single" w:sz="6" w:space="0" w:color="auto"/>
              <w:right w:val="nil"/>
            </w:tcBorders>
            <w:shd w:val="clear" w:color="auto" w:fill="auto"/>
          </w:tcPr>
          <w:p w:rsidR="00443E8A" w:rsidRPr="00E86DA6" w:rsidRDefault="00443E8A" w:rsidP="00BB2FA6">
            <w:pPr>
              <w:spacing w:line="280" w:lineRule="exact"/>
              <w:rPr>
                <w:rFonts w:ascii="Arial" w:hAnsi="Arial" w:cs="Arial"/>
                <w:color w:val="000000"/>
                <w:sz w:val="18"/>
                <w:szCs w:val="18"/>
              </w:rPr>
            </w:pPr>
            <w:r w:rsidRPr="00E86DA6">
              <w:rPr>
                <w:rFonts w:ascii="Arial" w:hAnsi="Arial" w:cs="Arial"/>
                <w:color w:val="000000"/>
                <w:sz w:val="18"/>
                <w:szCs w:val="18"/>
              </w:rPr>
              <w:t>Partner</w:t>
            </w:r>
          </w:p>
        </w:tc>
        <w:tc>
          <w:tcPr>
            <w:tcW w:w="850" w:type="dxa"/>
            <w:tcBorders>
              <w:top w:val="nil"/>
              <w:left w:val="nil"/>
              <w:bottom w:val="single" w:sz="6" w:space="0" w:color="auto"/>
              <w:right w:val="nil"/>
            </w:tcBorders>
            <w:shd w:val="clear" w:color="auto" w:fill="auto"/>
          </w:tcPr>
          <w:p w:rsidR="00443E8A" w:rsidRPr="00E86DA6" w:rsidRDefault="00443E8A" w:rsidP="00BB2FA6">
            <w:pPr>
              <w:spacing w:line="280" w:lineRule="exact"/>
              <w:jc w:val="right"/>
              <w:rPr>
                <w:rFonts w:ascii="Arial" w:hAnsi="Arial" w:cs="Arial"/>
                <w:color w:val="000000"/>
                <w:sz w:val="18"/>
                <w:szCs w:val="18"/>
              </w:rPr>
            </w:pPr>
            <w:r w:rsidRPr="00E86DA6">
              <w:rPr>
                <w:rFonts w:ascii="Arial" w:hAnsi="Arial" w:cs="Arial"/>
                <w:color w:val="000000"/>
                <w:sz w:val="18"/>
                <w:szCs w:val="18"/>
              </w:rPr>
              <w:t>0.03</w:t>
            </w:r>
          </w:p>
        </w:tc>
        <w:tc>
          <w:tcPr>
            <w:tcW w:w="1560" w:type="dxa"/>
            <w:tcBorders>
              <w:top w:val="nil"/>
              <w:left w:val="nil"/>
              <w:bottom w:val="single" w:sz="6" w:space="0" w:color="auto"/>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-0.22 –  0.27</w:t>
            </w:r>
          </w:p>
        </w:tc>
        <w:tc>
          <w:tcPr>
            <w:tcW w:w="850" w:type="dxa"/>
            <w:tcBorders>
              <w:top w:val="nil"/>
              <w:left w:val="nil"/>
              <w:bottom w:val="single" w:sz="6" w:space="0" w:color="auto"/>
              <w:right w:val="nil"/>
            </w:tcBorders>
            <w:shd w:val="clear" w:color="auto" w:fill="auto"/>
          </w:tcPr>
          <w:p w:rsidR="00443E8A" w:rsidRPr="00E86DA6" w:rsidRDefault="00443E8A" w:rsidP="00BB2FA6">
            <w:pPr>
              <w:spacing w:line="280" w:lineRule="exact"/>
              <w:rPr>
                <w:rFonts w:ascii="Arial" w:hAnsi="Arial" w:cs="Arial"/>
                <w:bCs/>
                <w:color w:val="000000"/>
                <w:sz w:val="18"/>
                <w:szCs w:val="18"/>
              </w:rPr>
            </w:pPr>
            <w:r w:rsidRPr="00E86DA6">
              <w:rPr>
                <w:rFonts w:ascii="Arial" w:hAnsi="Arial" w:cs="Arial"/>
                <w:bCs/>
                <w:color w:val="000000"/>
                <w:sz w:val="18"/>
                <w:szCs w:val="18"/>
              </w:rPr>
              <w:t xml:space="preserve">  0.04</w:t>
            </w:r>
          </w:p>
        </w:tc>
        <w:tc>
          <w:tcPr>
            <w:tcW w:w="1028" w:type="dxa"/>
            <w:tcBorders>
              <w:top w:val="nil"/>
              <w:left w:val="nil"/>
              <w:bottom w:val="single" w:sz="6" w:space="0" w:color="auto"/>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757</w:t>
            </w:r>
          </w:p>
        </w:tc>
        <w:tc>
          <w:tcPr>
            <w:tcW w:w="840" w:type="dxa"/>
            <w:tcBorders>
              <w:top w:val="nil"/>
              <w:left w:val="nil"/>
              <w:bottom w:val="single" w:sz="6" w:space="0" w:color="auto"/>
              <w:right w:val="nil"/>
            </w:tcBorders>
            <w:shd w:val="clear" w:color="auto" w:fill="auto"/>
          </w:tcPr>
          <w:p w:rsidR="00443E8A" w:rsidRPr="00E86DA6" w:rsidRDefault="00443E8A" w:rsidP="00BB2FA6">
            <w:pPr>
              <w:spacing w:line="280" w:lineRule="exact"/>
              <w:jc w:val="center"/>
              <w:rPr>
                <w:rFonts w:ascii="Arial" w:hAnsi="Arial" w:cs="Arial"/>
                <w:color w:val="000000"/>
                <w:sz w:val="18"/>
                <w:szCs w:val="18"/>
              </w:rPr>
            </w:pPr>
            <w:r w:rsidRPr="00E86DA6">
              <w:rPr>
                <w:rFonts w:ascii="Arial" w:hAnsi="Arial" w:cs="Arial"/>
                <w:color w:val="000000"/>
                <w:sz w:val="18"/>
                <w:szCs w:val="18"/>
              </w:rPr>
              <w:t>0.01</w:t>
            </w:r>
          </w:p>
        </w:tc>
        <w:tc>
          <w:tcPr>
            <w:tcW w:w="1392" w:type="dxa"/>
            <w:tcBorders>
              <w:top w:val="nil"/>
              <w:left w:val="nil"/>
              <w:bottom w:val="single" w:sz="6" w:space="0" w:color="auto"/>
              <w:right w:val="nil"/>
            </w:tcBorders>
            <w:shd w:val="clear" w:color="auto" w:fill="auto"/>
          </w:tcPr>
          <w:p w:rsidR="00443E8A" w:rsidRPr="00E86DA6" w:rsidRDefault="00443E8A" w:rsidP="00BB2FA6">
            <w:pPr>
              <w:tabs>
                <w:tab w:val="left" w:pos="410"/>
              </w:tabs>
              <w:spacing w:line="280" w:lineRule="exact"/>
              <w:jc w:val="center"/>
              <w:rPr>
                <w:rFonts w:ascii="Arial" w:hAnsi="Arial" w:cs="Arial"/>
                <w:color w:val="000000"/>
                <w:sz w:val="18"/>
                <w:szCs w:val="18"/>
              </w:rPr>
            </w:pPr>
            <w:r w:rsidRPr="00E86DA6">
              <w:rPr>
                <w:rFonts w:ascii="Arial" w:hAnsi="Arial" w:cs="Arial"/>
                <w:color w:val="000000"/>
                <w:sz w:val="18"/>
                <w:szCs w:val="18"/>
              </w:rPr>
              <w:t xml:space="preserve">  .84</w:t>
            </w:r>
          </w:p>
        </w:tc>
      </w:tr>
      <w:tr w:rsidR="00443E8A" w:rsidRPr="00E86DA6" w:rsidTr="00BB2FA6">
        <w:trPr>
          <w:trHeight w:val="270"/>
        </w:trPr>
        <w:tc>
          <w:tcPr>
            <w:tcW w:w="9214" w:type="dxa"/>
            <w:gridSpan w:val="9"/>
            <w:tcBorders>
              <w:left w:val="nil"/>
              <w:bottom w:val="single" w:sz="6" w:space="0" w:color="auto"/>
              <w:right w:val="nil"/>
            </w:tcBorders>
            <w:shd w:val="clear" w:color="auto" w:fill="BFBFBF" w:themeFill="background1" w:themeFillShade="BF"/>
          </w:tcPr>
          <w:p w:rsidR="00443E8A" w:rsidRPr="00D82834" w:rsidRDefault="00443E8A" w:rsidP="00BB2FA6">
            <w:pPr>
              <w:autoSpaceDE w:val="0"/>
              <w:autoSpaceDN w:val="0"/>
              <w:adjustRightInd w:val="0"/>
              <w:spacing w:before="40" w:line="276" w:lineRule="auto"/>
              <w:rPr>
                <w:rFonts w:ascii="Arial" w:hAnsi="Arial" w:cs="Arial"/>
                <w:color w:val="000000"/>
                <w:sz w:val="16"/>
                <w:szCs w:val="16"/>
              </w:rPr>
            </w:pPr>
            <w:r w:rsidRPr="00D82834">
              <w:rPr>
                <w:rFonts w:ascii="Arial" w:hAnsi="Arial" w:cs="Arial"/>
                <w:color w:val="000000"/>
                <w:sz w:val="16"/>
                <w:szCs w:val="16"/>
              </w:rPr>
              <w:t xml:space="preserve">Note: Mixed Models Gamma Regression with log-link on Beck Depression Inventory-II (BDI-II) + 1; Baseline Severity is standardised BDI-II score at baseline; Baseline Quality of Life is standardised EQ5D utility score at baseline; Condition is CT vs. IPT, centered at -.5 and .5 respectively; Time is the linear trend in weeks, with week = 0 at 12 months; Time effects represent change from 7 to 12  months, Condition main effects represent the difference between conditions at 12 months; * = Effect size </w:t>
            </w:r>
            <w:r w:rsidRPr="00D82834">
              <w:rPr>
                <w:rFonts w:ascii="Arial" w:hAnsi="Arial" w:cs="Arial"/>
                <w:i/>
                <w:color w:val="000000"/>
                <w:sz w:val="16"/>
                <w:szCs w:val="16"/>
              </w:rPr>
              <w:t>r</w:t>
            </w:r>
            <w:r w:rsidRPr="00D82834">
              <w:rPr>
                <w:rFonts w:ascii="Arial" w:hAnsi="Arial" w:cs="Arial"/>
                <w:color w:val="000000"/>
                <w:sz w:val="16"/>
                <w:szCs w:val="16"/>
              </w:rPr>
              <w:t xml:space="preserve"> =√(</w:t>
            </w:r>
            <w:r w:rsidRPr="00D82834">
              <w:rPr>
                <w:rFonts w:ascii="Arial" w:hAnsi="Arial" w:cs="Arial"/>
                <w:i/>
                <w:color w:val="000000"/>
                <w:sz w:val="16"/>
                <w:szCs w:val="16"/>
              </w:rPr>
              <w:t>F</w:t>
            </w:r>
            <w:r w:rsidRPr="00D82834">
              <w:rPr>
                <w:rFonts w:ascii="Arial" w:hAnsi="Arial" w:cs="Arial"/>
                <w:color w:val="000000"/>
                <w:sz w:val="16"/>
                <w:szCs w:val="16"/>
              </w:rPr>
              <w:t>/(</w:t>
            </w:r>
            <w:proofErr w:type="spellStart"/>
            <w:r w:rsidRPr="00D82834">
              <w:rPr>
                <w:rFonts w:ascii="Arial" w:hAnsi="Arial" w:cs="Arial"/>
                <w:i/>
                <w:color w:val="000000"/>
                <w:sz w:val="16"/>
                <w:szCs w:val="16"/>
              </w:rPr>
              <w:t>F</w:t>
            </w:r>
            <w:r w:rsidRPr="00D82834">
              <w:rPr>
                <w:rFonts w:ascii="Arial" w:hAnsi="Arial" w:cs="Arial"/>
                <w:color w:val="000000"/>
                <w:sz w:val="16"/>
                <w:szCs w:val="16"/>
              </w:rPr>
              <w:t>+d.f</w:t>
            </w:r>
            <w:proofErr w:type="spellEnd"/>
            <w:r w:rsidRPr="00D82834">
              <w:rPr>
                <w:rFonts w:ascii="Arial" w:hAnsi="Arial" w:cs="Arial"/>
                <w:color w:val="000000"/>
                <w:sz w:val="16"/>
                <w:szCs w:val="16"/>
              </w:rPr>
              <w:t>.)).</w:t>
            </w:r>
          </w:p>
        </w:tc>
      </w:tr>
    </w:tbl>
    <w:p w:rsidR="00443E8A" w:rsidRDefault="00443E8A" w:rsidP="00443E8A">
      <w:pPr>
        <w:spacing w:after="200" w:line="276" w:lineRule="auto"/>
        <w:rPr>
          <w:b/>
          <w:bCs/>
        </w:rPr>
      </w:pPr>
    </w:p>
    <w:p w:rsidR="00516BD0" w:rsidRDefault="00516BD0" w:rsidP="00516BD0">
      <w:pPr>
        <w:spacing w:line="480" w:lineRule="auto"/>
        <w:jc w:val="both"/>
        <w:rPr>
          <w:b/>
          <w:bCs/>
        </w:rPr>
      </w:pPr>
      <w:r>
        <w:rPr>
          <w:b/>
          <w:bCs/>
        </w:rPr>
        <w:t>DATA SUPPLEMENT IV:</w:t>
      </w:r>
    </w:p>
    <w:p w:rsidR="002451F3" w:rsidRPr="002451F3" w:rsidRDefault="002451F3" w:rsidP="00516BD0">
      <w:pPr>
        <w:spacing w:line="480" w:lineRule="auto"/>
        <w:jc w:val="both"/>
        <w:rPr>
          <w:bCs/>
        </w:rPr>
      </w:pPr>
      <w:r>
        <w:rPr>
          <w:bCs/>
        </w:rPr>
        <w:t>Observed and Mixed Regression based estimated Response and Remission rates (%) in the active conditions based on the BDI-II (</w:t>
      </w:r>
      <w:r w:rsidRPr="002451F3">
        <w:rPr>
          <w:bCs/>
          <w:i/>
        </w:rPr>
        <w:t>n</w:t>
      </w:r>
      <w:r>
        <w:rPr>
          <w:bCs/>
        </w:rPr>
        <w:t xml:space="preserve"> = 151).</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81"/>
        <w:gridCol w:w="992"/>
        <w:gridCol w:w="992"/>
        <w:gridCol w:w="236"/>
        <w:gridCol w:w="898"/>
        <w:gridCol w:w="993"/>
        <w:gridCol w:w="708"/>
        <w:gridCol w:w="1260"/>
        <w:gridCol w:w="16"/>
        <w:gridCol w:w="709"/>
        <w:gridCol w:w="567"/>
        <w:gridCol w:w="567"/>
      </w:tblGrid>
      <w:tr w:rsidR="002451F3" w:rsidRPr="00DA4F31" w:rsidTr="00BB2FA6">
        <w:tc>
          <w:tcPr>
            <w:tcW w:w="9476" w:type="dxa"/>
            <w:gridSpan w:val="13"/>
            <w:tcBorders>
              <w:left w:val="nil"/>
              <w:bottom w:val="single" w:sz="6" w:space="0" w:color="auto"/>
              <w:right w:val="nil"/>
            </w:tcBorders>
            <w:shd w:val="clear" w:color="auto" w:fill="606060"/>
          </w:tcPr>
          <w:p w:rsidR="002451F3" w:rsidRPr="00DA4F31" w:rsidRDefault="00BB2FA6" w:rsidP="00BB2FA6">
            <w:pPr>
              <w:tabs>
                <w:tab w:val="left" w:pos="3192"/>
              </w:tabs>
              <w:spacing w:line="276" w:lineRule="auto"/>
              <w:jc w:val="both"/>
              <w:rPr>
                <w:rFonts w:ascii="Arial" w:hAnsi="Arial" w:cs="Arial"/>
                <w:color w:val="FFFFFF"/>
                <w:sz w:val="18"/>
                <w:szCs w:val="18"/>
              </w:rPr>
            </w:pPr>
            <w:r>
              <w:rPr>
                <w:rFonts w:ascii="Arial" w:hAnsi="Arial" w:cs="Arial"/>
                <w:b/>
                <w:color w:val="FFFFFF"/>
                <w:sz w:val="18"/>
                <w:szCs w:val="18"/>
              </w:rPr>
              <w:t>Data supplement IV:</w:t>
            </w:r>
            <w:r w:rsidR="002451F3" w:rsidRPr="00DA4F31">
              <w:rPr>
                <w:rFonts w:ascii="Arial" w:hAnsi="Arial" w:cs="Arial"/>
                <w:b/>
                <w:color w:val="FFFFFF"/>
                <w:sz w:val="18"/>
                <w:szCs w:val="18"/>
              </w:rPr>
              <w:t xml:space="preserve"> </w:t>
            </w:r>
            <w:r w:rsidR="002451F3" w:rsidRPr="00DA4F31">
              <w:rPr>
                <w:rFonts w:ascii="Arial" w:hAnsi="Arial" w:cs="Arial"/>
                <w:color w:val="FFFFFF"/>
                <w:sz w:val="18"/>
                <w:szCs w:val="18"/>
              </w:rPr>
              <w:t>Observed and Mixed Regression based estimated Response and Remission rates (%) in the active conditions based on the BDI-II (</w:t>
            </w:r>
            <w:r w:rsidR="002451F3" w:rsidRPr="00DA4F31">
              <w:rPr>
                <w:rFonts w:ascii="Arial" w:hAnsi="Arial" w:cs="Arial"/>
                <w:i/>
                <w:color w:val="FFFFFF"/>
                <w:sz w:val="18"/>
                <w:szCs w:val="18"/>
              </w:rPr>
              <w:t>n</w:t>
            </w:r>
            <w:r w:rsidR="002451F3" w:rsidRPr="00DA4F31">
              <w:rPr>
                <w:rFonts w:ascii="Arial" w:hAnsi="Arial" w:cs="Arial"/>
                <w:color w:val="FFFFFF"/>
                <w:sz w:val="18"/>
                <w:szCs w:val="18"/>
              </w:rPr>
              <w:t xml:space="preserve"> = 151).</w:t>
            </w:r>
          </w:p>
        </w:tc>
      </w:tr>
      <w:tr w:rsidR="002451F3" w:rsidRPr="00DA4F31" w:rsidTr="00BB2FA6">
        <w:tc>
          <w:tcPr>
            <w:tcW w:w="1538" w:type="dxa"/>
            <w:gridSpan w:val="2"/>
            <w:tcBorders>
              <w:top w:val="single" w:sz="6" w:space="0" w:color="auto"/>
              <w:left w:val="nil"/>
              <w:bottom w:val="nil"/>
              <w:right w:val="nil"/>
            </w:tcBorders>
            <w:shd w:val="clear" w:color="auto" w:fill="BFBFBF"/>
          </w:tcPr>
          <w:p w:rsidR="002451F3" w:rsidRPr="00DA4F31" w:rsidRDefault="002451F3" w:rsidP="00BB2FA6">
            <w:pPr>
              <w:spacing w:line="280" w:lineRule="exact"/>
              <w:jc w:val="both"/>
              <w:rPr>
                <w:rFonts w:ascii="Arial" w:hAnsi="Arial" w:cs="Arial"/>
                <w:color w:val="000000"/>
                <w:sz w:val="18"/>
                <w:szCs w:val="18"/>
              </w:rPr>
            </w:pPr>
          </w:p>
        </w:tc>
        <w:tc>
          <w:tcPr>
            <w:tcW w:w="1984" w:type="dxa"/>
            <w:gridSpan w:val="2"/>
            <w:tcBorders>
              <w:top w:val="single" w:sz="6" w:space="0" w:color="auto"/>
              <w:left w:val="nil"/>
              <w:bottom w:val="nil"/>
              <w:right w:val="nil"/>
            </w:tcBorders>
            <w:shd w:val="clear" w:color="auto" w:fill="BFBFBF"/>
          </w:tcPr>
          <w:p w:rsidR="002451F3" w:rsidRPr="00DA4F31" w:rsidRDefault="002451F3" w:rsidP="00BB2FA6">
            <w:pPr>
              <w:pStyle w:val="NoSpacing1"/>
              <w:spacing w:line="280" w:lineRule="exact"/>
              <w:jc w:val="center"/>
              <w:rPr>
                <w:rFonts w:ascii="Arial" w:hAnsi="Arial" w:cs="Arial"/>
                <w:b/>
                <w:color w:val="000000"/>
                <w:sz w:val="18"/>
                <w:szCs w:val="18"/>
                <w:lang w:val="en-GB"/>
              </w:rPr>
            </w:pPr>
            <w:r w:rsidRPr="00DA4F31">
              <w:rPr>
                <w:rFonts w:ascii="Arial" w:hAnsi="Arial" w:cs="Arial"/>
                <w:b/>
                <w:color w:val="000000"/>
                <w:sz w:val="18"/>
                <w:szCs w:val="18"/>
                <w:lang w:val="en-GB"/>
              </w:rPr>
              <w:t>Observed Values</w:t>
            </w:r>
          </w:p>
        </w:tc>
        <w:tc>
          <w:tcPr>
            <w:tcW w:w="236" w:type="dxa"/>
            <w:tcBorders>
              <w:top w:val="single" w:sz="6" w:space="0" w:color="auto"/>
              <w:left w:val="nil"/>
              <w:bottom w:val="nil"/>
              <w:right w:val="nil"/>
            </w:tcBorders>
            <w:shd w:val="clear" w:color="auto" w:fill="BFBFBF"/>
          </w:tcPr>
          <w:p w:rsidR="002451F3" w:rsidRPr="00DA4F31" w:rsidRDefault="002451F3" w:rsidP="00BB2FA6">
            <w:pPr>
              <w:spacing w:line="280" w:lineRule="exact"/>
              <w:jc w:val="center"/>
              <w:rPr>
                <w:rFonts w:ascii="Arial" w:hAnsi="Arial" w:cs="Arial"/>
                <w:b/>
                <w:color w:val="000000"/>
                <w:sz w:val="18"/>
                <w:szCs w:val="18"/>
              </w:rPr>
            </w:pPr>
          </w:p>
        </w:tc>
        <w:tc>
          <w:tcPr>
            <w:tcW w:w="5718" w:type="dxa"/>
            <w:gridSpan w:val="8"/>
            <w:tcBorders>
              <w:top w:val="single" w:sz="6" w:space="0" w:color="auto"/>
              <w:left w:val="nil"/>
              <w:bottom w:val="nil"/>
              <w:right w:val="nil"/>
            </w:tcBorders>
            <w:shd w:val="clear" w:color="auto" w:fill="BFBFBF"/>
          </w:tcPr>
          <w:p w:rsidR="002451F3" w:rsidRPr="00DA4F31" w:rsidRDefault="002451F3" w:rsidP="00BB2FA6">
            <w:pPr>
              <w:spacing w:line="280" w:lineRule="exact"/>
              <w:jc w:val="center"/>
              <w:rPr>
                <w:rFonts w:ascii="Arial" w:hAnsi="Arial" w:cs="Arial"/>
                <w:b/>
                <w:color w:val="000000"/>
                <w:sz w:val="18"/>
                <w:szCs w:val="18"/>
              </w:rPr>
            </w:pPr>
            <w:r w:rsidRPr="00DA4F31">
              <w:rPr>
                <w:rFonts w:ascii="Arial" w:hAnsi="Arial" w:cs="Arial"/>
                <w:b/>
                <w:color w:val="000000"/>
                <w:sz w:val="18"/>
                <w:szCs w:val="18"/>
              </w:rPr>
              <w:t>Mixed Regression Based Estimates</w:t>
            </w:r>
          </w:p>
        </w:tc>
      </w:tr>
      <w:tr w:rsidR="002451F3" w:rsidRPr="00DA4F31" w:rsidTr="00BB2FA6">
        <w:tc>
          <w:tcPr>
            <w:tcW w:w="1538" w:type="dxa"/>
            <w:gridSpan w:val="2"/>
            <w:tcBorders>
              <w:top w:val="nil"/>
              <w:left w:val="nil"/>
              <w:bottom w:val="nil"/>
              <w:right w:val="nil"/>
            </w:tcBorders>
            <w:shd w:val="clear" w:color="auto" w:fill="BFBFBF"/>
          </w:tcPr>
          <w:p w:rsidR="002451F3" w:rsidRPr="00DA4F31" w:rsidRDefault="002451F3" w:rsidP="00BB2FA6">
            <w:pPr>
              <w:spacing w:line="280" w:lineRule="exact"/>
              <w:jc w:val="both"/>
              <w:rPr>
                <w:rFonts w:ascii="Arial" w:hAnsi="Arial" w:cs="Arial"/>
                <w:color w:val="000000"/>
                <w:sz w:val="18"/>
                <w:szCs w:val="18"/>
              </w:rPr>
            </w:pPr>
          </w:p>
        </w:tc>
        <w:tc>
          <w:tcPr>
            <w:tcW w:w="992" w:type="dxa"/>
            <w:tcBorders>
              <w:top w:val="nil"/>
              <w:left w:val="nil"/>
              <w:bottom w:val="nil"/>
              <w:right w:val="nil"/>
            </w:tcBorders>
            <w:shd w:val="clear" w:color="auto" w:fill="BFBFBF"/>
          </w:tcPr>
          <w:p w:rsidR="002451F3" w:rsidRPr="00DA4F31" w:rsidRDefault="002451F3" w:rsidP="00BB2FA6">
            <w:pPr>
              <w:pStyle w:val="NoSpacing1"/>
              <w:spacing w:line="280" w:lineRule="exact"/>
              <w:jc w:val="center"/>
              <w:rPr>
                <w:rFonts w:ascii="Arial" w:hAnsi="Arial" w:cs="Arial"/>
                <w:b/>
                <w:color w:val="000000"/>
                <w:sz w:val="18"/>
                <w:szCs w:val="18"/>
                <w:lang w:val="en-GB"/>
              </w:rPr>
            </w:pPr>
            <w:r w:rsidRPr="00DA4F31">
              <w:rPr>
                <w:rFonts w:ascii="Arial" w:hAnsi="Arial" w:cs="Arial"/>
                <w:b/>
                <w:color w:val="000000"/>
                <w:sz w:val="18"/>
                <w:szCs w:val="18"/>
                <w:lang w:val="en-GB"/>
              </w:rPr>
              <w:t xml:space="preserve">CT </w:t>
            </w:r>
          </w:p>
        </w:tc>
        <w:tc>
          <w:tcPr>
            <w:tcW w:w="992" w:type="dxa"/>
            <w:tcBorders>
              <w:top w:val="nil"/>
              <w:left w:val="nil"/>
              <w:bottom w:val="nil"/>
              <w:right w:val="nil"/>
            </w:tcBorders>
            <w:shd w:val="clear" w:color="auto" w:fill="BFBFBF"/>
          </w:tcPr>
          <w:p w:rsidR="002451F3" w:rsidRPr="00DA4F31" w:rsidRDefault="002451F3" w:rsidP="00BB2FA6">
            <w:pPr>
              <w:pStyle w:val="NoSpacing1"/>
              <w:spacing w:line="280" w:lineRule="exact"/>
              <w:jc w:val="center"/>
              <w:rPr>
                <w:rFonts w:ascii="Arial" w:hAnsi="Arial" w:cs="Arial"/>
                <w:b/>
                <w:color w:val="000000"/>
                <w:sz w:val="18"/>
                <w:szCs w:val="18"/>
                <w:lang w:val="en-GB"/>
              </w:rPr>
            </w:pPr>
            <w:r w:rsidRPr="00DA4F31">
              <w:rPr>
                <w:rFonts w:ascii="Arial" w:hAnsi="Arial" w:cs="Arial"/>
                <w:b/>
                <w:color w:val="000000"/>
                <w:sz w:val="18"/>
                <w:szCs w:val="18"/>
                <w:lang w:val="en-GB"/>
              </w:rPr>
              <w:t>IPT</w:t>
            </w:r>
          </w:p>
        </w:tc>
        <w:tc>
          <w:tcPr>
            <w:tcW w:w="236" w:type="dxa"/>
            <w:tcBorders>
              <w:top w:val="nil"/>
              <w:left w:val="nil"/>
              <w:bottom w:val="nil"/>
              <w:right w:val="nil"/>
            </w:tcBorders>
            <w:shd w:val="clear" w:color="auto" w:fill="BFBFBF"/>
          </w:tcPr>
          <w:p w:rsidR="002451F3" w:rsidRPr="00DA4F31" w:rsidRDefault="002451F3" w:rsidP="00BB2FA6">
            <w:pPr>
              <w:pStyle w:val="NoSpacing1"/>
              <w:spacing w:line="280" w:lineRule="exact"/>
              <w:jc w:val="center"/>
              <w:rPr>
                <w:rFonts w:ascii="Arial" w:hAnsi="Arial" w:cs="Arial"/>
                <w:b/>
                <w:color w:val="000000"/>
                <w:sz w:val="18"/>
                <w:szCs w:val="18"/>
                <w:lang w:val="en-GB"/>
              </w:rPr>
            </w:pPr>
          </w:p>
        </w:tc>
        <w:tc>
          <w:tcPr>
            <w:tcW w:w="898" w:type="dxa"/>
            <w:tcBorders>
              <w:top w:val="nil"/>
              <w:left w:val="nil"/>
              <w:bottom w:val="nil"/>
              <w:right w:val="nil"/>
            </w:tcBorders>
            <w:shd w:val="clear" w:color="auto" w:fill="BFBFBF"/>
          </w:tcPr>
          <w:p w:rsidR="002451F3" w:rsidRPr="00DA4F31" w:rsidRDefault="002451F3" w:rsidP="00BB2FA6">
            <w:pPr>
              <w:pStyle w:val="NoSpacing1"/>
              <w:spacing w:line="280" w:lineRule="exact"/>
              <w:jc w:val="center"/>
              <w:rPr>
                <w:rFonts w:ascii="Arial" w:hAnsi="Arial" w:cs="Arial"/>
                <w:b/>
                <w:color w:val="000000"/>
                <w:sz w:val="18"/>
                <w:szCs w:val="18"/>
                <w:lang w:val="en-GB"/>
              </w:rPr>
            </w:pPr>
            <w:r w:rsidRPr="00DA4F31">
              <w:rPr>
                <w:rFonts w:ascii="Arial" w:hAnsi="Arial" w:cs="Arial"/>
                <w:b/>
                <w:color w:val="000000"/>
                <w:sz w:val="18"/>
                <w:szCs w:val="18"/>
                <w:lang w:val="en-GB"/>
              </w:rPr>
              <w:t>CT</w:t>
            </w:r>
          </w:p>
        </w:tc>
        <w:tc>
          <w:tcPr>
            <w:tcW w:w="993" w:type="dxa"/>
            <w:tcBorders>
              <w:top w:val="nil"/>
              <w:left w:val="nil"/>
              <w:bottom w:val="nil"/>
              <w:right w:val="nil"/>
            </w:tcBorders>
            <w:shd w:val="clear" w:color="auto" w:fill="BFBFBF"/>
          </w:tcPr>
          <w:p w:rsidR="002451F3" w:rsidRPr="00DA4F31" w:rsidRDefault="002451F3" w:rsidP="00BB2FA6">
            <w:pPr>
              <w:pStyle w:val="NoSpacing1"/>
              <w:spacing w:line="280" w:lineRule="exact"/>
              <w:jc w:val="center"/>
              <w:rPr>
                <w:rFonts w:ascii="Arial" w:hAnsi="Arial" w:cs="Arial"/>
                <w:b/>
                <w:color w:val="000000"/>
                <w:sz w:val="18"/>
                <w:szCs w:val="18"/>
                <w:lang w:val="en-GB"/>
              </w:rPr>
            </w:pPr>
            <w:r w:rsidRPr="00DA4F31">
              <w:rPr>
                <w:rFonts w:ascii="Arial" w:hAnsi="Arial" w:cs="Arial"/>
                <w:b/>
                <w:color w:val="000000"/>
                <w:sz w:val="18"/>
                <w:szCs w:val="18"/>
                <w:lang w:val="en-GB"/>
              </w:rPr>
              <w:t>IPT</w:t>
            </w:r>
          </w:p>
        </w:tc>
        <w:tc>
          <w:tcPr>
            <w:tcW w:w="3827" w:type="dxa"/>
            <w:gridSpan w:val="6"/>
            <w:tcBorders>
              <w:top w:val="nil"/>
              <w:left w:val="nil"/>
              <w:bottom w:val="nil"/>
              <w:right w:val="nil"/>
            </w:tcBorders>
            <w:shd w:val="clear" w:color="auto" w:fill="BFBFBF"/>
          </w:tcPr>
          <w:p w:rsidR="002451F3" w:rsidRPr="00DA4F31" w:rsidRDefault="002451F3" w:rsidP="00BB2FA6">
            <w:pPr>
              <w:pStyle w:val="NoSpacing1"/>
              <w:spacing w:line="280" w:lineRule="exact"/>
              <w:jc w:val="center"/>
              <w:rPr>
                <w:rFonts w:ascii="Arial" w:hAnsi="Arial" w:cs="Arial"/>
                <w:b/>
                <w:color w:val="000000"/>
                <w:sz w:val="18"/>
                <w:szCs w:val="18"/>
                <w:lang w:val="en-GB"/>
              </w:rPr>
            </w:pPr>
          </w:p>
        </w:tc>
      </w:tr>
      <w:tr w:rsidR="002451F3" w:rsidRPr="00DA4F31" w:rsidTr="00BB2FA6">
        <w:tc>
          <w:tcPr>
            <w:tcW w:w="1538" w:type="dxa"/>
            <w:gridSpan w:val="2"/>
            <w:tcBorders>
              <w:top w:val="nil"/>
              <w:left w:val="nil"/>
              <w:bottom w:val="single" w:sz="6" w:space="0" w:color="auto"/>
              <w:right w:val="nil"/>
            </w:tcBorders>
            <w:shd w:val="clear" w:color="auto" w:fill="BFBFBF"/>
          </w:tcPr>
          <w:p w:rsidR="002451F3" w:rsidRPr="00DA4F31" w:rsidRDefault="002451F3" w:rsidP="00BB2FA6">
            <w:pPr>
              <w:spacing w:line="280" w:lineRule="exact"/>
              <w:jc w:val="both"/>
              <w:rPr>
                <w:rFonts w:ascii="Arial" w:hAnsi="Arial" w:cs="Arial"/>
                <w:color w:val="000000"/>
                <w:sz w:val="18"/>
                <w:szCs w:val="18"/>
              </w:rPr>
            </w:pPr>
          </w:p>
        </w:tc>
        <w:tc>
          <w:tcPr>
            <w:tcW w:w="992" w:type="dxa"/>
            <w:tcBorders>
              <w:top w:val="nil"/>
              <w:left w:val="nil"/>
              <w:bottom w:val="single" w:sz="6" w:space="0" w:color="auto"/>
              <w:right w:val="nil"/>
            </w:tcBorders>
            <w:shd w:val="clear" w:color="auto" w:fill="BFBFBF"/>
          </w:tcPr>
          <w:p w:rsidR="002451F3" w:rsidRPr="00DA4F31" w:rsidRDefault="002451F3" w:rsidP="00BB2FA6">
            <w:pPr>
              <w:pStyle w:val="NoSpacing1"/>
              <w:spacing w:line="280" w:lineRule="exact"/>
              <w:jc w:val="center"/>
              <w:rPr>
                <w:rFonts w:ascii="Arial" w:hAnsi="Arial" w:cs="Arial"/>
                <w:color w:val="000000"/>
                <w:sz w:val="18"/>
                <w:szCs w:val="18"/>
                <w:lang w:val="en-GB"/>
              </w:rPr>
            </w:pPr>
            <w:r w:rsidRPr="00DA4F31">
              <w:rPr>
                <w:rFonts w:ascii="Arial" w:hAnsi="Arial" w:cs="Arial"/>
                <w:b/>
                <w:color w:val="000000"/>
                <w:sz w:val="18"/>
                <w:szCs w:val="18"/>
                <w:lang w:val="en-GB"/>
              </w:rPr>
              <w:t>(</w:t>
            </w:r>
            <w:r w:rsidRPr="00DA4F31">
              <w:rPr>
                <w:rFonts w:ascii="Arial" w:hAnsi="Arial" w:cs="Arial"/>
                <w:b/>
                <w:i/>
                <w:color w:val="000000"/>
                <w:sz w:val="18"/>
                <w:szCs w:val="18"/>
                <w:lang w:val="en-GB"/>
              </w:rPr>
              <w:t>n</w:t>
            </w:r>
            <w:r w:rsidRPr="00DA4F31">
              <w:rPr>
                <w:rFonts w:ascii="Arial" w:hAnsi="Arial" w:cs="Arial"/>
                <w:b/>
                <w:color w:val="000000"/>
                <w:sz w:val="18"/>
                <w:szCs w:val="18"/>
                <w:lang w:val="en-GB"/>
              </w:rPr>
              <w:t xml:space="preserve"> = 76)</w:t>
            </w:r>
          </w:p>
        </w:tc>
        <w:tc>
          <w:tcPr>
            <w:tcW w:w="992" w:type="dxa"/>
            <w:tcBorders>
              <w:top w:val="nil"/>
              <w:left w:val="nil"/>
              <w:bottom w:val="single" w:sz="6" w:space="0" w:color="auto"/>
              <w:right w:val="nil"/>
            </w:tcBorders>
            <w:shd w:val="clear" w:color="auto" w:fill="BFBFBF"/>
          </w:tcPr>
          <w:p w:rsidR="002451F3" w:rsidRPr="00DA4F31" w:rsidRDefault="002451F3" w:rsidP="00BB2FA6">
            <w:pPr>
              <w:pStyle w:val="NoSpacing1"/>
              <w:spacing w:line="280" w:lineRule="exact"/>
              <w:jc w:val="center"/>
              <w:rPr>
                <w:rFonts w:ascii="Arial" w:hAnsi="Arial" w:cs="Arial"/>
                <w:color w:val="000000"/>
                <w:sz w:val="18"/>
                <w:szCs w:val="18"/>
                <w:lang w:val="en-GB"/>
              </w:rPr>
            </w:pPr>
            <w:r w:rsidRPr="00DA4F31">
              <w:rPr>
                <w:rFonts w:ascii="Arial" w:hAnsi="Arial" w:cs="Arial"/>
                <w:b/>
                <w:color w:val="000000"/>
                <w:sz w:val="18"/>
                <w:szCs w:val="18"/>
                <w:lang w:val="en-GB"/>
              </w:rPr>
              <w:t>(</w:t>
            </w:r>
            <w:r w:rsidRPr="00DA4F31">
              <w:rPr>
                <w:rFonts w:ascii="Arial" w:hAnsi="Arial" w:cs="Arial"/>
                <w:b/>
                <w:i/>
                <w:color w:val="000000"/>
                <w:sz w:val="18"/>
                <w:szCs w:val="18"/>
                <w:lang w:val="en-GB"/>
              </w:rPr>
              <w:t>n</w:t>
            </w:r>
            <w:r w:rsidRPr="00DA4F31">
              <w:rPr>
                <w:rFonts w:ascii="Arial" w:hAnsi="Arial" w:cs="Arial"/>
                <w:b/>
                <w:color w:val="000000"/>
                <w:sz w:val="18"/>
                <w:szCs w:val="18"/>
                <w:lang w:val="en-GB"/>
              </w:rPr>
              <w:t xml:space="preserve"> = 75)</w:t>
            </w:r>
          </w:p>
        </w:tc>
        <w:tc>
          <w:tcPr>
            <w:tcW w:w="236" w:type="dxa"/>
            <w:tcBorders>
              <w:top w:val="nil"/>
              <w:left w:val="nil"/>
              <w:bottom w:val="single" w:sz="6" w:space="0" w:color="auto"/>
              <w:right w:val="nil"/>
            </w:tcBorders>
            <w:shd w:val="clear" w:color="auto" w:fill="BFBFBF"/>
          </w:tcPr>
          <w:p w:rsidR="002451F3" w:rsidRPr="00DA4F31" w:rsidRDefault="002451F3" w:rsidP="00BB2FA6">
            <w:pPr>
              <w:pStyle w:val="NoSpacing1"/>
              <w:spacing w:line="280" w:lineRule="exact"/>
              <w:rPr>
                <w:rFonts w:ascii="Arial" w:hAnsi="Arial" w:cs="Arial"/>
                <w:color w:val="000000"/>
                <w:sz w:val="18"/>
                <w:szCs w:val="18"/>
                <w:lang w:val="en-GB"/>
              </w:rPr>
            </w:pPr>
          </w:p>
        </w:tc>
        <w:tc>
          <w:tcPr>
            <w:tcW w:w="898" w:type="dxa"/>
            <w:tcBorders>
              <w:top w:val="nil"/>
              <w:left w:val="nil"/>
              <w:bottom w:val="single" w:sz="6" w:space="0" w:color="auto"/>
              <w:right w:val="nil"/>
            </w:tcBorders>
            <w:shd w:val="clear" w:color="auto" w:fill="BFBFBF"/>
          </w:tcPr>
          <w:p w:rsidR="002451F3" w:rsidRPr="00DA4F31" w:rsidRDefault="002451F3" w:rsidP="00BB2FA6">
            <w:pPr>
              <w:pStyle w:val="NoSpacing1"/>
              <w:spacing w:line="280" w:lineRule="exact"/>
              <w:rPr>
                <w:rFonts w:ascii="Arial" w:hAnsi="Arial" w:cs="Arial"/>
                <w:color w:val="000000"/>
                <w:sz w:val="18"/>
                <w:szCs w:val="18"/>
                <w:lang w:val="en-GB"/>
              </w:rPr>
            </w:pPr>
            <w:r w:rsidRPr="00DA4F31">
              <w:rPr>
                <w:rFonts w:ascii="Arial" w:hAnsi="Arial" w:cs="Arial"/>
                <w:b/>
                <w:color w:val="000000"/>
                <w:sz w:val="18"/>
                <w:szCs w:val="18"/>
                <w:lang w:val="en-GB"/>
              </w:rPr>
              <w:t>(</w:t>
            </w:r>
            <w:r w:rsidRPr="00DA4F31">
              <w:rPr>
                <w:rFonts w:ascii="Arial" w:hAnsi="Arial" w:cs="Arial"/>
                <w:b/>
                <w:i/>
                <w:color w:val="000000"/>
                <w:sz w:val="18"/>
                <w:szCs w:val="18"/>
                <w:lang w:val="en-GB"/>
              </w:rPr>
              <w:t>n</w:t>
            </w:r>
            <w:r w:rsidRPr="00DA4F31">
              <w:rPr>
                <w:rFonts w:ascii="Arial" w:hAnsi="Arial" w:cs="Arial"/>
                <w:b/>
                <w:color w:val="000000"/>
                <w:sz w:val="18"/>
                <w:szCs w:val="18"/>
                <w:lang w:val="en-GB"/>
              </w:rPr>
              <w:t xml:space="preserve"> = 76)</w:t>
            </w:r>
          </w:p>
        </w:tc>
        <w:tc>
          <w:tcPr>
            <w:tcW w:w="993" w:type="dxa"/>
            <w:tcBorders>
              <w:top w:val="nil"/>
              <w:left w:val="nil"/>
              <w:bottom w:val="single" w:sz="6" w:space="0" w:color="auto"/>
              <w:right w:val="nil"/>
            </w:tcBorders>
            <w:shd w:val="clear" w:color="auto" w:fill="BFBFBF"/>
          </w:tcPr>
          <w:p w:rsidR="002451F3" w:rsidRPr="00DA4F31" w:rsidRDefault="002451F3" w:rsidP="00BB2FA6">
            <w:pPr>
              <w:pStyle w:val="NoSpacing1"/>
              <w:spacing w:line="280" w:lineRule="exact"/>
              <w:jc w:val="center"/>
              <w:rPr>
                <w:rFonts w:ascii="Arial" w:hAnsi="Arial" w:cs="Arial"/>
                <w:color w:val="000000"/>
                <w:sz w:val="18"/>
                <w:szCs w:val="18"/>
                <w:lang w:val="en-GB"/>
              </w:rPr>
            </w:pPr>
            <w:r w:rsidRPr="00DA4F31">
              <w:rPr>
                <w:rFonts w:ascii="Arial" w:hAnsi="Arial" w:cs="Arial"/>
                <w:b/>
                <w:color w:val="000000"/>
                <w:sz w:val="18"/>
                <w:szCs w:val="18"/>
                <w:lang w:val="en-GB"/>
              </w:rPr>
              <w:t>(</w:t>
            </w:r>
            <w:r w:rsidRPr="00DA4F31">
              <w:rPr>
                <w:rFonts w:ascii="Arial" w:hAnsi="Arial" w:cs="Arial"/>
                <w:b/>
                <w:i/>
                <w:color w:val="000000"/>
                <w:sz w:val="18"/>
                <w:szCs w:val="18"/>
                <w:lang w:val="en-GB"/>
              </w:rPr>
              <w:t>n</w:t>
            </w:r>
            <w:r w:rsidRPr="00DA4F31">
              <w:rPr>
                <w:rFonts w:ascii="Arial" w:hAnsi="Arial" w:cs="Arial"/>
                <w:b/>
                <w:color w:val="000000"/>
                <w:sz w:val="18"/>
                <w:szCs w:val="18"/>
                <w:lang w:val="en-GB"/>
              </w:rPr>
              <w:t xml:space="preserve"> = 75)</w:t>
            </w:r>
          </w:p>
        </w:tc>
        <w:tc>
          <w:tcPr>
            <w:tcW w:w="708" w:type="dxa"/>
            <w:tcBorders>
              <w:top w:val="nil"/>
              <w:left w:val="nil"/>
              <w:bottom w:val="single" w:sz="6" w:space="0" w:color="auto"/>
              <w:right w:val="nil"/>
            </w:tcBorders>
            <w:shd w:val="clear" w:color="auto" w:fill="BFBFBF"/>
          </w:tcPr>
          <w:p w:rsidR="002451F3" w:rsidRPr="00DA4F31" w:rsidRDefault="002451F3" w:rsidP="00BB2FA6">
            <w:pPr>
              <w:spacing w:line="280" w:lineRule="exact"/>
              <w:jc w:val="center"/>
              <w:rPr>
                <w:rFonts w:ascii="Arial" w:hAnsi="Arial" w:cs="Arial"/>
                <w:b/>
                <w:color w:val="000000"/>
                <w:sz w:val="18"/>
                <w:szCs w:val="18"/>
              </w:rPr>
            </w:pPr>
            <w:r w:rsidRPr="00DA4F31">
              <w:rPr>
                <w:rFonts w:ascii="Arial" w:hAnsi="Arial" w:cs="Arial"/>
                <w:b/>
                <w:color w:val="000000"/>
                <w:sz w:val="18"/>
                <w:szCs w:val="18"/>
              </w:rPr>
              <w:t>B</w:t>
            </w:r>
          </w:p>
        </w:tc>
        <w:tc>
          <w:tcPr>
            <w:tcW w:w="1276" w:type="dxa"/>
            <w:gridSpan w:val="2"/>
            <w:tcBorders>
              <w:top w:val="nil"/>
              <w:left w:val="nil"/>
              <w:bottom w:val="single" w:sz="6" w:space="0" w:color="auto"/>
              <w:right w:val="nil"/>
            </w:tcBorders>
            <w:shd w:val="clear" w:color="auto" w:fill="BFBFBF"/>
          </w:tcPr>
          <w:p w:rsidR="002451F3" w:rsidRPr="00DA4F31" w:rsidRDefault="002451F3" w:rsidP="00BB2FA6">
            <w:pPr>
              <w:pStyle w:val="Geenafstand1"/>
              <w:spacing w:line="280" w:lineRule="exact"/>
              <w:jc w:val="center"/>
              <w:rPr>
                <w:rFonts w:ascii="Arial" w:hAnsi="Arial" w:cs="Arial"/>
                <w:b/>
                <w:color w:val="000000"/>
                <w:sz w:val="18"/>
                <w:szCs w:val="18"/>
                <w:lang w:val="en-GB"/>
              </w:rPr>
            </w:pPr>
            <w:r w:rsidRPr="00DA4F31">
              <w:rPr>
                <w:rFonts w:ascii="Arial" w:hAnsi="Arial" w:cs="Arial"/>
                <w:b/>
                <w:color w:val="000000"/>
                <w:sz w:val="18"/>
                <w:szCs w:val="18"/>
                <w:lang w:val="en-GB"/>
              </w:rPr>
              <w:t>95% CI</w:t>
            </w:r>
          </w:p>
        </w:tc>
        <w:tc>
          <w:tcPr>
            <w:tcW w:w="709" w:type="dxa"/>
            <w:tcBorders>
              <w:top w:val="nil"/>
              <w:left w:val="nil"/>
              <w:bottom w:val="single" w:sz="6" w:space="0" w:color="auto"/>
              <w:right w:val="nil"/>
            </w:tcBorders>
            <w:shd w:val="clear" w:color="auto" w:fill="BFBFBF"/>
          </w:tcPr>
          <w:p w:rsidR="002451F3" w:rsidRPr="00DA4F31" w:rsidRDefault="002451F3" w:rsidP="00BB2FA6">
            <w:pPr>
              <w:pStyle w:val="Geenafstand1"/>
              <w:spacing w:line="280" w:lineRule="exact"/>
              <w:jc w:val="center"/>
              <w:rPr>
                <w:rFonts w:ascii="Arial" w:hAnsi="Arial" w:cs="Arial"/>
                <w:b/>
                <w:i/>
                <w:color w:val="000000"/>
                <w:sz w:val="18"/>
                <w:szCs w:val="18"/>
                <w:lang w:val="en-GB"/>
              </w:rPr>
            </w:pPr>
            <w:r w:rsidRPr="00DA4F31">
              <w:rPr>
                <w:rFonts w:ascii="Arial" w:hAnsi="Arial" w:cs="Arial"/>
                <w:b/>
                <w:i/>
                <w:color w:val="000000"/>
                <w:sz w:val="18"/>
                <w:szCs w:val="18"/>
                <w:lang w:val="en-GB"/>
              </w:rPr>
              <w:t>F</w:t>
            </w:r>
          </w:p>
        </w:tc>
        <w:tc>
          <w:tcPr>
            <w:tcW w:w="567" w:type="dxa"/>
            <w:tcBorders>
              <w:top w:val="nil"/>
              <w:left w:val="nil"/>
              <w:bottom w:val="single" w:sz="6" w:space="0" w:color="auto"/>
              <w:right w:val="nil"/>
            </w:tcBorders>
            <w:shd w:val="clear" w:color="auto" w:fill="BFBFBF"/>
          </w:tcPr>
          <w:p w:rsidR="002451F3" w:rsidRPr="00DA4F31" w:rsidRDefault="002451F3" w:rsidP="00BB2FA6">
            <w:pPr>
              <w:pStyle w:val="Geenafstand1"/>
              <w:spacing w:line="280" w:lineRule="exact"/>
              <w:jc w:val="center"/>
              <w:rPr>
                <w:rFonts w:ascii="Arial" w:hAnsi="Arial" w:cs="Arial"/>
                <w:b/>
                <w:color w:val="000000"/>
                <w:sz w:val="18"/>
                <w:szCs w:val="18"/>
                <w:lang w:val="en-GB"/>
              </w:rPr>
            </w:pPr>
            <w:r w:rsidRPr="00DA4F31">
              <w:rPr>
                <w:rFonts w:ascii="Arial" w:hAnsi="Arial" w:cs="Arial"/>
                <w:b/>
                <w:color w:val="000000"/>
                <w:sz w:val="18"/>
                <w:szCs w:val="18"/>
                <w:lang w:val="en-GB"/>
              </w:rPr>
              <w:t>d.f.</w:t>
            </w:r>
          </w:p>
        </w:tc>
        <w:tc>
          <w:tcPr>
            <w:tcW w:w="567" w:type="dxa"/>
            <w:tcBorders>
              <w:top w:val="nil"/>
              <w:left w:val="nil"/>
              <w:bottom w:val="single" w:sz="6" w:space="0" w:color="auto"/>
              <w:right w:val="nil"/>
            </w:tcBorders>
            <w:shd w:val="clear" w:color="auto" w:fill="BFBFBF"/>
          </w:tcPr>
          <w:p w:rsidR="002451F3" w:rsidRPr="00DA4F31" w:rsidRDefault="002451F3" w:rsidP="00BB2FA6">
            <w:pPr>
              <w:spacing w:line="280" w:lineRule="exact"/>
              <w:jc w:val="center"/>
              <w:rPr>
                <w:rFonts w:ascii="Arial" w:hAnsi="Arial" w:cs="Arial"/>
                <w:b/>
                <w:i/>
                <w:color w:val="000000"/>
                <w:sz w:val="18"/>
                <w:szCs w:val="18"/>
              </w:rPr>
            </w:pPr>
            <w:r w:rsidRPr="00DA4F31">
              <w:rPr>
                <w:rFonts w:ascii="Arial" w:hAnsi="Arial" w:cs="Arial"/>
                <w:b/>
                <w:i/>
                <w:color w:val="000000"/>
                <w:sz w:val="18"/>
                <w:szCs w:val="18"/>
              </w:rPr>
              <w:t>p</w:t>
            </w:r>
          </w:p>
        </w:tc>
      </w:tr>
      <w:tr w:rsidR="002451F3" w:rsidRPr="00DA4F31" w:rsidTr="00BB2FA6">
        <w:tc>
          <w:tcPr>
            <w:tcW w:w="3522" w:type="dxa"/>
            <w:gridSpan w:val="4"/>
            <w:tcBorders>
              <w:top w:val="single" w:sz="6" w:space="0" w:color="auto"/>
              <w:left w:val="nil"/>
              <w:bottom w:val="nil"/>
              <w:right w:val="nil"/>
            </w:tcBorders>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b/>
                <w:color w:val="000000"/>
                <w:sz w:val="18"/>
                <w:szCs w:val="18"/>
              </w:rPr>
              <w:t>Response</w:t>
            </w:r>
          </w:p>
        </w:tc>
        <w:tc>
          <w:tcPr>
            <w:tcW w:w="236" w:type="dxa"/>
            <w:tcBorders>
              <w:top w:val="single" w:sz="6" w:space="0" w:color="auto"/>
              <w:left w:val="nil"/>
              <w:bottom w:val="nil"/>
              <w:right w:val="nil"/>
            </w:tcBorders>
          </w:tcPr>
          <w:p w:rsidR="002451F3" w:rsidRPr="00DA4F31" w:rsidRDefault="002451F3" w:rsidP="00BB2FA6">
            <w:pPr>
              <w:spacing w:line="280" w:lineRule="exact"/>
              <w:rPr>
                <w:rFonts w:ascii="Arial" w:hAnsi="Arial" w:cs="Arial"/>
                <w:color w:val="000000"/>
                <w:sz w:val="18"/>
                <w:szCs w:val="18"/>
              </w:rPr>
            </w:pPr>
          </w:p>
        </w:tc>
        <w:tc>
          <w:tcPr>
            <w:tcW w:w="5718" w:type="dxa"/>
            <w:gridSpan w:val="8"/>
            <w:tcBorders>
              <w:top w:val="single" w:sz="6" w:space="0" w:color="auto"/>
              <w:left w:val="nil"/>
              <w:bottom w:val="nil"/>
              <w:right w:val="nil"/>
            </w:tcBorders>
          </w:tcPr>
          <w:p w:rsidR="002451F3" w:rsidRPr="00DA4F31" w:rsidRDefault="002451F3" w:rsidP="00BB2FA6">
            <w:pPr>
              <w:spacing w:line="280" w:lineRule="exact"/>
              <w:rPr>
                <w:rFonts w:ascii="Arial" w:hAnsi="Arial" w:cs="Arial"/>
                <w:color w:val="000000"/>
                <w:sz w:val="18"/>
                <w:szCs w:val="18"/>
              </w:rPr>
            </w:pPr>
          </w:p>
        </w:tc>
      </w:tr>
      <w:tr w:rsidR="002451F3" w:rsidRPr="00DA4F31" w:rsidTr="00BB2FA6">
        <w:tc>
          <w:tcPr>
            <w:tcW w:w="357"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color w:val="000000"/>
                <w:sz w:val="18"/>
                <w:szCs w:val="18"/>
              </w:rPr>
              <w:t>3 months</w:t>
            </w:r>
          </w:p>
        </w:tc>
        <w:tc>
          <w:tcPr>
            <w:tcW w:w="992"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40.8%</w:t>
            </w:r>
          </w:p>
        </w:tc>
        <w:tc>
          <w:tcPr>
            <w:tcW w:w="992"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44.0%</w:t>
            </w:r>
          </w:p>
        </w:tc>
        <w:tc>
          <w:tcPr>
            <w:tcW w:w="236"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p>
        </w:tc>
        <w:tc>
          <w:tcPr>
            <w:tcW w:w="898"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40.5%</w:t>
            </w:r>
          </w:p>
        </w:tc>
        <w:tc>
          <w:tcPr>
            <w:tcW w:w="993"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45.0%</w:t>
            </w:r>
          </w:p>
        </w:tc>
        <w:tc>
          <w:tcPr>
            <w:tcW w:w="708"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-0.05</w:t>
            </w:r>
          </w:p>
        </w:tc>
        <w:tc>
          <w:tcPr>
            <w:tcW w:w="1276" w:type="dxa"/>
            <w:gridSpan w:val="2"/>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-0.22 – 0.12</w:t>
            </w:r>
          </w:p>
        </w:tc>
        <w:tc>
          <w:tcPr>
            <w:tcW w:w="709"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0.28</w:t>
            </w:r>
          </w:p>
        </w:tc>
        <w:tc>
          <w:tcPr>
            <w:tcW w:w="567"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.60</w:t>
            </w:r>
          </w:p>
        </w:tc>
      </w:tr>
      <w:tr w:rsidR="002451F3" w:rsidRPr="00DA4F31" w:rsidTr="00BB2FA6">
        <w:tc>
          <w:tcPr>
            <w:tcW w:w="357"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color w:val="000000"/>
                <w:sz w:val="18"/>
                <w:szCs w:val="18"/>
              </w:rPr>
              <w:t>7 months</w:t>
            </w:r>
          </w:p>
        </w:tc>
        <w:tc>
          <w:tcPr>
            <w:tcW w:w="992"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68.4%</w:t>
            </w:r>
          </w:p>
        </w:tc>
        <w:tc>
          <w:tcPr>
            <w:tcW w:w="992"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66.7%</w:t>
            </w:r>
          </w:p>
        </w:tc>
        <w:tc>
          <w:tcPr>
            <w:tcW w:w="236"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p>
        </w:tc>
        <w:tc>
          <w:tcPr>
            <w:tcW w:w="898"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69.5%</w:t>
            </w:r>
          </w:p>
        </w:tc>
        <w:tc>
          <w:tcPr>
            <w:tcW w:w="993"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69.1%</w:t>
            </w:r>
          </w:p>
        </w:tc>
        <w:tc>
          <w:tcPr>
            <w:tcW w:w="708"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0.00</w:t>
            </w:r>
          </w:p>
        </w:tc>
        <w:tc>
          <w:tcPr>
            <w:tcW w:w="1276" w:type="dxa"/>
            <w:gridSpan w:val="2"/>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-0.15 – 0.16</w:t>
            </w:r>
          </w:p>
        </w:tc>
        <w:tc>
          <w:tcPr>
            <w:tcW w:w="709"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0.00</w:t>
            </w:r>
          </w:p>
        </w:tc>
        <w:tc>
          <w:tcPr>
            <w:tcW w:w="567"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.96</w:t>
            </w:r>
          </w:p>
        </w:tc>
      </w:tr>
      <w:tr w:rsidR="002451F3" w:rsidRPr="00DA4F31" w:rsidTr="00BB2FA6">
        <w:tc>
          <w:tcPr>
            <w:tcW w:w="357" w:type="dxa"/>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color w:val="000000"/>
                <w:sz w:val="18"/>
                <w:szCs w:val="18"/>
              </w:rPr>
              <w:t>9 months</w:t>
            </w:r>
          </w:p>
        </w:tc>
        <w:tc>
          <w:tcPr>
            <w:tcW w:w="992" w:type="dxa"/>
            <w:tcBorders>
              <w:top w:val="nil"/>
              <w:left w:val="nil"/>
              <w:bottom w:val="nil"/>
              <w:right w:val="nil"/>
            </w:tcBorders>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57.9%</w:t>
            </w:r>
          </w:p>
        </w:tc>
        <w:tc>
          <w:tcPr>
            <w:tcW w:w="992"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61.3%</w:t>
            </w:r>
          </w:p>
        </w:tc>
        <w:tc>
          <w:tcPr>
            <w:tcW w:w="236" w:type="dxa"/>
            <w:tcBorders>
              <w:top w:val="nil"/>
              <w:left w:val="nil"/>
              <w:bottom w:val="nil"/>
              <w:right w:val="nil"/>
            </w:tcBorders>
            <w:shd w:val="clear" w:color="auto" w:fill="auto"/>
          </w:tcPr>
          <w:p w:rsidR="002451F3" w:rsidRPr="00DA4F31" w:rsidRDefault="002451F3" w:rsidP="00BB2FA6">
            <w:pPr>
              <w:tabs>
                <w:tab w:val="left" w:pos="252"/>
              </w:tabs>
              <w:spacing w:line="280" w:lineRule="exact"/>
              <w:jc w:val="center"/>
              <w:rPr>
                <w:rFonts w:ascii="Arial" w:hAnsi="Arial" w:cs="Arial"/>
                <w:color w:val="000000"/>
                <w:sz w:val="18"/>
                <w:szCs w:val="18"/>
              </w:rPr>
            </w:pPr>
          </w:p>
        </w:tc>
        <w:tc>
          <w:tcPr>
            <w:tcW w:w="898" w:type="dxa"/>
            <w:tcBorders>
              <w:top w:val="nil"/>
              <w:left w:val="nil"/>
              <w:bottom w:val="nil"/>
              <w:right w:val="nil"/>
            </w:tcBorders>
            <w:shd w:val="clear" w:color="auto" w:fill="auto"/>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58.1%</w:t>
            </w:r>
          </w:p>
        </w:tc>
        <w:tc>
          <w:tcPr>
            <w:tcW w:w="993"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63.7%</w:t>
            </w:r>
          </w:p>
        </w:tc>
        <w:tc>
          <w:tcPr>
            <w:tcW w:w="708" w:type="dxa"/>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-0.06</w:t>
            </w:r>
          </w:p>
        </w:tc>
        <w:tc>
          <w:tcPr>
            <w:tcW w:w="1276" w:type="dxa"/>
            <w:gridSpan w:val="2"/>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-0.22 – 0.11</w:t>
            </w:r>
          </w:p>
        </w:tc>
        <w:tc>
          <w:tcPr>
            <w:tcW w:w="709"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0.45</w:t>
            </w:r>
          </w:p>
        </w:tc>
        <w:tc>
          <w:tcPr>
            <w:tcW w:w="567" w:type="dxa"/>
            <w:tcBorders>
              <w:top w:val="nil"/>
              <w:left w:val="nil"/>
              <w:bottom w:val="nil"/>
              <w:right w:val="nil"/>
            </w:tcBorders>
            <w:shd w:val="clear" w:color="auto" w:fill="auto"/>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.50</w:t>
            </w:r>
          </w:p>
        </w:tc>
      </w:tr>
      <w:tr w:rsidR="002451F3" w:rsidRPr="00DA4F31" w:rsidTr="00BB2FA6">
        <w:tc>
          <w:tcPr>
            <w:tcW w:w="357" w:type="dxa"/>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color w:val="000000"/>
                <w:sz w:val="18"/>
                <w:szCs w:val="18"/>
              </w:rPr>
              <w:t>12 months</w:t>
            </w:r>
          </w:p>
        </w:tc>
        <w:tc>
          <w:tcPr>
            <w:tcW w:w="992" w:type="dxa"/>
            <w:tcBorders>
              <w:top w:val="nil"/>
              <w:left w:val="nil"/>
              <w:bottom w:val="nil"/>
              <w:right w:val="nil"/>
            </w:tcBorders>
          </w:tcPr>
          <w:p w:rsidR="002451F3" w:rsidRPr="00DA4F31" w:rsidRDefault="002451F3" w:rsidP="00BB2FA6">
            <w:pPr>
              <w:tabs>
                <w:tab w:val="left" w:pos="252"/>
                <w:tab w:val="left" w:pos="492"/>
              </w:tabs>
              <w:spacing w:line="280" w:lineRule="exact"/>
              <w:jc w:val="center"/>
              <w:rPr>
                <w:rFonts w:ascii="Arial" w:hAnsi="Arial" w:cs="Arial"/>
                <w:color w:val="000000"/>
                <w:sz w:val="18"/>
                <w:szCs w:val="18"/>
              </w:rPr>
            </w:pPr>
            <w:r w:rsidRPr="00DA4F31">
              <w:rPr>
                <w:rFonts w:ascii="Arial" w:hAnsi="Arial" w:cs="Arial"/>
                <w:color w:val="000000"/>
                <w:sz w:val="18"/>
                <w:szCs w:val="18"/>
              </w:rPr>
              <w:t>60.5%</w:t>
            </w:r>
          </w:p>
        </w:tc>
        <w:tc>
          <w:tcPr>
            <w:tcW w:w="992"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54.7%</w:t>
            </w:r>
          </w:p>
        </w:tc>
        <w:tc>
          <w:tcPr>
            <w:tcW w:w="236" w:type="dxa"/>
            <w:tcBorders>
              <w:top w:val="nil"/>
              <w:left w:val="nil"/>
              <w:bottom w:val="nil"/>
              <w:right w:val="nil"/>
            </w:tcBorders>
            <w:shd w:val="clear" w:color="auto" w:fill="auto"/>
          </w:tcPr>
          <w:p w:rsidR="002451F3" w:rsidRPr="00DA4F31" w:rsidRDefault="002451F3" w:rsidP="00BB2FA6">
            <w:pPr>
              <w:tabs>
                <w:tab w:val="left" w:pos="252"/>
                <w:tab w:val="left" w:pos="1462"/>
              </w:tabs>
              <w:spacing w:line="280" w:lineRule="exact"/>
              <w:jc w:val="center"/>
              <w:rPr>
                <w:rFonts w:ascii="Arial" w:hAnsi="Arial" w:cs="Arial"/>
                <w:color w:val="000000"/>
                <w:sz w:val="18"/>
                <w:szCs w:val="18"/>
              </w:rPr>
            </w:pPr>
          </w:p>
        </w:tc>
        <w:tc>
          <w:tcPr>
            <w:tcW w:w="898" w:type="dxa"/>
            <w:tcBorders>
              <w:top w:val="nil"/>
              <w:left w:val="nil"/>
              <w:bottom w:val="nil"/>
              <w:right w:val="nil"/>
            </w:tcBorders>
            <w:shd w:val="clear" w:color="auto" w:fill="auto"/>
          </w:tcPr>
          <w:p w:rsidR="002451F3" w:rsidRPr="00DA4F31" w:rsidRDefault="002451F3" w:rsidP="00BB2FA6">
            <w:pPr>
              <w:tabs>
                <w:tab w:val="left" w:pos="252"/>
                <w:tab w:val="left" w:pos="1462"/>
              </w:tabs>
              <w:spacing w:line="280" w:lineRule="exact"/>
              <w:jc w:val="center"/>
              <w:rPr>
                <w:rFonts w:ascii="Arial" w:hAnsi="Arial" w:cs="Arial"/>
                <w:color w:val="000000"/>
                <w:sz w:val="18"/>
                <w:szCs w:val="18"/>
              </w:rPr>
            </w:pPr>
            <w:r w:rsidRPr="00DA4F31">
              <w:rPr>
                <w:rFonts w:ascii="Arial" w:hAnsi="Arial" w:cs="Arial"/>
                <w:color w:val="000000"/>
                <w:sz w:val="18"/>
                <w:szCs w:val="18"/>
              </w:rPr>
              <w:t>60.1%</w:t>
            </w:r>
          </w:p>
        </w:tc>
        <w:tc>
          <w:tcPr>
            <w:tcW w:w="993"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57.4%</w:t>
            </w:r>
          </w:p>
        </w:tc>
        <w:tc>
          <w:tcPr>
            <w:tcW w:w="708" w:type="dxa"/>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0.03</w:t>
            </w:r>
          </w:p>
        </w:tc>
        <w:tc>
          <w:tcPr>
            <w:tcW w:w="1276" w:type="dxa"/>
            <w:gridSpan w:val="2"/>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-0.14 – 0.19</w:t>
            </w:r>
          </w:p>
        </w:tc>
        <w:tc>
          <w:tcPr>
            <w:tcW w:w="709"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0.10</w:t>
            </w:r>
          </w:p>
        </w:tc>
        <w:tc>
          <w:tcPr>
            <w:tcW w:w="567" w:type="dxa"/>
            <w:tcBorders>
              <w:top w:val="nil"/>
              <w:left w:val="nil"/>
              <w:bottom w:val="nil"/>
              <w:right w:val="nil"/>
            </w:tcBorders>
            <w:shd w:val="clear" w:color="auto" w:fill="auto"/>
          </w:tcPr>
          <w:p w:rsidR="002451F3" w:rsidRPr="00DA4F31" w:rsidRDefault="002451F3" w:rsidP="00BB2FA6">
            <w:pPr>
              <w:tabs>
                <w:tab w:val="left" w:pos="252"/>
                <w:tab w:val="left" w:pos="1462"/>
              </w:tabs>
              <w:spacing w:line="280" w:lineRule="exact"/>
              <w:jc w:val="center"/>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.76</w:t>
            </w:r>
          </w:p>
        </w:tc>
      </w:tr>
      <w:tr w:rsidR="002451F3" w:rsidRPr="00DA4F31" w:rsidTr="00BB2FA6">
        <w:tc>
          <w:tcPr>
            <w:tcW w:w="9476" w:type="dxa"/>
            <w:gridSpan w:val="13"/>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b/>
                <w:color w:val="000000"/>
                <w:sz w:val="18"/>
                <w:szCs w:val="18"/>
              </w:rPr>
              <w:t>Remission</w:t>
            </w:r>
          </w:p>
        </w:tc>
      </w:tr>
      <w:tr w:rsidR="002451F3" w:rsidRPr="00DA4F31" w:rsidTr="00BB2FA6">
        <w:tc>
          <w:tcPr>
            <w:tcW w:w="357"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nil"/>
              <w:right w:val="nil"/>
            </w:tcBorders>
          </w:tcPr>
          <w:p w:rsidR="002451F3" w:rsidRPr="00DA4F31" w:rsidRDefault="002451F3" w:rsidP="00BB2FA6">
            <w:pPr>
              <w:spacing w:line="280" w:lineRule="exact"/>
              <w:jc w:val="both"/>
              <w:rPr>
                <w:rFonts w:ascii="Arial" w:hAnsi="Arial" w:cs="Arial"/>
                <w:color w:val="000000"/>
                <w:sz w:val="18"/>
                <w:szCs w:val="18"/>
              </w:rPr>
            </w:pPr>
            <w:r w:rsidRPr="00DA4F31">
              <w:rPr>
                <w:rFonts w:ascii="Arial" w:hAnsi="Arial" w:cs="Arial"/>
                <w:color w:val="000000"/>
                <w:sz w:val="18"/>
                <w:szCs w:val="18"/>
              </w:rPr>
              <w:t>3 months</w:t>
            </w:r>
          </w:p>
        </w:tc>
        <w:tc>
          <w:tcPr>
            <w:tcW w:w="992"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11.8%</w:t>
            </w:r>
          </w:p>
        </w:tc>
        <w:tc>
          <w:tcPr>
            <w:tcW w:w="992"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13.3%</w:t>
            </w:r>
          </w:p>
        </w:tc>
        <w:tc>
          <w:tcPr>
            <w:tcW w:w="236" w:type="dxa"/>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p>
        </w:tc>
        <w:tc>
          <w:tcPr>
            <w:tcW w:w="898"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 xml:space="preserve"> 2.0%</w:t>
            </w:r>
          </w:p>
        </w:tc>
        <w:tc>
          <w:tcPr>
            <w:tcW w:w="993"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5.1%</w:t>
            </w:r>
          </w:p>
        </w:tc>
        <w:tc>
          <w:tcPr>
            <w:tcW w:w="708"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-0.03</w:t>
            </w:r>
          </w:p>
        </w:tc>
        <w:tc>
          <w:tcPr>
            <w:tcW w:w="1260" w:type="dxa"/>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-0.07 – 0.01</w:t>
            </w:r>
          </w:p>
        </w:tc>
        <w:tc>
          <w:tcPr>
            <w:tcW w:w="725" w:type="dxa"/>
            <w:gridSpan w:val="2"/>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2.47</w:t>
            </w:r>
          </w:p>
        </w:tc>
        <w:tc>
          <w:tcPr>
            <w:tcW w:w="567" w:type="dxa"/>
            <w:tcBorders>
              <w:top w:val="nil"/>
              <w:left w:val="nil"/>
              <w:bottom w:val="nil"/>
              <w:right w:val="nil"/>
            </w:tcBorders>
            <w:shd w:val="clear" w:color="auto" w:fill="auto"/>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.12</w:t>
            </w:r>
          </w:p>
        </w:tc>
      </w:tr>
      <w:tr w:rsidR="002451F3" w:rsidRPr="00DA4F31" w:rsidTr="00BB2FA6">
        <w:tc>
          <w:tcPr>
            <w:tcW w:w="357"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nil"/>
              <w:right w:val="nil"/>
            </w:tcBorders>
          </w:tcPr>
          <w:p w:rsidR="002451F3" w:rsidRPr="00DA4F31" w:rsidRDefault="002451F3" w:rsidP="00BB2FA6">
            <w:pPr>
              <w:spacing w:line="280" w:lineRule="exact"/>
              <w:jc w:val="both"/>
              <w:rPr>
                <w:rFonts w:ascii="Arial" w:hAnsi="Arial" w:cs="Arial"/>
                <w:color w:val="000000"/>
                <w:sz w:val="18"/>
                <w:szCs w:val="18"/>
              </w:rPr>
            </w:pPr>
            <w:r w:rsidRPr="00DA4F31">
              <w:rPr>
                <w:rFonts w:ascii="Arial" w:hAnsi="Arial" w:cs="Arial"/>
                <w:color w:val="000000"/>
                <w:sz w:val="18"/>
                <w:szCs w:val="18"/>
              </w:rPr>
              <w:t>7 months</w:t>
            </w:r>
          </w:p>
        </w:tc>
        <w:tc>
          <w:tcPr>
            <w:tcW w:w="992"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34.2%</w:t>
            </w:r>
          </w:p>
        </w:tc>
        <w:tc>
          <w:tcPr>
            <w:tcW w:w="992"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34.7%</w:t>
            </w:r>
          </w:p>
        </w:tc>
        <w:tc>
          <w:tcPr>
            <w:tcW w:w="236" w:type="dxa"/>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p>
        </w:tc>
        <w:tc>
          <w:tcPr>
            <w:tcW w:w="898"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26.9%</w:t>
            </w:r>
          </w:p>
        </w:tc>
        <w:tc>
          <w:tcPr>
            <w:tcW w:w="993"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36.5%</w:t>
            </w:r>
          </w:p>
        </w:tc>
        <w:tc>
          <w:tcPr>
            <w:tcW w:w="708"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-0.10</w:t>
            </w:r>
          </w:p>
        </w:tc>
        <w:tc>
          <w:tcPr>
            <w:tcW w:w="1276" w:type="dxa"/>
            <w:gridSpan w:val="2"/>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-0.27 – 0.08</w:t>
            </w:r>
          </w:p>
        </w:tc>
        <w:tc>
          <w:tcPr>
            <w:tcW w:w="709"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1.21</w:t>
            </w:r>
          </w:p>
        </w:tc>
        <w:tc>
          <w:tcPr>
            <w:tcW w:w="567" w:type="dxa"/>
            <w:tcBorders>
              <w:top w:val="nil"/>
              <w:left w:val="nil"/>
              <w:bottom w:val="nil"/>
              <w:right w:val="nil"/>
            </w:tcBorders>
          </w:tcPr>
          <w:p w:rsidR="002451F3" w:rsidRPr="00DA4F31" w:rsidRDefault="002451F3" w:rsidP="00BB2FA6">
            <w:pPr>
              <w:spacing w:line="280" w:lineRule="exact"/>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nil"/>
              <w:right w:val="nil"/>
            </w:tcBorders>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.27</w:t>
            </w:r>
          </w:p>
        </w:tc>
      </w:tr>
      <w:tr w:rsidR="002451F3" w:rsidRPr="00DA4F31" w:rsidTr="00BB2FA6">
        <w:tc>
          <w:tcPr>
            <w:tcW w:w="357" w:type="dxa"/>
            <w:tcBorders>
              <w:top w:val="nil"/>
              <w:left w:val="nil"/>
              <w:bottom w:val="nil"/>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nil"/>
              <w:right w:val="nil"/>
            </w:tcBorders>
          </w:tcPr>
          <w:p w:rsidR="002451F3" w:rsidRPr="00DA4F31" w:rsidRDefault="002451F3" w:rsidP="00BB2FA6">
            <w:pPr>
              <w:spacing w:line="280" w:lineRule="exact"/>
              <w:jc w:val="both"/>
              <w:rPr>
                <w:rFonts w:ascii="Arial" w:hAnsi="Arial" w:cs="Arial"/>
                <w:color w:val="000000"/>
                <w:sz w:val="18"/>
                <w:szCs w:val="18"/>
              </w:rPr>
            </w:pPr>
            <w:r w:rsidRPr="00DA4F31">
              <w:rPr>
                <w:rFonts w:ascii="Arial" w:hAnsi="Arial" w:cs="Arial"/>
                <w:color w:val="000000"/>
                <w:sz w:val="18"/>
                <w:szCs w:val="18"/>
              </w:rPr>
              <w:t>9 months</w:t>
            </w:r>
          </w:p>
        </w:tc>
        <w:tc>
          <w:tcPr>
            <w:tcW w:w="992" w:type="dxa"/>
            <w:tcBorders>
              <w:top w:val="nil"/>
              <w:left w:val="nil"/>
              <w:bottom w:val="nil"/>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36.8%</w:t>
            </w:r>
          </w:p>
        </w:tc>
        <w:tc>
          <w:tcPr>
            <w:tcW w:w="992" w:type="dxa"/>
            <w:tcBorders>
              <w:top w:val="nil"/>
              <w:left w:val="nil"/>
              <w:bottom w:val="nil"/>
              <w:right w:val="nil"/>
            </w:tcBorders>
            <w:shd w:val="clear" w:color="auto" w:fill="auto"/>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37.3%</w:t>
            </w:r>
          </w:p>
        </w:tc>
        <w:tc>
          <w:tcPr>
            <w:tcW w:w="236" w:type="dxa"/>
            <w:tcBorders>
              <w:top w:val="nil"/>
              <w:left w:val="nil"/>
              <w:bottom w:val="nil"/>
              <w:right w:val="nil"/>
            </w:tcBorders>
            <w:shd w:val="clear" w:color="auto" w:fill="auto"/>
          </w:tcPr>
          <w:p w:rsidR="002451F3" w:rsidRPr="00DA4F31" w:rsidRDefault="002451F3" w:rsidP="00BB2FA6">
            <w:pPr>
              <w:spacing w:line="280" w:lineRule="exact"/>
              <w:rPr>
                <w:rFonts w:ascii="Arial" w:hAnsi="Arial" w:cs="Arial"/>
                <w:color w:val="000000"/>
                <w:sz w:val="18"/>
                <w:szCs w:val="18"/>
              </w:rPr>
            </w:pPr>
          </w:p>
        </w:tc>
        <w:tc>
          <w:tcPr>
            <w:tcW w:w="898"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31.3%</w:t>
            </w:r>
          </w:p>
        </w:tc>
        <w:tc>
          <w:tcPr>
            <w:tcW w:w="993"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40.7%</w:t>
            </w:r>
          </w:p>
        </w:tc>
        <w:tc>
          <w:tcPr>
            <w:tcW w:w="708" w:type="dxa"/>
            <w:tcBorders>
              <w:top w:val="nil"/>
              <w:left w:val="nil"/>
              <w:bottom w:val="nil"/>
              <w:right w:val="nil"/>
            </w:tcBorders>
            <w:shd w:val="clear" w:color="auto" w:fill="auto"/>
          </w:tcPr>
          <w:p w:rsidR="002451F3" w:rsidRPr="00DA4F31" w:rsidRDefault="002451F3" w:rsidP="00BB2FA6">
            <w:pPr>
              <w:tabs>
                <w:tab w:val="left" w:pos="252"/>
              </w:tabs>
              <w:spacing w:line="280" w:lineRule="exact"/>
              <w:jc w:val="right"/>
              <w:rPr>
                <w:rFonts w:ascii="Arial" w:hAnsi="Arial" w:cs="Arial"/>
                <w:color w:val="000000"/>
                <w:sz w:val="18"/>
                <w:szCs w:val="18"/>
              </w:rPr>
            </w:pPr>
            <w:r w:rsidRPr="00DA4F31">
              <w:rPr>
                <w:rFonts w:ascii="Arial" w:hAnsi="Arial" w:cs="Arial"/>
                <w:color w:val="000000"/>
                <w:sz w:val="18"/>
                <w:szCs w:val="18"/>
              </w:rPr>
              <w:t>-0.09</w:t>
            </w:r>
          </w:p>
        </w:tc>
        <w:tc>
          <w:tcPr>
            <w:tcW w:w="1276" w:type="dxa"/>
            <w:gridSpan w:val="2"/>
            <w:tcBorders>
              <w:top w:val="nil"/>
              <w:left w:val="nil"/>
              <w:bottom w:val="nil"/>
              <w:right w:val="nil"/>
            </w:tcBorders>
            <w:shd w:val="clear" w:color="auto" w:fill="auto"/>
          </w:tcPr>
          <w:p w:rsidR="002451F3" w:rsidRPr="00DA4F31" w:rsidRDefault="002451F3" w:rsidP="00BB2FA6">
            <w:pPr>
              <w:tabs>
                <w:tab w:val="left" w:pos="252"/>
              </w:tabs>
              <w:spacing w:line="280" w:lineRule="exact"/>
              <w:jc w:val="right"/>
              <w:rPr>
                <w:rFonts w:ascii="Arial" w:hAnsi="Arial" w:cs="Arial"/>
                <w:color w:val="000000"/>
                <w:sz w:val="18"/>
                <w:szCs w:val="18"/>
              </w:rPr>
            </w:pPr>
            <w:r w:rsidRPr="00DA4F31">
              <w:rPr>
                <w:rFonts w:ascii="Arial" w:hAnsi="Arial" w:cs="Arial"/>
                <w:color w:val="000000"/>
                <w:sz w:val="18"/>
                <w:szCs w:val="18"/>
              </w:rPr>
              <w:t>-0.26 – 0.08</w:t>
            </w:r>
          </w:p>
        </w:tc>
        <w:tc>
          <w:tcPr>
            <w:tcW w:w="709" w:type="dxa"/>
            <w:tcBorders>
              <w:top w:val="nil"/>
              <w:left w:val="nil"/>
              <w:bottom w:val="nil"/>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1.20</w:t>
            </w:r>
          </w:p>
        </w:tc>
        <w:tc>
          <w:tcPr>
            <w:tcW w:w="567" w:type="dxa"/>
            <w:tcBorders>
              <w:top w:val="nil"/>
              <w:left w:val="nil"/>
              <w:bottom w:val="nil"/>
              <w:right w:val="nil"/>
            </w:tcBorders>
            <w:shd w:val="clear" w:color="auto" w:fill="auto"/>
          </w:tcPr>
          <w:p w:rsidR="002451F3" w:rsidRPr="00DA4F31" w:rsidRDefault="002451F3" w:rsidP="00BB2FA6">
            <w:pPr>
              <w:tabs>
                <w:tab w:val="left" w:pos="1572"/>
              </w:tabs>
              <w:spacing w:line="280" w:lineRule="exact"/>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nil"/>
              <w:right w:val="nil"/>
            </w:tcBorders>
            <w:shd w:val="clear" w:color="auto" w:fill="auto"/>
          </w:tcPr>
          <w:p w:rsidR="002451F3" w:rsidRPr="00DA4F31" w:rsidRDefault="002451F3" w:rsidP="00BB2FA6">
            <w:pPr>
              <w:tabs>
                <w:tab w:val="left" w:pos="252"/>
              </w:tabs>
              <w:spacing w:line="280" w:lineRule="exact"/>
              <w:jc w:val="right"/>
              <w:rPr>
                <w:rFonts w:ascii="Arial" w:hAnsi="Arial" w:cs="Arial"/>
                <w:color w:val="000000"/>
                <w:sz w:val="18"/>
                <w:szCs w:val="18"/>
              </w:rPr>
            </w:pPr>
            <w:r w:rsidRPr="00DA4F31">
              <w:rPr>
                <w:rFonts w:ascii="Arial" w:hAnsi="Arial" w:cs="Arial"/>
                <w:color w:val="000000"/>
                <w:sz w:val="18"/>
                <w:szCs w:val="18"/>
              </w:rPr>
              <w:t>.28</w:t>
            </w:r>
          </w:p>
        </w:tc>
      </w:tr>
      <w:tr w:rsidR="002451F3" w:rsidRPr="00DA4F31" w:rsidTr="00BB2FA6">
        <w:tc>
          <w:tcPr>
            <w:tcW w:w="357" w:type="dxa"/>
            <w:tcBorders>
              <w:top w:val="nil"/>
              <w:left w:val="nil"/>
              <w:bottom w:val="single" w:sz="6" w:space="0" w:color="auto"/>
              <w:right w:val="nil"/>
            </w:tcBorders>
            <w:shd w:val="clear" w:color="auto" w:fill="auto"/>
          </w:tcPr>
          <w:p w:rsidR="002451F3" w:rsidRPr="00DA4F31" w:rsidRDefault="002451F3" w:rsidP="00BB2FA6">
            <w:pPr>
              <w:spacing w:line="280" w:lineRule="exact"/>
              <w:jc w:val="right"/>
              <w:rPr>
                <w:rFonts w:ascii="Arial" w:hAnsi="Arial" w:cs="Arial"/>
                <w:color w:val="000000"/>
                <w:sz w:val="18"/>
                <w:szCs w:val="18"/>
              </w:rPr>
            </w:pPr>
            <w:r w:rsidRPr="00DA4F31">
              <w:rPr>
                <w:rFonts w:ascii="Arial" w:hAnsi="Arial" w:cs="Arial"/>
                <w:color w:val="000000"/>
                <w:sz w:val="18"/>
                <w:szCs w:val="18"/>
              </w:rPr>
              <w:t>-</w:t>
            </w:r>
          </w:p>
        </w:tc>
        <w:tc>
          <w:tcPr>
            <w:tcW w:w="1181" w:type="dxa"/>
            <w:tcBorders>
              <w:top w:val="nil"/>
              <w:left w:val="nil"/>
              <w:bottom w:val="single" w:sz="6" w:space="0" w:color="auto"/>
              <w:right w:val="nil"/>
            </w:tcBorders>
          </w:tcPr>
          <w:p w:rsidR="002451F3" w:rsidRPr="00DA4F31" w:rsidRDefault="002451F3" w:rsidP="00BB2FA6">
            <w:pPr>
              <w:spacing w:line="280" w:lineRule="exact"/>
              <w:jc w:val="both"/>
              <w:rPr>
                <w:rFonts w:ascii="Arial" w:hAnsi="Arial" w:cs="Arial"/>
                <w:color w:val="000000"/>
                <w:sz w:val="18"/>
                <w:szCs w:val="18"/>
              </w:rPr>
            </w:pPr>
            <w:r w:rsidRPr="00DA4F31">
              <w:rPr>
                <w:rFonts w:ascii="Arial" w:hAnsi="Arial" w:cs="Arial"/>
                <w:color w:val="000000"/>
                <w:sz w:val="18"/>
                <w:szCs w:val="18"/>
              </w:rPr>
              <w:t>12 months</w:t>
            </w:r>
          </w:p>
        </w:tc>
        <w:tc>
          <w:tcPr>
            <w:tcW w:w="992" w:type="dxa"/>
            <w:tcBorders>
              <w:top w:val="nil"/>
              <w:left w:val="nil"/>
              <w:bottom w:val="single" w:sz="6" w:space="0" w:color="auto"/>
              <w:right w:val="nil"/>
            </w:tcBorders>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42.1%</w:t>
            </w:r>
          </w:p>
        </w:tc>
        <w:tc>
          <w:tcPr>
            <w:tcW w:w="992" w:type="dxa"/>
            <w:tcBorders>
              <w:top w:val="nil"/>
              <w:left w:val="nil"/>
              <w:bottom w:val="single" w:sz="6" w:space="0" w:color="auto"/>
              <w:right w:val="nil"/>
            </w:tcBorders>
            <w:shd w:val="clear" w:color="auto" w:fill="auto"/>
          </w:tcPr>
          <w:p w:rsidR="002451F3" w:rsidRPr="00DA4F31" w:rsidRDefault="002451F3" w:rsidP="00BB2FA6">
            <w:pPr>
              <w:tabs>
                <w:tab w:val="left" w:pos="252"/>
              </w:tabs>
              <w:spacing w:line="280" w:lineRule="exact"/>
              <w:jc w:val="center"/>
              <w:rPr>
                <w:rFonts w:ascii="Arial" w:hAnsi="Arial" w:cs="Arial"/>
                <w:color w:val="000000"/>
                <w:sz w:val="18"/>
                <w:szCs w:val="18"/>
              </w:rPr>
            </w:pPr>
            <w:r w:rsidRPr="00DA4F31">
              <w:rPr>
                <w:rFonts w:ascii="Arial" w:hAnsi="Arial" w:cs="Arial"/>
                <w:color w:val="000000"/>
                <w:sz w:val="18"/>
                <w:szCs w:val="18"/>
              </w:rPr>
              <w:t>32.0%</w:t>
            </w:r>
          </w:p>
        </w:tc>
        <w:tc>
          <w:tcPr>
            <w:tcW w:w="236" w:type="dxa"/>
            <w:tcBorders>
              <w:top w:val="nil"/>
              <w:left w:val="nil"/>
              <w:bottom w:val="single" w:sz="6" w:space="0" w:color="auto"/>
              <w:right w:val="nil"/>
            </w:tcBorders>
            <w:shd w:val="clear" w:color="auto" w:fill="auto"/>
          </w:tcPr>
          <w:p w:rsidR="002451F3" w:rsidRPr="00DA4F31" w:rsidRDefault="002451F3" w:rsidP="00BB2FA6">
            <w:pPr>
              <w:spacing w:line="280" w:lineRule="exact"/>
              <w:rPr>
                <w:rFonts w:ascii="Arial" w:hAnsi="Arial" w:cs="Arial"/>
                <w:color w:val="000000"/>
                <w:sz w:val="18"/>
                <w:szCs w:val="18"/>
              </w:rPr>
            </w:pPr>
          </w:p>
        </w:tc>
        <w:tc>
          <w:tcPr>
            <w:tcW w:w="898" w:type="dxa"/>
            <w:tcBorders>
              <w:top w:val="nil"/>
              <w:left w:val="nil"/>
              <w:bottom w:val="single" w:sz="6" w:space="0" w:color="auto"/>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36.3%</w:t>
            </w:r>
          </w:p>
        </w:tc>
        <w:tc>
          <w:tcPr>
            <w:tcW w:w="993" w:type="dxa"/>
            <w:tcBorders>
              <w:top w:val="nil"/>
              <w:left w:val="nil"/>
              <w:bottom w:val="single" w:sz="6" w:space="0" w:color="auto"/>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34.1%</w:t>
            </w:r>
          </w:p>
        </w:tc>
        <w:tc>
          <w:tcPr>
            <w:tcW w:w="708" w:type="dxa"/>
            <w:tcBorders>
              <w:top w:val="nil"/>
              <w:left w:val="nil"/>
              <w:bottom w:val="single" w:sz="6" w:space="0" w:color="auto"/>
              <w:right w:val="nil"/>
            </w:tcBorders>
            <w:shd w:val="clear" w:color="auto" w:fill="auto"/>
          </w:tcPr>
          <w:p w:rsidR="002451F3" w:rsidRPr="00DA4F31" w:rsidRDefault="002451F3" w:rsidP="00BB2FA6">
            <w:pPr>
              <w:tabs>
                <w:tab w:val="left" w:pos="252"/>
              </w:tabs>
              <w:spacing w:line="280" w:lineRule="exact"/>
              <w:jc w:val="right"/>
              <w:rPr>
                <w:rFonts w:ascii="Arial" w:hAnsi="Arial" w:cs="Arial"/>
                <w:color w:val="000000"/>
                <w:sz w:val="18"/>
                <w:szCs w:val="18"/>
              </w:rPr>
            </w:pPr>
            <w:r w:rsidRPr="00DA4F31">
              <w:rPr>
                <w:rFonts w:ascii="Arial" w:hAnsi="Arial" w:cs="Arial"/>
                <w:color w:val="000000"/>
                <w:sz w:val="18"/>
                <w:szCs w:val="18"/>
              </w:rPr>
              <w:t xml:space="preserve"> 0.02</w:t>
            </w:r>
          </w:p>
        </w:tc>
        <w:tc>
          <w:tcPr>
            <w:tcW w:w="1276" w:type="dxa"/>
            <w:gridSpan w:val="2"/>
            <w:tcBorders>
              <w:top w:val="nil"/>
              <w:left w:val="nil"/>
              <w:bottom w:val="single" w:sz="6" w:space="0" w:color="auto"/>
              <w:right w:val="nil"/>
            </w:tcBorders>
            <w:shd w:val="clear" w:color="auto" w:fill="auto"/>
          </w:tcPr>
          <w:p w:rsidR="002451F3" w:rsidRPr="00DA4F31" w:rsidRDefault="002451F3" w:rsidP="00BB2FA6">
            <w:pPr>
              <w:tabs>
                <w:tab w:val="left" w:pos="252"/>
              </w:tabs>
              <w:spacing w:line="280" w:lineRule="exact"/>
              <w:jc w:val="right"/>
              <w:rPr>
                <w:rFonts w:ascii="Arial" w:hAnsi="Arial" w:cs="Arial"/>
                <w:color w:val="000000"/>
                <w:sz w:val="18"/>
                <w:szCs w:val="18"/>
              </w:rPr>
            </w:pPr>
            <w:r w:rsidRPr="00DA4F31">
              <w:rPr>
                <w:rFonts w:ascii="Arial" w:hAnsi="Arial" w:cs="Arial"/>
                <w:color w:val="000000"/>
                <w:sz w:val="18"/>
                <w:szCs w:val="18"/>
              </w:rPr>
              <w:t>-0.15 – 0.19</w:t>
            </w:r>
          </w:p>
        </w:tc>
        <w:tc>
          <w:tcPr>
            <w:tcW w:w="709" w:type="dxa"/>
            <w:tcBorders>
              <w:top w:val="nil"/>
              <w:left w:val="nil"/>
              <w:bottom w:val="single" w:sz="6" w:space="0" w:color="auto"/>
              <w:right w:val="nil"/>
            </w:tcBorders>
            <w:shd w:val="clear" w:color="auto" w:fill="auto"/>
          </w:tcPr>
          <w:p w:rsidR="002451F3" w:rsidRPr="00DA4F31" w:rsidRDefault="002451F3" w:rsidP="00BB2FA6">
            <w:pPr>
              <w:spacing w:line="280" w:lineRule="exact"/>
              <w:jc w:val="center"/>
              <w:rPr>
                <w:rFonts w:ascii="Arial" w:hAnsi="Arial" w:cs="Arial"/>
                <w:color w:val="000000"/>
                <w:sz w:val="18"/>
                <w:szCs w:val="18"/>
              </w:rPr>
            </w:pPr>
            <w:r w:rsidRPr="00DA4F31">
              <w:rPr>
                <w:rFonts w:ascii="Arial" w:hAnsi="Arial" w:cs="Arial"/>
                <w:color w:val="000000"/>
                <w:sz w:val="18"/>
                <w:szCs w:val="18"/>
              </w:rPr>
              <w:t>0.06</w:t>
            </w:r>
          </w:p>
        </w:tc>
        <w:tc>
          <w:tcPr>
            <w:tcW w:w="567" w:type="dxa"/>
            <w:tcBorders>
              <w:top w:val="nil"/>
              <w:left w:val="nil"/>
              <w:bottom w:val="single" w:sz="6" w:space="0" w:color="auto"/>
              <w:right w:val="nil"/>
            </w:tcBorders>
            <w:shd w:val="clear" w:color="auto" w:fill="auto"/>
          </w:tcPr>
          <w:p w:rsidR="002451F3" w:rsidRPr="00DA4F31" w:rsidRDefault="002451F3" w:rsidP="00BB2FA6">
            <w:pPr>
              <w:tabs>
                <w:tab w:val="left" w:pos="1572"/>
              </w:tabs>
              <w:spacing w:line="280" w:lineRule="exact"/>
              <w:rPr>
                <w:rFonts w:ascii="Arial" w:hAnsi="Arial" w:cs="Arial"/>
                <w:color w:val="000000"/>
                <w:sz w:val="18"/>
                <w:szCs w:val="18"/>
              </w:rPr>
            </w:pPr>
            <w:r w:rsidRPr="00DA4F31">
              <w:rPr>
                <w:rFonts w:ascii="Arial" w:hAnsi="Arial" w:cs="Arial"/>
                <w:color w:val="000000"/>
                <w:sz w:val="18"/>
                <w:szCs w:val="18"/>
              </w:rPr>
              <w:t>575</w:t>
            </w:r>
          </w:p>
        </w:tc>
        <w:tc>
          <w:tcPr>
            <w:tcW w:w="567" w:type="dxa"/>
            <w:tcBorders>
              <w:top w:val="nil"/>
              <w:left w:val="nil"/>
              <w:bottom w:val="single" w:sz="6" w:space="0" w:color="auto"/>
              <w:right w:val="nil"/>
            </w:tcBorders>
            <w:shd w:val="clear" w:color="auto" w:fill="auto"/>
          </w:tcPr>
          <w:p w:rsidR="002451F3" w:rsidRPr="00DA4F31" w:rsidRDefault="002451F3" w:rsidP="00BB2FA6">
            <w:pPr>
              <w:tabs>
                <w:tab w:val="left" w:pos="252"/>
              </w:tabs>
              <w:spacing w:line="280" w:lineRule="exact"/>
              <w:jc w:val="right"/>
              <w:rPr>
                <w:rFonts w:ascii="Arial" w:hAnsi="Arial" w:cs="Arial"/>
                <w:color w:val="000000"/>
                <w:sz w:val="18"/>
                <w:szCs w:val="18"/>
              </w:rPr>
            </w:pPr>
            <w:r w:rsidRPr="00DA4F31">
              <w:rPr>
                <w:rFonts w:ascii="Arial" w:hAnsi="Arial" w:cs="Arial"/>
                <w:color w:val="000000"/>
                <w:sz w:val="18"/>
                <w:szCs w:val="18"/>
              </w:rPr>
              <w:t>.81</w:t>
            </w:r>
          </w:p>
        </w:tc>
      </w:tr>
      <w:tr w:rsidR="002451F3" w:rsidRPr="00DA4F31" w:rsidTr="00BB2FA6">
        <w:tc>
          <w:tcPr>
            <w:tcW w:w="9476" w:type="dxa"/>
            <w:gridSpan w:val="13"/>
            <w:tcBorders>
              <w:top w:val="single" w:sz="6" w:space="0" w:color="auto"/>
              <w:left w:val="nil"/>
              <w:bottom w:val="single" w:sz="6" w:space="0" w:color="auto"/>
              <w:right w:val="nil"/>
            </w:tcBorders>
            <w:shd w:val="clear" w:color="auto" w:fill="BFBFBF"/>
          </w:tcPr>
          <w:p w:rsidR="002451F3" w:rsidRPr="00DA4F31" w:rsidRDefault="002451F3" w:rsidP="00BB2FA6">
            <w:pPr>
              <w:spacing w:before="40" w:line="276" w:lineRule="auto"/>
              <w:rPr>
                <w:rFonts w:ascii="Arial" w:hAnsi="Arial" w:cs="Arial"/>
                <w:color w:val="000000"/>
                <w:sz w:val="16"/>
                <w:szCs w:val="16"/>
              </w:rPr>
            </w:pPr>
            <w:r w:rsidRPr="00DA4F31">
              <w:rPr>
                <w:rFonts w:ascii="Arial" w:hAnsi="Arial" w:cs="Arial"/>
                <w:color w:val="000000"/>
                <w:sz w:val="16"/>
                <w:szCs w:val="16"/>
              </w:rPr>
              <w:t>Note: Binary Logistic Mixed Model Regression on Response/Remission = yes/no; All models are controlled for standardised baseline BDI-II and EQ5D scores, Time*baseline BDI-II, and Condition*Time; Condition is CT vs. IPT, centered at -.5 and.5 respectively; Time ranges from 2 – 5 and represents 3, 7, 9, 12 month assessment; CT = Cognitive Therapy; IPT = Interpersonal Psychotherapy; BDI-II = Beck Depression Inventory Second Edition; Response = A decrease of at least 9 BDI-II points from baseline to the specific assessment point; Remission = Absolute BDI-II score of 9 or less (Jacobson &amp; Truax, 1991). Data unavailable for 3, 17, 23, and 25 patients at 3, 7, 9, and 12 months respectively.</w:t>
            </w:r>
          </w:p>
        </w:tc>
      </w:tr>
    </w:tbl>
    <w:p w:rsidR="00BB2FA6" w:rsidRDefault="00BB2FA6" w:rsidP="00443E8A">
      <w:pPr>
        <w:spacing w:line="480" w:lineRule="auto"/>
        <w:rPr>
          <w:b/>
          <w:bCs/>
        </w:rPr>
      </w:pPr>
    </w:p>
    <w:p w:rsidR="00BB2FA6" w:rsidRDefault="00BB2FA6" w:rsidP="00443E8A">
      <w:pPr>
        <w:spacing w:line="480" w:lineRule="auto"/>
        <w:rPr>
          <w:b/>
          <w:bCs/>
        </w:rPr>
      </w:pPr>
    </w:p>
    <w:p w:rsidR="00A34E39" w:rsidRDefault="00A34E39" w:rsidP="00443E8A">
      <w:pPr>
        <w:spacing w:line="480" w:lineRule="auto"/>
        <w:rPr>
          <w:b/>
          <w:bCs/>
        </w:rPr>
        <w:sectPr w:rsidR="00A34E39" w:rsidSect="00A34E39">
          <w:pgSz w:w="11906" w:h="16838"/>
          <w:pgMar w:top="1418" w:right="1418" w:bottom="1418" w:left="1418" w:header="709" w:footer="709" w:gutter="0"/>
          <w:cols w:space="708"/>
          <w:docGrid w:linePitch="360"/>
        </w:sectPr>
      </w:pPr>
    </w:p>
    <w:p w:rsidR="00443E8A" w:rsidRDefault="00443E8A" w:rsidP="00443E8A">
      <w:pPr>
        <w:spacing w:line="480" w:lineRule="auto"/>
        <w:rPr>
          <w:b/>
          <w:bCs/>
        </w:rPr>
      </w:pPr>
      <w:r>
        <w:rPr>
          <w:b/>
          <w:bCs/>
        </w:rPr>
        <w:lastRenderedPageBreak/>
        <w:t xml:space="preserve">DATA SUPPLEMENT V: </w:t>
      </w:r>
      <w:r w:rsidRPr="00D96D62">
        <w:rPr>
          <w:bCs/>
        </w:rPr>
        <w:t>Assessment of bias risk</w:t>
      </w:r>
    </w:p>
    <w:tbl>
      <w:tblPr>
        <w:tblStyle w:val="TableGrid1"/>
        <w:tblW w:w="0" w:type="auto"/>
        <w:tblLayout w:type="fixed"/>
        <w:tblLook w:val="04A0" w:firstRow="1" w:lastRow="0" w:firstColumn="1" w:lastColumn="0" w:noHBand="0" w:noVBand="1"/>
      </w:tblPr>
      <w:tblGrid>
        <w:gridCol w:w="2093"/>
        <w:gridCol w:w="3260"/>
        <w:gridCol w:w="992"/>
        <w:gridCol w:w="6804"/>
      </w:tblGrid>
      <w:tr w:rsidR="00576C04" w:rsidRPr="00576C04" w:rsidTr="00F8042E">
        <w:tc>
          <w:tcPr>
            <w:tcW w:w="13149" w:type="dxa"/>
            <w:gridSpan w:val="4"/>
            <w:tcBorders>
              <w:top w:val="single" w:sz="4" w:space="0" w:color="auto"/>
              <w:left w:val="nil"/>
              <w:bottom w:val="single" w:sz="4" w:space="0" w:color="auto"/>
              <w:right w:val="nil"/>
            </w:tcBorders>
            <w:shd w:val="clear" w:color="auto" w:fill="595959" w:themeFill="text1" w:themeFillTint="A6"/>
            <w:hideMark/>
          </w:tcPr>
          <w:p w:rsidR="00576C04" w:rsidRPr="00576C04" w:rsidRDefault="00576C04" w:rsidP="00576C04">
            <w:pPr>
              <w:spacing w:before="40" w:after="40" w:line="280" w:lineRule="exact"/>
              <w:rPr>
                <w:rFonts w:ascii="Arial" w:eastAsiaTheme="minorHAnsi" w:hAnsi="Arial" w:cs="Arial"/>
                <w:b/>
                <w:color w:val="FFFFFF" w:themeColor="background1"/>
                <w:sz w:val="18"/>
                <w:szCs w:val="18"/>
                <w:lang w:val="en-US" w:eastAsia="en-US"/>
              </w:rPr>
            </w:pPr>
            <w:r w:rsidRPr="00576C04">
              <w:rPr>
                <w:rFonts w:ascii="Arial" w:eastAsiaTheme="minorHAnsi" w:hAnsi="Arial" w:cs="Arial"/>
                <w:b/>
                <w:color w:val="FFFFFF" w:themeColor="background1"/>
                <w:sz w:val="18"/>
                <w:szCs w:val="18"/>
                <w:lang w:val="en-US" w:eastAsia="en-US"/>
              </w:rPr>
              <w:t>Data supplement V:</w:t>
            </w:r>
            <w:r>
              <w:rPr>
                <w:rFonts w:ascii="Arial" w:eastAsiaTheme="minorHAnsi" w:hAnsi="Arial" w:cs="Arial"/>
                <w:color w:val="FFFFFF" w:themeColor="background1"/>
                <w:sz w:val="18"/>
                <w:szCs w:val="18"/>
                <w:lang w:val="en-US" w:eastAsia="en-US"/>
              </w:rPr>
              <w:t xml:space="preserve"> </w:t>
            </w:r>
            <w:r w:rsidRPr="00576C04">
              <w:rPr>
                <w:rFonts w:ascii="Arial" w:eastAsiaTheme="minorHAnsi" w:hAnsi="Arial" w:cs="Arial"/>
                <w:color w:val="FFFFFF" w:themeColor="background1"/>
                <w:sz w:val="18"/>
                <w:szCs w:val="18"/>
                <w:lang w:val="en-US" w:eastAsia="en-US"/>
              </w:rPr>
              <w:t>Assessment of bias risk (using the method of Jakobsen et al. 2012)</w:t>
            </w:r>
          </w:p>
        </w:tc>
      </w:tr>
      <w:tr w:rsidR="00576C04" w:rsidRPr="00576C04" w:rsidTr="00F8042E">
        <w:tc>
          <w:tcPr>
            <w:tcW w:w="2093" w:type="dxa"/>
            <w:tcBorders>
              <w:top w:val="single" w:sz="4" w:space="0" w:color="auto"/>
              <w:left w:val="nil"/>
              <w:bottom w:val="single" w:sz="4" w:space="0" w:color="auto"/>
              <w:right w:val="nil"/>
            </w:tcBorders>
            <w:shd w:val="clear" w:color="auto" w:fill="A6A6A6" w:themeFill="background1" w:themeFillShade="A6"/>
            <w:hideMark/>
          </w:tcPr>
          <w:p w:rsidR="00576C04" w:rsidRPr="00576C04" w:rsidRDefault="00576C04" w:rsidP="00576C04">
            <w:pPr>
              <w:spacing w:before="40" w:after="40" w:line="280" w:lineRule="exact"/>
              <w:rPr>
                <w:rFonts w:ascii="Arial" w:eastAsiaTheme="minorHAnsi" w:hAnsi="Arial" w:cs="Arial"/>
                <w:b/>
                <w:sz w:val="18"/>
                <w:szCs w:val="18"/>
                <w:lang w:val="nl-NL" w:eastAsia="en-US"/>
              </w:rPr>
            </w:pPr>
            <w:proofErr w:type="spellStart"/>
            <w:r w:rsidRPr="00576C04">
              <w:rPr>
                <w:rFonts w:ascii="Arial" w:eastAsiaTheme="minorHAnsi" w:hAnsi="Arial" w:cs="Arial"/>
                <w:b/>
                <w:sz w:val="18"/>
                <w:szCs w:val="18"/>
                <w:lang w:val="nl-NL" w:eastAsia="en-US"/>
              </w:rPr>
              <w:t>Criterion</w:t>
            </w:r>
            <w:proofErr w:type="spellEnd"/>
          </w:p>
        </w:tc>
        <w:tc>
          <w:tcPr>
            <w:tcW w:w="3260" w:type="dxa"/>
            <w:tcBorders>
              <w:top w:val="single" w:sz="4" w:space="0" w:color="auto"/>
              <w:left w:val="nil"/>
              <w:bottom w:val="single" w:sz="4" w:space="0" w:color="auto"/>
              <w:right w:val="nil"/>
            </w:tcBorders>
            <w:shd w:val="clear" w:color="auto" w:fill="A6A6A6" w:themeFill="background1" w:themeFillShade="A6"/>
            <w:hideMark/>
          </w:tcPr>
          <w:p w:rsidR="00576C04" w:rsidRPr="00576C04" w:rsidRDefault="00576C04" w:rsidP="00576C04">
            <w:pPr>
              <w:spacing w:before="40" w:after="40" w:line="280" w:lineRule="exact"/>
              <w:rPr>
                <w:rFonts w:ascii="Arial" w:eastAsiaTheme="minorHAnsi" w:hAnsi="Arial" w:cs="Arial"/>
                <w:b/>
                <w:sz w:val="18"/>
                <w:szCs w:val="18"/>
                <w:lang w:val="en-US" w:eastAsia="en-US"/>
              </w:rPr>
            </w:pPr>
            <w:r w:rsidRPr="00576C04">
              <w:rPr>
                <w:rFonts w:ascii="Arial" w:eastAsiaTheme="minorHAnsi" w:hAnsi="Arial" w:cs="Arial"/>
                <w:b/>
                <w:sz w:val="18"/>
                <w:szCs w:val="18"/>
                <w:lang w:val="en-US" w:eastAsia="en-US"/>
              </w:rPr>
              <w:t>Description*</w:t>
            </w:r>
          </w:p>
        </w:tc>
        <w:tc>
          <w:tcPr>
            <w:tcW w:w="992" w:type="dxa"/>
            <w:tcBorders>
              <w:top w:val="single" w:sz="4" w:space="0" w:color="auto"/>
              <w:left w:val="nil"/>
              <w:bottom w:val="single" w:sz="4" w:space="0" w:color="auto"/>
              <w:right w:val="nil"/>
            </w:tcBorders>
            <w:shd w:val="clear" w:color="auto" w:fill="A6A6A6" w:themeFill="background1" w:themeFillShade="A6"/>
            <w:hideMark/>
          </w:tcPr>
          <w:p w:rsidR="00576C04" w:rsidRPr="00576C04" w:rsidRDefault="00576C04" w:rsidP="00576C04">
            <w:pPr>
              <w:spacing w:before="40" w:after="40" w:line="280" w:lineRule="exact"/>
              <w:rPr>
                <w:rFonts w:ascii="Arial" w:eastAsiaTheme="minorHAnsi" w:hAnsi="Arial" w:cs="Arial"/>
                <w:b/>
                <w:sz w:val="18"/>
                <w:szCs w:val="18"/>
                <w:lang w:val="en-US" w:eastAsia="en-US"/>
              </w:rPr>
            </w:pPr>
            <w:r w:rsidRPr="00576C04">
              <w:rPr>
                <w:rFonts w:ascii="Arial" w:eastAsiaTheme="minorHAnsi" w:hAnsi="Arial" w:cs="Arial"/>
                <w:b/>
                <w:sz w:val="18"/>
                <w:szCs w:val="18"/>
                <w:lang w:val="en-US" w:eastAsia="en-US"/>
              </w:rPr>
              <w:t>Yes/No</w:t>
            </w:r>
          </w:p>
        </w:tc>
        <w:tc>
          <w:tcPr>
            <w:tcW w:w="6804" w:type="dxa"/>
            <w:tcBorders>
              <w:top w:val="single" w:sz="4" w:space="0" w:color="auto"/>
              <w:left w:val="nil"/>
              <w:bottom w:val="single" w:sz="4" w:space="0" w:color="auto"/>
              <w:right w:val="nil"/>
            </w:tcBorders>
            <w:shd w:val="clear" w:color="auto" w:fill="A6A6A6" w:themeFill="background1" w:themeFillShade="A6"/>
            <w:hideMark/>
          </w:tcPr>
          <w:p w:rsidR="00576C04" w:rsidRPr="00576C04" w:rsidRDefault="00576C04" w:rsidP="00576C04">
            <w:pPr>
              <w:spacing w:before="40" w:after="40" w:line="280" w:lineRule="exact"/>
              <w:rPr>
                <w:rFonts w:ascii="Arial" w:eastAsiaTheme="minorHAnsi" w:hAnsi="Arial" w:cs="Arial"/>
                <w:b/>
                <w:sz w:val="18"/>
                <w:szCs w:val="18"/>
                <w:lang w:val="en-US" w:eastAsia="en-US"/>
              </w:rPr>
            </w:pPr>
            <w:r w:rsidRPr="00576C04">
              <w:rPr>
                <w:rFonts w:ascii="Arial" w:eastAsiaTheme="minorHAnsi" w:hAnsi="Arial" w:cs="Arial"/>
                <w:b/>
                <w:sz w:val="18"/>
                <w:szCs w:val="18"/>
                <w:lang w:val="en-US" w:eastAsia="en-US"/>
              </w:rPr>
              <w:t>Line of reasoning (source: Lemmens et al. 2011; submitted)</w:t>
            </w:r>
          </w:p>
        </w:tc>
      </w:tr>
      <w:tr w:rsidR="00576C04" w:rsidRPr="00576C04" w:rsidTr="00F8042E">
        <w:tc>
          <w:tcPr>
            <w:tcW w:w="2093" w:type="dxa"/>
            <w:tcBorders>
              <w:top w:val="single"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Sequence Generation</w:t>
            </w:r>
          </w:p>
        </w:tc>
        <w:tc>
          <w:tcPr>
            <w:tcW w:w="3260" w:type="dxa"/>
            <w:tcBorders>
              <w:top w:val="single" w:sz="4" w:space="0" w:color="auto"/>
              <w:left w:val="nil"/>
              <w:bottom w:val="dotted" w:sz="4" w:space="0" w:color="auto"/>
              <w:right w:val="nil"/>
            </w:tcBorders>
          </w:tcPr>
          <w:p w:rsidR="00576C04" w:rsidRPr="00576C04" w:rsidRDefault="00576C04" w:rsidP="00576C04">
            <w:pPr>
              <w:spacing w:line="280" w:lineRule="exact"/>
              <w:jc w:val="both"/>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Description of a random component in the sequence generation process. Such as: referring to a random number table.</w:t>
            </w:r>
          </w:p>
          <w:p w:rsidR="00576C04" w:rsidRPr="00576C04" w:rsidRDefault="00576C04" w:rsidP="00576C04">
            <w:pPr>
              <w:spacing w:line="280" w:lineRule="exact"/>
              <w:jc w:val="both"/>
              <w:rPr>
                <w:rFonts w:ascii="Arial" w:eastAsiaTheme="minorHAnsi" w:hAnsi="Arial" w:cs="Arial"/>
                <w:sz w:val="18"/>
                <w:szCs w:val="18"/>
                <w:lang w:val="en-US" w:eastAsia="en-US"/>
              </w:rPr>
            </w:pPr>
          </w:p>
        </w:tc>
        <w:tc>
          <w:tcPr>
            <w:tcW w:w="992" w:type="dxa"/>
            <w:tcBorders>
              <w:top w:val="single" w:sz="4" w:space="0" w:color="auto"/>
              <w:left w:val="nil"/>
              <w:bottom w:val="dotted" w:sz="4" w:space="0" w:color="auto"/>
              <w:right w:val="nil"/>
            </w:tcBorders>
            <w:hideMark/>
          </w:tcPr>
          <w:p w:rsidR="00576C04" w:rsidRPr="00576C04" w:rsidRDefault="00576C04" w:rsidP="00003EFF">
            <w:pPr>
              <w:spacing w:line="280" w:lineRule="exact"/>
              <w:jc w:val="center"/>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Y</w:t>
            </w:r>
          </w:p>
        </w:tc>
        <w:tc>
          <w:tcPr>
            <w:tcW w:w="6804" w:type="dxa"/>
            <w:tcBorders>
              <w:top w:val="single" w:sz="4" w:space="0" w:color="auto"/>
              <w:left w:val="nil"/>
              <w:bottom w:val="dotted" w:sz="4" w:space="0" w:color="auto"/>
              <w:right w:val="nil"/>
            </w:tcBorders>
            <w:hideMark/>
          </w:tcPr>
          <w:p w:rsidR="00576C04" w:rsidRPr="00576C04" w:rsidRDefault="00576C04" w:rsidP="00576C04">
            <w:pPr>
              <w:spacing w:line="280" w:lineRule="exact"/>
              <w:jc w:val="both"/>
              <w:rPr>
                <w:rFonts w:ascii="Arial" w:eastAsiaTheme="minorHAnsi" w:hAnsi="Arial" w:cs="Arial"/>
                <w:i/>
                <w:sz w:val="18"/>
                <w:szCs w:val="18"/>
                <w:lang w:val="en-US" w:eastAsia="en-US"/>
              </w:rPr>
            </w:pPr>
            <w:r w:rsidRPr="00576C04">
              <w:rPr>
                <w:rFonts w:ascii="Arial" w:eastAsiaTheme="minorHAnsi" w:hAnsi="Arial" w:cs="Arial"/>
                <w:i/>
                <w:sz w:val="18"/>
                <w:szCs w:val="18"/>
                <w:lang w:val="en-US" w:eastAsia="en-US"/>
              </w:rPr>
              <w:t xml:space="preserve">‘Randomization took place at the research center. </w:t>
            </w:r>
            <w:r w:rsidRPr="00576C04">
              <w:rPr>
                <w:rFonts w:ascii="Arial" w:eastAsiaTheme="minorHAnsi" w:hAnsi="Arial" w:cs="Arial"/>
                <w:i/>
                <w:color w:val="000000"/>
                <w:sz w:val="18"/>
                <w:szCs w:val="18"/>
                <w:lang w:val="en-US" w:eastAsia="en-US"/>
              </w:rPr>
              <w:t xml:space="preserve">The </w:t>
            </w:r>
            <w:r w:rsidRPr="00576C04">
              <w:rPr>
                <w:rFonts w:ascii="Arial" w:eastAsiaTheme="minorHAnsi" w:hAnsi="Arial" w:cs="Arial"/>
                <w:i/>
                <w:sz w:val="18"/>
                <w:szCs w:val="18"/>
                <w:lang w:val="en-US" w:eastAsia="en-US"/>
              </w:rPr>
              <w:t>researcher pressed the ‘assign’ button on the computer screen, after which the database randomly allocated the participant to one of three conditions using computer-generated block randomization (10:10:4) The random allocation sequence was generated by an independent computer scientist and concealed from the researchers that were involved in the randomization procedure in order to prevent prediction of future assignment’.</w:t>
            </w:r>
          </w:p>
        </w:tc>
      </w:tr>
      <w:tr w:rsidR="00576C04" w:rsidRPr="00576C04" w:rsidTr="00F8042E">
        <w:tc>
          <w:tcPr>
            <w:tcW w:w="2093"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Allocation Concealment</w:t>
            </w:r>
          </w:p>
        </w:tc>
        <w:tc>
          <w:tcPr>
            <w:tcW w:w="3260"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Participant and investigators enrolling participants could not foresee assignment because allocation was concealed by central allocation, or sequentially number drug containers or envelopes, or an equivalent method.</w:t>
            </w:r>
          </w:p>
        </w:tc>
        <w:tc>
          <w:tcPr>
            <w:tcW w:w="992" w:type="dxa"/>
            <w:tcBorders>
              <w:top w:val="dotted" w:sz="4" w:space="0" w:color="auto"/>
              <w:left w:val="nil"/>
              <w:bottom w:val="dotted" w:sz="4" w:space="0" w:color="auto"/>
              <w:right w:val="nil"/>
            </w:tcBorders>
            <w:hideMark/>
          </w:tcPr>
          <w:p w:rsidR="00576C04" w:rsidRPr="00576C04" w:rsidRDefault="00576C04" w:rsidP="00003EFF">
            <w:pPr>
              <w:spacing w:line="280" w:lineRule="exact"/>
              <w:jc w:val="center"/>
              <w:rPr>
                <w:rFonts w:ascii="Arial" w:eastAsiaTheme="minorHAnsi" w:hAnsi="Arial" w:cs="Arial"/>
                <w:color w:val="FF0000"/>
                <w:sz w:val="18"/>
                <w:szCs w:val="18"/>
                <w:lang w:val="en-US" w:eastAsia="en-US"/>
              </w:rPr>
            </w:pPr>
            <w:r w:rsidRPr="00576C04">
              <w:rPr>
                <w:rFonts w:ascii="Arial" w:eastAsiaTheme="minorHAnsi" w:hAnsi="Arial" w:cs="Arial"/>
                <w:sz w:val="18"/>
                <w:szCs w:val="18"/>
                <w:lang w:val="en-US" w:eastAsia="en-US"/>
              </w:rPr>
              <w:t>Y</w:t>
            </w:r>
          </w:p>
        </w:tc>
        <w:tc>
          <w:tcPr>
            <w:tcW w:w="6804" w:type="dxa"/>
            <w:tcBorders>
              <w:top w:val="dotted" w:sz="4" w:space="0" w:color="auto"/>
              <w:left w:val="nil"/>
              <w:bottom w:val="dotted" w:sz="4" w:space="0" w:color="auto"/>
              <w:right w:val="nil"/>
            </w:tcBorders>
            <w:hideMark/>
          </w:tcPr>
          <w:p w:rsidR="00576C04" w:rsidRPr="00576C04" w:rsidRDefault="00576C04" w:rsidP="00576C04">
            <w:pPr>
              <w:spacing w:line="280" w:lineRule="exact"/>
              <w:jc w:val="both"/>
              <w:rPr>
                <w:rFonts w:ascii="Arial" w:eastAsiaTheme="minorHAnsi" w:hAnsi="Arial" w:cs="Arial"/>
                <w:sz w:val="18"/>
                <w:szCs w:val="18"/>
                <w:lang w:val="en-US" w:eastAsia="en-US"/>
              </w:rPr>
            </w:pPr>
            <w:r w:rsidRPr="00576C04">
              <w:rPr>
                <w:rFonts w:ascii="Arial" w:eastAsiaTheme="minorHAnsi" w:hAnsi="Arial" w:cs="Arial"/>
                <w:i/>
                <w:sz w:val="18"/>
                <w:szCs w:val="18"/>
                <w:lang w:val="en-US" w:eastAsia="en-US"/>
              </w:rPr>
              <w:t xml:space="preserve">‘Randomization took place at the research center. </w:t>
            </w:r>
            <w:r w:rsidRPr="00576C04">
              <w:rPr>
                <w:rFonts w:ascii="Arial" w:eastAsiaTheme="minorHAnsi" w:hAnsi="Arial" w:cs="Arial"/>
                <w:i/>
                <w:color w:val="000000"/>
                <w:sz w:val="18"/>
                <w:szCs w:val="18"/>
                <w:lang w:val="en-US" w:eastAsia="en-US"/>
              </w:rPr>
              <w:t xml:space="preserve">The </w:t>
            </w:r>
            <w:r w:rsidRPr="00576C04">
              <w:rPr>
                <w:rFonts w:ascii="Arial" w:eastAsiaTheme="minorHAnsi" w:hAnsi="Arial" w:cs="Arial"/>
                <w:i/>
                <w:sz w:val="18"/>
                <w:szCs w:val="18"/>
                <w:lang w:val="en-US" w:eastAsia="en-US"/>
              </w:rPr>
              <w:t>researcher pressed the ‘assign’ button on the computer screen, after which the database randomly allocated the participant to one of three conditions using computer-generated block randomization (10:10:4) The random allocation sequence was generated by an independent computer scientist and concealed from the researchers that were involved in the randomization procedure in order to prevent prediction of future assignment</w:t>
            </w:r>
            <w:r w:rsidRPr="00576C04">
              <w:rPr>
                <w:rFonts w:ascii="Arial" w:eastAsiaTheme="minorHAnsi" w:hAnsi="Arial" w:cs="Arial"/>
                <w:sz w:val="18"/>
                <w:szCs w:val="18"/>
                <w:lang w:val="en-US" w:eastAsia="en-US"/>
              </w:rPr>
              <w:t>.’</w:t>
            </w:r>
          </w:p>
        </w:tc>
      </w:tr>
      <w:tr w:rsidR="00576C04" w:rsidRPr="00576C04" w:rsidTr="00F8042E">
        <w:tc>
          <w:tcPr>
            <w:tcW w:w="2093"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ITT analysis</w:t>
            </w:r>
          </w:p>
        </w:tc>
        <w:tc>
          <w:tcPr>
            <w:tcW w:w="3260"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color w:val="252525"/>
                <w:sz w:val="18"/>
                <w:szCs w:val="18"/>
                <w:shd w:val="clear" w:color="auto" w:fill="FFFFFF"/>
                <w:lang w:val="en-US" w:eastAsia="en-US"/>
              </w:rPr>
              <w:t>Patients are analyzed according to the randomization scheme. In other words, for the purposes of ITT analysis, everyone who begins the treatment is considered to be part of the trial, whether he or she finishes it or not.</w:t>
            </w:r>
          </w:p>
        </w:tc>
        <w:tc>
          <w:tcPr>
            <w:tcW w:w="992" w:type="dxa"/>
            <w:tcBorders>
              <w:top w:val="dotted" w:sz="4" w:space="0" w:color="auto"/>
              <w:left w:val="nil"/>
              <w:bottom w:val="dotted" w:sz="4" w:space="0" w:color="auto"/>
              <w:right w:val="nil"/>
            </w:tcBorders>
            <w:hideMark/>
          </w:tcPr>
          <w:p w:rsidR="00576C04" w:rsidRPr="00576C04" w:rsidRDefault="00576C04" w:rsidP="00003EFF">
            <w:pPr>
              <w:spacing w:line="280" w:lineRule="exact"/>
              <w:jc w:val="center"/>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Y</w:t>
            </w:r>
          </w:p>
        </w:tc>
        <w:tc>
          <w:tcPr>
            <w:tcW w:w="6804"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i/>
                <w:sz w:val="18"/>
                <w:szCs w:val="18"/>
                <w:lang w:val="en-US" w:eastAsia="en-US"/>
              </w:rPr>
            </w:pPr>
            <w:r w:rsidRPr="00576C04">
              <w:rPr>
                <w:rFonts w:ascii="Arial" w:eastAsiaTheme="minorHAnsi" w:hAnsi="Arial" w:cs="Arial"/>
                <w:i/>
                <w:sz w:val="18"/>
                <w:szCs w:val="18"/>
                <w:lang w:val="en-US" w:eastAsia="en-US"/>
              </w:rPr>
              <w:t xml:space="preserve">‘All analyses were intention-to-treat, meaning that all patients that enrolled in the study were included in the analyses, irrespective of completing therapy or assessments’ </w:t>
            </w:r>
          </w:p>
        </w:tc>
      </w:tr>
      <w:tr w:rsidR="00576C04" w:rsidRPr="00576C04" w:rsidTr="00F8042E">
        <w:tc>
          <w:tcPr>
            <w:tcW w:w="2093"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 xml:space="preserve">Blinding </w:t>
            </w:r>
          </w:p>
        </w:tc>
        <w:tc>
          <w:tcPr>
            <w:tcW w:w="3260"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 xml:space="preserve">Knowledge of the allocated interventions was adequately prevented during the study. As indicated by one of three criteria 1) no blinding, but no consequences by lack of blinding on outcome (measures); 2)  </w:t>
            </w:r>
            <w:r w:rsidRPr="00576C04">
              <w:rPr>
                <w:rFonts w:ascii="Arial" w:eastAsiaTheme="minorHAnsi" w:hAnsi="Arial" w:cs="Arial"/>
                <w:sz w:val="18"/>
                <w:szCs w:val="18"/>
                <w:lang w:val="en-US" w:eastAsia="en-US"/>
              </w:rPr>
              <w:lastRenderedPageBreak/>
              <w:t>blinding and unlikely that blinding could have been broken, 3) o</w:t>
            </w:r>
            <w:r w:rsidR="00812484">
              <w:rPr>
                <w:rFonts w:ascii="Arial" w:eastAsiaTheme="minorHAnsi" w:hAnsi="Arial" w:cs="Arial"/>
                <w:sz w:val="18"/>
                <w:szCs w:val="18"/>
                <w:lang w:val="en-US" w:eastAsia="en-US"/>
              </w:rPr>
              <w:t xml:space="preserve">nly partial blinding, but not </w:t>
            </w:r>
            <w:r w:rsidRPr="00576C04">
              <w:rPr>
                <w:rFonts w:ascii="Arial" w:eastAsiaTheme="minorHAnsi" w:hAnsi="Arial" w:cs="Arial"/>
                <w:sz w:val="18"/>
                <w:szCs w:val="18"/>
                <w:lang w:val="en-US" w:eastAsia="en-US"/>
              </w:rPr>
              <w:t xml:space="preserve">likely to introduce bias. </w:t>
            </w:r>
          </w:p>
        </w:tc>
        <w:tc>
          <w:tcPr>
            <w:tcW w:w="992" w:type="dxa"/>
            <w:tcBorders>
              <w:top w:val="dotted" w:sz="4" w:space="0" w:color="auto"/>
              <w:left w:val="nil"/>
              <w:bottom w:val="dotted" w:sz="4" w:space="0" w:color="auto"/>
              <w:right w:val="nil"/>
            </w:tcBorders>
            <w:hideMark/>
          </w:tcPr>
          <w:p w:rsidR="00576C04" w:rsidRPr="00576C04" w:rsidRDefault="00576C04" w:rsidP="00003EFF">
            <w:pPr>
              <w:spacing w:line="280" w:lineRule="exact"/>
              <w:jc w:val="center"/>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lastRenderedPageBreak/>
              <w:t>Y</w:t>
            </w:r>
          </w:p>
        </w:tc>
        <w:tc>
          <w:tcPr>
            <w:tcW w:w="6804" w:type="dxa"/>
            <w:tcBorders>
              <w:top w:val="dotted" w:sz="4" w:space="0" w:color="auto"/>
              <w:left w:val="nil"/>
              <w:bottom w:val="dotted" w:sz="4" w:space="0" w:color="auto"/>
              <w:right w:val="nil"/>
            </w:tcBorders>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i/>
                <w:sz w:val="18"/>
                <w:szCs w:val="18"/>
                <w:lang w:val="en-US" w:eastAsia="en-US"/>
              </w:rPr>
              <w:t>‘With regard to the nature of interventions, blinding of patients and therapists for treatment condition was not possible’</w:t>
            </w:r>
            <w:r w:rsidRPr="00576C04">
              <w:rPr>
                <w:rFonts w:ascii="Arial" w:eastAsiaTheme="minorHAnsi" w:hAnsi="Arial" w:cs="Arial"/>
                <w:sz w:val="18"/>
                <w:szCs w:val="18"/>
                <w:lang w:val="en-US" w:eastAsia="en-US"/>
              </w:rPr>
              <w:t xml:space="preserve">. However, we think it is unlikely that the lack of blinding has influenced outcome, mainly because all outcome measures were self-report measures, and patients were not aware of study aims. However, the fact that the researchers who conducted statistical analyses were not blind for the coding of CT and IPT is a limitation of the current study.  </w:t>
            </w:r>
          </w:p>
        </w:tc>
      </w:tr>
      <w:tr w:rsidR="00576C04" w:rsidRPr="00576C04" w:rsidTr="00F8042E">
        <w:tc>
          <w:tcPr>
            <w:tcW w:w="2093"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lastRenderedPageBreak/>
              <w:t xml:space="preserve">Comparability of drop-outs in intervention groups? </w:t>
            </w:r>
          </w:p>
        </w:tc>
        <w:tc>
          <w:tcPr>
            <w:tcW w:w="3260"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Missing outcome data balanced in numbers across intervention groups, with similar reasons for missing data across groups</w:t>
            </w:r>
          </w:p>
        </w:tc>
        <w:tc>
          <w:tcPr>
            <w:tcW w:w="992" w:type="dxa"/>
            <w:tcBorders>
              <w:top w:val="dotted" w:sz="4" w:space="0" w:color="auto"/>
              <w:left w:val="nil"/>
              <w:bottom w:val="dotted" w:sz="4" w:space="0" w:color="auto"/>
              <w:right w:val="nil"/>
            </w:tcBorders>
            <w:hideMark/>
          </w:tcPr>
          <w:p w:rsidR="00576C04" w:rsidRPr="00576C04" w:rsidRDefault="00576C04" w:rsidP="00003EFF">
            <w:pPr>
              <w:spacing w:line="280" w:lineRule="exact"/>
              <w:jc w:val="center"/>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Y</w:t>
            </w:r>
          </w:p>
        </w:tc>
        <w:tc>
          <w:tcPr>
            <w:tcW w:w="6804" w:type="dxa"/>
            <w:tcBorders>
              <w:top w:val="dotted" w:sz="4" w:space="0" w:color="auto"/>
              <w:left w:val="nil"/>
              <w:bottom w:val="dotted" w:sz="4" w:space="0" w:color="auto"/>
              <w:right w:val="nil"/>
            </w:tcBorders>
            <w:hideMark/>
          </w:tcPr>
          <w:p w:rsidR="00576C04" w:rsidRPr="00F8042E" w:rsidRDefault="00576C04" w:rsidP="00F8042E">
            <w:pPr>
              <w:spacing w:line="280" w:lineRule="exact"/>
              <w:jc w:val="both"/>
              <w:rPr>
                <w:rFonts w:ascii="Arial" w:eastAsiaTheme="minorHAnsi" w:hAnsi="Arial" w:cs="Arial"/>
                <w:sz w:val="18"/>
                <w:szCs w:val="18"/>
                <w:highlight w:val="yellow"/>
                <w:lang w:val="en-US" w:eastAsia="en-US"/>
              </w:rPr>
            </w:pPr>
            <w:r w:rsidRPr="00576C04">
              <w:rPr>
                <w:rFonts w:ascii="Arial" w:eastAsiaTheme="minorHAnsi" w:hAnsi="Arial" w:cs="Arial"/>
                <w:i/>
                <w:sz w:val="18"/>
                <w:szCs w:val="18"/>
                <w:lang w:val="en-US" w:eastAsia="en-US"/>
              </w:rPr>
              <w:t>‘No significant differences in attrition rates emerged across conditions (See Consort Flow Chart)’.</w:t>
            </w:r>
            <w:r w:rsidRPr="00576C04">
              <w:rPr>
                <w:rFonts w:ascii="Arial" w:eastAsiaTheme="minorHAnsi" w:hAnsi="Arial" w:cs="Arial"/>
                <w:sz w:val="18"/>
                <w:szCs w:val="18"/>
                <w:lang w:val="en-US" w:eastAsia="en-US"/>
              </w:rPr>
              <w:t xml:space="preserve">  Missing outcome data is balanced in numbers across intervention groups. At 7 months (the end of the acute phase), 6 patients in CT and 10 in IPT were lost to follow-up. At 12 months this was 11 (14.5%) for CT ad 14 (18.7%) for IPT. Reasons for drop-out were similar across groups. Patients either were unattainable/did not respond to contact requests (7 in CT vs. 8 in IPT), or no longer wanted to participate in the trial (3 in CT vs. 6 in IPT). 1 moved abroad (CT). Even though the 12-month attrition rates are within (the low) range of other clinical trials, they might have introduced bias, which could be a limitation of the study. However, we do not consider it likely that the drop-out rates have caused any large biases because missings were handled carefully. By using mixed regression (a method that takes the nested structure of the data into consideration and can deal with autocorrelation and missing values, see Singer &amp; Willet, 2003, Oxford University Press). </w:t>
            </w:r>
            <w:bookmarkStart w:id="10" w:name="_GoBack"/>
            <w:bookmarkEnd w:id="10"/>
          </w:p>
        </w:tc>
      </w:tr>
      <w:tr w:rsidR="00576C04" w:rsidRPr="00576C04" w:rsidTr="00F8042E">
        <w:tc>
          <w:tcPr>
            <w:tcW w:w="2093"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Free of selective outcome measure reporting</w:t>
            </w:r>
          </w:p>
        </w:tc>
        <w:tc>
          <w:tcPr>
            <w:tcW w:w="3260"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The study protocol is available and all of the study’s pre-spec</w:t>
            </w:r>
            <w:r w:rsidR="00812484">
              <w:rPr>
                <w:rFonts w:ascii="Arial" w:eastAsiaTheme="minorHAnsi" w:hAnsi="Arial" w:cs="Arial"/>
                <w:sz w:val="18"/>
                <w:szCs w:val="18"/>
                <w:lang w:val="en-US" w:eastAsia="en-US"/>
              </w:rPr>
              <w:t>ified (primary and secondary ) o</w:t>
            </w:r>
            <w:r w:rsidRPr="00576C04">
              <w:rPr>
                <w:rFonts w:ascii="Arial" w:eastAsiaTheme="minorHAnsi" w:hAnsi="Arial" w:cs="Arial"/>
                <w:sz w:val="18"/>
                <w:szCs w:val="18"/>
                <w:lang w:val="en-US" w:eastAsia="en-US"/>
              </w:rPr>
              <w:t>utcomes that are of interest in the review have been reported in the pre-specified way</w:t>
            </w:r>
          </w:p>
        </w:tc>
        <w:tc>
          <w:tcPr>
            <w:tcW w:w="992" w:type="dxa"/>
            <w:tcBorders>
              <w:top w:val="dotted" w:sz="4" w:space="0" w:color="auto"/>
              <w:left w:val="nil"/>
              <w:bottom w:val="dotted" w:sz="4" w:space="0" w:color="auto"/>
              <w:right w:val="nil"/>
            </w:tcBorders>
            <w:hideMark/>
          </w:tcPr>
          <w:p w:rsidR="00576C04" w:rsidRPr="00576C04" w:rsidRDefault="00576C04" w:rsidP="00003EFF">
            <w:pPr>
              <w:spacing w:line="280" w:lineRule="exact"/>
              <w:jc w:val="center"/>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Y</w:t>
            </w:r>
          </w:p>
        </w:tc>
        <w:tc>
          <w:tcPr>
            <w:tcW w:w="6804" w:type="dxa"/>
            <w:tcBorders>
              <w:top w:val="dotted" w:sz="4" w:space="0" w:color="auto"/>
              <w:left w:val="nil"/>
              <w:bottom w:val="dotted" w:sz="4" w:space="0" w:color="auto"/>
              <w:right w:val="nil"/>
            </w:tcBorders>
            <w:hideMark/>
          </w:tcPr>
          <w:p w:rsidR="00576C04" w:rsidRPr="00576C04" w:rsidRDefault="00576C04" w:rsidP="00576C04">
            <w:pPr>
              <w:spacing w:line="280" w:lineRule="exact"/>
              <w:jc w:val="both"/>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 xml:space="preserve">We pre-specified all of the study’s outcomes in our protocol paper (Lemmens et al., 2011). As can be seen in the protocol paper, we included several categories of measurements: primary and secondary outcome measures (in terms of symptoms and quality of life), process measures, and economic evaluation measures. The present study examines the clinical effectiveness, and therefore included all clinical outcome and quality of life measures. </w:t>
            </w:r>
          </w:p>
        </w:tc>
      </w:tr>
      <w:tr w:rsidR="00576C04" w:rsidRPr="00576C04" w:rsidTr="00F8042E">
        <w:tc>
          <w:tcPr>
            <w:tcW w:w="2093"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Free of Economic bias</w:t>
            </w:r>
          </w:p>
        </w:tc>
        <w:tc>
          <w:tcPr>
            <w:tcW w:w="3260" w:type="dxa"/>
            <w:tcBorders>
              <w:top w:val="dotted" w:sz="4" w:space="0" w:color="auto"/>
              <w:left w:val="nil"/>
              <w:bottom w:val="dotted"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Economic bias may be present if a trial is financed by an individual or organization that might have an interest in a given result from the trial</w:t>
            </w:r>
          </w:p>
        </w:tc>
        <w:tc>
          <w:tcPr>
            <w:tcW w:w="992" w:type="dxa"/>
            <w:tcBorders>
              <w:top w:val="dotted" w:sz="4" w:space="0" w:color="auto"/>
              <w:left w:val="nil"/>
              <w:bottom w:val="dotted" w:sz="4" w:space="0" w:color="auto"/>
              <w:right w:val="nil"/>
            </w:tcBorders>
            <w:hideMark/>
          </w:tcPr>
          <w:p w:rsidR="00576C04" w:rsidRPr="00576C04" w:rsidRDefault="00576C04" w:rsidP="00003EFF">
            <w:pPr>
              <w:spacing w:line="280" w:lineRule="exact"/>
              <w:jc w:val="center"/>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Y</w:t>
            </w:r>
          </w:p>
        </w:tc>
        <w:tc>
          <w:tcPr>
            <w:tcW w:w="6804" w:type="dxa"/>
            <w:tcBorders>
              <w:top w:val="dotted" w:sz="4" w:space="0" w:color="auto"/>
              <w:left w:val="nil"/>
              <w:bottom w:val="dotted" w:sz="4" w:space="0" w:color="auto"/>
              <w:right w:val="nil"/>
            </w:tcBorders>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i/>
                <w:sz w:val="18"/>
                <w:szCs w:val="18"/>
                <w:lang w:val="en-US" w:eastAsia="en-US"/>
              </w:rPr>
              <w:t xml:space="preserve">‘This research was financed by </w:t>
            </w:r>
            <w:r w:rsidRPr="00576C04">
              <w:rPr>
                <w:rFonts w:ascii="Arial" w:eastAsiaTheme="minorHAnsi" w:hAnsi="Arial" w:cs="Arial"/>
                <w:i/>
                <w:color w:val="000000"/>
                <w:sz w:val="18"/>
                <w:szCs w:val="18"/>
                <w:lang w:val="en-US" w:eastAsia="en-US"/>
              </w:rPr>
              <w:t xml:space="preserve">the research institute of Experimental Psychopathology (EPP) and the Academic Community Mental Health Centre (RIAGG). Both organizations have no special interests in specific outcomes of the trial’. </w:t>
            </w:r>
            <w:r w:rsidRPr="00576C04">
              <w:rPr>
                <w:rFonts w:ascii="Arial" w:eastAsiaTheme="minorHAnsi" w:hAnsi="Arial" w:cs="Arial"/>
                <w:sz w:val="18"/>
                <w:szCs w:val="18"/>
                <w:lang w:val="en-US" w:eastAsia="en-US"/>
              </w:rPr>
              <w:t xml:space="preserve">EPP is an independent non-profit research institute that aims to unravel underlying mechanisms of the etiology, maintenance and treatment of select psychopathological conditions. EPP has created an excellent track record in a continuum from basic to applied clinical research. RIAGG is a research oriented </w:t>
            </w:r>
            <w:r w:rsidRPr="00576C04">
              <w:rPr>
                <w:rFonts w:ascii="Arial" w:eastAsiaTheme="minorHAnsi" w:hAnsi="Arial" w:cs="Arial"/>
                <w:sz w:val="18"/>
                <w:szCs w:val="18"/>
                <w:lang w:val="en-US" w:eastAsia="en-US"/>
              </w:rPr>
              <w:lastRenderedPageBreak/>
              <w:t xml:space="preserve">routine clinical setting in Maastricht, the Netherlands, providing EPP’s researchers with a stable clinical infrastructure where long-term studies can be executed. RIAGG has no interest in specific outcomes of the trial, since both CT and IPT are already delivered as routine psychological therapies for depression in the clinic. We therefore feel free to say that our trial free of industry sponsorship or other types of for-profit support that may manipulate the trial design, conductance or results of the trial.  </w:t>
            </w:r>
          </w:p>
        </w:tc>
      </w:tr>
      <w:tr w:rsidR="00576C04" w:rsidRPr="00576C04" w:rsidTr="00F8042E">
        <w:tc>
          <w:tcPr>
            <w:tcW w:w="2093" w:type="dxa"/>
            <w:tcBorders>
              <w:top w:val="dotted" w:sz="4" w:space="0" w:color="auto"/>
              <w:left w:val="nil"/>
              <w:bottom w:val="single"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lastRenderedPageBreak/>
              <w:t xml:space="preserve">Free of Academic bias </w:t>
            </w:r>
          </w:p>
        </w:tc>
        <w:tc>
          <w:tcPr>
            <w:tcW w:w="3260" w:type="dxa"/>
            <w:tcBorders>
              <w:top w:val="dotted" w:sz="4" w:space="0" w:color="auto"/>
              <w:left w:val="nil"/>
              <w:bottom w:val="single" w:sz="4" w:space="0" w:color="auto"/>
              <w:right w:val="nil"/>
            </w:tcBorders>
            <w:hideMark/>
          </w:tcPr>
          <w:p w:rsidR="00576C04" w:rsidRPr="00576C04" w:rsidRDefault="00576C04" w:rsidP="00576C04">
            <w:pPr>
              <w:spacing w:line="280" w:lineRule="exact"/>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 xml:space="preserve">Academic bias may be present if one or more of the </w:t>
            </w:r>
            <w:proofErr w:type="spellStart"/>
            <w:r w:rsidRPr="00576C04">
              <w:rPr>
                <w:rFonts w:ascii="Arial" w:eastAsiaTheme="minorHAnsi" w:hAnsi="Arial" w:cs="Arial"/>
                <w:sz w:val="18"/>
                <w:szCs w:val="18"/>
                <w:lang w:val="en-US" w:eastAsia="en-US"/>
              </w:rPr>
              <w:t>trialists</w:t>
            </w:r>
            <w:proofErr w:type="spellEnd"/>
            <w:r w:rsidRPr="00576C04">
              <w:rPr>
                <w:rFonts w:ascii="Arial" w:eastAsiaTheme="minorHAnsi" w:hAnsi="Arial" w:cs="Arial"/>
                <w:sz w:val="18"/>
                <w:szCs w:val="18"/>
                <w:lang w:val="en-US" w:eastAsia="en-US"/>
              </w:rPr>
              <w:t xml:space="preserve"> have an academic or personal interest in a given result from the trial</w:t>
            </w:r>
          </w:p>
        </w:tc>
        <w:tc>
          <w:tcPr>
            <w:tcW w:w="992" w:type="dxa"/>
            <w:tcBorders>
              <w:top w:val="dotted" w:sz="4" w:space="0" w:color="auto"/>
              <w:left w:val="nil"/>
              <w:bottom w:val="single" w:sz="4" w:space="0" w:color="auto"/>
              <w:right w:val="nil"/>
            </w:tcBorders>
            <w:hideMark/>
          </w:tcPr>
          <w:p w:rsidR="00576C04" w:rsidRPr="00576C04" w:rsidRDefault="00576C04" w:rsidP="00003EFF">
            <w:pPr>
              <w:spacing w:line="280" w:lineRule="exact"/>
              <w:jc w:val="center"/>
              <w:rPr>
                <w:rFonts w:ascii="Arial" w:eastAsiaTheme="minorHAnsi" w:hAnsi="Arial" w:cs="Arial"/>
                <w:sz w:val="18"/>
                <w:szCs w:val="18"/>
                <w:lang w:val="en-US" w:eastAsia="en-US"/>
              </w:rPr>
            </w:pPr>
            <w:r w:rsidRPr="00576C04">
              <w:rPr>
                <w:rFonts w:ascii="Arial" w:eastAsiaTheme="minorHAnsi" w:hAnsi="Arial" w:cs="Arial"/>
                <w:sz w:val="18"/>
                <w:szCs w:val="18"/>
                <w:lang w:val="en-US" w:eastAsia="en-US"/>
              </w:rPr>
              <w:t>Y</w:t>
            </w:r>
          </w:p>
        </w:tc>
        <w:tc>
          <w:tcPr>
            <w:tcW w:w="6804" w:type="dxa"/>
            <w:tcBorders>
              <w:top w:val="dotted" w:sz="4" w:space="0" w:color="auto"/>
              <w:left w:val="nil"/>
              <w:bottom w:val="single" w:sz="4" w:space="0" w:color="auto"/>
              <w:right w:val="nil"/>
            </w:tcBorders>
            <w:hideMark/>
          </w:tcPr>
          <w:p w:rsidR="00576C04" w:rsidRPr="00576C04" w:rsidRDefault="00576C04" w:rsidP="00576C04">
            <w:pPr>
              <w:spacing w:line="280" w:lineRule="exact"/>
              <w:rPr>
                <w:rFonts w:ascii="Arial" w:eastAsiaTheme="minorHAnsi" w:hAnsi="Arial" w:cs="Arial"/>
                <w:i/>
                <w:sz w:val="18"/>
                <w:szCs w:val="18"/>
                <w:lang w:val="en-US" w:eastAsia="en-US"/>
              </w:rPr>
            </w:pPr>
            <w:r w:rsidRPr="00576C04">
              <w:rPr>
                <w:rFonts w:ascii="Arial" w:eastAsiaTheme="minorHAnsi" w:hAnsi="Arial" w:cs="Arial"/>
                <w:i/>
                <w:sz w:val="18"/>
                <w:szCs w:val="18"/>
                <w:lang w:val="en-US" w:eastAsia="en-US"/>
              </w:rPr>
              <w:t xml:space="preserve">‘The authors declare to have no conflict of interest, or personal gain’ </w:t>
            </w:r>
          </w:p>
        </w:tc>
      </w:tr>
      <w:tr w:rsidR="00576C04" w:rsidRPr="00576C04" w:rsidTr="00F8042E">
        <w:tc>
          <w:tcPr>
            <w:tcW w:w="13149" w:type="dxa"/>
            <w:gridSpan w:val="4"/>
            <w:tcBorders>
              <w:top w:val="single" w:sz="4" w:space="0" w:color="auto"/>
              <w:left w:val="nil"/>
              <w:bottom w:val="single" w:sz="4" w:space="0" w:color="auto"/>
              <w:right w:val="nil"/>
            </w:tcBorders>
            <w:shd w:val="clear" w:color="auto" w:fill="A6A6A6" w:themeFill="background1" w:themeFillShade="A6"/>
            <w:hideMark/>
          </w:tcPr>
          <w:p w:rsidR="00576C04" w:rsidRPr="00576C04" w:rsidRDefault="00576C04" w:rsidP="00576C04">
            <w:pPr>
              <w:spacing w:before="40"/>
              <w:rPr>
                <w:rFonts w:ascii="Arial" w:hAnsi="Arial" w:cs="Arial"/>
                <w:sz w:val="16"/>
                <w:szCs w:val="16"/>
                <w:lang w:val="en-US"/>
              </w:rPr>
            </w:pPr>
            <w:r w:rsidRPr="00576C04">
              <w:rPr>
                <w:rFonts w:ascii="Arial" w:eastAsiaTheme="minorHAnsi" w:hAnsi="Arial" w:cs="Arial"/>
                <w:sz w:val="16"/>
                <w:szCs w:val="16"/>
                <w:lang w:val="en-US" w:eastAsia="en-US"/>
              </w:rPr>
              <w:t xml:space="preserve">*Definitions come from Higgins &amp; Green (2011) ‘The Cochrane Handbook for Systematic Reviews of Interventions Version 5.1.0’. </w:t>
            </w:r>
            <w:r w:rsidRPr="00576C04">
              <w:rPr>
                <w:rFonts w:ascii="Arial" w:hAnsi="Arial" w:cs="Arial"/>
                <w:sz w:val="16"/>
                <w:szCs w:val="16"/>
                <w:lang w:val="en-US"/>
              </w:rPr>
              <w:t>Obtained via the Cochrane Hepato-Biliary group’s (CHBG) website http://hbg.cochrane.org/information-authors</w:t>
            </w:r>
          </w:p>
        </w:tc>
      </w:tr>
    </w:tbl>
    <w:p w:rsidR="00443E8A" w:rsidRDefault="00443E8A" w:rsidP="00443E8A">
      <w:pPr>
        <w:spacing w:line="276" w:lineRule="auto"/>
        <w:rPr>
          <w:rFonts w:eastAsiaTheme="minorHAnsi"/>
          <w:b/>
          <w:sz w:val="22"/>
          <w:szCs w:val="22"/>
          <w:lang w:eastAsia="en-US"/>
        </w:rPr>
      </w:pPr>
    </w:p>
    <w:p w:rsidR="00576C04" w:rsidRDefault="00576C04" w:rsidP="00443E8A">
      <w:pPr>
        <w:spacing w:line="276" w:lineRule="auto"/>
        <w:rPr>
          <w:rFonts w:eastAsiaTheme="minorHAnsi"/>
          <w:b/>
          <w:sz w:val="22"/>
          <w:szCs w:val="22"/>
          <w:lang w:eastAsia="en-US"/>
        </w:rPr>
      </w:pPr>
    </w:p>
    <w:p w:rsidR="00576C04" w:rsidRDefault="00576C04" w:rsidP="00443E8A">
      <w:pPr>
        <w:spacing w:line="276" w:lineRule="auto"/>
        <w:rPr>
          <w:rFonts w:eastAsiaTheme="minorHAnsi"/>
          <w:b/>
          <w:sz w:val="22"/>
          <w:szCs w:val="22"/>
          <w:lang w:eastAsia="en-US"/>
        </w:rPr>
      </w:pPr>
    </w:p>
    <w:p w:rsidR="00576C04" w:rsidRDefault="00576C04" w:rsidP="00443E8A">
      <w:pPr>
        <w:spacing w:line="276" w:lineRule="auto"/>
        <w:rPr>
          <w:rFonts w:eastAsiaTheme="minorHAnsi"/>
          <w:b/>
          <w:sz w:val="22"/>
          <w:szCs w:val="22"/>
          <w:lang w:eastAsia="en-US"/>
        </w:rPr>
      </w:pPr>
    </w:p>
    <w:p w:rsidR="00B06BF6" w:rsidRPr="00986664" w:rsidRDefault="00B06BF6" w:rsidP="00F00B1A">
      <w:pPr>
        <w:spacing w:line="276" w:lineRule="auto"/>
        <w:rPr>
          <w:b/>
          <w:bCs/>
          <w:lang w:val="en-US"/>
        </w:rPr>
      </w:pPr>
    </w:p>
    <w:sectPr w:rsidR="00B06BF6" w:rsidRPr="00986664" w:rsidSect="00F00B1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D8" w:rsidRDefault="00CC5ED8" w:rsidP="00930EED">
      <w:r>
        <w:separator/>
      </w:r>
    </w:p>
  </w:endnote>
  <w:endnote w:type="continuationSeparator" w:id="0">
    <w:p w:rsidR="00CC5ED8" w:rsidRDefault="00CC5ED8" w:rsidP="0093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D8" w:rsidRDefault="00CC5ED8" w:rsidP="00930EED">
      <w:r>
        <w:separator/>
      </w:r>
    </w:p>
  </w:footnote>
  <w:footnote w:type="continuationSeparator" w:id="0">
    <w:p w:rsidR="00CC5ED8" w:rsidRDefault="00CC5ED8" w:rsidP="00930EED">
      <w:r>
        <w:continuationSeparator/>
      </w:r>
    </w:p>
  </w:footnote>
  <w:footnote w:id="1">
    <w:p w:rsidR="00CC5ED8" w:rsidRPr="007538BC" w:rsidRDefault="00CC5ED8" w:rsidP="00B06BF6">
      <w:pPr>
        <w:pStyle w:val="FootnoteText"/>
        <w:rPr>
          <w:sz w:val="18"/>
          <w:szCs w:val="18"/>
        </w:rPr>
      </w:pPr>
      <w:r w:rsidRPr="00A158C0">
        <w:rPr>
          <w:rStyle w:val="FootnoteReference"/>
          <w:sz w:val="18"/>
          <w:szCs w:val="18"/>
        </w:rPr>
        <w:footnoteRef/>
      </w:r>
      <w:r w:rsidRPr="00A158C0">
        <w:rPr>
          <w:sz w:val="18"/>
          <w:szCs w:val="18"/>
        </w:rPr>
        <w:t xml:space="preserve"> </w:t>
      </w:r>
      <w:r w:rsidRPr="00A158C0">
        <w:rPr>
          <w:rFonts w:eastAsia="Calibri"/>
          <w:sz w:val="18"/>
          <w:szCs w:val="18"/>
          <w:lang w:val="en-US" w:eastAsia="en-US"/>
        </w:rPr>
        <w:t xml:space="preserve">The baseline covariates BDI-II and EQ5D were significantly correlated to all outcome measures (BDI-II, EQ5D, BSI, WSAS and RAND36) at 7 and 12 months (Pearson’s </w:t>
      </w:r>
      <w:r w:rsidRPr="00A158C0">
        <w:rPr>
          <w:rFonts w:eastAsia="Calibri"/>
          <w:i/>
          <w:sz w:val="18"/>
          <w:szCs w:val="18"/>
          <w:lang w:val="en-US" w:eastAsia="en-US"/>
        </w:rPr>
        <w:t xml:space="preserve">r </w:t>
      </w:r>
      <w:r w:rsidRPr="00A158C0">
        <w:rPr>
          <w:rFonts w:eastAsia="Calibri"/>
          <w:sz w:val="18"/>
          <w:szCs w:val="18"/>
          <w:lang w:val="en-US" w:eastAsia="en-US"/>
        </w:rPr>
        <w:t xml:space="preserve">ranging from -36 to .50. at </w:t>
      </w:r>
      <w:r w:rsidRPr="00A158C0">
        <w:rPr>
          <w:rFonts w:eastAsia="Calibri"/>
          <w:i/>
          <w:sz w:val="18"/>
          <w:szCs w:val="18"/>
          <w:lang w:val="en-US" w:eastAsia="en-US"/>
        </w:rPr>
        <w:t>p</w:t>
      </w:r>
      <w:r w:rsidRPr="00A158C0">
        <w:rPr>
          <w:rFonts w:eastAsia="Calibri"/>
          <w:sz w:val="18"/>
          <w:szCs w:val="18"/>
          <w:lang w:val="en-US" w:eastAsia="en-US"/>
        </w:rPr>
        <w:t xml:space="preserve"> = .01).</w:t>
      </w:r>
    </w:p>
  </w:footnote>
  <w:footnote w:id="2">
    <w:p w:rsidR="009E625F" w:rsidRPr="00F725DD" w:rsidRDefault="009E625F" w:rsidP="009E625F">
      <w:pPr>
        <w:pStyle w:val="FootnoteText"/>
        <w:rPr>
          <w:sz w:val="18"/>
          <w:szCs w:val="18"/>
        </w:rPr>
      </w:pPr>
      <w:r w:rsidRPr="00F725DD">
        <w:rPr>
          <w:rStyle w:val="FootnoteReference"/>
          <w:sz w:val="18"/>
          <w:szCs w:val="18"/>
        </w:rPr>
        <w:footnoteRef/>
      </w:r>
      <w:r w:rsidRPr="00F725DD">
        <w:rPr>
          <w:sz w:val="18"/>
          <w:szCs w:val="18"/>
        </w:rPr>
        <w:t xml:space="preserve"> Given his role as editor of the Cochrane Hepato-Biliary Group (CHBG), and expertise in assessment of bias risk, we asked </w:t>
      </w:r>
      <w:proofErr w:type="gramStart"/>
      <w:r w:rsidRPr="00F725DD">
        <w:rPr>
          <w:sz w:val="18"/>
          <w:szCs w:val="18"/>
        </w:rPr>
        <w:t>dr</w:t>
      </w:r>
      <w:proofErr w:type="gramEnd"/>
      <w:r w:rsidRPr="00F725DD">
        <w:rPr>
          <w:sz w:val="18"/>
          <w:szCs w:val="18"/>
        </w:rPr>
        <w:t>. J. Jakobsen (PhD, MD) to do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D8" w:rsidRPr="0062330D" w:rsidRDefault="00CC5ED8" w:rsidP="00930EED">
    <w:pPr>
      <w:pStyle w:val="Header"/>
      <w:rPr>
        <w:lang w:val="en-US"/>
      </w:rPr>
    </w:pPr>
    <w:r>
      <w:rPr>
        <w:lang w:val="en-US"/>
      </w:rPr>
      <w:t xml:space="preserve">CLINICAL </w:t>
    </w:r>
    <w:r w:rsidRPr="0062330D">
      <w:rPr>
        <w:lang w:val="en-US"/>
      </w:rPr>
      <w:t xml:space="preserve">EFFECTIVENESS OF </w:t>
    </w:r>
    <w:r>
      <w:rPr>
        <w:lang w:val="en-US"/>
      </w:rPr>
      <w:t>CT AND IPT</w:t>
    </w:r>
    <w:r w:rsidRPr="0062330D">
      <w:rPr>
        <w:lang w:val="en-US"/>
      </w:rPr>
      <w:t xml:space="preserve"> FOR DEPRESSION</w:t>
    </w:r>
  </w:p>
  <w:p w:rsidR="00CC5ED8" w:rsidRPr="00930EED" w:rsidRDefault="00CC5ED8">
    <w:pPr>
      <w:pStyle w:val="Header"/>
      <w:rPr>
        <w:lang w:val="en-US"/>
      </w:rPr>
    </w:pPr>
  </w:p>
  <w:p w:rsidR="00CC5ED8" w:rsidRDefault="00CC5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95vdtsspv5fvkewa0e5rttnvxx95rrzazxe&quot;&gt;EndnoteLotte-Saved&lt;record-ids&gt;&lt;item&gt;33&lt;/item&gt;&lt;item&gt;135&lt;/item&gt;&lt;item&gt;315&lt;/item&gt;&lt;item&gt;344&lt;/item&gt;&lt;item&gt;364&lt;/item&gt;&lt;item&gt;422&lt;/item&gt;&lt;item&gt;426&lt;/item&gt;&lt;item&gt;433&lt;/item&gt;&lt;item&gt;663&lt;/item&gt;&lt;item&gt;664&lt;/item&gt;&lt;/record-ids&gt;&lt;/item&gt;&lt;/Libraries&gt;"/>
  </w:docVars>
  <w:rsids>
    <w:rsidRoot w:val="00F21EA1"/>
    <w:rsid w:val="00003EFF"/>
    <w:rsid w:val="00040D69"/>
    <w:rsid w:val="00067A20"/>
    <w:rsid w:val="001255CB"/>
    <w:rsid w:val="001469D0"/>
    <w:rsid w:val="001B1E4D"/>
    <w:rsid w:val="002451F3"/>
    <w:rsid w:val="00246F96"/>
    <w:rsid w:val="002E2FB4"/>
    <w:rsid w:val="00300E9A"/>
    <w:rsid w:val="003319B3"/>
    <w:rsid w:val="003B2D5C"/>
    <w:rsid w:val="003F3F51"/>
    <w:rsid w:val="00443E8A"/>
    <w:rsid w:val="00463BDD"/>
    <w:rsid w:val="00505B73"/>
    <w:rsid w:val="00516BD0"/>
    <w:rsid w:val="00576C04"/>
    <w:rsid w:val="005954B7"/>
    <w:rsid w:val="005A1275"/>
    <w:rsid w:val="005B4EC1"/>
    <w:rsid w:val="005F21B6"/>
    <w:rsid w:val="006474AA"/>
    <w:rsid w:val="00657762"/>
    <w:rsid w:val="007205F5"/>
    <w:rsid w:val="00796303"/>
    <w:rsid w:val="00812484"/>
    <w:rsid w:val="0081702D"/>
    <w:rsid w:val="008E4783"/>
    <w:rsid w:val="00930EED"/>
    <w:rsid w:val="00986664"/>
    <w:rsid w:val="00994DED"/>
    <w:rsid w:val="009C1311"/>
    <w:rsid w:val="009E625F"/>
    <w:rsid w:val="00A34E39"/>
    <w:rsid w:val="00A738E2"/>
    <w:rsid w:val="00AB39E8"/>
    <w:rsid w:val="00B06BF6"/>
    <w:rsid w:val="00B50E62"/>
    <w:rsid w:val="00B52E05"/>
    <w:rsid w:val="00B604E0"/>
    <w:rsid w:val="00B745A2"/>
    <w:rsid w:val="00BB2FA6"/>
    <w:rsid w:val="00C01434"/>
    <w:rsid w:val="00C21558"/>
    <w:rsid w:val="00C626C6"/>
    <w:rsid w:val="00CC5ED8"/>
    <w:rsid w:val="00CE0D2E"/>
    <w:rsid w:val="00D12674"/>
    <w:rsid w:val="00D70FA8"/>
    <w:rsid w:val="00D96D62"/>
    <w:rsid w:val="00E11DC0"/>
    <w:rsid w:val="00E139F1"/>
    <w:rsid w:val="00E16472"/>
    <w:rsid w:val="00EC68EB"/>
    <w:rsid w:val="00EE0F14"/>
    <w:rsid w:val="00F00B1A"/>
    <w:rsid w:val="00F21EA1"/>
    <w:rsid w:val="00F725DD"/>
    <w:rsid w:val="00F8042E"/>
    <w:rsid w:val="00F946CA"/>
    <w:rsid w:val="00FC7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A1"/>
    <w:pPr>
      <w:spacing w:after="0" w:line="240" w:lineRule="auto"/>
    </w:pPr>
    <w:rPr>
      <w:rFonts w:ascii="Times New Roman" w:eastAsia="Times New Roman" w:hAnsi="Times New Roman" w:cs="Times New Roman"/>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1">
    <w:name w:val="Geen afstand1"/>
    <w:rsid w:val="00F21EA1"/>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930EED"/>
    <w:pPr>
      <w:tabs>
        <w:tab w:val="center" w:pos="4536"/>
        <w:tab w:val="right" w:pos="9072"/>
      </w:tabs>
    </w:pPr>
  </w:style>
  <w:style w:type="character" w:customStyle="1" w:styleId="HeaderChar">
    <w:name w:val="Header Char"/>
    <w:basedOn w:val="DefaultParagraphFont"/>
    <w:link w:val="Header"/>
    <w:uiPriority w:val="99"/>
    <w:rsid w:val="00930EED"/>
    <w:rPr>
      <w:rFonts w:ascii="Times New Roman" w:eastAsia="Times New Roman" w:hAnsi="Times New Roman" w:cs="Times New Roman"/>
      <w:sz w:val="24"/>
      <w:szCs w:val="24"/>
      <w:lang w:val="en-GB" w:eastAsia="nl-NL"/>
    </w:rPr>
  </w:style>
  <w:style w:type="paragraph" w:styleId="Footer">
    <w:name w:val="footer"/>
    <w:basedOn w:val="Normal"/>
    <w:link w:val="FooterChar"/>
    <w:uiPriority w:val="99"/>
    <w:unhideWhenUsed/>
    <w:rsid w:val="00930EED"/>
    <w:pPr>
      <w:tabs>
        <w:tab w:val="center" w:pos="4536"/>
        <w:tab w:val="right" w:pos="9072"/>
      </w:tabs>
    </w:pPr>
  </w:style>
  <w:style w:type="character" w:customStyle="1" w:styleId="FooterChar">
    <w:name w:val="Footer Char"/>
    <w:basedOn w:val="DefaultParagraphFont"/>
    <w:link w:val="Footer"/>
    <w:uiPriority w:val="99"/>
    <w:rsid w:val="00930EED"/>
    <w:rPr>
      <w:rFonts w:ascii="Times New Roman" w:eastAsia="Times New Roman" w:hAnsi="Times New Roman" w:cs="Times New Roman"/>
      <w:sz w:val="24"/>
      <w:szCs w:val="24"/>
      <w:lang w:val="en-GB" w:eastAsia="nl-NL"/>
    </w:rPr>
  </w:style>
  <w:style w:type="paragraph" w:styleId="BalloonText">
    <w:name w:val="Balloon Text"/>
    <w:basedOn w:val="Normal"/>
    <w:link w:val="BalloonTextChar"/>
    <w:uiPriority w:val="99"/>
    <w:semiHidden/>
    <w:unhideWhenUsed/>
    <w:rsid w:val="00930EED"/>
    <w:rPr>
      <w:rFonts w:ascii="Tahoma" w:hAnsi="Tahoma" w:cs="Tahoma"/>
      <w:sz w:val="16"/>
      <w:szCs w:val="16"/>
    </w:rPr>
  </w:style>
  <w:style w:type="character" w:customStyle="1" w:styleId="BalloonTextChar">
    <w:name w:val="Balloon Text Char"/>
    <w:basedOn w:val="DefaultParagraphFont"/>
    <w:link w:val="BalloonText"/>
    <w:uiPriority w:val="99"/>
    <w:semiHidden/>
    <w:rsid w:val="00930EED"/>
    <w:rPr>
      <w:rFonts w:ascii="Tahoma" w:eastAsia="Times New Roman" w:hAnsi="Tahoma" w:cs="Tahoma"/>
      <w:sz w:val="16"/>
      <w:szCs w:val="16"/>
      <w:lang w:val="en-GB" w:eastAsia="nl-NL"/>
    </w:rPr>
  </w:style>
  <w:style w:type="paragraph" w:styleId="FootnoteText">
    <w:name w:val="footnote text"/>
    <w:basedOn w:val="Normal"/>
    <w:link w:val="FootnoteTextChar"/>
    <w:semiHidden/>
    <w:rsid w:val="00B06BF6"/>
    <w:rPr>
      <w:sz w:val="20"/>
      <w:szCs w:val="20"/>
    </w:rPr>
  </w:style>
  <w:style w:type="character" w:customStyle="1" w:styleId="FootnoteTextChar">
    <w:name w:val="Footnote Text Char"/>
    <w:basedOn w:val="DefaultParagraphFont"/>
    <w:link w:val="FootnoteText"/>
    <w:semiHidden/>
    <w:rsid w:val="00B06BF6"/>
    <w:rPr>
      <w:rFonts w:ascii="Times New Roman" w:eastAsia="Times New Roman" w:hAnsi="Times New Roman" w:cs="Times New Roman"/>
      <w:sz w:val="20"/>
      <w:szCs w:val="20"/>
      <w:lang w:val="en-GB" w:eastAsia="nl-NL"/>
    </w:rPr>
  </w:style>
  <w:style w:type="character" w:styleId="FootnoteReference">
    <w:name w:val="footnote reference"/>
    <w:semiHidden/>
    <w:rsid w:val="00B06BF6"/>
    <w:rPr>
      <w:vertAlign w:val="superscript"/>
    </w:rPr>
  </w:style>
  <w:style w:type="table" w:styleId="TableGrid">
    <w:name w:val="Table Grid"/>
    <w:basedOn w:val="TableNormal"/>
    <w:uiPriority w:val="59"/>
    <w:rsid w:val="0098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994DED"/>
    <w:pPr>
      <w:spacing w:after="0" w:line="240" w:lineRule="auto"/>
    </w:pPr>
    <w:rPr>
      <w:rFonts w:ascii="Calibri" w:eastAsia="Times New Roman" w:hAnsi="Calibri" w:cs="Times New Roman"/>
      <w:lang w:val="en-US"/>
    </w:rPr>
  </w:style>
  <w:style w:type="paragraph" w:styleId="NormalWeb">
    <w:name w:val="Normal (Web)"/>
    <w:basedOn w:val="Normal"/>
    <w:uiPriority w:val="99"/>
    <w:rsid w:val="00C626C6"/>
    <w:pPr>
      <w:spacing w:before="100" w:beforeAutospacing="1" w:after="100" w:afterAutospacing="1"/>
    </w:pPr>
  </w:style>
  <w:style w:type="paragraph" w:styleId="ListParagraph">
    <w:name w:val="List Paragraph"/>
    <w:basedOn w:val="Normal"/>
    <w:uiPriority w:val="34"/>
    <w:qFormat/>
    <w:rsid w:val="00576C04"/>
    <w:pPr>
      <w:ind w:left="720"/>
      <w:contextualSpacing/>
    </w:pPr>
  </w:style>
  <w:style w:type="character" w:styleId="Hyperlink">
    <w:name w:val="Hyperlink"/>
    <w:basedOn w:val="DefaultParagraphFont"/>
    <w:uiPriority w:val="99"/>
    <w:unhideWhenUsed/>
    <w:rsid w:val="00576C04"/>
    <w:rPr>
      <w:color w:val="0000FF"/>
      <w:u w:val="single"/>
    </w:rPr>
  </w:style>
  <w:style w:type="table" w:customStyle="1" w:styleId="TableGrid1">
    <w:name w:val="Table Grid1"/>
    <w:basedOn w:val="TableNormal"/>
    <w:next w:val="TableGrid"/>
    <w:uiPriority w:val="59"/>
    <w:rsid w:val="0057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C04"/>
    <w:rPr>
      <w:sz w:val="16"/>
      <w:szCs w:val="16"/>
    </w:rPr>
  </w:style>
  <w:style w:type="paragraph" w:styleId="CommentText">
    <w:name w:val="annotation text"/>
    <w:basedOn w:val="Normal"/>
    <w:link w:val="CommentTextChar"/>
    <w:uiPriority w:val="99"/>
    <w:semiHidden/>
    <w:unhideWhenUsed/>
    <w:rsid w:val="00576C04"/>
    <w:rPr>
      <w:rFonts w:eastAsiaTheme="minorHAnsi"/>
      <w:sz w:val="20"/>
      <w:szCs w:val="20"/>
      <w:lang w:val="nl-NL"/>
    </w:rPr>
  </w:style>
  <w:style w:type="character" w:customStyle="1" w:styleId="CommentTextChar">
    <w:name w:val="Comment Text Char"/>
    <w:basedOn w:val="DefaultParagraphFont"/>
    <w:link w:val="CommentText"/>
    <w:uiPriority w:val="99"/>
    <w:semiHidden/>
    <w:rsid w:val="00576C04"/>
    <w:rPr>
      <w:rFonts w:ascii="Times New Roman" w:hAnsi="Times New Roman" w:cs="Times New Roman"/>
      <w:sz w:val="20"/>
      <w:szCs w:val="20"/>
      <w:lang w:eastAsia="nl-NL"/>
    </w:rPr>
  </w:style>
  <w:style w:type="character" w:styleId="FollowedHyperlink">
    <w:name w:val="FollowedHyperlink"/>
    <w:basedOn w:val="DefaultParagraphFont"/>
    <w:uiPriority w:val="99"/>
    <w:semiHidden/>
    <w:unhideWhenUsed/>
    <w:rsid w:val="00576C04"/>
    <w:rPr>
      <w:color w:val="800080" w:themeColor="followedHyperlink"/>
      <w:u w:val="single"/>
    </w:rPr>
  </w:style>
  <w:style w:type="paragraph" w:styleId="NoSpacing">
    <w:name w:val="No Spacing"/>
    <w:uiPriority w:val="1"/>
    <w:qFormat/>
    <w:rsid w:val="00CC5ED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A1"/>
    <w:pPr>
      <w:spacing w:after="0" w:line="240" w:lineRule="auto"/>
    </w:pPr>
    <w:rPr>
      <w:rFonts w:ascii="Times New Roman" w:eastAsia="Times New Roman" w:hAnsi="Times New Roman" w:cs="Times New Roman"/>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1">
    <w:name w:val="Geen afstand1"/>
    <w:rsid w:val="00F21EA1"/>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930EED"/>
    <w:pPr>
      <w:tabs>
        <w:tab w:val="center" w:pos="4536"/>
        <w:tab w:val="right" w:pos="9072"/>
      </w:tabs>
    </w:pPr>
  </w:style>
  <w:style w:type="character" w:customStyle="1" w:styleId="HeaderChar">
    <w:name w:val="Header Char"/>
    <w:basedOn w:val="DefaultParagraphFont"/>
    <w:link w:val="Header"/>
    <w:uiPriority w:val="99"/>
    <w:rsid w:val="00930EED"/>
    <w:rPr>
      <w:rFonts w:ascii="Times New Roman" w:eastAsia="Times New Roman" w:hAnsi="Times New Roman" w:cs="Times New Roman"/>
      <w:sz w:val="24"/>
      <w:szCs w:val="24"/>
      <w:lang w:val="en-GB" w:eastAsia="nl-NL"/>
    </w:rPr>
  </w:style>
  <w:style w:type="paragraph" w:styleId="Footer">
    <w:name w:val="footer"/>
    <w:basedOn w:val="Normal"/>
    <w:link w:val="FooterChar"/>
    <w:uiPriority w:val="99"/>
    <w:unhideWhenUsed/>
    <w:rsid w:val="00930EED"/>
    <w:pPr>
      <w:tabs>
        <w:tab w:val="center" w:pos="4536"/>
        <w:tab w:val="right" w:pos="9072"/>
      </w:tabs>
    </w:pPr>
  </w:style>
  <w:style w:type="character" w:customStyle="1" w:styleId="FooterChar">
    <w:name w:val="Footer Char"/>
    <w:basedOn w:val="DefaultParagraphFont"/>
    <w:link w:val="Footer"/>
    <w:uiPriority w:val="99"/>
    <w:rsid w:val="00930EED"/>
    <w:rPr>
      <w:rFonts w:ascii="Times New Roman" w:eastAsia="Times New Roman" w:hAnsi="Times New Roman" w:cs="Times New Roman"/>
      <w:sz w:val="24"/>
      <w:szCs w:val="24"/>
      <w:lang w:val="en-GB" w:eastAsia="nl-NL"/>
    </w:rPr>
  </w:style>
  <w:style w:type="paragraph" w:styleId="BalloonText">
    <w:name w:val="Balloon Text"/>
    <w:basedOn w:val="Normal"/>
    <w:link w:val="BalloonTextChar"/>
    <w:uiPriority w:val="99"/>
    <w:semiHidden/>
    <w:unhideWhenUsed/>
    <w:rsid w:val="00930EED"/>
    <w:rPr>
      <w:rFonts w:ascii="Tahoma" w:hAnsi="Tahoma" w:cs="Tahoma"/>
      <w:sz w:val="16"/>
      <w:szCs w:val="16"/>
    </w:rPr>
  </w:style>
  <w:style w:type="character" w:customStyle="1" w:styleId="BalloonTextChar">
    <w:name w:val="Balloon Text Char"/>
    <w:basedOn w:val="DefaultParagraphFont"/>
    <w:link w:val="BalloonText"/>
    <w:uiPriority w:val="99"/>
    <w:semiHidden/>
    <w:rsid w:val="00930EED"/>
    <w:rPr>
      <w:rFonts w:ascii="Tahoma" w:eastAsia="Times New Roman" w:hAnsi="Tahoma" w:cs="Tahoma"/>
      <w:sz w:val="16"/>
      <w:szCs w:val="16"/>
      <w:lang w:val="en-GB" w:eastAsia="nl-NL"/>
    </w:rPr>
  </w:style>
  <w:style w:type="paragraph" w:styleId="FootnoteText">
    <w:name w:val="footnote text"/>
    <w:basedOn w:val="Normal"/>
    <w:link w:val="FootnoteTextChar"/>
    <w:semiHidden/>
    <w:rsid w:val="00B06BF6"/>
    <w:rPr>
      <w:sz w:val="20"/>
      <w:szCs w:val="20"/>
    </w:rPr>
  </w:style>
  <w:style w:type="character" w:customStyle="1" w:styleId="FootnoteTextChar">
    <w:name w:val="Footnote Text Char"/>
    <w:basedOn w:val="DefaultParagraphFont"/>
    <w:link w:val="FootnoteText"/>
    <w:semiHidden/>
    <w:rsid w:val="00B06BF6"/>
    <w:rPr>
      <w:rFonts w:ascii="Times New Roman" w:eastAsia="Times New Roman" w:hAnsi="Times New Roman" w:cs="Times New Roman"/>
      <w:sz w:val="20"/>
      <w:szCs w:val="20"/>
      <w:lang w:val="en-GB" w:eastAsia="nl-NL"/>
    </w:rPr>
  </w:style>
  <w:style w:type="character" w:styleId="FootnoteReference">
    <w:name w:val="footnote reference"/>
    <w:semiHidden/>
    <w:rsid w:val="00B06BF6"/>
    <w:rPr>
      <w:vertAlign w:val="superscript"/>
    </w:rPr>
  </w:style>
  <w:style w:type="table" w:styleId="TableGrid">
    <w:name w:val="Table Grid"/>
    <w:basedOn w:val="TableNormal"/>
    <w:uiPriority w:val="59"/>
    <w:rsid w:val="0098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994DED"/>
    <w:pPr>
      <w:spacing w:after="0" w:line="240" w:lineRule="auto"/>
    </w:pPr>
    <w:rPr>
      <w:rFonts w:ascii="Calibri" w:eastAsia="Times New Roman" w:hAnsi="Calibri" w:cs="Times New Roman"/>
      <w:lang w:val="en-US"/>
    </w:rPr>
  </w:style>
  <w:style w:type="paragraph" w:styleId="NormalWeb">
    <w:name w:val="Normal (Web)"/>
    <w:basedOn w:val="Normal"/>
    <w:uiPriority w:val="99"/>
    <w:rsid w:val="00C626C6"/>
    <w:pPr>
      <w:spacing w:before="100" w:beforeAutospacing="1" w:after="100" w:afterAutospacing="1"/>
    </w:pPr>
  </w:style>
  <w:style w:type="paragraph" w:styleId="ListParagraph">
    <w:name w:val="List Paragraph"/>
    <w:basedOn w:val="Normal"/>
    <w:uiPriority w:val="34"/>
    <w:qFormat/>
    <w:rsid w:val="00576C04"/>
    <w:pPr>
      <w:ind w:left="720"/>
      <w:contextualSpacing/>
    </w:pPr>
  </w:style>
  <w:style w:type="character" w:styleId="Hyperlink">
    <w:name w:val="Hyperlink"/>
    <w:basedOn w:val="DefaultParagraphFont"/>
    <w:uiPriority w:val="99"/>
    <w:unhideWhenUsed/>
    <w:rsid w:val="00576C04"/>
    <w:rPr>
      <w:color w:val="0000FF"/>
      <w:u w:val="single"/>
    </w:rPr>
  </w:style>
  <w:style w:type="table" w:customStyle="1" w:styleId="TableGrid1">
    <w:name w:val="Table Grid1"/>
    <w:basedOn w:val="TableNormal"/>
    <w:next w:val="TableGrid"/>
    <w:uiPriority w:val="59"/>
    <w:rsid w:val="0057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C04"/>
    <w:rPr>
      <w:sz w:val="16"/>
      <w:szCs w:val="16"/>
    </w:rPr>
  </w:style>
  <w:style w:type="paragraph" w:styleId="CommentText">
    <w:name w:val="annotation text"/>
    <w:basedOn w:val="Normal"/>
    <w:link w:val="CommentTextChar"/>
    <w:uiPriority w:val="99"/>
    <w:semiHidden/>
    <w:unhideWhenUsed/>
    <w:rsid w:val="00576C04"/>
    <w:rPr>
      <w:rFonts w:eastAsiaTheme="minorHAnsi"/>
      <w:sz w:val="20"/>
      <w:szCs w:val="20"/>
      <w:lang w:val="nl-NL"/>
    </w:rPr>
  </w:style>
  <w:style w:type="character" w:customStyle="1" w:styleId="CommentTextChar">
    <w:name w:val="Comment Text Char"/>
    <w:basedOn w:val="DefaultParagraphFont"/>
    <w:link w:val="CommentText"/>
    <w:uiPriority w:val="99"/>
    <w:semiHidden/>
    <w:rsid w:val="00576C04"/>
    <w:rPr>
      <w:rFonts w:ascii="Times New Roman" w:hAnsi="Times New Roman" w:cs="Times New Roman"/>
      <w:sz w:val="20"/>
      <w:szCs w:val="20"/>
      <w:lang w:eastAsia="nl-NL"/>
    </w:rPr>
  </w:style>
  <w:style w:type="character" w:styleId="FollowedHyperlink">
    <w:name w:val="FollowedHyperlink"/>
    <w:basedOn w:val="DefaultParagraphFont"/>
    <w:uiPriority w:val="99"/>
    <w:semiHidden/>
    <w:unhideWhenUsed/>
    <w:rsid w:val="00576C04"/>
    <w:rPr>
      <w:color w:val="800080" w:themeColor="followedHyperlink"/>
      <w:u w:val="single"/>
    </w:rPr>
  </w:style>
  <w:style w:type="paragraph" w:styleId="NoSpacing">
    <w:name w:val="No Spacing"/>
    <w:uiPriority w:val="1"/>
    <w:qFormat/>
    <w:rsid w:val="00CC5E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D629E8-EDBF-441C-88F7-861B32D9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5054</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Lemmens</dc:creator>
  <cp:lastModifiedBy>Lotte Lemmens</cp:lastModifiedBy>
  <cp:revision>52</cp:revision>
  <dcterms:created xsi:type="dcterms:W3CDTF">2013-07-08T13:03:00Z</dcterms:created>
  <dcterms:modified xsi:type="dcterms:W3CDTF">2014-11-06T12:14:00Z</dcterms:modified>
</cp:coreProperties>
</file>