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A" w:rsidRDefault="00D602AA" w:rsidP="00D602A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SUPPLEMENTARY </w:t>
      </w:r>
      <w:r w:rsidR="006920A0">
        <w:rPr>
          <w:rFonts w:asciiTheme="minorHAnsi" w:hAnsiTheme="minorHAnsi" w:cs="Arial"/>
          <w:b/>
          <w:sz w:val="28"/>
          <w:szCs w:val="28"/>
        </w:rPr>
        <w:t>MATERIAL</w:t>
      </w:r>
    </w:p>
    <w:p w:rsidR="006920A0" w:rsidRPr="00FA7CB1" w:rsidRDefault="006920A0" w:rsidP="00D602AA">
      <w:pPr>
        <w:rPr>
          <w:rFonts w:asciiTheme="minorHAnsi" w:hAnsiTheme="minorHAnsi"/>
          <w:b/>
          <w:sz w:val="28"/>
          <w:szCs w:val="28"/>
        </w:rPr>
      </w:pPr>
    </w:p>
    <w:p w:rsidR="00D602AA" w:rsidRPr="00294E40" w:rsidRDefault="006920A0" w:rsidP="00D602A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Supplementary </w:t>
      </w:r>
      <w:r w:rsidR="00D602AA">
        <w:rPr>
          <w:rFonts w:asciiTheme="minorHAnsi" w:hAnsiTheme="minorHAnsi" w:cs="Arial"/>
          <w:b/>
          <w:sz w:val="22"/>
          <w:szCs w:val="22"/>
          <w:u w:val="single"/>
        </w:rPr>
        <w:t xml:space="preserve">Table </w:t>
      </w:r>
      <w:r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D602AA">
        <w:rPr>
          <w:rFonts w:asciiTheme="minorHAnsi" w:hAnsiTheme="minorHAnsi" w:cs="Arial"/>
          <w:b/>
          <w:sz w:val="22"/>
          <w:szCs w:val="22"/>
          <w:u w:val="single"/>
        </w:rPr>
        <w:t>1</w:t>
      </w:r>
      <w:r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D602AA">
        <w:rPr>
          <w:rFonts w:asciiTheme="minorHAnsi" w:hAnsiTheme="minorHAnsi" w:cs="Arial"/>
          <w:b/>
          <w:sz w:val="22"/>
          <w:szCs w:val="22"/>
          <w:u w:val="single"/>
        </w:rPr>
        <w:t xml:space="preserve"> Impulsivity</w:t>
      </w:r>
    </w:p>
    <w:tbl>
      <w:tblPr>
        <w:tblStyle w:val="TableGrid"/>
        <w:tblW w:w="13149" w:type="dxa"/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3118"/>
        <w:gridCol w:w="3827"/>
        <w:gridCol w:w="2268"/>
      </w:tblGrid>
      <w:tr w:rsidR="00D602AA" w:rsidRPr="00294E40" w:rsidTr="00776DFD">
        <w:tc>
          <w:tcPr>
            <w:tcW w:w="1668" w:type="dxa"/>
            <w:shd w:val="clear" w:color="auto" w:fill="7F7F7F" w:themeFill="text1" w:themeFillTint="80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4E4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Main Domain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4E4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Subtypes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4E4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Other names</w:t>
            </w:r>
          </w:p>
        </w:tc>
        <w:tc>
          <w:tcPr>
            <w:tcW w:w="3827" w:type="dxa"/>
            <w:shd w:val="clear" w:color="auto" w:fill="7F7F7F" w:themeFill="text1" w:themeFillTint="80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4E4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Definition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4E40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Tests</w:t>
            </w: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b/>
                <w:sz w:val="20"/>
                <w:szCs w:val="20"/>
              </w:rPr>
              <w:t xml:space="preserve">Cognitive Impulsivity 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Delay discounting</w:t>
            </w:r>
            <w:r>
              <w:rPr>
                <w:rFonts w:asciiTheme="minorHAnsi" w:hAnsiTheme="minorHAnsi" w:cs="Arial"/>
                <w:sz w:val="20"/>
                <w:szCs w:val="20"/>
              </w:rPr>
              <w:t>, sensation seeking</w:t>
            </w:r>
            <w:r w:rsidRPr="00294E40">
              <w:rPr>
                <w:rFonts w:asciiTheme="minorHAnsi" w:hAnsiTheme="minorHAnsi" w:cs="Arial"/>
                <w:sz w:val="20"/>
                <w:szCs w:val="20"/>
              </w:rPr>
              <w:t xml:space="preserve"> or urgency</w:t>
            </w: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Ability to opt for larger delayed rewards over smaller more immediate rewards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(a) Reflection Impulsivity</w:t>
            </w: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dvP94BA"/>
                <w:color w:val="000000"/>
                <w:sz w:val="20"/>
                <w:szCs w:val="20"/>
              </w:rPr>
              <w:t>Decision-making under ambiguity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IGT, MFFT, BIS, DDT</w:t>
            </w: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(b) Risk taking</w:t>
            </w: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dvP94BA"/>
                <w:color w:val="000000"/>
                <w:sz w:val="20"/>
                <w:szCs w:val="20"/>
              </w:rPr>
              <w:t>Decision-making under risk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26A09">
              <w:rPr>
                <w:rFonts w:asciiTheme="minorHAnsi" w:hAnsiTheme="minorHAnsi" w:cs="Arial"/>
                <w:b/>
                <w:sz w:val="20"/>
                <w:szCs w:val="20"/>
              </w:rPr>
              <w:t>CGT</w:t>
            </w:r>
            <w:r w:rsidRPr="00294E40">
              <w:rPr>
                <w:rFonts w:asciiTheme="minorHAnsi" w:hAnsiTheme="minorHAnsi" w:cs="Arial"/>
                <w:sz w:val="20"/>
                <w:szCs w:val="20"/>
              </w:rPr>
              <w:t>, IGT, , GDT</w:t>
            </w: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b/>
                <w:sz w:val="20"/>
                <w:szCs w:val="20"/>
              </w:rPr>
              <w:t>Motor Impulsivity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Inhibitory Control</w:t>
            </w: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Ability to suppress emotional, cognitive and behavioural responses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(a) Behavioural Inhibition</w:t>
            </w: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Motor Response Inhibition</w:t>
            </w: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Process requires to stop a planned movement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26A09">
              <w:rPr>
                <w:rFonts w:asciiTheme="minorHAnsi" w:hAnsiTheme="minorHAnsi" w:cs="Arial"/>
                <w:b/>
                <w:sz w:val="20"/>
                <w:szCs w:val="20"/>
              </w:rPr>
              <w:t>AGN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SS, </w:t>
            </w:r>
            <w:r w:rsidRPr="00294E40">
              <w:rPr>
                <w:rFonts w:asciiTheme="minorHAnsi" w:hAnsiTheme="minorHAnsi" w:cs="Arial"/>
                <w:sz w:val="20"/>
                <w:szCs w:val="20"/>
              </w:rPr>
              <w:t>Go/</w:t>
            </w:r>
            <w:proofErr w:type="spellStart"/>
            <w:r w:rsidRPr="00294E40">
              <w:rPr>
                <w:rFonts w:asciiTheme="minorHAnsi" w:hAnsiTheme="minorHAnsi" w:cs="Arial"/>
                <w:sz w:val="20"/>
                <w:szCs w:val="20"/>
              </w:rPr>
              <w:t>NoGo</w:t>
            </w:r>
            <w:proofErr w:type="spellEnd"/>
            <w:r w:rsidRPr="00294E4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(b) Cognitive Inhibition</w:t>
            </w: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Focused Attention</w:t>
            </w: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Process required to suppress a salient but conflicting stimulus while identifying  less salient ones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ST</w:t>
            </w:r>
          </w:p>
        </w:tc>
      </w:tr>
      <w:tr w:rsidR="00D602AA" w:rsidRPr="00294E40" w:rsidTr="00776DFD">
        <w:tc>
          <w:tcPr>
            <w:tcW w:w="16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b/>
                <w:sz w:val="20"/>
                <w:szCs w:val="20"/>
              </w:rPr>
              <w:t xml:space="preserve">Non-planning Impulsivity 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Reasoning</w:t>
            </w:r>
            <w:r>
              <w:rPr>
                <w:rFonts w:asciiTheme="minorHAnsi" w:hAnsiTheme="minorHAnsi" w:cs="Arial"/>
                <w:sz w:val="20"/>
                <w:szCs w:val="20"/>
              </w:rPr>
              <w:t>, Strategic Planning</w:t>
            </w:r>
            <w:r w:rsidRPr="00294E40">
              <w:rPr>
                <w:rFonts w:asciiTheme="minorHAnsi" w:hAnsiTheme="minorHAnsi" w:cs="Arial"/>
                <w:sz w:val="20"/>
                <w:szCs w:val="20"/>
              </w:rPr>
              <w:t xml:space="preserve"> and Problem Solving</w:t>
            </w:r>
          </w:p>
        </w:tc>
        <w:tc>
          <w:tcPr>
            <w:tcW w:w="311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Central Executive in working memory model</w:t>
            </w:r>
          </w:p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>Lack of pre-meditation</w:t>
            </w:r>
          </w:p>
        </w:tc>
        <w:tc>
          <w:tcPr>
            <w:tcW w:w="3827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 xml:space="preserve">Ability to think ahead and actively search for an appropriate solution </w:t>
            </w:r>
          </w:p>
        </w:tc>
        <w:tc>
          <w:tcPr>
            <w:tcW w:w="2268" w:type="dxa"/>
          </w:tcPr>
          <w:p w:rsidR="00D602AA" w:rsidRPr="00294E40" w:rsidRDefault="00D602AA" w:rsidP="00776DFD">
            <w:pPr>
              <w:tabs>
                <w:tab w:val="right" w:pos="86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4E40">
              <w:rPr>
                <w:rFonts w:asciiTheme="minorHAnsi" w:hAnsiTheme="minorHAnsi" w:cs="Arial"/>
                <w:sz w:val="20"/>
                <w:szCs w:val="20"/>
              </w:rPr>
              <w:t xml:space="preserve">TOL, </w:t>
            </w:r>
            <w:r w:rsidRPr="00926A09">
              <w:rPr>
                <w:rFonts w:asciiTheme="minorHAnsi" w:hAnsiTheme="minorHAnsi" w:cs="Arial"/>
                <w:b/>
                <w:sz w:val="20"/>
                <w:szCs w:val="20"/>
              </w:rPr>
              <w:t>SOC</w:t>
            </w:r>
            <w:r w:rsidRPr="00294E40">
              <w:rPr>
                <w:rFonts w:asciiTheme="minorHAnsi" w:hAnsiTheme="minorHAnsi" w:cs="Arial"/>
                <w:sz w:val="20"/>
                <w:szCs w:val="20"/>
              </w:rPr>
              <w:t>, ROCFT, PMT, TOH</w:t>
            </w:r>
            <w:r>
              <w:rPr>
                <w:rFonts w:asciiTheme="minorHAnsi" w:hAnsiTheme="minorHAnsi" w:cs="Arial"/>
                <w:sz w:val="20"/>
                <w:szCs w:val="20"/>
              </w:rPr>
              <w:t>, WAIS –III</w:t>
            </w:r>
            <w:r w:rsidRPr="00294E40">
              <w:rPr>
                <w:rFonts w:asciiTheme="minorHAnsi" w:hAnsiTheme="minorHAnsi" w:cs="Arial"/>
                <w:sz w:val="20"/>
                <w:szCs w:val="20"/>
              </w:rPr>
              <w:t>, SSP, SWM</w:t>
            </w:r>
          </w:p>
        </w:tc>
      </w:tr>
    </w:tbl>
    <w:p w:rsidR="00D602AA" w:rsidRPr="00524DFB" w:rsidRDefault="00D602AA" w:rsidP="00D602AA">
      <w:pPr>
        <w:spacing w:line="240" w:lineRule="auto"/>
        <w:rPr>
          <w:rFonts w:ascii="Arial" w:hAnsi="Arial" w:cs="Arial"/>
          <w:i/>
          <w:sz w:val="16"/>
          <w:szCs w:val="16"/>
        </w:rPr>
        <w:sectPr w:rsidR="00D602AA" w:rsidRPr="00524DFB" w:rsidSect="001C02D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24DFB">
        <w:rPr>
          <w:rFonts w:ascii="Arial" w:hAnsi="Arial" w:cs="Arial"/>
          <w:b/>
          <w:sz w:val="16"/>
          <w:szCs w:val="16"/>
        </w:rPr>
        <w:t xml:space="preserve">AGN= </w:t>
      </w:r>
      <w:r w:rsidRPr="00524DFB">
        <w:rPr>
          <w:rFonts w:ascii="Arial" w:hAnsi="Arial" w:cs="Arial"/>
          <w:b/>
          <w:i/>
          <w:sz w:val="16"/>
          <w:szCs w:val="16"/>
        </w:rPr>
        <w:t>Affective Go-</w:t>
      </w:r>
      <w:proofErr w:type="spellStart"/>
      <w:r w:rsidRPr="00524DFB">
        <w:rPr>
          <w:rFonts w:ascii="Arial" w:hAnsi="Arial" w:cs="Arial"/>
          <w:b/>
          <w:i/>
          <w:sz w:val="16"/>
          <w:szCs w:val="16"/>
        </w:rPr>
        <w:t>NoGo</w:t>
      </w:r>
      <w:proofErr w:type="spellEnd"/>
      <w:r w:rsidRPr="00524DFB">
        <w:rPr>
          <w:rFonts w:ascii="Arial" w:hAnsi="Arial" w:cs="Arial"/>
          <w:b/>
          <w:i/>
          <w:sz w:val="16"/>
          <w:szCs w:val="16"/>
        </w:rPr>
        <w:t xml:space="preserve"> (CANTAB)</w:t>
      </w:r>
      <w:r w:rsidRPr="00524DFB">
        <w:rPr>
          <w:rFonts w:ascii="Arial" w:hAnsi="Arial" w:cs="Arial"/>
          <w:sz w:val="16"/>
          <w:szCs w:val="16"/>
        </w:rPr>
        <w:t xml:space="preserve"> , BIS= </w:t>
      </w:r>
      <w:r w:rsidRPr="00524DFB">
        <w:rPr>
          <w:rFonts w:ascii="Arial" w:hAnsi="Arial" w:cs="Arial"/>
          <w:i/>
          <w:sz w:val="16"/>
          <w:szCs w:val="16"/>
        </w:rPr>
        <w:t>Barratt Impulsivity Scale</w:t>
      </w:r>
      <w:r w:rsidRPr="00524DFB">
        <w:rPr>
          <w:rFonts w:ascii="Arial" w:hAnsi="Arial" w:cs="Arial"/>
          <w:sz w:val="16"/>
          <w:szCs w:val="16"/>
        </w:rPr>
        <w:t xml:space="preserve"> , BLC= </w:t>
      </w:r>
      <w:r w:rsidRPr="00524DFB">
        <w:rPr>
          <w:rFonts w:ascii="Arial" w:hAnsi="Arial" w:cs="Arial"/>
          <w:i/>
          <w:sz w:val="16"/>
          <w:szCs w:val="16"/>
        </w:rPr>
        <w:t>Big Little Circle</w:t>
      </w:r>
      <w:r w:rsidRPr="00524DFB">
        <w:rPr>
          <w:rFonts w:ascii="Arial" w:hAnsi="Arial" w:cs="Arial"/>
          <w:sz w:val="16"/>
          <w:szCs w:val="16"/>
        </w:rPr>
        <w:t xml:space="preserve">, </w:t>
      </w:r>
      <w:r w:rsidRPr="00524DFB">
        <w:rPr>
          <w:rFonts w:ascii="Arial" w:hAnsi="Arial" w:cs="Arial"/>
          <w:b/>
          <w:sz w:val="16"/>
          <w:szCs w:val="16"/>
        </w:rPr>
        <w:t xml:space="preserve">CGT= </w:t>
      </w:r>
      <w:r w:rsidRPr="00524DFB">
        <w:rPr>
          <w:rFonts w:ascii="Arial" w:hAnsi="Arial" w:cs="Arial"/>
          <w:b/>
          <w:i/>
          <w:sz w:val="16"/>
          <w:szCs w:val="16"/>
        </w:rPr>
        <w:t>Cambridge Gambling Task</w:t>
      </w:r>
      <w:r w:rsidRPr="00524DFB">
        <w:rPr>
          <w:rFonts w:ascii="Arial" w:hAnsi="Arial" w:cs="Arial"/>
          <w:b/>
          <w:sz w:val="16"/>
          <w:szCs w:val="16"/>
        </w:rPr>
        <w:t xml:space="preserve"> (</w:t>
      </w:r>
      <w:r w:rsidRPr="00524DFB">
        <w:rPr>
          <w:rFonts w:ascii="Arial" w:hAnsi="Arial" w:cs="Arial"/>
          <w:b/>
          <w:i/>
          <w:sz w:val="16"/>
          <w:szCs w:val="16"/>
        </w:rPr>
        <w:t>CANTAB</w:t>
      </w:r>
      <w:r w:rsidRPr="00524DFB">
        <w:rPr>
          <w:rFonts w:ascii="Arial" w:hAnsi="Arial" w:cs="Arial"/>
          <w:b/>
          <w:sz w:val="16"/>
          <w:szCs w:val="16"/>
        </w:rPr>
        <w:t>),</w:t>
      </w:r>
      <w:r w:rsidRPr="00524DFB">
        <w:rPr>
          <w:rFonts w:ascii="Arial" w:hAnsi="Arial" w:cs="Arial"/>
          <w:sz w:val="16"/>
          <w:szCs w:val="16"/>
        </w:rPr>
        <w:t xml:space="preserve"> CFT= </w:t>
      </w:r>
      <w:r w:rsidRPr="00524DFB">
        <w:rPr>
          <w:rFonts w:ascii="Arial" w:hAnsi="Arial" w:cs="Arial"/>
          <w:i/>
          <w:sz w:val="16"/>
          <w:szCs w:val="16"/>
        </w:rPr>
        <w:t>Continuous Performance Test</w:t>
      </w:r>
      <w:r w:rsidRPr="00524DFB">
        <w:rPr>
          <w:rFonts w:ascii="Arial" w:hAnsi="Arial" w:cs="Arial"/>
          <w:sz w:val="16"/>
          <w:szCs w:val="16"/>
        </w:rPr>
        <w:t>, CVLT =</w:t>
      </w:r>
      <w:r w:rsidRPr="00524DFB">
        <w:rPr>
          <w:rFonts w:ascii="Arial" w:hAnsi="Arial" w:cs="Arial"/>
          <w:i/>
          <w:sz w:val="16"/>
          <w:szCs w:val="16"/>
        </w:rPr>
        <w:t>California Verbal Learning Test</w:t>
      </w:r>
      <w:r w:rsidRPr="00524DFB">
        <w:rPr>
          <w:rFonts w:ascii="Arial" w:hAnsi="Arial" w:cs="Arial"/>
          <w:sz w:val="16"/>
          <w:szCs w:val="16"/>
        </w:rPr>
        <w:t xml:space="preserve"> , DDT= </w:t>
      </w:r>
      <w:r w:rsidRPr="00524DFB">
        <w:rPr>
          <w:rFonts w:ascii="Arial" w:hAnsi="Arial" w:cs="Arial"/>
          <w:i/>
          <w:sz w:val="16"/>
          <w:szCs w:val="16"/>
        </w:rPr>
        <w:t>Delay Discounting Test</w:t>
      </w:r>
      <w:r w:rsidRPr="00524DFB">
        <w:rPr>
          <w:rFonts w:ascii="Arial" w:hAnsi="Arial" w:cs="Arial"/>
          <w:sz w:val="16"/>
          <w:szCs w:val="16"/>
        </w:rPr>
        <w:t>, DSST=</w:t>
      </w:r>
      <w:r w:rsidRPr="00524DFB">
        <w:rPr>
          <w:rFonts w:ascii="Arial" w:hAnsi="Arial" w:cs="Arial"/>
          <w:i/>
          <w:sz w:val="16"/>
          <w:szCs w:val="16"/>
        </w:rPr>
        <w:t xml:space="preserve"> Digit Symbol Substitution Test</w:t>
      </w:r>
      <w:r w:rsidRPr="00524DFB">
        <w:rPr>
          <w:rFonts w:ascii="Arial" w:hAnsi="Arial" w:cs="Arial"/>
          <w:b/>
          <w:sz w:val="16"/>
          <w:szCs w:val="16"/>
        </w:rPr>
        <w:t xml:space="preserve">, </w:t>
      </w:r>
      <w:r w:rsidRPr="00524DFB">
        <w:rPr>
          <w:rFonts w:ascii="Arial" w:hAnsi="Arial" w:cs="Arial"/>
          <w:sz w:val="16"/>
          <w:szCs w:val="16"/>
        </w:rPr>
        <w:t>FFT=</w:t>
      </w:r>
      <w:r w:rsidRPr="00524DFB">
        <w:rPr>
          <w:rFonts w:ascii="Arial" w:hAnsi="Arial" w:cs="Arial"/>
          <w:i/>
          <w:sz w:val="16"/>
          <w:szCs w:val="16"/>
        </w:rPr>
        <w:t xml:space="preserve"> Finger Tapping</w:t>
      </w:r>
      <w:r w:rsidRPr="00524DFB">
        <w:rPr>
          <w:rFonts w:ascii="Arial" w:hAnsi="Arial" w:cs="Arial"/>
          <w:sz w:val="16"/>
          <w:szCs w:val="16"/>
        </w:rPr>
        <w:t xml:space="preserve"> Test</w:t>
      </w:r>
      <w:r w:rsidRPr="00524DFB">
        <w:rPr>
          <w:rFonts w:ascii="Arial" w:hAnsi="Arial" w:cs="Arial"/>
          <w:b/>
          <w:sz w:val="16"/>
          <w:szCs w:val="16"/>
        </w:rPr>
        <w:t xml:space="preserve">, </w:t>
      </w:r>
      <w:r w:rsidRPr="00524DFB">
        <w:rPr>
          <w:rFonts w:ascii="Arial" w:hAnsi="Arial" w:cs="Arial"/>
          <w:sz w:val="16"/>
          <w:szCs w:val="16"/>
        </w:rPr>
        <w:t>GDT=</w:t>
      </w:r>
      <w:r w:rsidRPr="00524DFB">
        <w:rPr>
          <w:rFonts w:ascii="Arial" w:hAnsi="Arial" w:cs="Arial"/>
          <w:b/>
          <w:sz w:val="16"/>
          <w:szCs w:val="16"/>
        </w:rPr>
        <w:t xml:space="preserve"> </w:t>
      </w:r>
      <w:r w:rsidRPr="00524DFB">
        <w:rPr>
          <w:rFonts w:ascii="Arial" w:hAnsi="Arial" w:cs="Arial"/>
          <w:i/>
          <w:sz w:val="16"/>
          <w:szCs w:val="16"/>
        </w:rPr>
        <w:t>Game and Dice Test</w:t>
      </w:r>
      <w:r w:rsidRPr="00524DFB">
        <w:rPr>
          <w:rFonts w:ascii="Arial" w:hAnsi="Arial" w:cs="Arial"/>
          <w:b/>
          <w:sz w:val="16"/>
          <w:szCs w:val="16"/>
        </w:rPr>
        <w:t xml:space="preserve">, </w:t>
      </w:r>
      <w:r w:rsidRPr="00524DFB">
        <w:rPr>
          <w:rFonts w:ascii="Arial" w:hAnsi="Arial" w:cs="Arial"/>
          <w:sz w:val="16"/>
          <w:szCs w:val="16"/>
        </w:rPr>
        <w:t xml:space="preserve">IST= Information Sampling Test, IGT= </w:t>
      </w:r>
      <w:r w:rsidRPr="00524DFB">
        <w:rPr>
          <w:rFonts w:ascii="Arial" w:hAnsi="Arial" w:cs="Arial"/>
          <w:i/>
          <w:sz w:val="16"/>
          <w:szCs w:val="16"/>
        </w:rPr>
        <w:t>Iowa Gambling Task</w:t>
      </w:r>
      <w:r w:rsidRPr="00524DFB">
        <w:rPr>
          <w:rFonts w:ascii="Arial" w:hAnsi="Arial" w:cs="Arial"/>
          <w:sz w:val="16"/>
          <w:szCs w:val="16"/>
        </w:rPr>
        <w:t>, MFFT= Matching Familiar Figures, PASAT=</w:t>
      </w:r>
      <w:r w:rsidRPr="00524DFB">
        <w:rPr>
          <w:rFonts w:ascii="Arial" w:hAnsi="Arial" w:cs="Arial"/>
          <w:i/>
          <w:sz w:val="16"/>
          <w:szCs w:val="16"/>
        </w:rPr>
        <w:t xml:space="preserve"> Paced Auditory Serial </w:t>
      </w:r>
      <w:proofErr w:type="spellStart"/>
      <w:r w:rsidRPr="00524DFB">
        <w:rPr>
          <w:rFonts w:ascii="Arial" w:hAnsi="Arial" w:cs="Arial"/>
          <w:i/>
          <w:sz w:val="16"/>
          <w:szCs w:val="16"/>
        </w:rPr>
        <w:t>AdditionTask</w:t>
      </w:r>
      <w:proofErr w:type="spellEnd"/>
      <w:r w:rsidRPr="00524DFB">
        <w:rPr>
          <w:rFonts w:ascii="Arial" w:hAnsi="Arial" w:cs="Arial"/>
          <w:sz w:val="16"/>
          <w:szCs w:val="16"/>
        </w:rPr>
        <w:t xml:space="preserve"> , PMT= </w:t>
      </w:r>
      <w:r w:rsidRPr="00524DFB">
        <w:rPr>
          <w:rFonts w:ascii="Arial" w:hAnsi="Arial" w:cs="Arial"/>
          <w:i/>
          <w:sz w:val="16"/>
          <w:szCs w:val="16"/>
        </w:rPr>
        <w:t>Proteus Maze Test</w:t>
      </w:r>
      <w:r w:rsidRPr="00524DFB">
        <w:rPr>
          <w:rFonts w:ascii="Arial" w:hAnsi="Arial" w:cs="Arial"/>
          <w:sz w:val="16"/>
          <w:szCs w:val="16"/>
        </w:rPr>
        <w:t>,</w:t>
      </w:r>
      <w:r w:rsidRPr="00524DFB">
        <w:rPr>
          <w:rFonts w:ascii="Arial" w:hAnsi="Arial" w:cs="Arial"/>
          <w:b/>
          <w:sz w:val="16"/>
          <w:szCs w:val="16"/>
        </w:rPr>
        <w:t xml:space="preserve"> </w:t>
      </w:r>
      <w:r w:rsidRPr="00524DFB">
        <w:rPr>
          <w:rFonts w:ascii="Arial" w:hAnsi="Arial" w:cs="Arial"/>
          <w:sz w:val="16"/>
          <w:szCs w:val="16"/>
        </w:rPr>
        <w:t>RAVLT=</w:t>
      </w:r>
      <w:r w:rsidRPr="00524DFB">
        <w:rPr>
          <w:rFonts w:ascii="Arial" w:hAnsi="Arial" w:cs="Arial"/>
          <w:i/>
          <w:sz w:val="16"/>
          <w:szCs w:val="16"/>
        </w:rPr>
        <w:t xml:space="preserve"> Rey Auditory Verbal Learning Test ,</w:t>
      </w:r>
      <w:r w:rsidRPr="00524DFB">
        <w:rPr>
          <w:rFonts w:ascii="Arial" w:hAnsi="Arial" w:cs="Arial"/>
          <w:sz w:val="16"/>
          <w:szCs w:val="16"/>
        </w:rPr>
        <w:t xml:space="preserve"> ROCFT= Rey-</w:t>
      </w:r>
      <w:proofErr w:type="spellStart"/>
      <w:r w:rsidRPr="00524DFB">
        <w:rPr>
          <w:rFonts w:ascii="Arial" w:hAnsi="Arial" w:cs="Arial"/>
          <w:i/>
          <w:sz w:val="16"/>
          <w:szCs w:val="16"/>
        </w:rPr>
        <w:t>Osterreith</w:t>
      </w:r>
      <w:proofErr w:type="spellEnd"/>
      <w:r w:rsidRPr="00524DFB">
        <w:rPr>
          <w:rFonts w:ascii="Arial" w:hAnsi="Arial" w:cs="Arial"/>
          <w:i/>
          <w:sz w:val="16"/>
          <w:szCs w:val="16"/>
        </w:rPr>
        <w:t xml:space="preserve"> Complex Figure Test</w:t>
      </w:r>
      <w:r w:rsidRPr="00524DFB">
        <w:rPr>
          <w:rFonts w:ascii="Arial" w:hAnsi="Arial" w:cs="Arial"/>
          <w:sz w:val="16"/>
          <w:szCs w:val="16"/>
        </w:rPr>
        <w:t xml:space="preserve">, RT= </w:t>
      </w:r>
      <w:r w:rsidRPr="00524DFB">
        <w:rPr>
          <w:rFonts w:ascii="Arial" w:hAnsi="Arial" w:cs="Arial"/>
          <w:i/>
          <w:sz w:val="16"/>
          <w:szCs w:val="16"/>
        </w:rPr>
        <w:t>Reaction Time</w:t>
      </w:r>
      <w:r w:rsidRPr="00524DFB">
        <w:rPr>
          <w:rFonts w:ascii="Arial" w:hAnsi="Arial" w:cs="Arial"/>
          <w:sz w:val="16"/>
          <w:szCs w:val="16"/>
        </w:rPr>
        <w:t xml:space="preserve">, </w:t>
      </w:r>
      <w:r w:rsidRPr="00524DFB">
        <w:rPr>
          <w:rFonts w:ascii="Arial" w:hAnsi="Arial" w:cs="Arial"/>
          <w:b/>
          <w:sz w:val="16"/>
          <w:szCs w:val="16"/>
        </w:rPr>
        <w:t xml:space="preserve">SOC= </w:t>
      </w:r>
      <w:r w:rsidRPr="00524DFB">
        <w:rPr>
          <w:rFonts w:ascii="Arial" w:hAnsi="Arial" w:cs="Arial"/>
          <w:b/>
          <w:i/>
          <w:sz w:val="16"/>
          <w:szCs w:val="16"/>
        </w:rPr>
        <w:t>Stockings of Cambridge (CANTAB</w:t>
      </w:r>
      <w:r w:rsidRPr="00524DFB">
        <w:rPr>
          <w:rFonts w:ascii="Arial" w:hAnsi="Arial" w:cs="Arial"/>
          <w:i/>
          <w:sz w:val="16"/>
          <w:szCs w:val="16"/>
        </w:rPr>
        <w:t>)</w:t>
      </w:r>
      <w:r w:rsidRPr="00524DFB">
        <w:rPr>
          <w:rFonts w:ascii="Arial" w:hAnsi="Arial" w:cs="Arial"/>
          <w:sz w:val="16"/>
          <w:szCs w:val="16"/>
        </w:rPr>
        <w:t>, SSP= Spatial Span</w:t>
      </w:r>
      <w:r w:rsidRPr="00524DFB">
        <w:rPr>
          <w:rFonts w:ascii="Arial" w:hAnsi="Arial" w:cs="Arial"/>
          <w:i/>
          <w:sz w:val="16"/>
          <w:szCs w:val="16"/>
        </w:rPr>
        <w:t xml:space="preserve"> (CANTAB</w:t>
      </w:r>
      <w:r w:rsidRPr="00524DFB">
        <w:rPr>
          <w:rFonts w:ascii="Arial" w:hAnsi="Arial" w:cs="Arial"/>
          <w:sz w:val="16"/>
          <w:szCs w:val="16"/>
        </w:rPr>
        <w:t xml:space="preserve">), SS= </w:t>
      </w:r>
      <w:r w:rsidRPr="00524DFB">
        <w:rPr>
          <w:rFonts w:ascii="Arial" w:hAnsi="Arial" w:cs="Arial"/>
          <w:i/>
          <w:sz w:val="16"/>
          <w:szCs w:val="16"/>
        </w:rPr>
        <w:t>Stop</w:t>
      </w:r>
      <w:r w:rsidRPr="00524DFB">
        <w:rPr>
          <w:rFonts w:ascii="Arial" w:hAnsi="Arial" w:cs="Arial"/>
          <w:b/>
          <w:i/>
          <w:sz w:val="16"/>
          <w:szCs w:val="16"/>
        </w:rPr>
        <w:t xml:space="preserve"> </w:t>
      </w:r>
      <w:r w:rsidRPr="00524DFB">
        <w:rPr>
          <w:rFonts w:ascii="Arial" w:hAnsi="Arial" w:cs="Arial"/>
          <w:i/>
          <w:sz w:val="16"/>
          <w:szCs w:val="16"/>
        </w:rPr>
        <w:t>Signal</w:t>
      </w:r>
      <w:r w:rsidRPr="00524DFB">
        <w:rPr>
          <w:rFonts w:ascii="Arial" w:hAnsi="Arial" w:cs="Arial"/>
          <w:sz w:val="16"/>
          <w:szCs w:val="16"/>
        </w:rPr>
        <w:t xml:space="preserve"> ,SWM= Spatial Working Memory</w:t>
      </w:r>
      <w:r w:rsidRPr="00524DFB">
        <w:rPr>
          <w:rFonts w:ascii="Arial" w:hAnsi="Arial" w:cs="Arial"/>
          <w:i/>
          <w:sz w:val="16"/>
          <w:szCs w:val="16"/>
        </w:rPr>
        <w:t xml:space="preserve"> (CANTAB</w:t>
      </w:r>
      <w:r w:rsidRPr="00524DFB">
        <w:rPr>
          <w:rFonts w:ascii="Arial" w:hAnsi="Arial" w:cs="Arial"/>
          <w:sz w:val="16"/>
          <w:szCs w:val="16"/>
        </w:rPr>
        <w:t xml:space="preserve">), ST= </w:t>
      </w:r>
      <w:proofErr w:type="spellStart"/>
      <w:r w:rsidRPr="00524DFB">
        <w:rPr>
          <w:rFonts w:ascii="Arial" w:hAnsi="Arial" w:cs="Arial"/>
          <w:i/>
          <w:sz w:val="16"/>
          <w:szCs w:val="16"/>
        </w:rPr>
        <w:t>Stroop</w:t>
      </w:r>
      <w:proofErr w:type="spellEnd"/>
      <w:r w:rsidRPr="00524DFB">
        <w:rPr>
          <w:rFonts w:ascii="Arial" w:hAnsi="Arial" w:cs="Arial"/>
          <w:i/>
          <w:sz w:val="16"/>
          <w:szCs w:val="16"/>
        </w:rPr>
        <w:t xml:space="preserve"> Test</w:t>
      </w:r>
      <w:r w:rsidRPr="00524DFB">
        <w:rPr>
          <w:rFonts w:ascii="Arial" w:hAnsi="Arial" w:cs="Arial"/>
          <w:sz w:val="16"/>
          <w:szCs w:val="16"/>
        </w:rPr>
        <w:t xml:space="preserve"> , TEA=</w:t>
      </w:r>
      <w:r w:rsidRPr="00524DFB">
        <w:rPr>
          <w:rFonts w:ascii="Arial" w:hAnsi="Arial" w:cs="Arial"/>
          <w:i/>
          <w:sz w:val="16"/>
          <w:szCs w:val="16"/>
        </w:rPr>
        <w:t xml:space="preserve"> Test of Everyday Attention</w:t>
      </w:r>
      <w:r w:rsidRPr="00524DFB">
        <w:rPr>
          <w:rFonts w:ascii="Arial" w:hAnsi="Arial" w:cs="Arial"/>
          <w:sz w:val="16"/>
          <w:szCs w:val="16"/>
        </w:rPr>
        <w:t xml:space="preserve">, TOH= </w:t>
      </w:r>
      <w:r w:rsidRPr="00524DFB">
        <w:rPr>
          <w:rFonts w:ascii="Arial" w:hAnsi="Arial" w:cs="Arial"/>
          <w:i/>
          <w:sz w:val="16"/>
          <w:szCs w:val="16"/>
        </w:rPr>
        <w:t>Tower of Hanoi</w:t>
      </w:r>
      <w:r w:rsidRPr="00524DFB">
        <w:rPr>
          <w:rFonts w:ascii="Arial" w:hAnsi="Arial" w:cs="Arial"/>
          <w:sz w:val="16"/>
          <w:szCs w:val="16"/>
        </w:rPr>
        <w:t>, TOL=</w:t>
      </w:r>
      <w:r w:rsidRPr="00524DFB">
        <w:rPr>
          <w:rFonts w:ascii="Arial" w:hAnsi="Arial" w:cs="Arial"/>
          <w:i/>
          <w:sz w:val="16"/>
          <w:szCs w:val="16"/>
        </w:rPr>
        <w:t>Tower of London (CANTAB</w:t>
      </w:r>
      <w:r w:rsidRPr="00524DFB">
        <w:rPr>
          <w:rFonts w:ascii="Arial" w:hAnsi="Arial" w:cs="Arial"/>
          <w:sz w:val="16"/>
          <w:szCs w:val="16"/>
        </w:rPr>
        <w:t>),</w:t>
      </w:r>
      <w:r w:rsidRPr="00524DFB">
        <w:rPr>
          <w:rFonts w:ascii="Arial" w:hAnsi="Arial" w:cs="Arial"/>
          <w:i/>
          <w:sz w:val="16"/>
          <w:szCs w:val="16"/>
        </w:rPr>
        <w:t xml:space="preserve"> TOVA= Test of Variables of Attention,</w:t>
      </w:r>
      <w:r w:rsidRPr="00524DFB">
        <w:rPr>
          <w:rFonts w:ascii="Arial" w:hAnsi="Arial" w:cs="Arial"/>
          <w:sz w:val="16"/>
          <w:szCs w:val="16"/>
        </w:rPr>
        <w:t xml:space="preserve"> WAIS-III=</w:t>
      </w:r>
      <w:r w:rsidRPr="00524DF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4DFB">
        <w:rPr>
          <w:rFonts w:ascii="Arial" w:hAnsi="Arial" w:cs="Arial"/>
          <w:i/>
          <w:sz w:val="16"/>
          <w:szCs w:val="16"/>
        </w:rPr>
        <w:t>Weschler</w:t>
      </w:r>
      <w:proofErr w:type="spellEnd"/>
      <w:r w:rsidRPr="00524DFB">
        <w:rPr>
          <w:rFonts w:ascii="Arial" w:hAnsi="Arial" w:cs="Arial"/>
          <w:i/>
          <w:sz w:val="16"/>
          <w:szCs w:val="16"/>
        </w:rPr>
        <w:t xml:space="preserve"> Adult Intelligence Scale Third Edition.</w:t>
      </w:r>
    </w:p>
    <w:p w:rsidR="00D602AA" w:rsidRPr="00C027CD" w:rsidRDefault="006920A0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lastRenderedPageBreak/>
        <w:t>Supplementary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602AA">
        <w:rPr>
          <w:rFonts w:asciiTheme="minorHAnsi" w:hAnsiTheme="minorHAnsi"/>
          <w:b/>
          <w:sz w:val="22"/>
          <w:szCs w:val="22"/>
          <w:u w:val="single"/>
        </w:rPr>
        <w:t xml:space="preserve">Table </w:t>
      </w:r>
      <w:r>
        <w:rPr>
          <w:rFonts w:asciiTheme="minorHAnsi" w:hAnsiTheme="minorHAnsi"/>
          <w:b/>
          <w:sz w:val="22"/>
          <w:szCs w:val="22"/>
          <w:u w:val="single"/>
        </w:rPr>
        <w:t>S2.</w:t>
      </w:r>
      <w:r w:rsidR="00D602A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602AA" w:rsidRPr="002A5A46">
        <w:rPr>
          <w:rFonts w:asciiTheme="minorHAnsi" w:hAnsiTheme="minorHAnsi"/>
          <w:b/>
          <w:sz w:val="22"/>
          <w:szCs w:val="22"/>
          <w:u w:val="single"/>
        </w:rPr>
        <w:t>Chronic opioid use and impulsivity. Previous research findings</w:t>
      </w:r>
    </w:p>
    <w:tbl>
      <w:tblPr>
        <w:tblStyle w:val="TableGrid"/>
        <w:tblW w:w="5539" w:type="pct"/>
        <w:tblLayout w:type="fixed"/>
        <w:tblLook w:val="04A0" w:firstRow="1" w:lastRow="0" w:firstColumn="1" w:lastColumn="0" w:noHBand="0" w:noVBand="1"/>
      </w:tblPr>
      <w:tblGrid>
        <w:gridCol w:w="1810"/>
        <w:gridCol w:w="1583"/>
        <w:gridCol w:w="1341"/>
        <w:gridCol w:w="1341"/>
        <w:gridCol w:w="1341"/>
        <w:gridCol w:w="2822"/>
      </w:tblGrid>
      <w:tr w:rsidR="00D602AA" w:rsidRPr="002A5A46" w:rsidTr="00776DFD">
        <w:tc>
          <w:tcPr>
            <w:tcW w:w="884" w:type="pct"/>
            <w:shd w:val="clear" w:color="auto" w:fill="7F7F7F" w:themeFill="text1" w:themeFillTint="80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2A5A4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Neuropsychological domain</w:t>
            </w:r>
          </w:p>
        </w:tc>
        <w:tc>
          <w:tcPr>
            <w:tcW w:w="773" w:type="pct"/>
            <w:shd w:val="clear" w:color="auto" w:fill="7F7F7F" w:themeFill="text1" w:themeFillTint="80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Illicit chronic heroin use </w:t>
            </w:r>
          </w:p>
        </w:tc>
        <w:tc>
          <w:tcPr>
            <w:tcW w:w="655" w:type="pct"/>
            <w:shd w:val="clear" w:color="auto" w:fill="7F7F7F" w:themeFill="text1" w:themeFillTint="80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Abstinent ex-heroin use</w:t>
            </w:r>
          </w:p>
        </w:tc>
        <w:tc>
          <w:tcPr>
            <w:tcW w:w="655" w:type="pct"/>
            <w:shd w:val="clear" w:color="auto" w:fill="7F7F7F" w:themeFill="text1" w:themeFillTint="80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Methadone</w:t>
            </w: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 use</w:t>
            </w:r>
          </w:p>
        </w:tc>
        <w:tc>
          <w:tcPr>
            <w:tcW w:w="655" w:type="pct"/>
            <w:shd w:val="clear" w:color="auto" w:fill="7F7F7F" w:themeFill="text1" w:themeFillTint="80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Other opioids ¹</w:t>
            </w:r>
          </w:p>
        </w:tc>
        <w:tc>
          <w:tcPr>
            <w:tcW w:w="1378" w:type="pct"/>
            <w:shd w:val="clear" w:color="auto" w:fill="7F7F7F" w:themeFill="text1" w:themeFillTint="80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Chronic opioid dependence</w:t>
            </w:r>
          </w:p>
        </w:tc>
      </w:tr>
      <w:tr w:rsidR="00D602AA" w:rsidRPr="002A5A46" w:rsidTr="00776DFD">
        <w:trPr>
          <w:trHeight w:val="1348"/>
        </w:trPr>
        <w:tc>
          <w:tcPr>
            <w:tcW w:w="884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Cognitive Impulsivity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reflection i</w:t>
            </w: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mpulsivity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="Cambria-BoldItalic"/>
                <w:b/>
                <w:i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3" w:type="pct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Mintzer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(2005)↓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Verdejo-Garcia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(2007 a)↓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Pirastu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(2006)↓</w:t>
            </w:r>
          </w:p>
          <w:p w:rsidR="00D602AA" w:rsidRPr="00437111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Rotheram-Fuller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(2004)↓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Pirastu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(2006)</w:t>
            </w:r>
            <w:r>
              <w:rPr>
                <w:rFonts w:ascii="Calibri" w:hAnsi="Calibri"/>
                <w:sz w:val="20"/>
                <w:szCs w:val="20"/>
              </w:rPr>
              <w:t>↑</w:t>
            </w:r>
          </w:p>
        </w:tc>
        <w:tc>
          <w:tcPr>
            <w:tcW w:w="1378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</w:rPr>
              <w:t xml:space="preserve">Clark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 xml:space="preserve">et al 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>(2006)↓</w:t>
            </w:r>
          </w:p>
        </w:tc>
      </w:tr>
      <w:tr w:rsidR="00D602AA" w:rsidRPr="002A5A46" w:rsidTr="00776DFD">
        <w:tc>
          <w:tcPr>
            <w:tcW w:w="884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Cognitive Impulsivity (risk taking)</w:t>
            </w:r>
            <w:r>
              <w:rPr>
                <w:rFonts w:asciiTheme="minorHAnsi" w:hAnsiTheme="minorHAnsi" w:cs="Cambria-BoldItalic"/>
                <w:b/>
                <w:i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3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Ersche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(2005)↔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Fishbein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(2007)↓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Fishbein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(2005)↓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Clark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(2006)↓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Passetti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(2008)↓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color w:val="17365D"/>
                <w:sz w:val="20"/>
                <w:szCs w:val="20"/>
                <w:lang w:val="da-DK"/>
              </w:rPr>
            </w:pPr>
          </w:p>
        </w:tc>
        <w:tc>
          <w:tcPr>
            <w:tcW w:w="1378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</w:rPr>
              <w:t xml:space="preserve">Rogers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 xml:space="preserve">et al 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>(1999)↓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Ersche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(2005) ↔</w:t>
            </w:r>
          </w:p>
        </w:tc>
      </w:tr>
      <w:tr w:rsidR="00D602AA" w:rsidRPr="002A5A46" w:rsidTr="00776DFD">
        <w:tc>
          <w:tcPr>
            <w:tcW w:w="884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Motor Im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pulsivity (b</w:t>
            </w: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ehavioural or motor response inhibition)</w:t>
            </w:r>
            <w:r>
              <w:rPr>
                <w:rFonts w:asciiTheme="minorHAnsi" w:hAnsiTheme="minorHAnsi" w:cs="Cambria-BoldItalic"/>
                <w:b/>
                <w:i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3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McNairy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(1984)↓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Verdejo-Garcia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(2007b)↔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Verdejo-Garcia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(2007a)↓</w:t>
            </w:r>
          </w:p>
        </w:tc>
        <w:tc>
          <w:tcPr>
            <w:tcW w:w="655" w:type="pct"/>
          </w:tcPr>
          <w:p w:rsidR="00D602AA" w:rsidRPr="00437111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37111">
              <w:rPr>
                <w:rFonts w:asciiTheme="minorHAnsi" w:hAnsiTheme="minorHAnsi"/>
                <w:sz w:val="18"/>
                <w:szCs w:val="18"/>
              </w:rPr>
              <w:t>Rounsaville</w:t>
            </w:r>
            <w:proofErr w:type="spellEnd"/>
            <w:r w:rsidRPr="004371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7111">
              <w:rPr>
                <w:rFonts w:asciiTheme="minorHAnsi" w:hAnsiTheme="minorHAnsi"/>
                <w:i/>
                <w:sz w:val="18"/>
                <w:szCs w:val="18"/>
              </w:rPr>
              <w:t>et al</w:t>
            </w:r>
            <w:r w:rsidRPr="00437111">
              <w:rPr>
                <w:rFonts w:asciiTheme="minorHAnsi" w:hAnsiTheme="minorHAnsi"/>
                <w:sz w:val="18"/>
                <w:szCs w:val="18"/>
              </w:rPr>
              <w:t xml:space="preserve"> (1982)↔</w:t>
            </w:r>
          </w:p>
          <w:p w:rsidR="00D602AA" w:rsidRPr="00437111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37111">
              <w:rPr>
                <w:rFonts w:asciiTheme="minorHAnsi" w:hAnsiTheme="minorHAnsi"/>
                <w:sz w:val="18"/>
                <w:szCs w:val="18"/>
              </w:rPr>
              <w:t>Passetti</w:t>
            </w:r>
            <w:proofErr w:type="spellEnd"/>
            <w:r w:rsidRPr="004371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7111">
              <w:rPr>
                <w:rFonts w:asciiTheme="minorHAnsi" w:hAnsiTheme="minorHAnsi"/>
                <w:i/>
                <w:sz w:val="18"/>
                <w:szCs w:val="18"/>
              </w:rPr>
              <w:t>et al</w:t>
            </w:r>
            <w:r w:rsidRPr="00437111">
              <w:rPr>
                <w:rFonts w:asciiTheme="minorHAnsi" w:hAnsiTheme="minorHAnsi"/>
                <w:sz w:val="18"/>
                <w:szCs w:val="18"/>
              </w:rPr>
              <w:t xml:space="preserve"> (2008)↔</w:t>
            </w:r>
          </w:p>
          <w:p w:rsidR="00D602AA" w:rsidRPr="004B30C7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color w:val="17365D"/>
                <w:sz w:val="20"/>
                <w:szCs w:val="20"/>
                <w:lang w:val="da-DK"/>
              </w:rPr>
            </w:pPr>
            <w:proofErr w:type="spellStart"/>
            <w:r w:rsidRPr="00437111">
              <w:rPr>
                <w:rFonts w:asciiTheme="minorHAnsi" w:hAnsiTheme="minorHAnsi"/>
                <w:sz w:val="18"/>
                <w:szCs w:val="18"/>
              </w:rPr>
              <w:t>Specka</w:t>
            </w:r>
            <w:proofErr w:type="spellEnd"/>
            <w:r w:rsidRPr="00437111">
              <w:rPr>
                <w:rFonts w:asciiTheme="minorHAnsi" w:hAnsiTheme="minorHAnsi"/>
                <w:sz w:val="18"/>
                <w:szCs w:val="18"/>
              </w:rPr>
              <w:t xml:space="preserve"> et al (2000) </w:t>
            </w:r>
            <w:r w:rsidRPr="00437111">
              <w:rPr>
                <w:rFonts w:ascii="Calibri" w:hAnsi="Calibri"/>
                <w:sz w:val="18"/>
                <w:szCs w:val="18"/>
              </w:rPr>
              <w:t>↓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Sjogren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(2005)↓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Vainio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(1995)↔</w:t>
            </w:r>
          </w:p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Schindler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(2004)↔</w:t>
            </w:r>
          </w:p>
        </w:tc>
        <w:tc>
          <w:tcPr>
            <w:tcW w:w="1378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color w:val="17365D"/>
                <w:sz w:val="20"/>
                <w:szCs w:val="20"/>
                <w:lang w:val="da-DK"/>
              </w:rPr>
            </w:pPr>
          </w:p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2AA" w:rsidRPr="002A5A46" w:rsidTr="00776DFD">
        <w:tc>
          <w:tcPr>
            <w:tcW w:w="884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Motor 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mpulsivity  (c</w:t>
            </w: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ognitive Inhibition)</w:t>
            </w:r>
            <w:r>
              <w:rPr>
                <w:rFonts w:asciiTheme="minorHAnsi" w:hAnsiTheme="minorHAnsi" w:cs="Cambria-BoldItalic"/>
                <w:b/>
                <w:i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3" w:type="pct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</w:rPr>
              <w:t xml:space="preserve">Prosser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 xml:space="preserve">et al 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>(2008)↔</w:t>
            </w:r>
          </w:p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8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2AA" w:rsidRPr="002A5A46" w:rsidTr="00776DFD">
        <w:tc>
          <w:tcPr>
            <w:tcW w:w="884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Non-P</w:t>
            </w:r>
            <w:r w:rsidRPr="002A5A46">
              <w:rPr>
                <w:rFonts w:asciiTheme="minorHAnsi" w:hAnsiTheme="minorHAnsi"/>
                <w:b/>
                <w:sz w:val="20"/>
                <w:szCs w:val="20"/>
              </w:rPr>
              <w:t>lanning Im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pulsivity </w:t>
            </w:r>
            <w:r>
              <w:rPr>
                <w:rFonts w:asciiTheme="minorHAnsi" w:hAnsiTheme="minorHAnsi" w:cs="Cambria-BoldItalic"/>
                <w:b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73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Fishbein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(2007)</w:t>
            </w:r>
            <w:r>
              <w:rPr>
                <w:rFonts w:ascii="Calibri" w:hAnsi="Calibri"/>
                <w:sz w:val="20"/>
                <w:szCs w:val="20"/>
                <w:lang w:val="da-DK"/>
              </w:rPr>
              <w:t>↔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</w:rPr>
              <w:t xml:space="preserve">Brand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(2008)↔</w:t>
            </w: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Passetti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(2008)↔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color w:val="17365D"/>
                <w:sz w:val="20"/>
                <w:szCs w:val="20"/>
                <w:lang w:val="da-DK"/>
              </w:rPr>
            </w:pPr>
          </w:p>
        </w:tc>
        <w:tc>
          <w:tcPr>
            <w:tcW w:w="655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Vainio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(1995)↔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Schindler </w:t>
            </w:r>
            <w:r w:rsidRPr="002A5A46">
              <w:rPr>
                <w:rFonts w:asciiTheme="minorHAnsi" w:hAnsiTheme="minorHAnsi"/>
                <w:i/>
                <w:sz w:val="20"/>
                <w:szCs w:val="20"/>
                <w:lang w:val="da-DK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(2004)↔</w:t>
            </w:r>
          </w:p>
        </w:tc>
        <w:tc>
          <w:tcPr>
            <w:tcW w:w="1378" w:type="pct"/>
          </w:tcPr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5A46">
              <w:rPr>
                <w:rFonts w:asciiTheme="minorHAnsi" w:hAnsiTheme="minorHAnsi"/>
                <w:sz w:val="20"/>
                <w:szCs w:val="20"/>
              </w:rPr>
              <w:t>Ersche</w:t>
            </w:r>
            <w:proofErr w:type="spellEnd"/>
            <w:r w:rsidRPr="002A5A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(2006)↓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</w:rPr>
              <w:t xml:space="preserve">Ornstein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>et al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 xml:space="preserve"> (2000)↓</w:t>
            </w:r>
          </w:p>
          <w:p w:rsidR="00D602AA" w:rsidRPr="002A5A46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A5A46">
              <w:rPr>
                <w:rFonts w:asciiTheme="minorHAnsi" w:hAnsiTheme="minorHAnsi"/>
                <w:sz w:val="20"/>
                <w:szCs w:val="20"/>
              </w:rPr>
              <w:t xml:space="preserve">Clark </w:t>
            </w:r>
            <w:r w:rsidRPr="002A5A46">
              <w:rPr>
                <w:rFonts w:asciiTheme="minorHAnsi" w:hAnsiTheme="minorHAnsi"/>
                <w:i/>
                <w:sz w:val="20"/>
                <w:szCs w:val="20"/>
              </w:rPr>
              <w:t xml:space="preserve">et al </w:t>
            </w:r>
            <w:r w:rsidRPr="002A5A46">
              <w:rPr>
                <w:rFonts w:asciiTheme="minorHAnsi" w:hAnsiTheme="minorHAnsi"/>
                <w:sz w:val="20"/>
                <w:szCs w:val="20"/>
              </w:rPr>
              <w:t>(2006)↓</w:t>
            </w:r>
          </w:p>
        </w:tc>
      </w:tr>
    </w:tbl>
    <w:p w:rsidR="00D602AA" w:rsidRPr="00524DFB" w:rsidRDefault="00D602AA" w:rsidP="00D602AA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24DFB">
        <w:rPr>
          <w:rFonts w:ascii="Arial" w:hAnsi="Arial" w:cs="Arial"/>
          <w:sz w:val="16"/>
          <w:szCs w:val="16"/>
        </w:rPr>
        <w:t xml:space="preserve">*= </w:t>
      </w:r>
      <w:r w:rsidRPr="00524DFB">
        <w:rPr>
          <w:rFonts w:ascii="Arial" w:hAnsi="Arial" w:cs="Arial"/>
          <w:i/>
          <w:sz w:val="16"/>
          <w:szCs w:val="16"/>
        </w:rPr>
        <w:t>p&lt;</w:t>
      </w:r>
      <w:r w:rsidRPr="00524DFB">
        <w:rPr>
          <w:rFonts w:ascii="Arial" w:hAnsi="Arial" w:cs="Arial"/>
          <w:sz w:val="16"/>
          <w:szCs w:val="16"/>
        </w:rPr>
        <w:t xml:space="preserve">0.05; ↔= </w:t>
      </w:r>
      <w:r w:rsidRPr="00524DFB">
        <w:rPr>
          <w:rFonts w:ascii="Arial" w:hAnsi="Arial" w:cs="Arial"/>
          <w:i/>
          <w:sz w:val="16"/>
          <w:szCs w:val="16"/>
        </w:rPr>
        <w:t>no difference in neuropsychological (impulsivity) performance</w:t>
      </w:r>
      <w:r w:rsidRPr="00524DFB">
        <w:rPr>
          <w:rFonts w:ascii="Arial" w:hAnsi="Arial" w:cs="Arial"/>
          <w:sz w:val="16"/>
          <w:szCs w:val="16"/>
        </w:rPr>
        <w:t xml:space="preserve">; ↓= </w:t>
      </w:r>
      <w:r w:rsidRPr="00524DFB">
        <w:rPr>
          <w:rFonts w:ascii="Arial" w:hAnsi="Arial" w:cs="Arial"/>
          <w:i/>
          <w:sz w:val="16"/>
          <w:szCs w:val="16"/>
        </w:rPr>
        <w:t>neuropsychological (impulsivity) deficits present</w:t>
      </w:r>
      <w:r w:rsidRPr="00524DFB">
        <w:rPr>
          <w:rFonts w:ascii="Arial" w:hAnsi="Arial" w:cs="Arial"/>
          <w:sz w:val="16"/>
          <w:szCs w:val="16"/>
        </w:rPr>
        <w:t xml:space="preserve">; ↑= </w:t>
      </w:r>
      <w:r w:rsidRPr="00524DFB">
        <w:rPr>
          <w:rFonts w:ascii="Arial" w:hAnsi="Arial" w:cs="Arial"/>
          <w:i/>
          <w:sz w:val="16"/>
          <w:szCs w:val="16"/>
        </w:rPr>
        <w:t>improvement in neuropsychological (impulsivity) performance when compared to healthy controls</w:t>
      </w:r>
      <w:r w:rsidRPr="00524DFB">
        <w:rPr>
          <w:rFonts w:ascii="Arial" w:hAnsi="Arial" w:cs="Arial"/>
          <w:sz w:val="16"/>
          <w:szCs w:val="16"/>
        </w:rPr>
        <w:t xml:space="preserve">, other opioids </w:t>
      </w:r>
      <w:r w:rsidRPr="00524DFB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524DFB">
        <w:rPr>
          <w:rFonts w:ascii="Arial" w:hAnsi="Arial" w:cs="Arial"/>
          <w:sz w:val="16"/>
          <w:szCs w:val="16"/>
        </w:rPr>
        <w:t>=</w:t>
      </w:r>
      <w:r w:rsidRPr="00524DFB">
        <w:rPr>
          <w:rFonts w:ascii="Arial" w:hAnsi="Arial" w:cs="Arial"/>
          <w:b/>
          <w:sz w:val="16"/>
          <w:szCs w:val="16"/>
        </w:rPr>
        <w:t xml:space="preserve"> </w:t>
      </w:r>
      <w:r w:rsidRPr="00524DFB">
        <w:rPr>
          <w:rFonts w:ascii="Arial" w:hAnsi="Arial" w:cs="Arial"/>
          <w:i/>
          <w:sz w:val="16"/>
          <w:szCs w:val="16"/>
        </w:rPr>
        <w:t>buprenorphine, morphine, oxycodone and/or tramadol</w:t>
      </w:r>
      <w:r w:rsidRPr="00524DFB">
        <w:rPr>
          <w:rFonts w:ascii="Arial" w:hAnsi="Arial" w:cs="Arial"/>
          <w:sz w:val="16"/>
          <w:szCs w:val="16"/>
        </w:rPr>
        <w:t>.</w:t>
      </w: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Default="00D602AA" w:rsidP="00D602AA">
      <w:pPr>
        <w:spacing w:line="24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602AA" w:rsidRPr="0032639E" w:rsidRDefault="006920A0" w:rsidP="00D602AA">
      <w:pPr>
        <w:spacing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lastRenderedPageBreak/>
        <w:t>Supplementary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602AA">
        <w:rPr>
          <w:rFonts w:asciiTheme="minorHAnsi" w:hAnsiTheme="minorHAnsi"/>
          <w:b/>
          <w:sz w:val="22"/>
          <w:szCs w:val="22"/>
          <w:u w:val="single"/>
        </w:rPr>
        <w:t xml:space="preserve">Table 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  <w:r w:rsidR="00D602AA">
        <w:rPr>
          <w:rFonts w:asciiTheme="minorHAnsi" w:hAnsi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="00D602AA" w:rsidRPr="0032639E">
        <w:rPr>
          <w:rFonts w:asciiTheme="minorHAnsi" w:hAnsiTheme="minorHAnsi"/>
          <w:b/>
          <w:sz w:val="22"/>
          <w:szCs w:val="22"/>
          <w:u w:val="single"/>
        </w:rPr>
        <w:t xml:space="preserve"> Summary of s</w:t>
      </w:r>
      <w:r w:rsidR="00D602AA">
        <w:rPr>
          <w:rFonts w:asciiTheme="minorHAnsi" w:hAnsiTheme="minorHAnsi"/>
          <w:b/>
          <w:sz w:val="22"/>
          <w:szCs w:val="22"/>
          <w:u w:val="single"/>
        </w:rPr>
        <w:t xml:space="preserve">creening and </w:t>
      </w:r>
      <w:proofErr w:type="gramStart"/>
      <w:r w:rsidR="00D602AA">
        <w:rPr>
          <w:rFonts w:asciiTheme="minorHAnsi" w:hAnsiTheme="minorHAnsi"/>
          <w:b/>
          <w:sz w:val="22"/>
          <w:szCs w:val="22"/>
          <w:u w:val="single"/>
        </w:rPr>
        <w:t xml:space="preserve">diagnostic </w:t>
      </w:r>
      <w:r w:rsidR="00D602AA" w:rsidRPr="0032639E">
        <w:rPr>
          <w:rFonts w:asciiTheme="minorHAnsi" w:hAnsiTheme="minorHAnsi"/>
          <w:b/>
          <w:sz w:val="22"/>
          <w:szCs w:val="22"/>
          <w:u w:val="single"/>
        </w:rPr>
        <w:t xml:space="preserve"> instru</w:t>
      </w:r>
      <w:r w:rsidR="00D602AA">
        <w:rPr>
          <w:rFonts w:asciiTheme="minorHAnsi" w:hAnsiTheme="minorHAnsi"/>
          <w:b/>
          <w:sz w:val="22"/>
          <w:szCs w:val="22"/>
          <w:u w:val="single"/>
        </w:rPr>
        <w:t>ments</w:t>
      </w:r>
      <w:proofErr w:type="gramEnd"/>
      <w:r w:rsidR="00D602AA">
        <w:rPr>
          <w:rFonts w:asciiTheme="minorHAnsi" w:hAnsiTheme="minorHAnsi"/>
          <w:b/>
          <w:sz w:val="22"/>
          <w:szCs w:val="22"/>
          <w:u w:val="single"/>
        </w:rPr>
        <w:t xml:space="preserve"> and their outcome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6572"/>
      </w:tblGrid>
      <w:tr w:rsidR="00D602AA" w:rsidRPr="0075034D" w:rsidTr="00776DFD">
        <w:tc>
          <w:tcPr>
            <w:tcW w:w="3159" w:type="dxa"/>
            <w:shd w:val="clear" w:color="auto" w:fill="7F7F7F" w:themeFill="text1" w:themeFillTint="80"/>
          </w:tcPr>
          <w:p w:rsidR="00D602AA" w:rsidRPr="0075034D" w:rsidRDefault="00D602AA" w:rsidP="00776DFD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Screening Tests</w:t>
            </w:r>
          </w:p>
        </w:tc>
        <w:tc>
          <w:tcPr>
            <w:tcW w:w="8431" w:type="dxa"/>
            <w:shd w:val="clear" w:color="auto" w:fill="7F7F7F" w:themeFill="text1" w:themeFillTint="80"/>
          </w:tcPr>
          <w:p w:rsidR="00D602AA" w:rsidRPr="0075034D" w:rsidRDefault="00D602AA" w:rsidP="00776DFD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Measures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Mini International Neuropsychiatric Instrument (MINI)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v5.0.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Diagnosis of 15 Axis 1 and 1 Axis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(lifetime anti-social personality disorder)</w:t>
            </w:r>
            <w:r w:rsidRPr="0075034D">
              <w:rPr>
                <w:rFonts w:asciiTheme="minorHAnsi" w:hAnsiTheme="minorHAnsi"/>
                <w:sz w:val="18"/>
                <w:szCs w:val="18"/>
              </w:rPr>
              <w:t xml:space="preserve"> DSM-4 psychiatric illnesses and substance misuse/dependence presented in 24 modules.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Case records from addiction, psychiatric and General Practitioner’s Services. 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Identification of non fatal overdose episodes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Confirming a history or not of epilepsy and other neurological phenomenon including learning disabilities.</w:t>
            </w:r>
          </w:p>
          <w:p w:rsidR="00D602AA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Confirming a diagnosis of Hepatitis B, C and HIV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Confirming diagnosis of other personality disorders (e.g. borderline)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Validating medical and psychiatric histories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Validating substance misuse career and current drug and alcohol use.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Scottish Index of Multiple Deprivation (SIMD).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Post Trauma Amnesia Questionnaire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Information on head and other cerebral insults and consequential post trauma amnesia.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Urine analysis for drug screen.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Using self contained on site drug test kits for presence of amphetamine, cannabinoids, opioids, benzodiazepine and cocaine.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Subsequent lab investigations used </w:t>
            </w:r>
            <w:proofErr w:type="gramStart"/>
            <w:r w:rsidRPr="0075034D">
              <w:rPr>
                <w:rFonts w:asciiTheme="minorHAnsi" w:hAnsiTheme="minorHAnsi"/>
                <w:sz w:val="18"/>
                <w:szCs w:val="18"/>
              </w:rPr>
              <w:t>ELISA  followed</w:t>
            </w:r>
            <w:proofErr w:type="gramEnd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 up by TLC methodologies.</w:t>
            </w:r>
          </w:p>
        </w:tc>
      </w:tr>
      <w:tr w:rsidR="00D602AA" w:rsidRPr="0075034D" w:rsidTr="00776DFD">
        <w:tc>
          <w:tcPr>
            <w:tcW w:w="3159" w:type="dxa"/>
            <w:shd w:val="clear" w:color="auto" w:fill="7F7F7F" w:themeFill="text1" w:themeFillTint="80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Diagnostic Tests</w:t>
            </w:r>
          </w:p>
        </w:tc>
        <w:tc>
          <w:tcPr>
            <w:tcW w:w="8431" w:type="dxa"/>
            <w:shd w:val="clear" w:color="auto" w:fill="7F7F7F" w:themeFill="text1" w:themeFillTint="80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Measures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Mini International Neuropsychiatric Instrument (MINI) (Section L)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v5.0.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Diagnosis of opioid misuse/dependence (lifetime and current).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5034D">
              <w:rPr>
                <w:rFonts w:asciiTheme="minorHAnsi" w:hAnsiTheme="minorHAnsi"/>
                <w:sz w:val="18"/>
                <w:szCs w:val="18"/>
              </w:rPr>
              <w:t>Maudsley</w:t>
            </w:r>
            <w:proofErr w:type="spellEnd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 Addiction Profile (MAP)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Information on substance misuse history, health risk behaviour, physical and psychological health, personal and social functioning in the last 30 days.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5034D">
              <w:rPr>
                <w:rFonts w:asciiTheme="minorHAnsi" w:hAnsiTheme="minorHAnsi"/>
                <w:sz w:val="18"/>
                <w:szCs w:val="18"/>
              </w:rPr>
              <w:t>Fagerström</w:t>
            </w:r>
            <w:proofErr w:type="spellEnd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 Test for Nicotine Dependence (FTND)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6 items with a diagnostic score ranging from 0 (no nicotine dependence) to 10 (very severe nicotine dependence).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Clinical Opiate Withdrawal Scale (COWS)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v1.0.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11 objective and subjective symptoms of opioid withdrawal. Scores ranged from 0-48.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Urine analysis for drug screen.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Using self contained on site drug test kit for presence of amphetamine, cannabinoids, opioids, benzodiazepine and cocaine.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Subsequent lab investigations used </w:t>
            </w:r>
            <w:proofErr w:type="gramStart"/>
            <w:r w:rsidRPr="0075034D">
              <w:rPr>
                <w:rFonts w:asciiTheme="minorHAnsi" w:hAnsiTheme="minorHAnsi"/>
                <w:sz w:val="18"/>
                <w:szCs w:val="18"/>
              </w:rPr>
              <w:t>ELISA  followed</w:t>
            </w:r>
            <w:proofErr w:type="gramEnd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 up by TLC methodologies.</w:t>
            </w:r>
          </w:p>
        </w:tc>
      </w:tr>
      <w:tr w:rsidR="00D602AA" w:rsidRPr="0075034D" w:rsidTr="00776DFD">
        <w:tc>
          <w:tcPr>
            <w:tcW w:w="3159" w:type="dxa"/>
            <w:shd w:val="clear" w:color="auto" w:fill="7F7F7F" w:themeFill="text1" w:themeFillTint="80"/>
          </w:tcPr>
          <w:p w:rsidR="00D602AA" w:rsidRPr="0075034D" w:rsidRDefault="00D602AA" w:rsidP="00776DFD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Cognitive Tests</w:t>
            </w:r>
          </w:p>
        </w:tc>
        <w:tc>
          <w:tcPr>
            <w:tcW w:w="8431" w:type="dxa"/>
            <w:shd w:val="clear" w:color="auto" w:fill="7F7F7F" w:themeFill="text1" w:themeFillTint="80"/>
          </w:tcPr>
          <w:p w:rsidR="00D602AA" w:rsidRPr="0075034D" w:rsidRDefault="00D602AA" w:rsidP="00776DFD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Measure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National Adult Reading Test (NART) 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v2.0.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WAIS-R Full Scale (IQ=70-131), Verbal Scale (IQ=72-127) and Performance Scale (IQ=74-128).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75034D">
              <w:rPr>
                <w:rFonts w:asciiTheme="minorHAnsi" w:hAnsiTheme="minorHAnsi"/>
                <w:sz w:val="18"/>
                <w:szCs w:val="18"/>
              </w:rPr>
              <w:t>CANTAB</w:t>
            </w:r>
            <w:r w:rsidRPr="0075034D">
              <w:rPr>
                <w:rFonts w:asciiTheme="minorHAnsi" w:hAnsiTheme="minorHAnsi"/>
                <w:i/>
                <w:sz w:val="18"/>
                <w:szCs w:val="18"/>
              </w:rPr>
              <w:t>eclipse</w:t>
            </w:r>
            <w:proofErr w:type="spellEnd"/>
            <w:r w:rsidRPr="0075034D">
              <w:rPr>
                <w:rFonts w:asciiTheme="minorHAnsi" w:hAnsiTheme="minorHAnsi"/>
                <w:i/>
                <w:sz w:val="18"/>
                <w:szCs w:val="18"/>
              </w:rPr>
              <w:t xml:space="preserve"> v3.0.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Cambridge Gambling Task (CGT).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Quality of Decision Making. 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Risk Taking and Overall Proportion </w:t>
            </w:r>
            <w:proofErr w:type="gramStart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Bet 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proofErr w:type="gramEnd"/>
            <w:r w:rsidR="000202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5034D">
              <w:rPr>
                <w:rFonts w:asciiTheme="minorHAnsi" w:hAnsiTheme="minorHAnsi"/>
                <w:sz w:val="18"/>
                <w:szCs w:val="18"/>
              </w:rPr>
              <w:t>Deliberation Time or Latency.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Delay Aversion and Risk Adjustment.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Affective Go-</w:t>
            </w:r>
            <w:proofErr w:type="spellStart"/>
            <w:r w:rsidRPr="0075034D">
              <w:rPr>
                <w:rFonts w:asciiTheme="minorHAnsi" w:hAnsiTheme="minorHAnsi"/>
                <w:sz w:val="18"/>
                <w:szCs w:val="18"/>
              </w:rPr>
              <w:t>NoGo</w:t>
            </w:r>
            <w:proofErr w:type="spellEnd"/>
            <w:r w:rsidRPr="0075034D">
              <w:rPr>
                <w:rFonts w:asciiTheme="minorHAnsi" w:hAnsiTheme="minorHAnsi"/>
                <w:sz w:val="18"/>
                <w:szCs w:val="18"/>
              </w:rPr>
              <w:t xml:space="preserve"> (AGN).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Total Commissions/Distractor Errors. 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Total Omissions/Target Errors. </w:t>
            </w:r>
          </w:p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 xml:space="preserve">Correct Mean Latency or Reaction Times. </w:t>
            </w:r>
          </w:p>
        </w:tc>
      </w:tr>
      <w:tr w:rsidR="00D602AA" w:rsidRPr="0075034D" w:rsidTr="00776DFD">
        <w:tc>
          <w:tcPr>
            <w:tcW w:w="3159" w:type="dxa"/>
          </w:tcPr>
          <w:p w:rsidR="00D602AA" w:rsidRPr="0075034D" w:rsidRDefault="00D602AA" w:rsidP="00776DFD">
            <w:pPr>
              <w:spacing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034D">
              <w:rPr>
                <w:rFonts w:asciiTheme="minorHAnsi" w:hAnsiTheme="minorHAnsi"/>
                <w:sz w:val="18"/>
                <w:szCs w:val="18"/>
              </w:rPr>
              <w:t>Stockings of Cambridge (SOC).</w:t>
            </w:r>
          </w:p>
        </w:tc>
        <w:tc>
          <w:tcPr>
            <w:tcW w:w="8431" w:type="dxa"/>
          </w:tcPr>
          <w:p w:rsidR="00D602AA" w:rsidRPr="0075034D" w:rsidRDefault="00D602AA" w:rsidP="00776D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75034D">
              <w:rPr>
                <w:rFonts w:asciiTheme="minorHAnsi" w:hAnsiTheme="minorHAnsi" w:cs="Calibri"/>
                <w:sz w:val="18"/>
                <w:szCs w:val="18"/>
              </w:rPr>
              <w:t>Initial Thinking Times (at each stage).</w:t>
            </w:r>
          </w:p>
          <w:p w:rsidR="00D602AA" w:rsidRPr="0075034D" w:rsidRDefault="00D602AA" w:rsidP="00776D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75034D">
              <w:rPr>
                <w:rFonts w:asciiTheme="minorHAnsi" w:hAnsiTheme="minorHAnsi" w:cs="Calibri"/>
                <w:sz w:val="18"/>
                <w:szCs w:val="18"/>
              </w:rPr>
              <w:t>Subsequent Thinking Times (at each stage). Problems solved in minimum number of moves.</w:t>
            </w:r>
          </w:p>
        </w:tc>
      </w:tr>
    </w:tbl>
    <w:p w:rsidR="00D602AA" w:rsidRDefault="00D602AA" w:rsidP="00D602AA"/>
    <w:p w:rsidR="00C20AF4" w:rsidRDefault="00C20AF4"/>
    <w:sectPr w:rsidR="00C20AF4" w:rsidSect="001C02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94B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2AA"/>
    <w:rsid w:val="00020296"/>
    <w:rsid w:val="00207320"/>
    <w:rsid w:val="00316E2B"/>
    <w:rsid w:val="003460F4"/>
    <w:rsid w:val="006920A0"/>
    <w:rsid w:val="006F1F8A"/>
    <w:rsid w:val="00721914"/>
    <w:rsid w:val="00C20AF4"/>
    <w:rsid w:val="00D602AA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64BA1-0F87-4CFA-8720-13765FC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AA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07320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7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07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7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3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32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0732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0732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07320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073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07320"/>
    <w:rPr>
      <w:b/>
      <w:bCs/>
      <w:sz w:val="22"/>
      <w:szCs w:val="22"/>
      <w:lang w:eastAsia="en-US"/>
    </w:rPr>
  </w:style>
  <w:style w:type="paragraph" w:styleId="Title">
    <w:name w:val="Title"/>
    <w:aliases w:val=" Char Char,Char Char,Char, Char"/>
    <w:basedOn w:val="Normal"/>
    <w:next w:val="Normal"/>
    <w:link w:val="TitleChar"/>
    <w:qFormat/>
    <w:rsid w:val="0020732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aliases w:val=" Char Char Char,Char Char Char,Char Char1, Char Char1"/>
    <w:basedOn w:val="DefaultParagraphFont"/>
    <w:link w:val="Title"/>
    <w:rsid w:val="00207320"/>
    <w:rPr>
      <w:rFonts w:ascii="Cambria" w:hAnsi="Cambria"/>
      <w:color w:val="17365D"/>
      <w:spacing w:val="5"/>
      <w:kern w:val="28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qFormat/>
    <w:rsid w:val="002073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07320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207320"/>
    <w:rPr>
      <w:b/>
      <w:bCs/>
    </w:rPr>
  </w:style>
  <w:style w:type="character" w:styleId="Emphasis">
    <w:name w:val="Emphasis"/>
    <w:uiPriority w:val="20"/>
    <w:qFormat/>
    <w:rsid w:val="00207320"/>
    <w:rPr>
      <w:i/>
      <w:iCs/>
    </w:rPr>
  </w:style>
  <w:style w:type="paragraph" w:styleId="NoSpacing">
    <w:name w:val="No Spacing"/>
    <w:uiPriority w:val="1"/>
    <w:qFormat/>
    <w:rsid w:val="0020732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7320"/>
    <w:pPr>
      <w:ind w:left="720"/>
    </w:pPr>
  </w:style>
  <w:style w:type="table" w:styleId="TableGrid">
    <w:name w:val="Table Grid"/>
    <w:basedOn w:val="TableNormal"/>
    <w:rsid w:val="00D6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ABaldacchino</dc:creator>
  <cp:lastModifiedBy>User</cp:lastModifiedBy>
  <cp:revision>4</cp:revision>
  <dcterms:created xsi:type="dcterms:W3CDTF">2014-08-02T09:56:00Z</dcterms:created>
  <dcterms:modified xsi:type="dcterms:W3CDTF">2014-08-12T15:26:00Z</dcterms:modified>
</cp:coreProperties>
</file>