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B36A" w14:textId="560D731B" w:rsidR="001A734E" w:rsidRDefault="008D74AC" w:rsidP="00EA4CAD">
      <w:pPr>
        <w:rPr>
          <w:b/>
          <w:bCs/>
        </w:rPr>
      </w:pPr>
      <w:r w:rsidRPr="00A74B6A">
        <w:rPr>
          <w:b/>
          <w:bCs/>
        </w:rPr>
        <w:t>S</w:t>
      </w:r>
      <w:r w:rsidR="00F5697C">
        <w:rPr>
          <w:b/>
          <w:bCs/>
        </w:rPr>
        <w:t>2</w:t>
      </w:r>
      <w:r w:rsidRPr="00A74B6A">
        <w:rPr>
          <w:b/>
          <w:bCs/>
        </w:rPr>
        <w:t xml:space="preserve">. </w:t>
      </w:r>
      <w:r w:rsidR="00A74B6A" w:rsidRPr="00A74B6A">
        <w:rPr>
          <w:b/>
          <w:bCs/>
        </w:rPr>
        <w:t>Additional Methods</w:t>
      </w:r>
    </w:p>
    <w:p w14:paraId="709A13D0" w14:textId="38463830" w:rsidR="00A74B6A" w:rsidRPr="002F2916" w:rsidRDefault="00A74B6A" w:rsidP="00EA4CAD">
      <w:pPr>
        <w:rPr>
          <w:b/>
          <w:bCs/>
          <w:i/>
          <w:iCs/>
        </w:rPr>
      </w:pPr>
      <w:r>
        <w:rPr>
          <w:b/>
          <w:bCs/>
        </w:rPr>
        <w:t>S</w:t>
      </w:r>
      <w:r w:rsidR="00F5697C">
        <w:rPr>
          <w:b/>
          <w:bCs/>
        </w:rPr>
        <w:t>2</w:t>
      </w:r>
      <w:r>
        <w:rPr>
          <w:b/>
          <w:bCs/>
        </w:rPr>
        <w:t>.1 Microparasite detection</w:t>
      </w:r>
      <w:r w:rsidR="002F2916">
        <w:rPr>
          <w:b/>
          <w:bCs/>
        </w:rPr>
        <w:t xml:space="preserve">: </w:t>
      </w:r>
      <w:r w:rsidR="002F2916" w:rsidRPr="002F2916">
        <w:rPr>
          <w:b/>
          <w:bCs/>
        </w:rPr>
        <w:t>Apicomplexan-specific nested PCR</w:t>
      </w:r>
    </w:p>
    <w:p w14:paraId="74D48D5B" w14:textId="4725F69D" w:rsidR="00EA4CAD" w:rsidRPr="00F41505" w:rsidRDefault="00EA4CAD" w:rsidP="00EA4CAD">
      <w:r w:rsidRPr="1ABCEDDF">
        <w:rPr>
          <w:i/>
          <w:iCs/>
        </w:rPr>
        <w:t xml:space="preserve">B. microti </w:t>
      </w:r>
      <w:r>
        <w:t xml:space="preserve">was detected using a nested PCR, targeting an Apicomplexan-specific 18S rRNA fragment (Simpson </w:t>
      </w:r>
      <w:r w:rsidRPr="1ABCEDDF">
        <w:rPr>
          <w:i/>
          <w:iCs/>
        </w:rPr>
        <w:t>et al</w:t>
      </w:r>
      <w:r>
        <w:t xml:space="preserve">., 2005). Primers (Table 1) were prepared following manufacturer instructions to a 10 µmol/µL concentration. A 2.5 µL aliquot of DNA was added to the first-round reaction.  The first-round </w:t>
      </w:r>
      <w:proofErr w:type="spellStart"/>
      <w:r>
        <w:t>MasterMix</w:t>
      </w:r>
      <w:proofErr w:type="spellEnd"/>
      <w:r>
        <w:t xml:space="preserve"> included 12.5 µL 2xMyTaq</w:t>
      </w:r>
      <w:r w:rsidRPr="1ABCEDDF">
        <w:rPr>
          <w:vertAlign w:val="superscript"/>
        </w:rPr>
        <w:t>TM</w:t>
      </w:r>
      <w:r>
        <w:t>Red Mix (</w:t>
      </w:r>
      <w:proofErr w:type="spellStart"/>
      <w:r>
        <w:t>Bioline</w:t>
      </w:r>
      <w:proofErr w:type="spellEnd"/>
      <w:r>
        <w:t xml:space="preserve">), 6 µL sterilised distilled water and 2 µL of each primer (BMF1 and BMR1, Eurofins genomics). The thermocycle consisted of a 3-minute activation stage at 94˚C, followed by 40 cycles of 30 seconds at 94˚C, 30 seconds at 55˚C and 30 seconds at 72˚C. </w:t>
      </w:r>
    </w:p>
    <w:p w14:paraId="193FDC90" w14:textId="77777777" w:rsidR="00EA4CAD" w:rsidRPr="00F41505" w:rsidRDefault="00EA4CAD" w:rsidP="00EA4CAD">
      <w:pPr>
        <w:rPr>
          <w:szCs w:val="24"/>
        </w:rPr>
      </w:pPr>
      <w:r>
        <w:rPr>
          <w:szCs w:val="24"/>
        </w:rPr>
        <w:t xml:space="preserve">A </w:t>
      </w:r>
      <w:r w:rsidRPr="00F41505">
        <w:rPr>
          <w:szCs w:val="24"/>
        </w:rPr>
        <w:t>1µL</w:t>
      </w:r>
      <w:r>
        <w:rPr>
          <w:szCs w:val="24"/>
        </w:rPr>
        <w:t xml:space="preserve"> aliquot</w:t>
      </w:r>
      <w:r w:rsidRPr="00F41505">
        <w:rPr>
          <w:szCs w:val="24"/>
        </w:rPr>
        <w:t xml:space="preserve"> of the first-round product was </w:t>
      </w:r>
      <w:r>
        <w:rPr>
          <w:szCs w:val="24"/>
        </w:rPr>
        <w:t>further amplified</w:t>
      </w:r>
      <w:r w:rsidRPr="00F41505">
        <w:rPr>
          <w:szCs w:val="24"/>
        </w:rPr>
        <w:t>. Volumes of 2xMyTaq</w:t>
      </w:r>
      <w:r w:rsidRPr="00F41505">
        <w:rPr>
          <w:szCs w:val="24"/>
          <w:vertAlign w:val="superscript"/>
        </w:rPr>
        <w:t>TM</w:t>
      </w:r>
      <w:r w:rsidRPr="00F41505">
        <w:rPr>
          <w:szCs w:val="24"/>
        </w:rPr>
        <w:t>Red Mix and primers (BMF2 and BMR2, Eurofins genomics</w:t>
      </w:r>
      <w:r>
        <w:rPr>
          <w:szCs w:val="24"/>
        </w:rPr>
        <w:t>, see Appendix</w:t>
      </w:r>
      <w:r w:rsidRPr="00F41505">
        <w:rPr>
          <w:szCs w:val="24"/>
        </w:rPr>
        <w:t xml:space="preserve">) were kept consistent with round one, </w:t>
      </w:r>
      <w:r>
        <w:rPr>
          <w:szCs w:val="24"/>
        </w:rPr>
        <w:t xml:space="preserve">increasing water to </w:t>
      </w:r>
      <w:r w:rsidRPr="00F41505">
        <w:rPr>
          <w:szCs w:val="24"/>
        </w:rPr>
        <w:t xml:space="preserve">7.5µL. The thermocycle was kept consistent with the first round. DNA fragments were visualised by gel electrophoresis </w:t>
      </w:r>
      <w:r>
        <w:rPr>
          <w:szCs w:val="24"/>
        </w:rPr>
        <w:t xml:space="preserve">on a </w:t>
      </w:r>
      <w:r w:rsidRPr="00F41505">
        <w:rPr>
          <w:szCs w:val="24"/>
        </w:rPr>
        <w:t xml:space="preserve">3% agarose gel at 145V for 1h. </w:t>
      </w:r>
    </w:p>
    <w:p w14:paraId="42A39B7B" w14:textId="63EEB13B" w:rsidR="00EA4CAD" w:rsidRPr="009B2CBD" w:rsidRDefault="009B2CBD" w:rsidP="00EA4CAD">
      <w:pPr>
        <w:pStyle w:val="Caption"/>
        <w:keepNext/>
        <w:rPr>
          <w:rFonts w:cs="Times New Roman"/>
          <w:i w:val="0"/>
          <w:iCs w:val="0"/>
          <w:color w:val="auto"/>
          <w:sz w:val="24"/>
          <w:szCs w:val="24"/>
        </w:rPr>
      </w:pPr>
      <w:r w:rsidRPr="009B2CBD">
        <w:rPr>
          <w:rFonts w:cs="Times New Roman"/>
          <w:b/>
          <w:bCs/>
          <w:i w:val="0"/>
          <w:iCs w:val="0"/>
          <w:color w:val="auto"/>
          <w:sz w:val="24"/>
          <w:szCs w:val="24"/>
        </w:rPr>
        <w:t xml:space="preserve">Table </w:t>
      </w:r>
      <w:r w:rsidR="00F5697C">
        <w:rPr>
          <w:rFonts w:cs="Times New Roman"/>
          <w:b/>
          <w:bCs/>
          <w:i w:val="0"/>
          <w:iCs w:val="0"/>
          <w:color w:val="auto"/>
          <w:sz w:val="24"/>
          <w:szCs w:val="24"/>
        </w:rPr>
        <w:t>S2</w:t>
      </w:r>
      <w:r>
        <w:rPr>
          <w:rFonts w:cs="Times New Roman"/>
          <w:b/>
          <w:bCs/>
          <w:i w:val="0"/>
          <w:iCs w:val="0"/>
          <w:color w:val="auto"/>
          <w:sz w:val="24"/>
          <w:szCs w:val="24"/>
        </w:rPr>
        <w:t>.</w:t>
      </w:r>
      <w:r w:rsidRPr="009B2CBD">
        <w:rPr>
          <w:rFonts w:cs="Times New Roman"/>
          <w:b/>
          <w:bCs/>
          <w:i w:val="0"/>
          <w:iCs w:val="0"/>
          <w:color w:val="auto"/>
          <w:sz w:val="24"/>
          <w:szCs w:val="24"/>
        </w:rPr>
        <w:t>1</w:t>
      </w:r>
      <w:r w:rsidR="00EA4CAD" w:rsidRPr="009B2CBD">
        <w:rPr>
          <w:rFonts w:cs="Times New Roman"/>
          <w:i w:val="0"/>
          <w:iCs w:val="0"/>
          <w:color w:val="auto"/>
          <w:sz w:val="24"/>
          <w:szCs w:val="24"/>
        </w:rPr>
        <w:t xml:space="preserve"> Primer-sequences (provider: Eurofins Genomics) used in nested PCR targeting Apicomplexan-specific 18s rRNA fragment </w:t>
      </w:r>
      <w:sdt>
        <w:sdtPr>
          <w:rPr>
            <w:rFonts w:cs="Times New Roman"/>
            <w:i w:val="0"/>
            <w:iCs w:val="0"/>
            <w:color w:val="000000"/>
            <w:sz w:val="24"/>
            <w:szCs w:val="24"/>
          </w:rPr>
          <w:tag w:val="MENDELEY_CITATION_v3_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"/>
          <w:id w:val="39257572"/>
          <w:placeholder>
            <w:docPart w:val="DefaultPlaceholder_-1854013440"/>
          </w:placeholder>
        </w:sdtPr>
        <w:sdtContent>
          <w:r w:rsidR="007A0E41" w:rsidRPr="007A0E41">
            <w:rPr>
              <w:rFonts w:cs="Times New Roman"/>
              <w:i w:val="0"/>
              <w:iCs w:val="0"/>
              <w:color w:val="000000"/>
              <w:sz w:val="24"/>
              <w:szCs w:val="24"/>
            </w:rPr>
            <w:t>(Simpson et al., 2005)</w:t>
          </w:r>
        </w:sdtContent>
      </w:sdt>
      <w:r w:rsidR="00EA4CAD" w:rsidRPr="009B2CBD">
        <w:rPr>
          <w:rFonts w:cs="Times New Roman"/>
          <w:i w:val="0"/>
          <w:iCs w:val="0"/>
          <w:color w:val="auto"/>
          <w:sz w:val="24"/>
          <w:szCs w:val="24"/>
        </w:rPr>
        <w:t>.</w:t>
      </w:r>
    </w:p>
    <w:tbl>
      <w:tblPr>
        <w:tblStyle w:val="TableGrid"/>
        <w:tblpPr w:leftFromText="180" w:rightFromText="180" w:vertAnchor="text" w:horzAnchor="margin" w:tblpY="-67"/>
        <w:tblW w:w="0" w:type="auto"/>
        <w:tblInd w:w="0" w:type="dxa"/>
        <w:tblLook w:val="04A0" w:firstRow="1" w:lastRow="0" w:firstColumn="1" w:lastColumn="0" w:noHBand="0" w:noVBand="1"/>
      </w:tblPr>
      <w:tblGrid>
        <w:gridCol w:w="3802"/>
        <w:gridCol w:w="5214"/>
      </w:tblGrid>
      <w:tr w:rsidR="00EA4CAD" w:rsidRPr="0042264C" w14:paraId="74A09E21" w14:textId="77777777" w:rsidTr="002415A9">
        <w:tc>
          <w:tcPr>
            <w:tcW w:w="4050" w:type="dxa"/>
            <w:tcBorders>
              <w:top w:val="single" w:sz="4" w:space="0" w:color="auto"/>
              <w:left w:val="single" w:sz="4" w:space="0" w:color="auto"/>
              <w:bottom w:val="single" w:sz="4" w:space="0" w:color="auto"/>
              <w:right w:val="single" w:sz="4" w:space="0" w:color="auto"/>
            </w:tcBorders>
            <w:hideMark/>
          </w:tcPr>
          <w:p w14:paraId="1990998C" w14:textId="77777777" w:rsidR="00EA4CAD" w:rsidRPr="0042264C" w:rsidRDefault="00EA4CAD" w:rsidP="002415A9">
            <w:pPr>
              <w:jc w:val="center"/>
              <w:rPr>
                <w:rFonts w:cs="Times New Roman"/>
                <w:b/>
                <w:szCs w:val="24"/>
              </w:rPr>
            </w:pPr>
            <w:r w:rsidRPr="0042264C">
              <w:rPr>
                <w:rFonts w:cs="Times New Roman"/>
                <w:b/>
                <w:szCs w:val="24"/>
              </w:rPr>
              <w:t>Oligo name</w:t>
            </w:r>
          </w:p>
        </w:tc>
        <w:tc>
          <w:tcPr>
            <w:tcW w:w="5300" w:type="dxa"/>
            <w:tcBorders>
              <w:top w:val="single" w:sz="4" w:space="0" w:color="auto"/>
              <w:left w:val="single" w:sz="4" w:space="0" w:color="auto"/>
              <w:bottom w:val="single" w:sz="4" w:space="0" w:color="auto"/>
              <w:right w:val="single" w:sz="4" w:space="0" w:color="auto"/>
            </w:tcBorders>
            <w:hideMark/>
          </w:tcPr>
          <w:p w14:paraId="5B5F5DDC" w14:textId="77777777" w:rsidR="00EA4CAD" w:rsidRPr="0042264C" w:rsidRDefault="00EA4CAD" w:rsidP="002415A9">
            <w:pPr>
              <w:jc w:val="center"/>
              <w:rPr>
                <w:rFonts w:cs="Times New Roman"/>
                <w:b/>
                <w:szCs w:val="24"/>
              </w:rPr>
            </w:pPr>
            <w:r w:rsidRPr="0042264C">
              <w:rPr>
                <w:rFonts w:cs="Times New Roman"/>
                <w:b/>
                <w:szCs w:val="24"/>
              </w:rPr>
              <w:t>Sequence (5’ → 3’)</w:t>
            </w:r>
          </w:p>
        </w:tc>
      </w:tr>
      <w:tr w:rsidR="00EA4CAD" w:rsidRPr="0042264C" w14:paraId="5D5E9267" w14:textId="77777777" w:rsidTr="002415A9">
        <w:tc>
          <w:tcPr>
            <w:tcW w:w="4050" w:type="dxa"/>
            <w:tcBorders>
              <w:top w:val="single" w:sz="4" w:space="0" w:color="auto"/>
              <w:left w:val="single" w:sz="4" w:space="0" w:color="auto"/>
              <w:bottom w:val="single" w:sz="4" w:space="0" w:color="auto"/>
              <w:right w:val="single" w:sz="4" w:space="0" w:color="auto"/>
            </w:tcBorders>
            <w:hideMark/>
          </w:tcPr>
          <w:p w14:paraId="50DF56B1" w14:textId="77777777" w:rsidR="00EA4CAD" w:rsidRPr="0042264C" w:rsidRDefault="00EA4CAD" w:rsidP="002415A9">
            <w:pPr>
              <w:jc w:val="center"/>
              <w:rPr>
                <w:rFonts w:cs="Times New Roman"/>
                <w:szCs w:val="24"/>
              </w:rPr>
            </w:pPr>
            <w:r w:rsidRPr="0042264C">
              <w:rPr>
                <w:rFonts w:cs="Times New Roman"/>
                <w:szCs w:val="24"/>
              </w:rPr>
              <w:t>BMF1</w:t>
            </w:r>
          </w:p>
        </w:tc>
        <w:tc>
          <w:tcPr>
            <w:tcW w:w="5300" w:type="dxa"/>
            <w:tcBorders>
              <w:top w:val="single" w:sz="4" w:space="0" w:color="auto"/>
              <w:left w:val="single" w:sz="4" w:space="0" w:color="auto"/>
              <w:bottom w:val="single" w:sz="4" w:space="0" w:color="auto"/>
              <w:right w:val="single" w:sz="4" w:space="0" w:color="auto"/>
            </w:tcBorders>
            <w:hideMark/>
          </w:tcPr>
          <w:p w14:paraId="230DA423" w14:textId="77777777" w:rsidR="00EA4CAD" w:rsidRPr="0042264C" w:rsidRDefault="00EA4CAD" w:rsidP="002415A9">
            <w:pPr>
              <w:jc w:val="center"/>
              <w:rPr>
                <w:rFonts w:cs="Times New Roman"/>
                <w:szCs w:val="24"/>
              </w:rPr>
            </w:pPr>
            <w:r w:rsidRPr="0042264C">
              <w:rPr>
                <w:rFonts w:cs="Times New Roman"/>
                <w:szCs w:val="24"/>
              </w:rPr>
              <w:t>GCGATGTATCATTCAAGTTTGTG (23)</w:t>
            </w:r>
          </w:p>
        </w:tc>
      </w:tr>
      <w:tr w:rsidR="00EA4CAD" w:rsidRPr="0042264C" w14:paraId="01D6339D" w14:textId="77777777" w:rsidTr="002415A9">
        <w:tc>
          <w:tcPr>
            <w:tcW w:w="4050" w:type="dxa"/>
            <w:tcBorders>
              <w:top w:val="single" w:sz="4" w:space="0" w:color="auto"/>
              <w:left w:val="single" w:sz="4" w:space="0" w:color="auto"/>
              <w:bottom w:val="single" w:sz="4" w:space="0" w:color="auto"/>
              <w:right w:val="single" w:sz="4" w:space="0" w:color="auto"/>
            </w:tcBorders>
            <w:hideMark/>
          </w:tcPr>
          <w:p w14:paraId="10236265" w14:textId="77777777" w:rsidR="00EA4CAD" w:rsidRPr="0042264C" w:rsidRDefault="00EA4CAD" w:rsidP="002415A9">
            <w:pPr>
              <w:jc w:val="center"/>
              <w:rPr>
                <w:rFonts w:cs="Times New Roman"/>
                <w:szCs w:val="24"/>
              </w:rPr>
            </w:pPr>
            <w:r w:rsidRPr="0042264C">
              <w:rPr>
                <w:rFonts w:cs="Times New Roman"/>
                <w:szCs w:val="24"/>
              </w:rPr>
              <w:t>BMR1</w:t>
            </w:r>
          </w:p>
        </w:tc>
        <w:tc>
          <w:tcPr>
            <w:tcW w:w="5300" w:type="dxa"/>
            <w:tcBorders>
              <w:top w:val="single" w:sz="4" w:space="0" w:color="auto"/>
              <w:left w:val="single" w:sz="4" w:space="0" w:color="auto"/>
              <w:bottom w:val="single" w:sz="4" w:space="0" w:color="auto"/>
              <w:right w:val="single" w:sz="4" w:space="0" w:color="auto"/>
            </w:tcBorders>
            <w:hideMark/>
          </w:tcPr>
          <w:p w14:paraId="38828286" w14:textId="77777777" w:rsidR="00EA4CAD" w:rsidRPr="0042264C" w:rsidRDefault="00EA4CAD" w:rsidP="002415A9">
            <w:pPr>
              <w:jc w:val="center"/>
              <w:rPr>
                <w:rFonts w:cs="Times New Roman"/>
                <w:szCs w:val="24"/>
              </w:rPr>
            </w:pPr>
            <w:r w:rsidRPr="0042264C">
              <w:rPr>
                <w:rFonts w:cs="Times New Roman"/>
                <w:szCs w:val="24"/>
              </w:rPr>
              <w:t>TGTTATTGCCTTACACTTCCTTGC (24)</w:t>
            </w:r>
          </w:p>
        </w:tc>
      </w:tr>
      <w:tr w:rsidR="00EA4CAD" w:rsidRPr="0042264C" w14:paraId="38C16336" w14:textId="77777777" w:rsidTr="002415A9">
        <w:tc>
          <w:tcPr>
            <w:tcW w:w="4050" w:type="dxa"/>
            <w:tcBorders>
              <w:top w:val="single" w:sz="4" w:space="0" w:color="auto"/>
              <w:left w:val="single" w:sz="4" w:space="0" w:color="auto"/>
              <w:bottom w:val="single" w:sz="4" w:space="0" w:color="auto"/>
              <w:right w:val="single" w:sz="4" w:space="0" w:color="auto"/>
            </w:tcBorders>
            <w:hideMark/>
          </w:tcPr>
          <w:p w14:paraId="1186B4DA" w14:textId="77777777" w:rsidR="00EA4CAD" w:rsidRPr="0042264C" w:rsidRDefault="00EA4CAD" w:rsidP="002415A9">
            <w:pPr>
              <w:jc w:val="center"/>
              <w:rPr>
                <w:rFonts w:cs="Times New Roman"/>
                <w:szCs w:val="24"/>
              </w:rPr>
            </w:pPr>
            <w:r w:rsidRPr="0042264C">
              <w:rPr>
                <w:rFonts w:cs="Times New Roman"/>
                <w:szCs w:val="24"/>
              </w:rPr>
              <w:t>BMF2</w:t>
            </w:r>
          </w:p>
        </w:tc>
        <w:tc>
          <w:tcPr>
            <w:tcW w:w="5300" w:type="dxa"/>
            <w:tcBorders>
              <w:top w:val="single" w:sz="4" w:space="0" w:color="auto"/>
              <w:left w:val="single" w:sz="4" w:space="0" w:color="auto"/>
              <w:bottom w:val="single" w:sz="4" w:space="0" w:color="auto"/>
              <w:right w:val="single" w:sz="4" w:space="0" w:color="auto"/>
            </w:tcBorders>
            <w:hideMark/>
          </w:tcPr>
          <w:p w14:paraId="77D4C61E" w14:textId="77777777" w:rsidR="00EA4CAD" w:rsidRPr="0042264C" w:rsidRDefault="00EA4CAD" w:rsidP="002415A9">
            <w:pPr>
              <w:jc w:val="center"/>
              <w:rPr>
                <w:rFonts w:cs="Times New Roman"/>
                <w:szCs w:val="24"/>
              </w:rPr>
            </w:pPr>
            <w:r w:rsidRPr="0042264C">
              <w:rPr>
                <w:rFonts w:cs="Times New Roman"/>
                <w:szCs w:val="24"/>
              </w:rPr>
              <w:t>ACGGCTACCACATCTAAGGAAGGC (24)</w:t>
            </w:r>
          </w:p>
        </w:tc>
      </w:tr>
      <w:tr w:rsidR="00EA4CAD" w:rsidRPr="0042264C" w14:paraId="6E8BBC61" w14:textId="77777777" w:rsidTr="002415A9">
        <w:tc>
          <w:tcPr>
            <w:tcW w:w="4050" w:type="dxa"/>
            <w:tcBorders>
              <w:top w:val="single" w:sz="4" w:space="0" w:color="auto"/>
              <w:left w:val="single" w:sz="4" w:space="0" w:color="auto"/>
              <w:bottom w:val="single" w:sz="4" w:space="0" w:color="auto"/>
              <w:right w:val="single" w:sz="4" w:space="0" w:color="auto"/>
            </w:tcBorders>
            <w:hideMark/>
          </w:tcPr>
          <w:p w14:paraId="6E07E143" w14:textId="77777777" w:rsidR="00EA4CAD" w:rsidRPr="0042264C" w:rsidRDefault="00EA4CAD" w:rsidP="002415A9">
            <w:pPr>
              <w:jc w:val="center"/>
              <w:rPr>
                <w:rFonts w:cs="Times New Roman"/>
                <w:szCs w:val="24"/>
              </w:rPr>
            </w:pPr>
            <w:r w:rsidRPr="0042264C">
              <w:rPr>
                <w:rFonts w:cs="Times New Roman"/>
                <w:szCs w:val="24"/>
              </w:rPr>
              <w:t>BMR2</w:t>
            </w:r>
          </w:p>
        </w:tc>
        <w:tc>
          <w:tcPr>
            <w:tcW w:w="5300" w:type="dxa"/>
            <w:tcBorders>
              <w:top w:val="single" w:sz="4" w:space="0" w:color="auto"/>
              <w:left w:val="single" w:sz="4" w:space="0" w:color="auto"/>
              <w:bottom w:val="single" w:sz="4" w:space="0" w:color="auto"/>
              <w:right w:val="single" w:sz="4" w:space="0" w:color="auto"/>
            </w:tcBorders>
            <w:hideMark/>
          </w:tcPr>
          <w:p w14:paraId="3F59AE97" w14:textId="77777777" w:rsidR="00EA4CAD" w:rsidRPr="0042264C" w:rsidRDefault="00EA4CAD" w:rsidP="002415A9">
            <w:pPr>
              <w:jc w:val="center"/>
              <w:rPr>
                <w:rFonts w:cs="Times New Roman"/>
                <w:szCs w:val="24"/>
              </w:rPr>
            </w:pPr>
            <w:r w:rsidRPr="0042264C">
              <w:rPr>
                <w:rFonts w:cs="Times New Roman"/>
                <w:szCs w:val="24"/>
              </w:rPr>
              <w:t>TCTCTCAAGGTGCTGAAGGA (20)</w:t>
            </w:r>
          </w:p>
        </w:tc>
      </w:tr>
    </w:tbl>
    <w:p w14:paraId="01C6DA2A" w14:textId="21340E4A" w:rsidR="00EA4CAD" w:rsidRDefault="00EA4CAD" w:rsidP="00EA4CAD">
      <w:pPr>
        <w:rPr>
          <w:rFonts w:cs="Times New Roman"/>
          <w:szCs w:val="24"/>
        </w:rPr>
      </w:pPr>
    </w:p>
    <w:p w14:paraId="3AF6CB43" w14:textId="77777777" w:rsidR="002F2916" w:rsidRDefault="002F2916" w:rsidP="002F2916">
      <w:pPr>
        <w:rPr>
          <w:b/>
          <w:bCs/>
        </w:rPr>
      </w:pPr>
    </w:p>
    <w:p w14:paraId="4A6B69B4" w14:textId="77777777" w:rsidR="002F2916" w:rsidRDefault="002F2916" w:rsidP="002F2916">
      <w:pPr>
        <w:rPr>
          <w:b/>
          <w:bCs/>
        </w:rPr>
      </w:pPr>
    </w:p>
    <w:p w14:paraId="6DB3724C" w14:textId="222485BD" w:rsidR="002F2916" w:rsidRPr="002F2916" w:rsidRDefault="00F5697C" w:rsidP="002F2916">
      <w:pPr>
        <w:rPr>
          <w:b/>
          <w:bCs/>
          <w:i/>
          <w:iCs/>
        </w:rPr>
      </w:pPr>
      <w:r>
        <w:rPr>
          <w:b/>
          <w:bCs/>
        </w:rPr>
        <w:lastRenderedPageBreak/>
        <w:t>S2</w:t>
      </w:r>
      <w:r w:rsidR="002F2916">
        <w:rPr>
          <w:b/>
          <w:bCs/>
        </w:rPr>
        <w:t>.2 Microparasite detection: Bartonella genus-specific qPCR</w:t>
      </w:r>
      <w:r w:rsidR="002F2916" w:rsidRPr="002F2916">
        <w:rPr>
          <w:b/>
          <w:bCs/>
        </w:rPr>
        <w:t xml:space="preserve"> </w:t>
      </w:r>
    </w:p>
    <w:p w14:paraId="5080AC9A" w14:textId="77777777" w:rsidR="00EA4CAD" w:rsidRPr="00F41505" w:rsidRDefault="00EA4CAD" w:rsidP="00EA4CAD">
      <w:r w:rsidRPr="1ABCEDDF">
        <w:rPr>
          <w:i/>
          <w:iCs/>
        </w:rPr>
        <w:t>Bartonella</w:t>
      </w:r>
      <w:r>
        <w:t xml:space="preserve"> infection</w:t>
      </w:r>
      <w:r w:rsidRPr="1ABCEDDF">
        <w:rPr>
          <w:i/>
          <w:iCs/>
        </w:rPr>
        <w:t xml:space="preserve"> </w:t>
      </w:r>
      <w:r>
        <w:t xml:space="preserve">was identified using a genus-specific qPCR, targeting a fragment of the </w:t>
      </w:r>
      <w:proofErr w:type="spellStart"/>
      <w:r w:rsidRPr="1ABCEDDF">
        <w:rPr>
          <w:i/>
          <w:iCs/>
        </w:rPr>
        <w:t>rnp</w:t>
      </w:r>
      <w:proofErr w:type="spellEnd"/>
      <w:r>
        <w:t xml:space="preserve">-gene in samples from 2012-2019. A 2.5µl DNA sample was used in a final volume of 10 µl. The reaction mix included </w:t>
      </w:r>
      <w:r w:rsidRPr="1ABCEDDF">
        <w:rPr>
          <w:rFonts w:eastAsia="Calibri"/>
        </w:rPr>
        <w:t xml:space="preserve">5 µl </w:t>
      </w:r>
      <w:proofErr w:type="spellStart"/>
      <w:r w:rsidRPr="1ABCEDDF">
        <w:rPr>
          <w:rFonts w:eastAsia="Calibri"/>
        </w:rPr>
        <w:t>SensiFAST</w:t>
      </w:r>
      <w:proofErr w:type="spellEnd"/>
      <w:r w:rsidRPr="1ABCEDDF">
        <w:rPr>
          <w:rFonts w:eastAsia="Calibri"/>
        </w:rPr>
        <w:t>™ Probe No-ROX (</w:t>
      </w:r>
      <w:proofErr w:type="spellStart"/>
      <w:r w:rsidRPr="1ABCEDDF">
        <w:rPr>
          <w:rFonts w:eastAsia="Calibri"/>
        </w:rPr>
        <w:t>Bioline</w:t>
      </w:r>
      <w:proofErr w:type="spellEnd"/>
      <w:r w:rsidRPr="1ABCEDDF">
        <w:rPr>
          <w:rFonts w:eastAsia="Calibri"/>
        </w:rPr>
        <w:t xml:space="preserve">, UK), 0.9 µM of the forward and reverse primer, rnpBR2 and rnpBF2 (see Appendix), 0.125 µM </w:t>
      </w:r>
      <w:proofErr w:type="spellStart"/>
      <w:r w:rsidRPr="1ABCEDDF">
        <w:rPr>
          <w:rFonts w:eastAsia="Calibri"/>
        </w:rPr>
        <w:t>rnpB</w:t>
      </w:r>
      <w:proofErr w:type="spellEnd"/>
      <w:r w:rsidRPr="1ABCEDDF">
        <w:rPr>
          <w:rFonts w:eastAsia="Calibri"/>
        </w:rPr>
        <w:t>- probe, 0.5 µl MgCl</w:t>
      </w:r>
      <w:r w:rsidRPr="1ABCEDDF">
        <w:rPr>
          <w:rFonts w:eastAsia="Calibri"/>
          <w:vertAlign w:val="subscript"/>
        </w:rPr>
        <w:t xml:space="preserve">2 </w:t>
      </w:r>
      <w:r w:rsidRPr="1ABCEDDF">
        <w:rPr>
          <w:rFonts w:eastAsia="Calibri"/>
        </w:rPr>
        <w:t>Solution</w:t>
      </w:r>
      <w:r w:rsidRPr="1ABCEDDF">
        <w:rPr>
          <w:rFonts w:eastAsia="Calibri"/>
          <w:vertAlign w:val="subscript"/>
        </w:rPr>
        <w:t xml:space="preserve"> </w:t>
      </w:r>
      <w:r w:rsidRPr="1ABCEDDF">
        <w:rPr>
          <w:rFonts w:eastAsia="Calibri"/>
        </w:rPr>
        <w:t>(50mM) (</w:t>
      </w:r>
      <w:proofErr w:type="spellStart"/>
      <w:r w:rsidRPr="1ABCEDDF">
        <w:rPr>
          <w:rFonts w:eastAsia="Calibri"/>
        </w:rPr>
        <w:t>Bioline</w:t>
      </w:r>
      <w:proofErr w:type="spellEnd"/>
      <w:r w:rsidRPr="1ABCEDDF">
        <w:rPr>
          <w:rFonts w:eastAsia="Calibri"/>
        </w:rPr>
        <w:t>, UK) and 0.8 µl H</w:t>
      </w:r>
      <w:r w:rsidRPr="1ABCEDDF">
        <w:rPr>
          <w:rFonts w:eastAsia="Calibri"/>
          <w:vertAlign w:val="subscript"/>
        </w:rPr>
        <w:t>2</w:t>
      </w:r>
      <w:r w:rsidRPr="1ABCEDDF">
        <w:rPr>
          <w:rFonts w:eastAsia="Calibri"/>
        </w:rPr>
        <w:t>O. The thermocycle</w:t>
      </w:r>
      <w:r>
        <w:t xml:space="preserve"> consisted of a 2-minute polymerase activation stage at 94˚C</w:t>
      </w:r>
      <w:r w:rsidRPr="1ABCEDDF">
        <w:rPr>
          <w:rFonts w:eastAsia="Calibri"/>
        </w:rPr>
        <w:t xml:space="preserve">, followed by 50 cycles of denaturation at 94°C for 20 seconds and annealing and extension at 59°C for 40 seconds. </w:t>
      </w:r>
    </w:p>
    <w:p w14:paraId="4C375C9B" w14:textId="362CE7F8" w:rsidR="00EA4CAD" w:rsidRPr="00542C49" w:rsidRDefault="00542C49" w:rsidP="00EA4CAD">
      <w:pPr>
        <w:pStyle w:val="Caption"/>
        <w:keepNext/>
        <w:rPr>
          <w:rFonts w:cs="Times New Roman"/>
          <w:b/>
          <w:bCs/>
          <w:i w:val="0"/>
          <w:iCs w:val="0"/>
          <w:color w:val="auto"/>
          <w:sz w:val="24"/>
          <w:szCs w:val="24"/>
        </w:rPr>
      </w:pPr>
      <w:r w:rsidRPr="00542C49">
        <w:rPr>
          <w:rFonts w:cs="Times New Roman"/>
          <w:b/>
          <w:bCs/>
          <w:i w:val="0"/>
          <w:iCs w:val="0"/>
          <w:color w:val="auto"/>
          <w:sz w:val="24"/>
          <w:szCs w:val="24"/>
        </w:rPr>
        <w:t xml:space="preserve">Table </w:t>
      </w:r>
      <w:r w:rsidR="00F5697C">
        <w:rPr>
          <w:rFonts w:cs="Times New Roman"/>
          <w:b/>
          <w:bCs/>
          <w:i w:val="0"/>
          <w:iCs w:val="0"/>
          <w:color w:val="auto"/>
          <w:sz w:val="24"/>
          <w:szCs w:val="24"/>
        </w:rPr>
        <w:t>S2</w:t>
      </w:r>
      <w:r w:rsidR="009B2CBD">
        <w:rPr>
          <w:rFonts w:cs="Times New Roman"/>
          <w:b/>
          <w:bCs/>
          <w:i w:val="0"/>
          <w:iCs w:val="0"/>
          <w:color w:val="auto"/>
          <w:sz w:val="24"/>
          <w:szCs w:val="24"/>
        </w:rPr>
        <w:t>.</w:t>
      </w:r>
      <w:r w:rsidRPr="00542C49">
        <w:rPr>
          <w:rFonts w:cs="Times New Roman"/>
          <w:b/>
          <w:bCs/>
          <w:i w:val="0"/>
          <w:iCs w:val="0"/>
          <w:color w:val="auto"/>
          <w:sz w:val="24"/>
          <w:szCs w:val="24"/>
        </w:rPr>
        <w:t>2</w:t>
      </w:r>
      <w:r w:rsidR="009B2CBD">
        <w:rPr>
          <w:rFonts w:cs="Times New Roman"/>
          <w:b/>
          <w:bCs/>
          <w:i w:val="0"/>
          <w:iCs w:val="0"/>
          <w:color w:val="auto"/>
          <w:sz w:val="24"/>
          <w:szCs w:val="24"/>
        </w:rPr>
        <w:t xml:space="preserve">: </w:t>
      </w:r>
      <w:r w:rsidR="00EA4CAD" w:rsidRPr="009B2CBD">
        <w:rPr>
          <w:rFonts w:cs="Times New Roman"/>
          <w:i w:val="0"/>
          <w:iCs w:val="0"/>
          <w:color w:val="auto"/>
          <w:sz w:val="24"/>
          <w:szCs w:val="24"/>
        </w:rPr>
        <w:t xml:space="preserve">Primer-sequences (provider: Eurofins Genomics) used in nested PCR targeting </w:t>
      </w:r>
      <w:proofErr w:type="spellStart"/>
      <w:r w:rsidR="00EA4CAD" w:rsidRPr="009B2CBD">
        <w:rPr>
          <w:rFonts w:cs="Times New Roman"/>
          <w:i w:val="0"/>
          <w:iCs w:val="0"/>
          <w:color w:val="auto"/>
          <w:sz w:val="24"/>
          <w:szCs w:val="24"/>
        </w:rPr>
        <w:t>rnp</w:t>
      </w:r>
      <w:proofErr w:type="spellEnd"/>
      <w:r w:rsidR="00EA4CAD" w:rsidRPr="009B2CBD">
        <w:rPr>
          <w:rFonts w:cs="Times New Roman"/>
          <w:i w:val="0"/>
          <w:iCs w:val="0"/>
          <w:color w:val="auto"/>
          <w:sz w:val="24"/>
          <w:szCs w:val="24"/>
        </w:rPr>
        <w:t xml:space="preserve"> fragment </w:t>
      </w:r>
      <w:sdt>
        <w:sdtPr>
          <w:rPr>
            <w:rFonts w:cs="Times New Roman"/>
            <w:i w:val="0"/>
            <w:iCs w:val="0"/>
            <w:color w:val="000000"/>
            <w:sz w:val="24"/>
            <w:szCs w:val="24"/>
          </w:rPr>
          <w:tag w:val="MENDELEY_CITATION_v3_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"/>
          <w:id w:val="1507793507"/>
          <w:placeholder>
            <w:docPart w:val="DefaultPlaceholder_-1854013440"/>
          </w:placeholder>
        </w:sdtPr>
        <w:sdtContent>
          <w:r w:rsidR="007A0E41" w:rsidRPr="007A0E41">
            <w:rPr>
              <w:rFonts w:cs="Times New Roman"/>
              <w:i w:val="0"/>
              <w:iCs w:val="0"/>
              <w:color w:val="000000"/>
              <w:sz w:val="24"/>
              <w:szCs w:val="24"/>
            </w:rPr>
            <w:t>(Hassall, 2020)</w:t>
          </w:r>
        </w:sdtContent>
      </w:sdt>
    </w:p>
    <w:tbl>
      <w:tblPr>
        <w:tblStyle w:val="TableGrid"/>
        <w:tblpPr w:leftFromText="180" w:rightFromText="180" w:vertAnchor="text" w:horzAnchor="margin" w:tblpY="-67"/>
        <w:tblW w:w="0" w:type="auto"/>
        <w:tblInd w:w="0" w:type="dxa"/>
        <w:tblLook w:val="04A0" w:firstRow="1" w:lastRow="0" w:firstColumn="1" w:lastColumn="0" w:noHBand="0" w:noVBand="1"/>
      </w:tblPr>
      <w:tblGrid>
        <w:gridCol w:w="3837"/>
        <w:gridCol w:w="5179"/>
      </w:tblGrid>
      <w:tr w:rsidR="00EA4CAD" w:rsidRPr="0042264C" w14:paraId="69CD1F10" w14:textId="77777777" w:rsidTr="002415A9">
        <w:tc>
          <w:tcPr>
            <w:tcW w:w="3845" w:type="dxa"/>
            <w:tcBorders>
              <w:top w:val="single" w:sz="4" w:space="0" w:color="auto"/>
              <w:left w:val="single" w:sz="4" w:space="0" w:color="auto"/>
              <w:bottom w:val="single" w:sz="4" w:space="0" w:color="auto"/>
              <w:right w:val="single" w:sz="4" w:space="0" w:color="auto"/>
            </w:tcBorders>
            <w:hideMark/>
          </w:tcPr>
          <w:p w14:paraId="02E88EFD" w14:textId="77777777" w:rsidR="00EA4CAD" w:rsidRPr="0042264C" w:rsidRDefault="00EA4CAD" w:rsidP="002415A9">
            <w:pPr>
              <w:jc w:val="center"/>
              <w:rPr>
                <w:rFonts w:cs="Times New Roman"/>
                <w:b/>
                <w:szCs w:val="24"/>
              </w:rPr>
            </w:pPr>
            <w:r w:rsidRPr="0042264C">
              <w:rPr>
                <w:rFonts w:cs="Times New Roman"/>
                <w:b/>
                <w:szCs w:val="24"/>
              </w:rPr>
              <w:t>Oligo name</w:t>
            </w:r>
          </w:p>
        </w:tc>
        <w:tc>
          <w:tcPr>
            <w:tcW w:w="5181" w:type="dxa"/>
            <w:tcBorders>
              <w:top w:val="single" w:sz="4" w:space="0" w:color="auto"/>
              <w:left w:val="single" w:sz="4" w:space="0" w:color="auto"/>
              <w:bottom w:val="single" w:sz="4" w:space="0" w:color="auto"/>
              <w:right w:val="single" w:sz="4" w:space="0" w:color="auto"/>
            </w:tcBorders>
            <w:hideMark/>
          </w:tcPr>
          <w:p w14:paraId="2EC229DF" w14:textId="77777777" w:rsidR="00EA4CAD" w:rsidRPr="0042264C" w:rsidRDefault="00EA4CAD" w:rsidP="002415A9">
            <w:pPr>
              <w:jc w:val="center"/>
              <w:rPr>
                <w:rFonts w:cs="Times New Roman"/>
                <w:b/>
                <w:szCs w:val="24"/>
              </w:rPr>
            </w:pPr>
            <w:r w:rsidRPr="0042264C">
              <w:rPr>
                <w:rFonts w:cs="Times New Roman"/>
                <w:b/>
                <w:szCs w:val="24"/>
              </w:rPr>
              <w:t>Sequence (5’ → 3’)</w:t>
            </w:r>
          </w:p>
        </w:tc>
      </w:tr>
      <w:tr w:rsidR="00EA4CAD" w:rsidRPr="0042264C" w14:paraId="4A133C18" w14:textId="77777777" w:rsidTr="002415A9">
        <w:tc>
          <w:tcPr>
            <w:tcW w:w="3845" w:type="dxa"/>
            <w:tcBorders>
              <w:top w:val="single" w:sz="4" w:space="0" w:color="auto"/>
              <w:left w:val="single" w:sz="4" w:space="0" w:color="auto"/>
              <w:bottom w:val="single" w:sz="4" w:space="0" w:color="auto"/>
              <w:right w:val="single" w:sz="4" w:space="0" w:color="auto"/>
            </w:tcBorders>
            <w:hideMark/>
          </w:tcPr>
          <w:p w14:paraId="7D2D8B7D" w14:textId="77777777" w:rsidR="00EA4CAD" w:rsidRPr="0042264C" w:rsidRDefault="00EA4CAD" w:rsidP="002415A9">
            <w:pPr>
              <w:jc w:val="center"/>
              <w:rPr>
                <w:rFonts w:cs="Times New Roman"/>
                <w:szCs w:val="24"/>
              </w:rPr>
            </w:pPr>
            <w:r w:rsidRPr="0042264C">
              <w:rPr>
                <w:rFonts w:cs="Times New Roman"/>
                <w:szCs w:val="24"/>
              </w:rPr>
              <w:t>rnpBR2</w:t>
            </w:r>
          </w:p>
        </w:tc>
        <w:tc>
          <w:tcPr>
            <w:tcW w:w="5181" w:type="dxa"/>
            <w:tcBorders>
              <w:top w:val="single" w:sz="4" w:space="0" w:color="auto"/>
              <w:left w:val="single" w:sz="4" w:space="0" w:color="auto"/>
              <w:bottom w:val="single" w:sz="4" w:space="0" w:color="auto"/>
              <w:right w:val="single" w:sz="4" w:space="0" w:color="auto"/>
            </w:tcBorders>
            <w:hideMark/>
          </w:tcPr>
          <w:p w14:paraId="574D4314" w14:textId="77777777" w:rsidR="00EA4CAD" w:rsidRPr="0042264C" w:rsidRDefault="00EA4CAD" w:rsidP="002415A9">
            <w:pPr>
              <w:jc w:val="center"/>
              <w:rPr>
                <w:rFonts w:cs="Times New Roman"/>
                <w:szCs w:val="24"/>
              </w:rPr>
            </w:pPr>
            <w:r w:rsidRPr="0042264C">
              <w:rPr>
                <w:rFonts w:eastAsia="Times New Roman" w:cs="Times New Roman"/>
                <w:szCs w:val="24"/>
              </w:rPr>
              <w:t>CACCYTTTCACCCTTACC</w:t>
            </w:r>
          </w:p>
        </w:tc>
      </w:tr>
      <w:tr w:rsidR="00EA4CAD" w:rsidRPr="0042264C" w14:paraId="40156492" w14:textId="77777777" w:rsidTr="002415A9">
        <w:tc>
          <w:tcPr>
            <w:tcW w:w="3845" w:type="dxa"/>
            <w:tcBorders>
              <w:top w:val="single" w:sz="4" w:space="0" w:color="auto"/>
              <w:left w:val="single" w:sz="4" w:space="0" w:color="auto"/>
              <w:bottom w:val="single" w:sz="4" w:space="0" w:color="auto"/>
              <w:right w:val="single" w:sz="4" w:space="0" w:color="auto"/>
            </w:tcBorders>
            <w:hideMark/>
          </w:tcPr>
          <w:p w14:paraId="5EF538C9" w14:textId="77777777" w:rsidR="00EA4CAD" w:rsidRPr="0042264C" w:rsidRDefault="00EA4CAD" w:rsidP="002415A9">
            <w:pPr>
              <w:jc w:val="center"/>
              <w:rPr>
                <w:rFonts w:cs="Times New Roman"/>
                <w:szCs w:val="24"/>
              </w:rPr>
            </w:pPr>
            <w:r w:rsidRPr="0042264C">
              <w:rPr>
                <w:rFonts w:cs="Times New Roman"/>
                <w:szCs w:val="24"/>
              </w:rPr>
              <w:t>rnpBF2</w:t>
            </w:r>
          </w:p>
        </w:tc>
        <w:tc>
          <w:tcPr>
            <w:tcW w:w="5181" w:type="dxa"/>
            <w:tcBorders>
              <w:top w:val="single" w:sz="4" w:space="0" w:color="auto"/>
              <w:left w:val="single" w:sz="4" w:space="0" w:color="auto"/>
              <w:bottom w:val="single" w:sz="4" w:space="0" w:color="auto"/>
              <w:right w:val="single" w:sz="4" w:space="0" w:color="auto"/>
            </w:tcBorders>
            <w:hideMark/>
          </w:tcPr>
          <w:p w14:paraId="00906F95" w14:textId="77777777" w:rsidR="00EA4CAD" w:rsidRPr="0042264C" w:rsidRDefault="00EA4CAD" w:rsidP="002415A9">
            <w:pPr>
              <w:jc w:val="center"/>
              <w:rPr>
                <w:rFonts w:cs="Times New Roman"/>
                <w:szCs w:val="24"/>
              </w:rPr>
            </w:pPr>
            <w:r w:rsidRPr="0042264C">
              <w:rPr>
                <w:rFonts w:eastAsia="Times New Roman" w:cs="Times New Roman"/>
                <w:szCs w:val="24"/>
              </w:rPr>
              <w:t>AGGAAAGTCCGGGCTC</w:t>
            </w:r>
          </w:p>
        </w:tc>
      </w:tr>
      <w:tr w:rsidR="00EA4CAD" w:rsidRPr="0042264C" w14:paraId="0BBCD198" w14:textId="77777777" w:rsidTr="002415A9">
        <w:tc>
          <w:tcPr>
            <w:tcW w:w="3845" w:type="dxa"/>
            <w:tcBorders>
              <w:top w:val="single" w:sz="4" w:space="0" w:color="auto"/>
              <w:left w:val="single" w:sz="4" w:space="0" w:color="auto"/>
              <w:bottom w:val="single" w:sz="4" w:space="0" w:color="auto"/>
              <w:right w:val="single" w:sz="4" w:space="0" w:color="auto"/>
            </w:tcBorders>
            <w:hideMark/>
          </w:tcPr>
          <w:p w14:paraId="0FC00CC9" w14:textId="77777777" w:rsidR="00EA4CAD" w:rsidRPr="0042264C" w:rsidRDefault="00EA4CAD" w:rsidP="002415A9">
            <w:pPr>
              <w:jc w:val="center"/>
              <w:rPr>
                <w:rFonts w:cs="Times New Roman"/>
                <w:szCs w:val="24"/>
              </w:rPr>
            </w:pPr>
            <w:r w:rsidRPr="0042264C">
              <w:rPr>
                <w:rFonts w:cs="Times New Roman"/>
                <w:szCs w:val="24"/>
              </w:rPr>
              <w:t>Dual-labelled probe</w:t>
            </w:r>
          </w:p>
          <w:p w14:paraId="55B72E7F" w14:textId="77777777" w:rsidR="00EA4CAD" w:rsidRPr="0042264C" w:rsidRDefault="00EA4CAD" w:rsidP="002415A9">
            <w:pPr>
              <w:jc w:val="center"/>
              <w:rPr>
                <w:rFonts w:cs="Times New Roman"/>
                <w:szCs w:val="24"/>
              </w:rPr>
            </w:pPr>
            <w:r w:rsidRPr="0042264C">
              <w:rPr>
                <w:rFonts w:cs="Times New Roman"/>
                <w:szCs w:val="24"/>
              </w:rPr>
              <w:t xml:space="preserve"> (5’- FAM, 3’-TAMRA)</w:t>
            </w:r>
          </w:p>
        </w:tc>
        <w:tc>
          <w:tcPr>
            <w:tcW w:w="5181" w:type="dxa"/>
            <w:tcBorders>
              <w:top w:val="single" w:sz="4" w:space="0" w:color="auto"/>
              <w:left w:val="single" w:sz="4" w:space="0" w:color="auto"/>
              <w:bottom w:val="single" w:sz="4" w:space="0" w:color="auto"/>
              <w:right w:val="single" w:sz="4" w:space="0" w:color="auto"/>
            </w:tcBorders>
            <w:vAlign w:val="bottom"/>
            <w:hideMark/>
          </w:tcPr>
          <w:p w14:paraId="6F7F8FCE" w14:textId="77777777" w:rsidR="00EA4CAD" w:rsidRPr="0042264C" w:rsidRDefault="00EA4CAD" w:rsidP="002415A9">
            <w:pPr>
              <w:jc w:val="center"/>
              <w:rPr>
                <w:rFonts w:cs="Times New Roman"/>
                <w:szCs w:val="24"/>
              </w:rPr>
            </w:pPr>
            <w:r w:rsidRPr="0042264C">
              <w:rPr>
                <w:rFonts w:eastAsia="Times New Roman" w:cs="Times New Roman"/>
                <w:szCs w:val="24"/>
              </w:rPr>
              <w:t>ACCCTAGGGAAAGTCCCACAGAAAG</w:t>
            </w:r>
          </w:p>
        </w:tc>
      </w:tr>
    </w:tbl>
    <w:p w14:paraId="2EFD9F31" w14:textId="1C83FAB1" w:rsidR="006413E1" w:rsidRDefault="006413E1"/>
    <w:p w14:paraId="0E350C3B" w14:textId="67471CB5" w:rsidR="00746EF1" w:rsidRDefault="00746EF1">
      <w:pPr>
        <w:rPr>
          <w:b/>
          <w:bCs/>
        </w:rPr>
      </w:pPr>
      <w:r w:rsidRPr="00746EF1">
        <w:rPr>
          <w:b/>
          <w:bCs/>
        </w:rPr>
        <w:t>S2.3</w:t>
      </w:r>
      <w:r>
        <w:rPr>
          <w:b/>
          <w:bCs/>
        </w:rPr>
        <w:t xml:space="preserve"> A worked example </w:t>
      </w:r>
      <w:r w:rsidR="008D1915">
        <w:rPr>
          <w:b/>
          <w:bCs/>
        </w:rPr>
        <w:t xml:space="preserve">of </w:t>
      </w:r>
      <w:r w:rsidR="00DC795C">
        <w:rPr>
          <w:b/>
          <w:bCs/>
        </w:rPr>
        <w:t>calculating</w:t>
      </w:r>
      <w:r w:rsidR="008D1915">
        <w:rPr>
          <w:b/>
          <w:bCs/>
        </w:rPr>
        <w:t xml:space="preserve"> </w:t>
      </w:r>
      <w:r w:rsidR="00EC09E1">
        <w:rPr>
          <w:b/>
          <w:bCs/>
        </w:rPr>
        <w:t xml:space="preserve">the </w:t>
      </w:r>
      <w:r w:rsidR="00DC795C">
        <w:rPr>
          <w:b/>
          <w:bCs/>
        </w:rPr>
        <w:t xml:space="preserve">expected parasite colonisation rate in </w:t>
      </w:r>
      <w:r w:rsidR="00665307">
        <w:rPr>
          <w:b/>
          <w:bCs/>
        </w:rPr>
        <w:t>newly colonised subpopulations.</w:t>
      </w:r>
    </w:p>
    <w:p w14:paraId="68C71A6F" w14:textId="66D193D5" w:rsidR="00665307" w:rsidRDefault="00EC09E1">
      <w:r>
        <w:t>The e</w:t>
      </w:r>
      <w:r w:rsidR="00133696">
        <w:t xml:space="preserve">xpected colonisation rate in newly colonised subpopulations was calculated </w:t>
      </w:r>
      <w:r w:rsidR="004605A2">
        <w:t>with the assumption that each subpopulation requires two new founders (usually one male, one female) to become established</w:t>
      </w:r>
      <w:r w:rsidR="00A318E1">
        <w:t xml:space="preserve">: </w:t>
      </w:r>
    </w:p>
    <w:p w14:paraId="072A33CD" w14:textId="77777777" w:rsidR="00A318E1" w:rsidRPr="003615A1" w:rsidRDefault="00A318E1" w:rsidP="00A318E1">
      <w:pPr>
        <w:rPr>
          <w:rFonts w:eastAsiaTheme="minorEastAsia"/>
        </w:rPr>
      </w:pPr>
      <m:oMathPara>
        <m:oMath>
          <m:r>
            <m:rPr>
              <m:sty m:val="p"/>
            </m:rPr>
            <w:rPr>
              <w:rFonts w:ascii="Cambria Math" w:eastAsiaTheme="minorEastAsia" w:hAnsi="Cambria Math"/>
            </w:rPr>
            <m:t>Pr(X|p)</m:t>
          </m:r>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1-p</m:t>
                  </m:r>
                </m:e>
              </m:d>
            </m:e>
            <m:sup>
              <m:r>
                <w:rPr>
                  <w:rFonts w:ascii="Cambria Math" w:eastAsiaTheme="minorEastAsia" w:hAnsi="Cambria Math"/>
                </w:rPr>
                <m:t>2</m:t>
              </m:r>
            </m:sup>
          </m:sSup>
        </m:oMath>
      </m:oMathPara>
    </w:p>
    <w:p w14:paraId="6B535D78" w14:textId="73D7191D" w:rsidR="00A318E1" w:rsidRDefault="00A318E1" w:rsidP="00A318E1">
      <w:pPr>
        <w:rPr>
          <w:rFonts w:eastAsiaTheme="minorEastAsia"/>
        </w:rPr>
      </w:pPr>
      <w:r>
        <w:rPr>
          <w:rFonts w:eastAsiaTheme="minorEastAsia"/>
        </w:rPr>
        <w:t xml:space="preserve">Where </w:t>
      </w:r>
      <w:r w:rsidRPr="00D94B7D">
        <w:rPr>
          <w:rFonts w:eastAsiaTheme="minorEastAsia"/>
          <w:i/>
          <w:iCs/>
        </w:rPr>
        <w:t>p</w:t>
      </w:r>
      <w:r>
        <w:rPr>
          <w:rFonts w:eastAsiaTheme="minorEastAsia"/>
        </w:rPr>
        <w:t xml:space="preserve"> is the parasite prevalence each year and </w:t>
      </w:r>
      <w:proofErr w:type="spellStart"/>
      <w:r>
        <w:rPr>
          <w:rFonts w:eastAsiaTheme="minorEastAsia"/>
        </w:rPr>
        <w:t>Pr</w:t>
      </w:r>
      <w:proofErr w:type="spellEnd"/>
      <w:r>
        <w:rPr>
          <w:rFonts w:eastAsiaTheme="minorEastAsia"/>
        </w:rPr>
        <w:t>(</w:t>
      </w:r>
      <w:proofErr w:type="spellStart"/>
      <w:r>
        <w:rPr>
          <w:rFonts w:eastAsiaTheme="minorEastAsia"/>
        </w:rPr>
        <w:t>X|</w:t>
      </w:r>
      <w:r>
        <w:rPr>
          <w:rFonts w:eastAsiaTheme="minorEastAsia"/>
          <w:i/>
          <w:iCs/>
        </w:rPr>
        <w:t>p</w:t>
      </w:r>
      <w:proofErr w:type="spellEnd"/>
      <w:r>
        <w:rPr>
          <w:rFonts w:eastAsiaTheme="minorEastAsia"/>
        </w:rPr>
        <w:t xml:space="preserve">) is the probability that at least one of the founders is infected with the parasite. </w:t>
      </w:r>
      <w:r w:rsidR="00F526BB">
        <w:rPr>
          <w:rFonts w:eastAsiaTheme="minorEastAsia"/>
        </w:rPr>
        <w:t xml:space="preserve">For example, </w:t>
      </w:r>
      <w:r w:rsidR="00942123" w:rsidRPr="00942123">
        <w:rPr>
          <w:rFonts w:eastAsiaTheme="minorEastAsia"/>
          <w:i/>
          <w:iCs/>
        </w:rPr>
        <w:t>I. trianguliceps</w:t>
      </w:r>
      <w:r w:rsidR="00942123">
        <w:rPr>
          <w:rFonts w:eastAsiaTheme="minorEastAsia"/>
        </w:rPr>
        <w:t xml:space="preserve"> </w:t>
      </w:r>
      <w:r w:rsidR="00375D2C">
        <w:rPr>
          <w:rFonts w:eastAsiaTheme="minorEastAsia"/>
        </w:rPr>
        <w:t xml:space="preserve">prevalence </w:t>
      </w:r>
      <w:r w:rsidR="00942123">
        <w:rPr>
          <w:rFonts w:eastAsiaTheme="minorEastAsia"/>
        </w:rPr>
        <w:t xml:space="preserve">was </w:t>
      </w:r>
      <w:r w:rsidR="001B7F1B">
        <w:rPr>
          <w:rFonts w:eastAsiaTheme="minorEastAsia"/>
        </w:rPr>
        <w:t xml:space="preserve">0.07 across the metapopulation in 2012. </w:t>
      </w:r>
    </w:p>
    <w:p w14:paraId="6B80B993" w14:textId="2522C821" w:rsidR="001B7F1B" w:rsidRPr="003615A1" w:rsidRDefault="00BA7D3B" w:rsidP="001B7F1B">
      <w:pPr>
        <w:rPr>
          <w:rFonts w:eastAsiaTheme="minorEastAsia"/>
        </w:rPr>
      </w:pPr>
      <m:oMathPara>
        <m:oMath>
          <m:r>
            <m:rPr>
              <m:sty m:val="p"/>
            </m:rPr>
            <w:rPr>
              <w:rFonts w:ascii="Cambria Math" w:eastAsiaTheme="minorEastAsia" w:hAnsi="Cambria Math"/>
            </w:rPr>
            <m:t>Pr</m:t>
          </m:r>
          <m:d>
            <m:dPr>
              <m:ctrlPr>
                <w:rPr>
                  <w:rFonts w:ascii="Cambria Math" w:eastAsiaTheme="minorEastAsia" w:hAnsi="Cambria Math"/>
                </w:rPr>
              </m:ctrlPr>
            </m:dPr>
            <m:e>
              <m:r>
                <m:rPr>
                  <m:sty m:val="p"/>
                </m:rPr>
                <w:rPr>
                  <w:rFonts w:ascii="Cambria Math" w:eastAsiaTheme="minorEastAsia" w:hAnsi="Cambria Math"/>
                </w:rPr>
                <m:t>X</m:t>
              </m:r>
            </m:e>
            <m:e>
              <m:r>
                <m:rPr>
                  <m:sty m:val="p"/>
                </m:rPr>
                <w:rPr>
                  <w:rFonts w:ascii="Cambria Math" w:eastAsiaTheme="minorEastAsia" w:hAnsi="Cambria Math"/>
                </w:rPr>
                <m:t>0.07</m:t>
              </m:r>
            </m:e>
          </m:d>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1-0.07</m:t>
                  </m:r>
                </m:e>
              </m:d>
            </m:e>
            <m:sup>
              <m:r>
                <w:rPr>
                  <w:rFonts w:ascii="Cambria Math" w:eastAsiaTheme="minorEastAsia" w:hAnsi="Cambria Math"/>
                </w:rPr>
                <m:t>2</m:t>
              </m:r>
            </m:sup>
          </m:sSup>
          <m:r>
            <w:rPr>
              <w:rFonts w:ascii="Cambria Math" w:eastAsiaTheme="minorEastAsia" w:hAnsi="Cambria Math"/>
            </w:rPr>
            <m:t>=0.1351</m:t>
          </m:r>
        </m:oMath>
      </m:oMathPara>
    </w:p>
    <w:p w14:paraId="1DEB5038" w14:textId="4D2E84BB" w:rsidR="001B7F1B" w:rsidRDefault="00E027D8" w:rsidP="00A318E1">
      <w:pPr>
        <w:rPr>
          <w:rFonts w:eastAsiaTheme="minorEastAsia"/>
        </w:rPr>
      </w:pPr>
      <w:r>
        <w:rPr>
          <w:rFonts w:eastAsiaTheme="minorEastAsia"/>
        </w:rPr>
        <w:t xml:space="preserve">Therefore, the expected </w:t>
      </w:r>
      <w:r w:rsidR="00130B84">
        <w:rPr>
          <w:rFonts w:eastAsiaTheme="minorEastAsia"/>
        </w:rPr>
        <w:t>colonisation rate of a new subpopulation with two new founders was approximately 0.1</w:t>
      </w:r>
      <w:r w:rsidR="000B42FC">
        <w:rPr>
          <w:rFonts w:eastAsiaTheme="minorEastAsia"/>
        </w:rPr>
        <w:t>35</w:t>
      </w:r>
      <w:r w:rsidR="00130B84">
        <w:rPr>
          <w:rFonts w:eastAsiaTheme="minorEastAsia"/>
        </w:rPr>
        <w:t xml:space="preserve">. </w:t>
      </w:r>
      <w:r w:rsidR="009F61FA">
        <w:rPr>
          <w:rFonts w:eastAsiaTheme="minorEastAsia"/>
        </w:rPr>
        <w:t xml:space="preserve">the table below calculated </w:t>
      </w:r>
      <w:r w:rsidR="00EC09E1">
        <w:rPr>
          <w:rFonts w:eastAsiaTheme="minorEastAsia"/>
        </w:rPr>
        <w:t xml:space="preserve">the </w:t>
      </w:r>
      <w:r w:rsidR="009F61FA" w:rsidRPr="00EC09E1">
        <w:rPr>
          <w:rFonts w:eastAsiaTheme="minorEastAsia"/>
          <w:i/>
          <w:iCs/>
        </w:rPr>
        <w:t xml:space="preserve">I. trianguliceps </w:t>
      </w:r>
      <w:r w:rsidR="009F61FA">
        <w:rPr>
          <w:rFonts w:eastAsiaTheme="minorEastAsia"/>
        </w:rPr>
        <w:t>expected colonisation rate each year</w:t>
      </w:r>
      <w:r w:rsidR="00367102">
        <w:rPr>
          <w:rFonts w:eastAsiaTheme="minorEastAsia"/>
        </w:rPr>
        <w:t>:</w:t>
      </w:r>
    </w:p>
    <w:tbl>
      <w:tblPr>
        <w:tblStyle w:val="TableGrid"/>
        <w:tblW w:w="7969" w:type="dxa"/>
        <w:jc w:val="center"/>
        <w:tblInd w:w="0" w:type="dxa"/>
        <w:tblLook w:val="04A0" w:firstRow="1" w:lastRow="0" w:firstColumn="1" w:lastColumn="0" w:noHBand="0" w:noVBand="1"/>
      </w:tblPr>
      <w:tblGrid>
        <w:gridCol w:w="1619"/>
        <w:gridCol w:w="2044"/>
        <w:gridCol w:w="4306"/>
      </w:tblGrid>
      <w:tr w:rsidR="004C5787" w:rsidRPr="0081302B" w14:paraId="746E1562" w14:textId="77777777" w:rsidTr="00256CDB">
        <w:trPr>
          <w:cantSplit/>
          <w:trHeight w:val="58"/>
          <w:jc w:val="center"/>
        </w:trPr>
        <w:tc>
          <w:tcPr>
            <w:tcW w:w="1619" w:type="dxa"/>
            <w:vAlign w:val="center"/>
          </w:tcPr>
          <w:p w14:paraId="5298C605" w14:textId="2B73921A" w:rsidR="004C5787" w:rsidRPr="0081302B" w:rsidRDefault="004C5787" w:rsidP="00256CDB">
            <w:pPr>
              <w:jc w:val="center"/>
              <w:rPr>
                <w:rFonts w:eastAsiaTheme="minorEastAsia" w:cs="Times New Roman"/>
                <w:b/>
                <w:bCs/>
                <w:szCs w:val="24"/>
              </w:rPr>
            </w:pPr>
            <w:r w:rsidRPr="0081302B">
              <w:rPr>
                <w:rFonts w:eastAsiaTheme="minorEastAsia" w:cs="Times New Roman"/>
                <w:b/>
                <w:bCs/>
                <w:szCs w:val="24"/>
              </w:rPr>
              <w:t>Year</w:t>
            </w:r>
          </w:p>
        </w:tc>
        <w:tc>
          <w:tcPr>
            <w:tcW w:w="2044" w:type="dxa"/>
            <w:vAlign w:val="center"/>
          </w:tcPr>
          <w:p w14:paraId="49F19C7C" w14:textId="1C81646A" w:rsidR="004C5787" w:rsidRPr="0081302B" w:rsidRDefault="004C5787" w:rsidP="00256CDB">
            <w:pPr>
              <w:jc w:val="center"/>
              <w:rPr>
                <w:rFonts w:eastAsiaTheme="minorEastAsia" w:cs="Times New Roman"/>
                <w:b/>
                <w:bCs/>
                <w:szCs w:val="24"/>
              </w:rPr>
            </w:pPr>
            <w:r w:rsidRPr="0081302B">
              <w:rPr>
                <w:rFonts w:eastAsiaTheme="minorEastAsia" w:cs="Times New Roman"/>
                <w:b/>
                <w:bCs/>
                <w:szCs w:val="24"/>
              </w:rPr>
              <w:t>Prevalence (p)</w:t>
            </w:r>
          </w:p>
        </w:tc>
        <w:tc>
          <w:tcPr>
            <w:tcW w:w="4306" w:type="dxa"/>
            <w:vAlign w:val="center"/>
          </w:tcPr>
          <w:p w14:paraId="550D25C0" w14:textId="285EFE1C" w:rsidR="004C5787" w:rsidRPr="0081302B" w:rsidRDefault="004C5787" w:rsidP="00256CDB">
            <w:pPr>
              <w:jc w:val="center"/>
              <w:rPr>
                <w:rFonts w:eastAsiaTheme="minorEastAsia" w:cs="Times New Roman"/>
                <w:b/>
                <w:bCs/>
                <w:szCs w:val="24"/>
              </w:rPr>
            </w:pPr>
            <w:r w:rsidRPr="0081302B">
              <w:rPr>
                <w:rFonts w:eastAsiaTheme="minorEastAsia" w:cs="Times New Roman"/>
                <w:b/>
                <w:bCs/>
                <w:szCs w:val="24"/>
              </w:rPr>
              <w:t xml:space="preserve">Expected colonization </w:t>
            </w:r>
            <w:r w:rsidR="000719E1" w:rsidRPr="0081302B">
              <w:rPr>
                <w:rFonts w:eastAsiaTheme="minorEastAsia" w:cs="Times New Roman"/>
                <w:b/>
                <w:bCs/>
                <w:szCs w:val="24"/>
              </w:rPr>
              <w:t>rate (</w:t>
            </w:r>
            <m:oMath>
              <m:r>
                <m:rPr>
                  <m:sty m:val="b"/>
                </m:rPr>
                <w:rPr>
                  <w:rFonts w:ascii="Cambria Math" w:eastAsiaTheme="minorEastAsia" w:hAnsi="Cambria Math" w:cs="Times New Roman"/>
                  <w:szCs w:val="24"/>
                </w:rPr>
                <m:t>Pr</m:t>
              </m:r>
              <m:d>
                <m:dPr>
                  <m:ctrlPr>
                    <w:rPr>
                      <w:rFonts w:ascii="Cambria Math" w:eastAsiaTheme="minorEastAsia" w:hAnsi="Cambria Math" w:cs="Times New Roman"/>
                      <w:b/>
                      <w:bCs/>
                      <w:szCs w:val="24"/>
                    </w:rPr>
                  </m:ctrlPr>
                </m:dPr>
                <m:e>
                  <m:r>
                    <m:rPr>
                      <m:sty m:val="b"/>
                    </m:rPr>
                    <w:rPr>
                      <w:rFonts w:ascii="Cambria Math" w:eastAsiaTheme="minorEastAsia" w:hAnsi="Cambria Math" w:cs="Times New Roman"/>
                      <w:szCs w:val="24"/>
                    </w:rPr>
                    <m:t>X</m:t>
                  </m:r>
                </m:e>
                <m:e>
                  <m:r>
                    <m:rPr>
                      <m:sty m:val="b"/>
                    </m:rPr>
                    <w:rPr>
                      <w:rFonts w:ascii="Cambria Math" w:eastAsiaTheme="minorEastAsia" w:hAnsi="Cambria Math" w:cs="Times New Roman"/>
                      <w:szCs w:val="24"/>
                    </w:rPr>
                    <m:t>p</m:t>
                  </m:r>
                </m:e>
              </m:d>
            </m:oMath>
          </w:p>
        </w:tc>
      </w:tr>
      <w:tr w:rsidR="0081302B" w:rsidRPr="0081302B" w14:paraId="01FF4660" w14:textId="77777777" w:rsidTr="00256CDB">
        <w:trPr>
          <w:cantSplit/>
          <w:trHeight w:val="315"/>
          <w:jc w:val="center"/>
        </w:trPr>
        <w:tc>
          <w:tcPr>
            <w:tcW w:w="1619" w:type="dxa"/>
            <w:vAlign w:val="center"/>
          </w:tcPr>
          <w:p w14:paraId="3E373A40" w14:textId="493E0456" w:rsidR="0081302B" w:rsidRPr="0081302B" w:rsidRDefault="0081302B" w:rsidP="00256CDB">
            <w:pPr>
              <w:jc w:val="center"/>
              <w:rPr>
                <w:rFonts w:eastAsiaTheme="minorEastAsia" w:cs="Times New Roman"/>
                <w:szCs w:val="24"/>
              </w:rPr>
            </w:pPr>
            <w:r w:rsidRPr="0081302B">
              <w:rPr>
                <w:rFonts w:cs="Times New Roman"/>
                <w:color w:val="000000"/>
                <w:szCs w:val="24"/>
              </w:rPr>
              <w:t>2012</w:t>
            </w:r>
          </w:p>
        </w:tc>
        <w:tc>
          <w:tcPr>
            <w:tcW w:w="2044" w:type="dxa"/>
            <w:vAlign w:val="center"/>
          </w:tcPr>
          <w:p w14:paraId="67C28795" w14:textId="26E8F60C" w:rsidR="0081302B" w:rsidRPr="0081302B" w:rsidRDefault="0081302B" w:rsidP="00256CDB">
            <w:pPr>
              <w:jc w:val="center"/>
              <w:rPr>
                <w:rFonts w:eastAsiaTheme="minorEastAsia" w:cs="Times New Roman"/>
                <w:szCs w:val="24"/>
              </w:rPr>
            </w:pPr>
            <w:r w:rsidRPr="0081302B">
              <w:rPr>
                <w:rFonts w:cs="Times New Roman"/>
                <w:color w:val="000000"/>
                <w:szCs w:val="24"/>
              </w:rPr>
              <w:t>0.07</w:t>
            </w:r>
          </w:p>
        </w:tc>
        <w:tc>
          <w:tcPr>
            <w:tcW w:w="4306" w:type="dxa"/>
            <w:vAlign w:val="center"/>
          </w:tcPr>
          <w:p w14:paraId="2CD85345" w14:textId="42C9D97D" w:rsidR="0081302B" w:rsidRPr="0081302B" w:rsidRDefault="0081302B" w:rsidP="00256CDB">
            <w:pPr>
              <w:jc w:val="center"/>
              <w:rPr>
                <w:rFonts w:eastAsiaTheme="minorEastAsia" w:cs="Times New Roman"/>
                <w:szCs w:val="24"/>
              </w:rPr>
            </w:pPr>
            <w:r w:rsidRPr="0081302B">
              <w:rPr>
                <w:rFonts w:cs="Times New Roman"/>
                <w:color w:val="000000"/>
                <w:szCs w:val="24"/>
              </w:rPr>
              <w:t>0.14</w:t>
            </w:r>
          </w:p>
        </w:tc>
      </w:tr>
      <w:tr w:rsidR="0081302B" w:rsidRPr="0081302B" w14:paraId="2397070F" w14:textId="77777777" w:rsidTr="00256CDB">
        <w:trPr>
          <w:cantSplit/>
          <w:trHeight w:val="58"/>
          <w:jc w:val="center"/>
        </w:trPr>
        <w:tc>
          <w:tcPr>
            <w:tcW w:w="1619" w:type="dxa"/>
            <w:vAlign w:val="center"/>
          </w:tcPr>
          <w:p w14:paraId="393B8F37" w14:textId="6B393F17" w:rsidR="0081302B" w:rsidRPr="0081302B" w:rsidRDefault="0081302B" w:rsidP="00256CDB">
            <w:pPr>
              <w:jc w:val="center"/>
              <w:rPr>
                <w:rFonts w:eastAsiaTheme="minorEastAsia" w:cs="Times New Roman"/>
                <w:szCs w:val="24"/>
              </w:rPr>
            </w:pPr>
            <w:r w:rsidRPr="0081302B">
              <w:rPr>
                <w:rFonts w:cs="Times New Roman"/>
                <w:color w:val="000000"/>
                <w:szCs w:val="24"/>
              </w:rPr>
              <w:t>2013</w:t>
            </w:r>
          </w:p>
        </w:tc>
        <w:tc>
          <w:tcPr>
            <w:tcW w:w="2044" w:type="dxa"/>
            <w:vAlign w:val="center"/>
          </w:tcPr>
          <w:p w14:paraId="3CF20F9E" w14:textId="5233E10E" w:rsidR="0081302B" w:rsidRPr="0081302B" w:rsidRDefault="0081302B" w:rsidP="00256CDB">
            <w:pPr>
              <w:jc w:val="center"/>
              <w:rPr>
                <w:rFonts w:eastAsiaTheme="minorEastAsia" w:cs="Times New Roman"/>
                <w:szCs w:val="24"/>
              </w:rPr>
            </w:pPr>
            <w:r w:rsidRPr="0081302B">
              <w:rPr>
                <w:rFonts w:cs="Times New Roman"/>
                <w:color w:val="000000"/>
                <w:szCs w:val="24"/>
              </w:rPr>
              <w:t>0.15</w:t>
            </w:r>
          </w:p>
        </w:tc>
        <w:tc>
          <w:tcPr>
            <w:tcW w:w="4306" w:type="dxa"/>
            <w:vAlign w:val="center"/>
          </w:tcPr>
          <w:p w14:paraId="2D4DFAB0" w14:textId="54A97676" w:rsidR="0081302B" w:rsidRPr="0081302B" w:rsidRDefault="0081302B" w:rsidP="00256CDB">
            <w:pPr>
              <w:jc w:val="center"/>
              <w:rPr>
                <w:rFonts w:eastAsiaTheme="minorEastAsia" w:cs="Times New Roman"/>
                <w:szCs w:val="24"/>
              </w:rPr>
            </w:pPr>
            <w:r w:rsidRPr="0081302B">
              <w:rPr>
                <w:rFonts w:cs="Times New Roman"/>
                <w:color w:val="000000"/>
                <w:szCs w:val="24"/>
              </w:rPr>
              <w:t>0.28</w:t>
            </w:r>
          </w:p>
        </w:tc>
      </w:tr>
      <w:tr w:rsidR="0081302B" w:rsidRPr="0081302B" w14:paraId="5732BCA8" w14:textId="77777777" w:rsidTr="00256CDB">
        <w:trPr>
          <w:cantSplit/>
          <w:trHeight w:val="58"/>
          <w:jc w:val="center"/>
        </w:trPr>
        <w:tc>
          <w:tcPr>
            <w:tcW w:w="1619" w:type="dxa"/>
            <w:vAlign w:val="center"/>
          </w:tcPr>
          <w:p w14:paraId="73F68B1C" w14:textId="0E364C1F" w:rsidR="0081302B" w:rsidRPr="0081302B" w:rsidRDefault="0081302B" w:rsidP="00256CDB">
            <w:pPr>
              <w:jc w:val="center"/>
              <w:rPr>
                <w:rFonts w:eastAsiaTheme="minorEastAsia" w:cs="Times New Roman"/>
                <w:szCs w:val="24"/>
              </w:rPr>
            </w:pPr>
            <w:r w:rsidRPr="0081302B">
              <w:rPr>
                <w:rFonts w:cs="Times New Roman"/>
                <w:color w:val="000000"/>
                <w:szCs w:val="24"/>
              </w:rPr>
              <w:t>2014</w:t>
            </w:r>
          </w:p>
        </w:tc>
        <w:tc>
          <w:tcPr>
            <w:tcW w:w="2044" w:type="dxa"/>
            <w:vAlign w:val="center"/>
          </w:tcPr>
          <w:p w14:paraId="5443A802" w14:textId="2B4DC6DB" w:rsidR="0081302B" w:rsidRPr="0081302B" w:rsidRDefault="0081302B" w:rsidP="00256CDB">
            <w:pPr>
              <w:jc w:val="center"/>
              <w:rPr>
                <w:rFonts w:eastAsiaTheme="minorEastAsia" w:cs="Times New Roman"/>
                <w:szCs w:val="24"/>
              </w:rPr>
            </w:pPr>
            <w:r w:rsidRPr="0081302B">
              <w:rPr>
                <w:rFonts w:cs="Times New Roman"/>
                <w:color w:val="000000"/>
                <w:szCs w:val="24"/>
              </w:rPr>
              <w:t>0.1</w:t>
            </w:r>
          </w:p>
        </w:tc>
        <w:tc>
          <w:tcPr>
            <w:tcW w:w="4306" w:type="dxa"/>
            <w:vAlign w:val="center"/>
          </w:tcPr>
          <w:p w14:paraId="429131DD" w14:textId="043275D8" w:rsidR="0081302B" w:rsidRPr="0081302B" w:rsidRDefault="0081302B" w:rsidP="00256CDB">
            <w:pPr>
              <w:jc w:val="center"/>
              <w:rPr>
                <w:rFonts w:eastAsiaTheme="minorEastAsia" w:cs="Times New Roman"/>
                <w:szCs w:val="24"/>
              </w:rPr>
            </w:pPr>
            <w:r w:rsidRPr="0081302B">
              <w:rPr>
                <w:rFonts w:cs="Times New Roman"/>
                <w:color w:val="000000"/>
                <w:szCs w:val="24"/>
              </w:rPr>
              <w:t>0.19</w:t>
            </w:r>
          </w:p>
        </w:tc>
      </w:tr>
      <w:tr w:rsidR="0081302B" w:rsidRPr="0081302B" w14:paraId="05180D21" w14:textId="77777777" w:rsidTr="00256CDB">
        <w:trPr>
          <w:cantSplit/>
          <w:trHeight w:val="58"/>
          <w:jc w:val="center"/>
        </w:trPr>
        <w:tc>
          <w:tcPr>
            <w:tcW w:w="1619" w:type="dxa"/>
            <w:vAlign w:val="center"/>
          </w:tcPr>
          <w:p w14:paraId="507C5CE9" w14:textId="5412F0FD" w:rsidR="0081302B" w:rsidRPr="0081302B" w:rsidRDefault="0081302B" w:rsidP="00256CDB">
            <w:pPr>
              <w:jc w:val="center"/>
              <w:rPr>
                <w:rFonts w:eastAsiaTheme="minorEastAsia" w:cs="Times New Roman"/>
                <w:szCs w:val="24"/>
              </w:rPr>
            </w:pPr>
            <w:r w:rsidRPr="0081302B">
              <w:rPr>
                <w:rFonts w:cs="Times New Roman"/>
                <w:color w:val="000000"/>
                <w:szCs w:val="24"/>
              </w:rPr>
              <w:t>2015</w:t>
            </w:r>
          </w:p>
        </w:tc>
        <w:tc>
          <w:tcPr>
            <w:tcW w:w="2044" w:type="dxa"/>
            <w:vAlign w:val="center"/>
          </w:tcPr>
          <w:p w14:paraId="4E05355A" w14:textId="61D28132" w:rsidR="0081302B" w:rsidRPr="0081302B" w:rsidRDefault="0081302B" w:rsidP="00256CDB">
            <w:pPr>
              <w:jc w:val="center"/>
              <w:rPr>
                <w:rFonts w:eastAsiaTheme="minorEastAsia" w:cs="Times New Roman"/>
                <w:szCs w:val="24"/>
              </w:rPr>
            </w:pPr>
            <w:r w:rsidRPr="0081302B">
              <w:rPr>
                <w:rFonts w:cs="Times New Roman"/>
                <w:color w:val="000000"/>
                <w:szCs w:val="24"/>
              </w:rPr>
              <w:t>0.05</w:t>
            </w:r>
          </w:p>
        </w:tc>
        <w:tc>
          <w:tcPr>
            <w:tcW w:w="4306" w:type="dxa"/>
            <w:vAlign w:val="center"/>
          </w:tcPr>
          <w:p w14:paraId="38DCAE50" w14:textId="1EDFA54E" w:rsidR="0081302B" w:rsidRPr="0081302B" w:rsidRDefault="0081302B" w:rsidP="00256CDB">
            <w:pPr>
              <w:jc w:val="center"/>
              <w:rPr>
                <w:rFonts w:eastAsiaTheme="minorEastAsia" w:cs="Times New Roman"/>
                <w:szCs w:val="24"/>
              </w:rPr>
            </w:pPr>
            <w:r w:rsidRPr="0081302B">
              <w:rPr>
                <w:rFonts w:cs="Times New Roman"/>
                <w:color w:val="000000"/>
                <w:szCs w:val="24"/>
              </w:rPr>
              <w:t>0.10</w:t>
            </w:r>
          </w:p>
        </w:tc>
      </w:tr>
      <w:tr w:rsidR="0081302B" w:rsidRPr="0081302B" w14:paraId="426A4E65" w14:textId="77777777" w:rsidTr="00256CDB">
        <w:trPr>
          <w:cantSplit/>
          <w:trHeight w:val="58"/>
          <w:jc w:val="center"/>
        </w:trPr>
        <w:tc>
          <w:tcPr>
            <w:tcW w:w="1619" w:type="dxa"/>
            <w:vAlign w:val="center"/>
          </w:tcPr>
          <w:p w14:paraId="06BC6B35" w14:textId="75B40ECC" w:rsidR="0081302B" w:rsidRPr="0081302B" w:rsidRDefault="0081302B" w:rsidP="00256CDB">
            <w:pPr>
              <w:jc w:val="center"/>
              <w:rPr>
                <w:rFonts w:eastAsiaTheme="minorEastAsia" w:cs="Times New Roman"/>
                <w:szCs w:val="24"/>
              </w:rPr>
            </w:pPr>
            <w:r w:rsidRPr="0081302B">
              <w:rPr>
                <w:rFonts w:cs="Times New Roman"/>
                <w:color w:val="000000"/>
                <w:szCs w:val="24"/>
              </w:rPr>
              <w:t>2016</w:t>
            </w:r>
          </w:p>
        </w:tc>
        <w:tc>
          <w:tcPr>
            <w:tcW w:w="2044" w:type="dxa"/>
            <w:vAlign w:val="center"/>
          </w:tcPr>
          <w:p w14:paraId="056976EC" w14:textId="63B3397F" w:rsidR="0081302B" w:rsidRPr="0081302B" w:rsidRDefault="0081302B" w:rsidP="00256CDB">
            <w:pPr>
              <w:jc w:val="center"/>
              <w:rPr>
                <w:rFonts w:eastAsiaTheme="minorEastAsia" w:cs="Times New Roman"/>
                <w:szCs w:val="24"/>
              </w:rPr>
            </w:pPr>
            <w:r w:rsidRPr="0081302B">
              <w:rPr>
                <w:rFonts w:cs="Times New Roman"/>
                <w:color w:val="000000"/>
                <w:szCs w:val="24"/>
              </w:rPr>
              <w:t>0.06</w:t>
            </w:r>
          </w:p>
        </w:tc>
        <w:tc>
          <w:tcPr>
            <w:tcW w:w="4306" w:type="dxa"/>
            <w:vAlign w:val="center"/>
          </w:tcPr>
          <w:p w14:paraId="3A03E4B9" w14:textId="04D55FE8" w:rsidR="0081302B" w:rsidRPr="0081302B" w:rsidRDefault="0081302B" w:rsidP="00256CDB">
            <w:pPr>
              <w:jc w:val="center"/>
              <w:rPr>
                <w:rFonts w:eastAsiaTheme="minorEastAsia" w:cs="Times New Roman"/>
                <w:szCs w:val="24"/>
              </w:rPr>
            </w:pPr>
            <w:r w:rsidRPr="0081302B">
              <w:rPr>
                <w:rFonts w:cs="Times New Roman"/>
                <w:color w:val="000000"/>
                <w:szCs w:val="24"/>
              </w:rPr>
              <w:t>0.12</w:t>
            </w:r>
          </w:p>
        </w:tc>
      </w:tr>
      <w:tr w:rsidR="0081302B" w:rsidRPr="0081302B" w14:paraId="58C1B7DB" w14:textId="77777777" w:rsidTr="00256CDB">
        <w:trPr>
          <w:cantSplit/>
          <w:trHeight w:val="58"/>
          <w:jc w:val="center"/>
        </w:trPr>
        <w:tc>
          <w:tcPr>
            <w:tcW w:w="1619" w:type="dxa"/>
            <w:vAlign w:val="center"/>
          </w:tcPr>
          <w:p w14:paraId="0F796D9A" w14:textId="5F19A84E" w:rsidR="0081302B" w:rsidRPr="0081302B" w:rsidRDefault="0081302B" w:rsidP="00256CDB">
            <w:pPr>
              <w:jc w:val="center"/>
              <w:rPr>
                <w:rFonts w:cs="Times New Roman"/>
                <w:color w:val="000000"/>
                <w:szCs w:val="24"/>
              </w:rPr>
            </w:pPr>
            <w:r w:rsidRPr="0081302B">
              <w:rPr>
                <w:rFonts w:cs="Times New Roman"/>
                <w:color w:val="000000"/>
                <w:szCs w:val="24"/>
              </w:rPr>
              <w:t>2017</w:t>
            </w:r>
          </w:p>
        </w:tc>
        <w:tc>
          <w:tcPr>
            <w:tcW w:w="2044" w:type="dxa"/>
            <w:vAlign w:val="center"/>
          </w:tcPr>
          <w:p w14:paraId="406E5EEC" w14:textId="6DB1B146" w:rsidR="0081302B" w:rsidRPr="0081302B" w:rsidRDefault="0081302B" w:rsidP="00256CDB">
            <w:pPr>
              <w:jc w:val="center"/>
              <w:rPr>
                <w:rFonts w:eastAsiaTheme="minorEastAsia" w:cs="Times New Roman"/>
                <w:szCs w:val="24"/>
              </w:rPr>
            </w:pPr>
            <w:r w:rsidRPr="0081302B">
              <w:rPr>
                <w:rFonts w:cs="Times New Roman"/>
                <w:color w:val="000000"/>
                <w:szCs w:val="24"/>
              </w:rPr>
              <w:t>0.1</w:t>
            </w:r>
          </w:p>
        </w:tc>
        <w:tc>
          <w:tcPr>
            <w:tcW w:w="4306" w:type="dxa"/>
            <w:vAlign w:val="center"/>
          </w:tcPr>
          <w:p w14:paraId="653C637E" w14:textId="08CCEE19" w:rsidR="0081302B" w:rsidRPr="0081302B" w:rsidRDefault="0081302B" w:rsidP="00256CDB">
            <w:pPr>
              <w:jc w:val="center"/>
              <w:rPr>
                <w:rFonts w:eastAsiaTheme="minorEastAsia" w:cs="Times New Roman"/>
                <w:szCs w:val="24"/>
              </w:rPr>
            </w:pPr>
            <w:r w:rsidRPr="0081302B">
              <w:rPr>
                <w:rFonts w:cs="Times New Roman"/>
                <w:color w:val="000000"/>
                <w:szCs w:val="24"/>
              </w:rPr>
              <w:t>0.19</w:t>
            </w:r>
          </w:p>
        </w:tc>
      </w:tr>
      <w:tr w:rsidR="0081302B" w:rsidRPr="0081302B" w14:paraId="2F6F2FB5" w14:textId="77777777" w:rsidTr="00256CDB">
        <w:trPr>
          <w:cantSplit/>
          <w:trHeight w:val="58"/>
          <w:jc w:val="center"/>
        </w:trPr>
        <w:tc>
          <w:tcPr>
            <w:tcW w:w="1619" w:type="dxa"/>
            <w:vAlign w:val="center"/>
          </w:tcPr>
          <w:p w14:paraId="1AB739A8" w14:textId="765AAC19" w:rsidR="0081302B" w:rsidRPr="0081302B" w:rsidRDefault="0081302B" w:rsidP="00256CDB">
            <w:pPr>
              <w:jc w:val="center"/>
              <w:rPr>
                <w:rFonts w:cs="Times New Roman"/>
                <w:color w:val="000000"/>
                <w:szCs w:val="24"/>
              </w:rPr>
            </w:pPr>
            <w:r w:rsidRPr="0081302B">
              <w:rPr>
                <w:rFonts w:cs="Times New Roman"/>
                <w:color w:val="000000"/>
                <w:szCs w:val="24"/>
              </w:rPr>
              <w:t>2018</w:t>
            </w:r>
          </w:p>
        </w:tc>
        <w:tc>
          <w:tcPr>
            <w:tcW w:w="2044" w:type="dxa"/>
            <w:vAlign w:val="center"/>
          </w:tcPr>
          <w:p w14:paraId="022BA77E" w14:textId="54EAB919" w:rsidR="0081302B" w:rsidRPr="0081302B" w:rsidRDefault="0081302B" w:rsidP="00256CDB">
            <w:pPr>
              <w:jc w:val="center"/>
              <w:rPr>
                <w:rFonts w:eastAsiaTheme="minorEastAsia" w:cs="Times New Roman"/>
                <w:szCs w:val="24"/>
              </w:rPr>
            </w:pPr>
            <w:r w:rsidRPr="0081302B">
              <w:rPr>
                <w:rFonts w:cs="Times New Roman"/>
                <w:color w:val="000000"/>
                <w:szCs w:val="24"/>
              </w:rPr>
              <w:t>0.04</w:t>
            </w:r>
          </w:p>
        </w:tc>
        <w:tc>
          <w:tcPr>
            <w:tcW w:w="4306" w:type="dxa"/>
            <w:vAlign w:val="center"/>
          </w:tcPr>
          <w:p w14:paraId="5FC54EDC" w14:textId="38D6EC01" w:rsidR="0081302B" w:rsidRPr="0081302B" w:rsidRDefault="0081302B" w:rsidP="00256CDB">
            <w:pPr>
              <w:jc w:val="center"/>
              <w:rPr>
                <w:rFonts w:eastAsiaTheme="minorEastAsia" w:cs="Times New Roman"/>
                <w:szCs w:val="24"/>
              </w:rPr>
            </w:pPr>
            <w:r w:rsidRPr="0081302B">
              <w:rPr>
                <w:rFonts w:cs="Times New Roman"/>
                <w:color w:val="000000"/>
                <w:szCs w:val="24"/>
              </w:rPr>
              <w:t>0.08</w:t>
            </w:r>
          </w:p>
        </w:tc>
      </w:tr>
      <w:tr w:rsidR="0081302B" w:rsidRPr="0081302B" w14:paraId="68109542" w14:textId="77777777" w:rsidTr="00256CDB">
        <w:trPr>
          <w:cantSplit/>
          <w:trHeight w:val="343"/>
          <w:jc w:val="center"/>
        </w:trPr>
        <w:tc>
          <w:tcPr>
            <w:tcW w:w="1619" w:type="dxa"/>
            <w:vAlign w:val="center"/>
          </w:tcPr>
          <w:p w14:paraId="5785FECE" w14:textId="0F892D47" w:rsidR="0081302B" w:rsidRPr="0081302B" w:rsidRDefault="0081302B" w:rsidP="00256CDB">
            <w:pPr>
              <w:jc w:val="center"/>
              <w:rPr>
                <w:rFonts w:cs="Times New Roman"/>
                <w:color w:val="000000"/>
                <w:szCs w:val="24"/>
              </w:rPr>
            </w:pPr>
            <w:r w:rsidRPr="0081302B">
              <w:rPr>
                <w:rFonts w:cs="Times New Roman"/>
                <w:color w:val="000000"/>
                <w:szCs w:val="24"/>
              </w:rPr>
              <w:t>2019</w:t>
            </w:r>
          </w:p>
        </w:tc>
        <w:tc>
          <w:tcPr>
            <w:tcW w:w="2044" w:type="dxa"/>
            <w:vAlign w:val="center"/>
          </w:tcPr>
          <w:p w14:paraId="4A8D0CB0" w14:textId="4BCBD8DC" w:rsidR="0081302B" w:rsidRPr="0081302B" w:rsidRDefault="0081302B" w:rsidP="00256CDB">
            <w:pPr>
              <w:jc w:val="center"/>
              <w:rPr>
                <w:rFonts w:eastAsiaTheme="minorEastAsia" w:cs="Times New Roman"/>
                <w:szCs w:val="24"/>
              </w:rPr>
            </w:pPr>
            <w:r w:rsidRPr="0081302B">
              <w:rPr>
                <w:rFonts w:cs="Times New Roman"/>
                <w:color w:val="000000"/>
                <w:szCs w:val="24"/>
              </w:rPr>
              <w:t>0.05</w:t>
            </w:r>
          </w:p>
        </w:tc>
        <w:tc>
          <w:tcPr>
            <w:tcW w:w="4306" w:type="dxa"/>
            <w:vAlign w:val="center"/>
          </w:tcPr>
          <w:p w14:paraId="202C8C56" w14:textId="2828C1AD" w:rsidR="0081302B" w:rsidRPr="0081302B" w:rsidRDefault="0081302B" w:rsidP="00256CDB">
            <w:pPr>
              <w:jc w:val="center"/>
              <w:rPr>
                <w:rFonts w:eastAsiaTheme="minorEastAsia" w:cs="Times New Roman"/>
                <w:szCs w:val="24"/>
              </w:rPr>
            </w:pPr>
            <w:r w:rsidRPr="0081302B">
              <w:rPr>
                <w:rFonts w:cs="Times New Roman"/>
                <w:color w:val="000000"/>
                <w:szCs w:val="24"/>
              </w:rPr>
              <w:t>0.10</w:t>
            </w:r>
          </w:p>
        </w:tc>
      </w:tr>
    </w:tbl>
    <w:p w14:paraId="07C79F94" w14:textId="77777777" w:rsidR="00256CDB" w:rsidRDefault="00256CDB"/>
    <w:p w14:paraId="5084868A" w14:textId="4FD5C98E" w:rsidR="00A318E1" w:rsidRDefault="0081302B">
      <w:r>
        <w:t xml:space="preserve">Therefore, the </w:t>
      </w:r>
      <w:r w:rsidR="00AA358B">
        <w:t>average expected colonisation rate for I. trianguliceps was 0.15 (range =</w:t>
      </w:r>
      <w:r w:rsidR="005A7409">
        <w:t xml:space="preserve"> 0.08-0.28). </w:t>
      </w:r>
    </w:p>
    <w:p w14:paraId="57A23EA0" w14:textId="06496B80" w:rsidR="009A0A5A" w:rsidRDefault="009A0A5A"/>
    <w:p w14:paraId="49ADCC24" w14:textId="2B7D5539" w:rsidR="009A0A5A" w:rsidRDefault="009A0A5A"/>
    <w:p w14:paraId="023B44E0" w14:textId="36CDFEB2" w:rsidR="009A0A5A" w:rsidRDefault="009A0A5A"/>
    <w:p w14:paraId="17B0CAC9" w14:textId="77777777" w:rsidR="009A0A5A" w:rsidRPr="00133696" w:rsidRDefault="009A0A5A"/>
    <w:p w14:paraId="5A8F7635" w14:textId="31BE3472" w:rsidR="003B4337" w:rsidRDefault="00A87DE3">
      <w:pPr>
        <w:rPr>
          <w:b/>
          <w:bCs/>
        </w:rPr>
      </w:pPr>
      <w:r w:rsidRPr="00A87DE3">
        <w:rPr>
          <w:b/>
          <w:bCs/>
        </w:rPr>
        <w:t>S</w:t>
      </w:r>
      <w:r w:rsidR="00F5697C">
        <w:rPr>
          <w:b/>
          <w:bCs/>
        </w:rPr>
        <w:t>3</w:t>
      </w:r>
      <w:r w:rsidRPr="00A87DE3">
        <w:rPr>
          <w:b/>
          <w:bCs/>
        </w:rPr>
        <w:t>:</w:t>
      </w:r>
      <w:r>
        <w:rPr>
          <w:b/>
          <w:bCs/>
        </w:rPr>
        <w:t xml:space="preserve"> Additional Results </w:t>
      </w:r>
    </w:p>
    <w:p w14:paraId="098700FA" w14:textId="728E0D37" w:rsidR="00856319" w:rsidRPr="00DC6235" w:rsidRDefault="009B2CBD" w:rsidP="00856319">
      <w:pPr>
        <w:rPr>
          <w:b/>
        </w:rPr>
      </w:pPr>
      <w:r>
        <w:rPr>
          <w:b/>
          <w:bCs/>
        </w:rPr>
        <w:t xml:space="preserve">Table </w:t>
      </w:r>
      <w:r w:rsidR="00F5697C">
        <w:rPr>
          <w:b/>
          <w:bCs/>
        </w:rPr>
        <w:t>S3</w:t>
      </w:r>
      <w:r w:rsidR="00B36BCC">
        <w:rPr>
          <w:b/>
          <w:bCs/>
        </w:rPr>
        <w:t xml:space="preserve">.1 </w:t>
      </w:r>
      <w:r w:rsidR="00856319" w:rsidRPr="00C600DB">
        <w:t>Coefficients estimates (</w:t>
      </w:r>
      <w:r w:rsidR="00856319">
        <w:t xml:space="preserve">Odds ratio </w:t>
      </w:r>
      <w:r w:rsidR="00856319" w:rsidRPr="00C600DB">
        <w:t xml:space="preserve">+/- 85% CIs) of </w:t>
      </w:r>
      <w:r w:rsidR="00856319" w:rsidRPr="000209E2">
        <w:rPr>
          <w:highlight w:val="green"/>
        </w:rPr>
        <w:t>best</w:t>
      </w:r>
      <w:r w:rsidR="009D3AA5" w:rsidRPr="000209E2">
        <w:rPr>
          <w:highlight w:val="green"/>
        </w:rPr>
        <w:t xml:space="preserve"> </w:t>
      </w:r>
      <w:r w:rsidR="00856319" w:rsidRPr="000209E2">
        <w:rPr>
          <w:highlight w:val="green"/>
        </w:rPr>
        <w:t xml:space="preserve">models </w:t>
      </w:r>
      <w:r w:rsidR="009D3AA5" w:rsidRPr="000209E2">
        <w:rPr>
          <w:highlight w:val="green"/>
        </w:rPr>
        <w:t xml:space="preserve">from </w:t>
      </w:r>
      <w:r w:rsidR="0020549C" w:rsidRPr="000209E2">
        <w:rPr>
          <w:highlight w:val="green"/>
        </w:rPr>
        <w:t xml:space="preserve">the analysis of </w:t>
      </w:r>
      <w:r w:rsidR="0020549C" w:rsidRPr="000209E2">
        <w:rPr>
          <w:rStyle w:val="ui-provider"/>
          <w:highlight w:val="green"/>
        </w:rPr>
        <w:t>s</w:t>
      </w:r>
      <w:r w:rsidR="0020549C" w:rsidRPr="000209E2">
        <w:rPr>
          <w:rStyle w:val="ui-provider"/>
          <w:highlight w:val="green"/>
        </w:rPr>
        <w:t>cale-associated contemporary infection patterns</w:t>
      </w:r>
      <w:r w:rsidR="0020549C">
        <w:t xml:space="preserve"> </w:t>
      </w:r>
      <w:r w:rsidR="00856319" w:rsidRPr="00C600DB">
        <w:t>(</w:t>
      </w:r>
      <w:r w:rsidR="00856319" w:rsidRPr="0020549C">
        <w:rPr>
          <w:i/>
          <w:iCs/>
        </w:rPr>
        <w:t>Analysis II</w:t>
      </w:r>
      <w:r w:rsidR="00856319" w:rsidRPr="00C600DB">
        <w:t xml:space="preserve">). </w:t>
      </w:r>
      <w:r w:rsidR="00856319">
        <w:t>I</w:t>
      </w:r>
      <w:r w:rsidR="00856319" w:rsidRPr="00C600DB">
        <w:t xml:space="preserve">nformative parameters are presented in bold. </w:t>
      </w:r>
      <w:r w:rsidR="00856319">
        <w:t>C</w:t>
      </w:r>
      <w:r w:rsidR="00856319" w:rsidRPr="00C600DB">
        <w:t>onditional R</w:t>
      </w:r>
      <w:r w:rsidR="00856319" w:rsidRPr="001E4AD2">
        <w:rPr>
          <w:vertAlign w:val="superscript"/>
        </w:rPr>
        <w:t>2</w:t>
      </w:r>
      <w:r w:rsidR="00856319">
        <w:rPr>
          <w:vertAlign w:val="superscript"/>
        </w:rPr>
        <w:t xml:space="preserve"> </w:t>
      </w:r>
      <w:r w:rsidR="00856319" w:rsidRPr="001E4AD2">
        <w:t>= v</w:t>
      </w:r>
      <w:r w:rsidR="00856319" w:rsidRPr="00C600DB">
        <w:t xml:space="preserve">ariation explained by </w:t>
      </w:r>
      <w:r w:rsidR="00A47BD7">
        <w:t xml:space="preserve">the </w:t>
      </w:r>
      <w:r w:rsidR="00856319" w:rsidRPr="00C600DB">
        <w:t>full model including random effects</w:t>
      </w:r>
      <w:r w:rsidR="00856319">
        <w:t>;</w:t>
      </w:r>
      <w:r w:rsidR="00856319" w:rsidRPr="00C600DB">
        <w:t xml:space="preserve"> </w:t>
      </w:r>
      <w:r w:rsidR="00856319">
        <w:t>M</w:t>
      </w:r>
      <w:r w:rsidR="00856319" w:rsidRPr="00C600DB">
        <w:t>arginal R</w:t>
      </w:r>
      <w:r w:rsidR="00856319" w:rsidRPr="001E4AD2">
        <w:rPr>
          <w:vertAlign w:val="superscript"/>
        </w:rPr>
        <w:t>2</w:t>
      </w:r>
      <w:r w:rsidR="00856319">
        <w:t xml:space="preserve"> = </w:t>
      </w:r>
      <w:r w:rsidR="00856319" w:rsidRPr="00C600DB">
        <w:t>variation explained by fixed effects only.</w:t>
      </w:r>
    </w:p>
    <w:p w14:paraId="2923A711" w14:textId="1B3D35EA" w:rsidR="00497635" w:rsidRDefault="00497635">
      <w:pPr>
        <w:rPr>
          <w:b/>
          <w:bCs/>
        </w:rPr>
      </w:pPr>
    </w:p>
    <w:tbl>
      <w:tblPr>
        <w:tblStyle w:val="PlainTable2"/>
        <w:tblpPr w:leftFromText="181" w:rightFromText="181" w:vertAnchor="text" w:horzAnchor="margin" w:tblpXSpec="center" w:tblpY="-787"/>
        <w:tblW w:w="10852" w:type="dxa"/>
        <w:tblLook w:val="04A0" w:firstRow="1" w:lastRow="0" w:firstColumn="1" w:lastColumn="0" w:noHBand="0" w:noVBand="1"/>
      </w:tblPr>
      <w:tblGrid>
        <w:gridCol w:w="1316"/>
        <w:gridCol w:w="1805"/>
        <w:gridCol w:w="1131"/>
        <w:gridCol w:w="1552"/>
        <w:gridCol w:w="1196"/>
        <w:gridCol w:w="1197"/>
        <w:gridCol w:w="1215"/>
        <w:gridCol w:w="1440"/>
      </w:tblGrid>
      <w:tr w:rsidR="003B4337" w:rsidRPr="00497635" w14:paraId="51346D2A" w14:textId="77777777" w:rsidTr="003B433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16" w:type="dxa"/>
            <w:vAlign w:val="center"/>
            <w:hideMark/>
          </w:tcPr>
          <w:p w14:paraId="4489680A" w14:textId="77777777" w:rsidR="003B4337" w:rsidRPr="003B4337" w:rsidRDefault="003B4337" w:rsidP="003B4337">
            <w:pPr>
              <w:spacing w:line="240" w:lineRule="auto"/>
              <w:jc w:val="center"/>
              <w:rPr>
                <w:rFonts w:eastAsia="Times New Roman" w:cs="Times New Roman"/>
                <w:color w:val="000000"/>
                <w:sz w:val="20"/>
                <w:szCs w:val="20"/>
                <w:lang w:eastAsia="en-GB"/>
              </w:rPr>
            </w:pPr>
            <w:r w:rsidRPr="003B4337">
              <w:rPr>
                <w:rFonts w:eastAsia="Times New Roman" w:cs="Times New Roman"/>
                <w:color w:val="000000"/>
                <w:sz w:val="20"/>
                <w:szCs w:val="20"/>
                <w:lang w:eastAsia="en-GB"/>
              </w:rPr>
              <w:t>Stage</w:t>
            </w:r>
          </w:p>
        </w:tc>
        <w:tc>
          <w:tcPr>
            <w:tcW w:w="1805" w:type="dxa"/>
            <w:vAlign w:val="center"/>
            <w:hideMark/>
          </w:tcPr>
          <w:p w14:paraId="66692CB6" w14:textId="77777777" w:rsidR="003B4337" w:rsidRPr="003B4337"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Variable</w:t>
            </w:r>
          </w:p>
        </w:tc>
        <w:tc>
          <w:tcPr>
            <w:tcW w:w="1131" w:type="dxa"/>
            <w:vAlign w:val="center"/>
            <w:hideMark/>
          </w:tcPr>
          <w:p w14:paraId="6BE51D3A" w14:textId="77777777" w:rsidR="003B4337" w:rsidRPr="003B4337"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Fleas</w:t>
            </w:r>
          </w:p>
        </w:tc>
        <w:tc>
          <w:tcPr>
            <w:tcW w:w="1552" w:type="dxa"/>
            <w:vAlign w:val="center"/>
            <w:hideMark/>
          </w:tcPr>
          <w:p w14:paraId="4F9F357A" w14:textId="77777777" w:rsidR="003B4337" w:rsidRPr="00ED5008"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I. trianguliceps</w:t>
            </w:r>
          </w:p>
        </w:tc>
        <w:tc>
          <w:tcPr>
            <w:tcW w:w="1196" w:type="dxa"/>
            <w:vAlign w:val="center"/>
            <w:hideMark/>
          </w:tcPr>
          <w:p w14:paraId="29D36974" w14:textId="77777777" w:rsidR="003B4337" w:rsidRPr="00ED5008"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I. ricinus</w:t>
            </w:r>
          </w:p>
        </w:tc>
        <w:tc>
          <w:tcPr>
            <w:tcW w:w="1197" w:type="dxa"/>
            <w:vAlign w:val="center"/>
            <w:hideMark/>
          </w:tcPr>
          <w:p w14:paraId="2E8162B4" w14:textId="77777777" w:rsidR="003B4337" w:rsidRPr="00ED5008"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Bartonella</w:t>
            </w:r>
          </w:p>
        </w:tc>
        <w:tc>
          <w:tcPr>
            <w:tcW w:w="1215" w:type="dxa"/>
            <w:vAlign w:val="center"/>
            <w:hideMark/>
          </w:tcPr>
          <w:p w14:paraId="34B46BE2" w14:textId="77777777" w:rsidR="003B4337" w:rsidRPr="00ED5008"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B. microti</w:t>
            </w:r>
          </w:p>
        </w:tc>
        <w:tc>
          <w:tcPr>
            <w:tcW w:w="1440" w:type="dxa"/>
            <w:vAlign w:val="center"/>
            <w:hideMark/>
          </w:tcPr>
          <w:p w14:paraId="089B8470" w14:textId="77777777" w:rsidR="003B4337" w:rsidRPr="00ED5008" w:rsidRDefault="003B4337" w:rsidP="003B433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Hepatozoon</w:t>
            </w:r>
          </w:p>
        </w:tc>
      </w:tr>
      <w:tr w:rsidR="004F60AA" w:rsidRPr="00497635" w14:paraId="2848162B" w14:textId="77777777" w:rsidTr="004F60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F2F2F2" w:themeFill="background1" w:themeFillShade="F2"/>
            <w:vAlign w:val="center"/>
            <w:hideMark/>
          </w:tcPr>
          <w:p w14:paraId="634CD21A" w14:textId="77777777" w:rsidR="004F60AA" w:rsidRPr="003B4337" w:rsidRDefault="004F60AA" w:rsidP="004F60AA">
            <w:pPr>
              <w:spacing w:line="240" w:lineRule="auto"/>
              <w:jc w:val="center"/>
              <w:rPr>
                <w:rFonts w:eastAsia="Times New Roman" w:cs="Times New Roman"/>
                <w:color w:val="000000"/>
                <w:sz w:val="20"/>
                <w:szCs w:val="20"/>
                <w:lang w:eastAsia="en-GB"/>
              </w:rPr>
            </w:pPr>
            <w:r w:rsidRPr="003B4337">
              <w:rPr>
                <w:rFonts w:eastAsia="Times New Roman" w:cs="Times New Roman"/>
                <w:color w:val="000000"/>
                <w:sz w:val="20"/>
                <w:szCs w:val="20"/>
                <w:lang w:eastAsia="en-GB"/>
              </w:rPr>
              <w:t>Current year</w:t>
            </w:r>
          </w:p>
        </w:tc>
        <w:tc>
          <w:tcPr>
            <w:tcW w:w="1805" w:type="dxa"/>
            <w:shd w:val="clear" w:color="auto" w:fill="F2F2F2" w:themeFill="background1" w:themeFillShade="F2"/>
            <w:vAlign w:val="center"/>
            <w:hideMark/>
          </w:tcPr>
          <w:p w14:paraId="1525143A" w14:textId="77777777" w:rsidR="004F60AA" w:rsidRPr="003B4337"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Local-scale infection abundance</w:t>
            </w:r>
          </w:p>
        </w:tc>
        <w:tc>
          <w:tcPr>
            <w:tcW w:w="1131" w:type="dxa"/>
            <w:shd w:val="clear" w:color="auto" w:fill="F2F2F2" w:themeFill="background1" w:themeFillShade="F2"/>
            <w:vAlign w:val="center"/>
            <w:hideMark/>
          </w:tcPr>
          <w:p w14:paraId="4A85B44F" w14:textId="552883FA"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2.21</w:t>
            </w:r>
            <w:r w:rsidRPr="00332AB6">
              <w:rPr>
                <w:rFonts w:cs="Times New Roman"/>
                <w:b/>
                <w:bCs/>
                <w:color w:val="000000"/>
                <w:sz w:val="20"/>
                <w:szCs w:val="20"/>
              </w:rPr>
              <w:br/>
              <w:t>(1.96-2.49)</w:t>
            </w:r>
          </w:p>
        </w:tc>
        <w:tc>
          <w:tcPr>
            <w:tcW w:w="1552" w:type="dxa"/>
            <w:shd w:val="clear" w:color="auto" w:fill="F2F2F2" w:themeFill="background1" w:themeFillShade="F2"/>
            <w:vAlign w:val="center"/>
            <w:hideMark/>
          </w:tcPr>
          <w:p w14:paraId="0663203B" w14:textId="7917B5F0"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1.65</w:t>
            </w:r>
            <w:r w:rsidRPr="00332AB6">
              <w:rPr>
                <w:rFonts w:cs="Times New Roman"/>
                <w:b/>
                <w:bCs/>
                <w:color w:val="000000"/>
                <w:sz w:val="20"/>
                <w:szCs w:val="20"/>
              </w:rPr>
              <w:br/>
              <w:t>(1.41-1.93)</w:t>
            </w:r>
          </w:p>
        </w:tc>
        <w:tc>
          <w:tcPr>
            <w:tcW w:w="1196" w:type="dxa"/>
            <w:shd w:val="clear" w:color="auto" w:fill="F2F2F2" w:themeFill="background1" w:themeFillShade="F2"/>
            <w:vAlign w:val="center"/>
            <w:hideMark/>
          </w:tcPr>
          <w:p w14:paraId="23D82FA2" w14:textId="617712EF"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2.04</w:t>
            </w:r>
            <w:r w:rsidRPr="00332AB6">
              <w:rPr>
                <w:rFonts w:cs="Times New Roman"/>
                <w:b/>
                <w:bCs/>
                <w:color w:val="000000"/>
                <w:sz w:val="20"/>
                <w:szCs w:val="20"/>
              </w:rPr>
              <w:br/>
              <w:t>(1.81-2.30)</w:t>
            </w:r>
          </w:p>
        </w:tc>
        <w:tc>
          <w:tcPr>
            <w:tcW w:w="1197" w:type="dxa"/>
            <w:shd w:val="clear" w:color="auto" w:fill="F2F2F2" w:themeFill="background1" w:themeFillShade="F2"/>
            <w:vAlign w:val="center"/>
            <w:hideMark/>
          </w:tcPr>
          <w:p w14:paraId="37A8162B" w14:textId="1366BD75"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2.67</w:t>
            </w:r>
            <w:r w:rsidRPr="00332AB6">
              <w:rPr>
                <w:rFonts w:cs="Times New Roman"/>
                <w:b/>
                <w:bCs/>
                <w:color w:val="000000"/>
                <w:sz w:val="20"/>
                <w:szCs w:val="20"/>
              </w:rPr>
              <w:br/>
              <w:t>(2.23-3.19)</w:t>
            </w:r>
          </w:p>
        </w:tc>
        <w:tc>
          <w:tcPr>
            <w:tcW w:w="1215" w:type="dxa"/>
            <w:shd w:val="clear" w:color="auto" w:fill="F2F2F2" w:themeFill="background1" w:themeFillShade="F2"/>
            <w:vAlign w:val="center"/>
            <w:hideMark/>
          </w:tcPr>
          <w:p w14:paraId="466751ED" w14:textId="0A769F1C"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1.86</w:t>
            </w:r>
            <w:r w:rsidRPr="00332AB6">
              <w:rPr>
                <w:rFonts w:cs="Times New Roman"/>
                <w:b/>
                <w:bCs/>
                <w:color w:val="000000"/>
                <w:sz w:val="20"/>
                <w:szCs w:val="20"/>
              </w:rPr>
              <w:br/>
              <w:t>(1.53-2.26)</w:t>
            </w:r>
          </w:p>
        </w:tc>
        <w:tc>
          <w:tcPr>
            <w:tcW w:w="1440" w:type="dxa"/>
            <w:shd w:val="clear" w:color="auto" w:fill="F2F2F2" w:themeFill="background1" w:themeFillShade="F2"/>
            <w:vAlign w:val="center"/>
            <w:hideMark/>
          </w:tcPr>
          <w:p w14:paraId="04BED6EE" w14:textId="5D11E262"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1.94</w:t>
            </w:r>
            <w:r w:rsidRPr="00332AB6">
              <w:rPr>
                <w:rFonts w:cs="Times New Roman"/>
                <w:b/>
                <w:bCs/>
                <w:color w:val="000000"/>
                <w:sz w:val="20"/>
                <w:szCs w:val="20"/>
              </w:rPr>
              <w:br/>
              <w:t>(1.64-2.30)</w:t>
            </w:r>
          </w:p>
        </w:tc>
      </w:tr>
      <w:tr w:rsidR="004F60AA" w:rsidRPr="00497635" w14:paraId="7B6A4875" w14:textId="77777777" w:rsidTr="004F60AA">
        <w:trPr>
          <w:trHeight w:val="52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2F2F2" w:themeFill="background1" w:themeFillShade="F2"/>
            <w:vAlign w:val="center"/>
            <w:hideMark/>
          </w:tcPr>
          <w:p w14:paraId="708741D1"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F2F2F2" w:themeFill="background1" w:themeFillShade="F2"/>
            <w:vAlign w:val="center"/>
            <w:hideMark/>
          </w:tcPr>
          <w:p w14:paraId="0FF4D2BC" w14:textId="77777777" w:rsidR="004F60AA" w:rsidRPr="003B4337"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Landscape-scale infection connectivity</w:t>
            </w:r>
          </w:p>
        </w:tc>
        <w:tc>
          <w:tcPr>
            <w:tcW w:w="1131" w:type="dxa"/>
            <w:shd w:val="clear" w:color="auto" w:fill="F2F2F2" w:themeFill="background1" w:themeFillShade="F2"/>
            <w:vAlign w:val="center"/>
            <w:hideMark/>
          </w:tcPr>
          <w:p w14:paraId="3E4527AD" w14:textId="77777777"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p>
        </w:tc>
        <w:tc>
          <w:tcPr>
            <w:tcW w:w="1552" w:type="dxa"/>
            <w:shd w:val="clear" w:color="auto" w:fill="F2F2F2" w:themeFill="background1" w:themeFillShade="F2"/>
            <w:vAlign w:val="center"/>
            <w:hideMark/>
          </w:tcPr>
          <w:p w14:paraId="7E0FE638" w14:textId="6F2DD9A9"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1.52</w:t>
            </w:r>
            <w:r w:rsidRPr="00332AB6">
              <w:rPr>
                <w:rFonts w:cs="Times New Roman"/>
                <w:b/>
                <w:bCs/>
                <w:color w:val="000000"/>
                <w:sz w:val="20"/>
                <w:szCs w:val="20"/>
              </w:rPr>
              <w:br/>
              <w:t>(1.28-1.79)</w:t>
            </w:r>
          </w:p>
        </w:tc>
        <w:tc>
          <w:tcPr>
            <w:tcW w:w="1196" w:type="dxa"/>
            <w:shd w:val="clear" w:color="auto" w:fill="F2F2F2" w:themeFill="background1" w:themeFillShade="F2"/>
            <w:vAlign w:val="center"/>
            <w:hideMark/>
          </w:tcPr>
          <w:p w14:paraId="42FFF265" w14:textId="77777777"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p>
        </w:tc>
        <w:tc>
          <w:tcPr>
            <w:tcW w:w="1197" w:type="dxa"/>
            <w:shd w:val="clear" w:color="auto" w:fill="F2F2F2" w:themeFill="background1" w:themeFillShade="F2"/>
            <w:vAlign w:val="center"/>
            <w:hideMark/>
          </w:tcPr>
          <w:p w14:paraId="7002F6DD" w14:textId="77777777"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GB"/>
              </w:rPr>
            </w:pPr>
          </w:p>
        </w:tc>
        <w:tc>
          <w:tcPr>
            <w:tcW w:w="1215" w:type="dxa"/>
            <w:shd w:val="clear" w:color="auto" w:fill="F2F2F2" w:themeFill="background1" w:themeFillShade="F2"/>
            <w:vAlign w:val="center"/>
            <w:hideMark/>
          </w:tcPr>
          <w:p w14:paraId="3CC564E3" w14:textId="314901EB"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1.42</w:t>
            </w:r>
            <w:r w:rsidRPr="00332AB6">
              <w:rPr>
                <w:rFonts w:cs="Times New Roman"/>
                <w:b/>
                <w:bCs/>
                <w:color w:val="000000"/>
                <w:sz w:val="20"/>
                <w:szCs w:val="20"/>
              </w:rPr>
              <w:br/>
              <w:t>(1.11-1.82)</w:t>
            </w:r>
          </w:p>
        </w:tc>
        <w:tc>
          <w:tcPr>
            <w:tcW w:w="1440" w:type="dxa"/>
            <w:shd w:val="clear" w:color="auto" w:fill="F2F2F2" w:themeFill="background1" w:themeFillShade="F2"/>
            <w:vAlign w:val="center"/>
            <w:hideMark/>
          </w:tcPr>
          <w:p w14:paraId="7BBC21D1" w14:textId="718528CD"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1.32</w:t>
            </w:r>
            <w:r w:rsidRPr="00332AB6">
              <w:rPr>
                <w:rFonts w:cs="Times New Roman"/>
                <w:b/>
                <w:bCs/>
                <w:color w:val="000000"/>
                <w:sz w:val="20"/>
                <w:szCs w:val="20"/>
              </w:rPr>
              <w:br/>
              <w:t>(1.03-1.71)</w:t>
            </w:r>
          </w:p>
        </w:tc>
      </w:tr>
      <w:tr w:rsidR="004F60AA" w:rsidRPr="00497635" w14:paraId="2C8CF1FF" w14:textId="77777777" w:rsidTr="004F60AA">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2F2F2" w:themeFill="background1" w:themeFillShade="F2"/>
            <w:vAlign w:val="center"/>
            <w:hideMark/>
          </w:tcPr>
          <w:p w14:paraId="376AA252"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F2F2F2" w:themeFill="background1" w:themeFillShade="F2"/>
            <w:vAlign w:val="center"/>
            <w:hideMark/>
          </w:tcPr>
          <w:p w14:paraId="10E1FA56" w14:textId="77777777" w:rsidR="004F60AA" w:rsidRPr="003B4337"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Metapopulation-scale infection abundance</w:t>
            </w:r>
          </w:p>
        </w:tc>
        <w:tc>
          <w:tcPr>
            <w:tcW w:w="1131" w:type="dxa"/>
            <w:shd w:val="clear" w:color="auto" w:fill="F2F2F2" w:themeFill="background1" w:themeFillShade="F2"/>
            <w:vAlign w:val="center"/>
            <w:hideMark/>
          </w:tcPr>
          <w:p w14:paraId="484D60DA" w14:textId="3C620191"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1.29</w:t>
            </w:r>
            <w:r w:rsidRPr="00332AB6">
              <w:rPr>
                <w:rFonts w:cs="Times New Roman"/>
                <w:b/>
                <w:bCs/>
                <w:color w:val="000000"/>
                <w:sz w:val="20"/>
                <w:szCs w:val="20"/>
              </w:rPr>
              <w:br/>
              <w:t>(1.14-1.45)</w:t>
            </w:r>
          </w:p>
        </w:tc>
        <w:tc>
          <w:tcPr>
            <w:tcW w:w="1552" w:type="dxa"/>
            <w:shd w:val="clear" w:color="auto" w:fill="F2F2F2" w:themeFill="background1" w:themeFillShade="F2"/>
            <w:vAlign w:val="center"/>
            <w:hideMark/>
          </w:tcPr>
          <w:p w14:paraId="5B895A18" w14:textId="1BEAC008"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1.46</w:t>
            </w:r>
            <w:r w:rsidRPr="00332AB6">
              <w:rPr>
                <w:rFonts w:cs="Times New Roman"/>
                <w:b/>
                <w:bCs/>
                <w:color w:val="000000"/>
                <w:sz w:val="20"/>
                <w:szCs w:val="20"/>
              </w:rPr>
              <w:br/>
              <w:t>(1.27-1.68)</w:t>
            </w:r>
          </w:p>
        </w:tc>
        <w:tc>
          <w:tcPr>
            <w:tcW w:w="1196" w:type="dxa"/>
            <w:shd w:val="clear" w:color="auto" w:fill="F2F2F2" w:themeFill="background1" w:themeFillShade="F2"/>
            <w:vAlign w:val="center"/>
            <w:hideMark/>
          </w:tcPr>
          <w:p w14:paraId="3F522ED3" w14:textId="7D4B0D84"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1.24</w:t>
            </w:r>
            <w:r w:rsidRPr="00332AB6">
              <w:rPr>
                <w:rFonts w:cs="Times New Roman"/>
                <w:b/>
                <w:bCs/>
                <w:color w:val="000000"/>
                <w:sz w:val="20"/>
                <w:szCs w:val="20"/>
              </w:rPr>
              <w:br/>
              <w:t>(1.09-1.41)</w:t>
            </w:r>
          </w:p>
        </w:tc>
        <w:tc>
          <w:tcPr>
            <w:tcW w:w="1197" w:type="dxa"/>
            <w:shd w:val="clear" w:color="auto" w:fill="F2F2F2" w:themeFill="background1" w:themeFillShade="F2"/>
            <w:vAlign w:val="center"/>
            <w:hideMark/>
          </w:tcPr>
          <w:p w14:paraId="4EDB21E7" w14:textId="77777777"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c>
          <w:tcPr>
            <w:tcW w:w="1215" w:type="dxa"/>
            <w:shd w:val="clear" w:color="auto" w:fill="F2F2F2" w:themeFill="background1" w:themeFillShade="F2"/>
            <w:vAlign w:val="center"/>
            <w:hideMark/>
          </w:tcPr>
          <w:p w14:paraId="47B07F2C" w14:textId="77777777"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c>
          <w:tcPr>
            <w:tcW w:w="1440" w:type="dxa"/>
            <w:shd w:val="clear" w:color="auto" w:fill="F2F2F2" w:themeFill="background1" w:themeFillShade="F2"/>
            <w:vAlign w:val="center"/>
            <w:hideMark/>
          </w:tcPr>
          <w:p w14:paraId="590B962C" w14:textId="4EE9D096"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1.53</w:t>
            </w:r>
            <w:r w:rsidRPr="00332AB6">
              <w:rPr>
                <w:rFonts w:cs="Times New Roman"/>
                <w:b/>
                <w:bCs/>
                <w:color w:val="000000"/>
                <w:sz w:val="20"/>
                <w:szCs w:val="20"/>
              </w:rPr>
              <w:br/>
              <w:t>(1.04-2.26)</w:t>
            </w:r>
          </w:p>
        </w:tc>
      </w:tr>
      <w:tr w:rsidR="004F60AA" w:rsidRPr="00497635" w14:paraId="548BE07D" w14:textId="77777777" w:rsidTr="004F60AA">
        <w:trPr>
          <w:trHeight w:val="528"/>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D9D9D9" w:themeFill="background1" w:themeFillShade="D9"/>
            <w:vAlign w:val="center"/>
            <w:hideMark/>
          </w:tcPr>
          <w:p w14:paraId="362C9F93" w14:textId="77777777" w:rsidR="004F60AA" w:rsidRPr="003B4337" w:rsidRDefault="004F60AA" w:rsidP="004F60AA">
            <w:pPr>
              <w:spacing w:line="240" w:lineRule="auto"/>
              <w:jc w:val="center"/>
              <w:rPr>
                <w:rFonts w:eastAsia="Times New Roman" w:cs="Times New Roman"/>
                <w:color w:val="000000"/>
                <w:sz w:val="20"/>
                <w:szCs w:val="20"/>
                <w:lang w:eastAsia="en-GB"/>
              </w:rPr>
            </w:pPr>
            <w:r w:rsidRPr="003B4337">
              <w:rPr>
                <w:rFonts w:eastAsia="Times New Roman" w:cs="Times New Roman"/>
                <w:color w:val="000000"/>
                <w:sz w:val="20"/>
                <w:szCs w:val="20"/>
                <w:lang w:eastAsia="en-GB"/>
              </w:rPr>
              <w:t>Individual</w:t>
            </w:r>
          </w:p>
        </w:tc>
        <w:tc>
          <w:tcPr>
            <w:tcW w:w="1805" w:type="dxa"/>
            <w:shd w:val="clear" w:color="auto" w:fill="D9D9D9" w:themeFill="background1" w:themeFillShade="D9"/>
            <w:vAlign w:val="center"/>
            <w:hideMark/>
          </w:tcPr>
          <w:p w14:paraId="68F29F5E" w14:textId="77777777" w:rsidR="004F60AA" w:rsidRPr="003B4337"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Weight</w:t>
            </w:r>
          </w:p>
        </w:tc>
        <w:tc>
          <w:tcPr>
            <w:tcW w:w="1131" w:type="dxa"/>
            <w:shd w:val="clear" w:color="auto" w:fill="D9D9D9" w:themeFill="background1" w:themeFillShade="D9"/>
            <w:vAlign w:val="center"/>
            <w:hideMark/>
          </w:tcPr>
          <w:p w14:paraId="3ED8D89A"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p>
        </w:tc>
        <w:tc>
          <w:tcPr>
            <w:tcW w:w="1552" w:type="dxa"/>
            <w:shd w:val="clear" w:color="auto" w:fill="D9D9D9" w:themeFill="background1" w:themeFillShade="D9"/>
            <w:vAlign w:val="center"/>
            <w:hideMark/>
          </w:tcPr>
          <w:p w14:paraId="1FFA64AA" w14:textId="79C2001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1.80</w:t>
            </w:r>
            <w:r w:rsidRPr="004F60AA">
              <w:rPr>
                <w:rFonts w:cs="Times New Roman"/>
                <w:color w:val="000000"/>
                <w:sz w:val="20"/>
                <w:szCs w:val="20"/>
              </w:rPr>
              <w:br/>
              <w:t>(1.53-2.12)</w:t>
            </w:r>
          </w:p>
        </w:tc>
        <w:tc>
          <w:tcPr>
            <w:tcW w:w="1196" w:type="dxa"/>
            <w:shd w:val="clear" w:color="auto" w:fill="D9D9D9" w:themeFill="background1" w:themeFillShade="D9"/>
            <w:vAlign w:val="center"/>
            <w:hideMark/>
          </w:tcPr>
          <w:p w14:paraId="63F483A1"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97" w:type="dxa"/>
            <w:shd w:val="clear" w:color="auto" w:fill="D9D9D9" w:themeFill="background1" w:themeFillShade="D9"/>
            <w:vAlign w:val="center"/>
            <w:hideMark/>
          </w:tcPr>
          <w:p w14:paraId="366AA855" w14:textId="340EED0F"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1.07</w:t>
            </w:r>
            <w:r w:rsidRPr="004F60AA">
              <w:rPr>
                <w:rFonts w:cs="Times New Roman"/>
                <w:color w:val="000000"/>
                <w:sz w:val="20"/>
                <w:szCs w:val="20"/>
              </w:rPr>
              <w:br/>
              <w:t>(0.93-1.23)</w:t>
            </w:r>
          </w:p>
        </w:tc>
        <w:tc>
          <w:tcPr>
            <w:tcW w:w="1215" w:type="dxa"/>
            <w:shd w:val="clear" w:color="auto" w:fill="D9D9D9" w:themeFill="background1" w:themeFillShade="D9"/>
            <w:vAlign w:val="center"/>
            <w:hideMark/>
          </w:tcPr>
          <w:p w14:paraId="34C88D7C" w14:textId="64C47503"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1.83</w:t>
            </w:r>
            <w:r w:rsidRPr="004F60AA">
              <w:rPr>
                <w:rFonts w:cs="Times New Roman"/>
                <w:color w:val="000000"/>
                <w:sz w:val="20"/>
                <w:szCs w:val="20"/>
              </w:rPr>
              <w:br/>
              <w:t>(1.54-2.19)</w:t>
            </w:r>
          </w:p>
        </w:tc>
        <w:tc>
          <w:tcPr>
            <w:tcW w:w="1440" w:type="dxa"/>
            <w:shd w:val="clear" w:color="auto" w:fill="D9D9D9" w:themeFill="background1" w:themeFillShade="D9"/>
            <w:vAlign w:val="center"/>
            <w:hideMark/>
          </w:tcPr>
          <w:p w14:paraId="0CE8A844" w14:textId="5C191331"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0.42</w:t>
            </w:r>
            <w:r w:rsidRPr="004F60AA">
              <w:rPr>
                <w:rFonts w:cs="Times New Roman"/>
                <w:color w:val="000000"/>
                <w:sz w:val="20"/>
                <w:szCs w:val="20"/>
              </w:rPr>
              <w:br/>
              <w:t>(0.33-0.54)</w:t>
            </w:r>
          </w:p>
        </w:tc>
      </w:tr>
      <w:tr w:rsidR="004F60AA" w:rsidRPr="00497635" w14:paraId="257EA6BC" w14:textId="77777777" w:rsidTr="004F60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9D9D9" w:themeFill="background1" w:themeFillShade="D9"/>
            <w:vAlign w:val="center"/>
            <w:hideMark/>
          </w:tcPr>
          <w:p w14:paraId="15300690"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D9D9D9" w:themeFill="background1" w:themeFillShade="D9"/>
            <w:vAlign w:val="center"/>
            <w:hideMark/>
          </w:tcPr>
          <w:p w14:paraId="6E786C0C" w14:textId="77777777" w:rsidR="004F60AA" w:rsidRPr="003B4337"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3B4337">
              <w:rPr>
                <w:rFonts w:eastAsia="Times New Roman" w:cs="Times New Roman"/>
                <w:color w:val="000000"/>
                <w:sz w:val="20"/>
                <w:szCs w:val="20"/>
                <w:lang w:eastAsia="en-GB"/>
              </w:rPr>
              <w:t>Weight²</w:t>
            </w:r>
          </w:p>
        </w:tc>
        <w:tc>
          <w:tcPr>
            <w:tcW w:w="1131" w:type="dxa"/>
            <w:shd w:val="clear" w:color="auto" w:fill="D9D9D9" w:themeFill="background1" w:themeFillShade="D9"/>
            <w:vAlign w:val="center"/>
            <w:hideMark/>
          </w:tcPr>
          <w:p w14:paraId="1CD5E8DF" w14:textId="72A2E44A"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1.18</w:t>
            </w:r>
            <w:r w:rsidRPr="004F60AA">
              <w:rPr>
                <w:rFonts w:cs="Times New Roman"/>
                <w:color w:val="000000"/>
                <w:sz w:val="20"/>
                <w:szCs w:val="20"/>
              </w:rPr>
              <w:br/>
              <w:t>(1.06-1.31)</w:t>
            </w:r>
          </w:p>
        </w:tc>
        <w:tc>
          <w:tcPr>
            <w:tcW w:w="1552" w:type="dxa"/>
            <w:shd w:val="clear" w:color="auto" w:fill="D9D9D9" w:themeFill="background1" w:themeFillShade="D9"/>
            <w:vAlign w:val="center"/>
            <w:hideMark/>
          </w:tcPr>
          <w:p w14:paraId="555364B0" w14:textId="622C4E16"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0.82</w:t>
            </w:r>
            <w:r w:rsidRPr="004F60AA">
              <w:rPr>
                <w:rFonts w:cs="Times New Roman"/>
                <w:color w:val="000000"/>
                <w:sz w:val="20"/>
                <w:szCs w:val="20"/>
              </w:rPr>
              <w:br/>
              <w:t>(0.72-0.93)</w:t>
            </w:r>
          </w:p>
        </w:tc>
        <w:tc>
          <w:tcPr>
            <w:tcW w:w="1196" w:type="dxa"/>
            <w:shd w:val="clear" w:color="auto" w:fill="D9D9D9" w:themeFill="background1" w:themeFillShade="D9"/>
            <w:vAlign w:val="center"/>
            <w:hideMark/>
          </w:tcPr>
          <w:p w14:paraId="7B4A9E2F"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97" w:type="dxa"/>
            <w:shd w:val="clear" w:color="auto" w:fill="D9D9D9" w:themeFill="background1" w:themeFillShade="D9"/>
            <w:vAlign w:val="center"/>
            <w:hideMark/>
          </w:tcPr>
          <w:p w14:paraId="78A360A4" w14:textId="5385596D"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0.57</w:t>
            </w:r>
            <w:r w:rsidRPr="004F60AA">
              <w:rPr>
                <w:rFonts w:cs="Times New Roman"/>
                <w:color w:val="000000"/>
                <w:sz w:val="20"/>
                <w:szCs w:val="20"/>
              </w:rPr>
              <w:br/>
              <w:t>(0.49-0.66)</w:t>
            </w:r>
          </w:p>
        </w:tc>
        <w:tc>
          <w:tcPr>
            <w:tcW w:w="1215" w:type="dxa"/>
            <w:shd w:val="clear" w:color="auto" w:fill="D9D9D9" w:themeFill="background1" w:themeFillShade="D9"/>
            <w:vAlign w:val="center"/>
            <w:hideMark/>
          </w:tcPr>
          <w:p w14:paraId="2EBF5F40"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440" w:type="dxa"/>
            <w:shd w:val="clear" w:color="auto" w:fill="D9D9D9" w:themeFill="background1" w:themeFillShade="D9"/>
            <w:vAlign w:val="center"/>
            <w:hideMark/>
          </w:tcPr>
          <w:p w14:paraId="7EB5F4D6" w14:textId="3A162BF6"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1.25</w:t>
            </w:r>
            <w:r w:rsidRPr="004F60AA">
              <w:rPr>
                <w:rFonts w:cs="Times New Roman"/>
                <w:color w:val="000000"/>
                <w:sz w:val="20"/>
                <w:szCs w:val="20"/>
              </w:rPr>
              <w:br/>
              <w:t>(1.00-1.55)</w:t>
            </w:r>
          </w:p>
        </w:tc>
      </w:tr>
      <w:tr w:rsidR="004F60AA" w:rsidRPr="00497635" w14:paraId="729FB754" w14:textId="77777777" w:rsidTr="004F60AA">
        <w:trPr>
          <w:trHeight w:val="52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9D9D9" w:themeFill="background1" w:themeFillShade="D9"/>
            <w:vAlign w:val="center"/>
            <w:hideMark/>
          </w:tcPr>
          <w:p w14:paraId="06CF50D8"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D9D9D9" w:themeFill="background1" w:themeFillShade="D9"/>
            <w:vAlign w:val="center"/>
            <w:hideMark/>
          </w:tcPr>
          <w:p w14:paraId="5A5D1A13" w14:textId="77777777" w:rsidR="004F60AA" w:rsidRPr="003B4337"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roofErr w:type="spellStart"/>
            <w:r w:rsidRPr="003B4337">
              <w:rPr>
                <w:rFonts w:eastAsia="Times New Roman" w:cs="Times New Roman"/>
                <w:color w:val="000000"/>
                <w:sz w:val="20"/>
                <w:szCs w:val="20"/>
                <w:lang w:eastAsia="en-GB"/>
              </w:rPr>
              <w:t>Sex:Female</w:t>
            </w:r>
            <w:proofErr w:type="spellEnd"/>
          </w:p>
        </w:tc>
        <w:tc>
          <w:tcPr>
            <w:tcW w:w="1131" w:type="dxa"/>
            <w:shd w:val="clear" w:color="auto" w:fill="D9D9D9" w:themeFill="background1" w:themeFillShade="D9"/>
            <w:vAlign w:val="center"/>
            <w:hideMark/>
          </w:tcPr>
          <w:p w14:paraId="40BE402A" w14:textId="6816A7B9"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0.06</w:t>
            </w:r>
            <w:r w:rsidRPr="004F60AA">
              <w:rPr>
                <w:rFonts w:cs="Times New Roman"/>
                <w:color w:val="000000"/>
                <w:sz w:val="20"/>
                <w:szCs w:val="20"/>
              </w:rPr>
              <w:br/>
              <w:t>(0.05-0.08)</w:t>
            </w:r>
          </w:p>
        </w:tc>
        <w:tc>
          <w:tcPr>
            <w:tcW w:w="1552" w:type="dxa"/>
            <w:shd w:val="clear" w:color="auto" w:fill="D9D9D9" w:themeFill="background1" w:themeFillShade="D9"/>
            <w:vAlign w:val="center"/>
            <w:hideMark/>
          </w:tcPr>
          <w:p w14:paraId="5DB06F5C"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96" w:type="dxa"/>
            <w:shd w:val="clear" w:color="auto" w:fill="D9D9D9" w:themeFill="background1" w:themeFillShade="D9"/>
            <w:vAlign w:val="center"/>
            <w:hideMark/>
          </w:tcPr>
          <w:p w14:paraId="54AD1009" w14:textId="0BF4158D"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0.68</w:t>
            </w:r>
            <w:r w:rsidRPr="004F60AA">
              <w:rPr>
                <w:rFonts w:cs="Times New Roman"/>
                <w:color w:val="000000"/>
                <w:sz w:val="20"/>
                <w:szCs w:val="20"/>
              </w:rPr>
              <w:br/>
              <w:t>(0.55-0.83)</w:t>
            </w:r>
          </w:p>
        </w:tc>
        <w:tc>
          <w:tcPr>
            <w:tcW w:w="1197" w:type="dxa"/>
            <w:shd w:val="clear" w:color="auto" w:fill="D9D9D9" w:themeFill="background1" w:themeFillShade="D9"/>
            <w:vAlign w:val="center"/>
            <w:hideMark/>
          </w:tcPr>
          <w:p w14:paraId="0E4D0D87"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215" w:type="dxa"/>
            <w:shd w:val="clear" w:color="auto" w:fill="D9D9D9" w:themeFill="background1" w:themeFillShade="D9"/>
            <w:vAlign w:val="center"/>
            <w:hideMark/>
          </w:tcPr>
          <w:p w14:paraId="3D0CA8DE"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440" w:type="dxa"/>
            <w:shd w:val="clear" w:color="auto" w:fill="D9D9D9" w:themeFill="background1" w:themeFillShade="D9"/>
            <w:vAlign w:val="center"/>
            <w:hideMark/>
          </w:tcPr>
          <w:p w14:paraId="29B728A9"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4F60AA" w:rsidRPr="00497635" w14:paraId="0CD43A7E" w14:textId="77777777" w:rsidTr="004F60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9D9D9" w:themeFill="background1" w:themeFillShade="D9"/>
            <w:vAlign w:val="center"/>
            <w:hideMark/>
          </w:tcPr>
          <w:p w14:paraId="74490CD8"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D9D9D9" w:themeFill="background1" w:themeFillShade="D9"/>
            <w:vAlign w:val="center"/>
            <w:hideMark/>
          </w:tcPr>
          <w:p w14:paraId="317EBA13" w14:textId="77777777" w:rsidR="004F60AA" w:rsidRPr="003B4337"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roofErr w:type="spellStart"/>
            <w:r w:rsidRPr="003B4337">
              <w:rPr>
                <w:rFonts w:eastAsia="Times New Roman" w:cs="Times New Roman"/>
                <w:color w:val="000000"/>
                <w:sz w:val="20"/>
                <w:szCs w:val="20"/>
                <w:lang w:eastAsia="en-GB"/>
              </w:rPr>
              <w:t>Sex:Male</w:t>
            </w:r>
            <w:proofErr w:type="spellEnd"/>
          </w:p>
        </w:tc>
        <w:tc>
          <w:tcPr>
            <w:tcW w:w="1131" w:type="dxa"/>
            <w:shd w:val="clear" w:color="auto" w:fill="D9D9D9" w:themeFill="background1" w:themeFillShade="D9"/>
            <w:vAlign w:val="center"/>
            <w:hideMark/>
          </w:tcPr>
          <w:p w14:paraId="65B52B44" w14:textId="3CCFE88B"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0.13</w:t>
            </w:r>
            <w:r w:rsidRPr="004F60AA">
              <w:rPr>
                <w:rFonts w:cs="Times New Roman"/>
                <w:color w:val="000000"/>
                <w:sz w:val="20"/>
                <w:szCs w:val="20"/>
              </w:rPr>
              <w:br/>
              <w:t>(0.08-0.21)</w:t>
            </w:r>
          </w:p>
        </w:tc>
        <w:tc>
          <w:tcPr>
            <w:tcW w:w="1552" w:type="dxa"/>
            <w:shd w:val="clear" w:color="auto" w:fill="D9D9D9" w:themeFill="background1" w:themeFillShade="D9"/>
            <w:vAlign w:val="center"/>
            <w:hideMark/>
          </w:tcPr>
          <w:p w14:paraId="7249AAAA"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96" w:type="dxa"/>
            <w:shd w:val="clear" w:color="auto" w:fill="D9D9D9" w:themeFill="background1" w:themeFillShade="D9"/>
            <w:vAlign w:val="center"/>
            <w:hideMark/>
          </w:tcPr>
          <w:p w14:paraId="0F25293B" w14:textId="4DB47BA3"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1.10</w:t>
            </w:r>
            <w:r w:rsidRPr="004F60AA">
              <w:rPr>
                <w:rFonts w:cs="Times New Roman"/>
                <w:color w:val="000000"/>
                <w:sz w:val="20"/>
                <w:szCs w:val="20"/>
              </w:rPr>
              <w:br/>
              <w:t>(0.76-1.58)</w:t>
            </w:r>
          </w:p>
        </w:tc>
        <w:tc>
          <w:tcPr>
            <w:tcW w:w="1197" w:type="dxa"/>
            <w:shd w:val="clear" w:color="auto" w:fill="D9D9D9" w:themeFill="background1" w:themeFillShade="D9"/>
            <w:vAlign w:val="center"/>
            <w:hideMark/>
          </w:tcPr>
          <w:p w14:paraId="1FAB7E73"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215" w:type="dxa"/>
            <w:shd w:val="clear" w:color="auto" w:fill="D9D9D9" w:themeFill="background1" w:themeFillShade="D9"/>
            <w:vAlign w:val="center"/>
            <w:hideMark/>
          </w:tcPr>
          <w:p w14:paraId="111EB63B"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440" w:type="dxa"/>
            <w:shd w:val="clear" w:color="auto" w:fill="D9D9D9" w:themeFill="background1" w:themeFillShade="D9"/>
            <w:vAlign w:val="center"/>
            <w:hideMark/>
          </w:tcPr>
          <w:p w14:paraId="6241AE9A"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4F60AA" w:rsidRPr="00497635" w14:paraId="37EE264E" w14:textId="77777777" w:rsidTr="004F60AA">
        <w:trPr>
          <w:trHeight w:val="52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9D9D9" w:themeFill="background1" w:themeFillShade="D9"/>
            <w:vAlign w:val="center"/>
            <w:hideMark/>
          </w:tcPr>
          <w:p w14:paraId="44D4A081"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D9D9D9" w:themeFill="background1" w:themeFillShade="D9"/>
            <w:vAlign w:val="center"/>
            <w:hideMark/>
          </w:tcPr>
          <w:p w14:paraId="2C1E5F90" w14:textId="77777777" w:rsidR="004F60AA" w:rsidRPr="003B4337"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roofErr w:type="spellStart"/>
            <w:r w:rsidRPr="003B4337">
              <w:rPr>
                <w:rFonts w:eastAsia="Times New Roman" w:cs="Times New Roman"/>
                <w:color w:val="000000"/>
                <w:sz w:val="20"/>
                <w:szCs w:val="20"/>
                <w:lang w:eastAsia="en-GB"/>
              </w:rPr>
              <w:t>Weight:Sex:Female</w:t>
            </w:r>
            <w:proofErr w:type="spellEnd"/>
          </w:p>
        </w:tc>
        <w:tc>
          <w:tcPr>
            <w:tcW w:w="1131" w:type="dxa"/>
            <w:shd w:val="clear" w:color="auto" w:fill="D9D9D9" w:themeFill="background1" w:themeFillShade="D9"/>
            <w:vAlign w:val="center"/>
            <w:hideMark/>
          </w:tcPr>
          <w:p w14:paraId="2444E3F7" w14:textId="04A79FC8"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0.94</w:t>
            </w:r>
            <w:r w:rsidRPr="004F60AA">
              <w:rPr>
                <w:rFonts w:cs="Times New Roman"/>
                <w:color w:val="000000"/>
                <w:sz w:val="20"/>
                <w:szCs w:val="20"/>
              </w:rPr>
              <w:br/>
              <w:t>(0.79-1.12)</w:t>
            </w:r>
          </w:p>
        </w:tc>
        <w:tc>
          <w:tcPr>
            <w:tcW w:w="1552" w:type="dxa"/>
            <w:shd w:val="clear" w:color="auto" w:fill="D9D9D9" w:themeFill="background1" w:themeFillShade="D9"/>
            <w:vAlign w:val="center"/>
            <w:hideMark/>
          </w:tcPr>
          <w:p w14:paraId="01EA4D9B"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96" w:type="dxa"/>
            <w:shd w:val="clear" w:color="auto" w:fill="D9D9D9" w:themeFill="background1" w:themeFillShade="D9"/>
            <w:vAlign w:val="center"/>
            <w:hideMark/>
          </w:tcPr>
          <w:p w14:paraId="14AFE2BE" w14:textId="58BA35C8"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1.22</w:t>
            </w:r>
            <w:r w:rsidRPr="004F60AA">
              <w:rPr>
                <w:rFonts w:cs="Times New Roman"/>
                <w:color w:val="000000"/>
                <w:sz w:val="20"/>
                <w:szCs w:val="20"/>
              </w:rPr>
              <w:br/>
              <w:t>(1.09-1.37)</w:t>
            </w:r>
          </w:p>
        </w:tc>
        <w:tc>
          <w:tcPr>
            <w:tcW w:w="1197" w:type="dxa"/>
            <w:shd w:val="clear" w:color="auto" w:fill="D9D9D9" w:themeFill="background1" w:themeFillShade="D9"/>
            <w:vAlign w:val="center"/>
            <w:hideMark/>
          </w:tcPr>
          <w:p w14:paraId="3A9A45AE"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215" w:type="dxa"/>
            <w:shd w:val="clear" w:color="auto" w:fill="D9D9D9" w:themeFill="background1" w:themeFillShade="D9"/>
            <w:vAlign w:val="center"/>
            <w:hideMark/>
          </w:tcPr>
          <w:p w14:paraId="4B6FE699"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440" w:type="dxa"/>
            <w:shd w:val="clear" w:color="auto" w:fill="D9D9D9" w:themeFill="background1" w:themeFillShade="D9"/>
            <w:vAlign w:val="center"/>
            <w:hideMark/>
          </w:tcPr>
          <w:p w14:paraId="1EEE52E0" w14:textId="77777777" w:rsidR="004F60AA" w:rsidRPr="004F60AA"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4F60AA" w:rsidRPr="00497635" w14:paraId="5B57B993" w14:textId="77777777" w:rsidTr="004F60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9D9D9" w:themeFill="background1" w:themeFillShade="D9"/>
            <w:vAlign w:val="center"/>
            <w:hideMark/>
          </w:tcPr>
          <w:p w14:paraId="46404A63"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D9D9D9" w:themeFill="background1" w:themeFillShade="D9"/>
            <w:vAlign w:val="center"/>
            <w:hideMark/>
          </w:tcPr>
          <w:p w14:paraId="2B729FD1" w14:textId="77777777" w:rsidR="004F60AA" w:rsidRPr="003B4337"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roofErr w:type="spellStart"/>
            <w:r w:rsidRPr="003B4337">
              <w:rPr>
                <w:rFonts w:eastAsia="Times New Roman" w:cs="Times New Roman"/>
                <w:color w:val="000000"/>
                <w:sz w:val="20"/>
                <w:szCs w:val="20"/>
                <w:lang w:eastAsia="en-GB"/>
              </w:rPr>
              <w:t>Weight:Sex:Male</w:t>
            </w:r>
            <w:proofErr w:type="spellEnd"/>
          </w:p>
        </w:tc>
        <w:tc>
          <w:tcPr>
            <w:tcW w:w="1131" w:type="dxa"/>
            <w:shd w:val="clear" w:color="auto" w:fill="D9D9D9" w:themeFill="background1" w:themeFillShade="D9"/>
            <w:vAlign w:val="center"/>
            <w:hideMark/>
          </w:tcPr>
          <w:p w14:paraId="6769E552" w14:textId="030682A0"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1.19</w:t>
            </w:r>
            <w:r w:rsidRPr="004F60AA">
              <w:rPr>
                <w:rFonts w:cs="Times New Roman"/>
                <w:color w:val="000000"/>
                <w:sz w:val="20"/>
                <w:szCs w:val="20"/>
              </w:rPr>
              <w:br/>
              <w:t>(0.81-1.76)</w:t>
            </w:r>
          </w:p>
        </w:tc>
        <w:tc>
          <w:tcPr>
            <w:tcW w:w="1552" w:type="dxa"/>
            <w:shd w:val="clear" w:color="auto" w:fill="D9D9D9" w:themeFill="background1" w:themeFillShade="D9"/>
            <w:vAlign w:val="center"/>
            <w:hideMark/>
          </w:tcPr>
          <w:p w14:paraId="648F772B"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96" w:type="dxa"/>
            <w:shd w:val="clear" w:color="auto" w:fill="D9D9D9" w:themeFill="background1" w:themeFillShade="D9"/>
            <w:vAlign w:val="center"/>
            <w:hideMark/>
          </w:tcPr>
          <w:p w14:paraId="6EDB9A8A" w14:textId="124F723F"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F60AA">
              <w:rPr>
                <w:rFonts w:cs="Times New Roman"/>
                <w:color w:val="000000"/>
                <w:sz w:val="20"/>
                <w:szCs w:val="20"/>
              </w:rPr>
              <w:t>1.66</w:t>
            </w:r>
            <w:r w:rsidRPr="004F60AA">
              <w:rPr>
                <w:rFonts w:cs="Times New Roman"/>
                <w:color w:val="000000"/>
                <w:sz w:val="20"/>
                <w:szCs w:val="20"/>
              </w:rPr>
              <w:br/>
              <w:t>(1.26-2.19)</w:t>
            </w:r>
          </w:p>
        </w:tc>
        <w:tc>
          <w:tcPr>
            <w:tcW w:w="1197" w:type="dxa"/>
            <w:shd w:val="clear" w:color="auto" w:fill="D9D9D9" w:themeFill="background1" w:themeFillShade="D9"/>
            <w:vAlign w:val="center"/>
            <w:hideMark/>
          </w:tcPr>
          <w:p w14:paraId="79C48BE0"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215" w:type="dxa"/>
            <w:shd w:val="clear" w:color="auto" w:fill="D9D9D9" w:themeFill="background1" w:themeFillShade="D9"/>
            <w:vAlign w:val="center"/>
            <w:hideMark/>
          </w:tcPr>
          <w:p w14:paraId="04371860"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440" w:type="dxa"/>
            <w:shd w:val="clear" w:color="auto" w:fill="D9D9D9" w:themeFill="background1" w:themeFillShade="D9"/>
            <w:vAlign w:val="center"/>
            <w:hideMark/>
          </w:tcPr>
          <w:p w14:paraId="50AEC210" w14:textId="77777777" w:rsidR="004F60AA" w:rsidRPr="004F60AA"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4F60AA" w:rsidRPr="00497635" w14:paraId="2E04E55A" w14:textId="77777777" w:rsidTr="004F60AA">
        <w:trPr>
          <w:trHeight w:val="289"/>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BFBFBF" w:themeFill="background1" w:themeFillShade="BF"/>
            <w:vAlign w:val="center"/>
            <w:hideMark/>
          </w:tcPr>
          <w:p w14:paraId="4F772D78" w14:textId="77777777" w:rsidR="004F60AA" w:rsidRPr="003B4337" w:rsidRDefault="004F60AA" w:rsidP="004F60AA">
            <w:pPr>
              <w:spacing w:line="240" w:lineRule="auto"/>
              <w:jc w:val="center"/>
              <w:rPr>
                <w:rFonts w:eastAsia="Times New Roman" w:cs="Times New Roman"/>
                <w:color w:val="000000"/>
                <w:sz w:val="20"/>
                <w:szCs w:val="20"/>
                <w:lang w:eastAsia="en-GB"/>
              </w:rPr>
            </w:pPr>
            <w:r w:rsidRPr="003B4337">
              <w:rPr>
                <w:rFonts w:eastAsia="Times New Roman" w:cs="Times New Roman"/>
                <w:color w:val="000000"/>
                <w:sz w:val="20"/>
                <w:szCs w:val="20"/>
                <w:lang w:eastAsia="en-GB"/>
              </w:rPr>
              <w:t>Model performance</w:t>
            </w:r>
          </w:p>
        </w:tc>
        <w:tc>
          <w:tcPr>
            <w:tcW w:w="1805" w:type="dxa"/>
            <w:shd w:val="clear" w:color="auto" w:fill="BFBFBF" w:themeFill="background1" w:themeFillShade="BF"/>
            <w:vAlign w:val="center"/>
            <w:hideMark/>
          </w:tcPr>
          <w:p w14:paraId="2A18321B" w14:textId="77777777" w:rsidR="004F60AA" w:rsidRPr="003B4337"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B4337">
              <w:rPr>
                <w:rFonts w:eastAsia="Times New Roman" w:cs="Times New Roman"/>
                <w:b/>
                <w:bCs/>
                <w:color w:val="000000"/>
                <w:sz w:val="20"/>
                <w:szCs w:val="20"/>
                <w:lang w:eastAsia="en-GB"/>
              </w:rPr>
              <w:t>Marginal R²</w:t>
            </w:r>
          </w:p>
        </w:tc>
        <w:tc>
          <w:tcPr>
            <w:tcW w:w="1131" w:type="dxa"/>
            <w:shd w:val="clear" w:color="auto" w:fill="BFBFBF" w:themeFill="background1" w:themeFillShade="BF"/>
            <w:vAlign w:val="center"/>
            <w:hideMark/>
          </w:tcPr>
          <w:p w14:paraId="7D4703A8" w14:textId="5402152F"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(0.22)</w:t>
            </w:r>
          </w:p>
        </w:tc>
        <w:tc>
          <w:tcPr>
            <w:tcW w:w="1552" w:type="dxa"/>
            <w:shd w:val="clear" w:color="auto" w:fill="BFBFBF" w:themeFill="background1" w:themeFillShade="BF"/>
            <w:vAlign w:val="center"/>
            <w:hideMark/>
          </w:tcPr>
          <w:p w14:paraId="286439AC" w14:textId="1264B127"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(0.20/0.18)</w:t>
            </w:r>
          </w:p>
        </w:tc>
        <w:tc>
          <w:tcPr>
            <w:tcW w:w="1196" w:type="dxa"/>
            <w:shd w:val="clear" w:color="auto" w:fill="BFBFBF" w:themeFill="background1" w:themeFillShade="BF"/>
            <w:vAlign w:val="center"/>
            <w:hideMark/>
          </w:tcPr>
          <w:p w14:paraId="280535DB" w14:textId="0A062F2F"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(0.16)</w:t>
            </w:r>
          </w:p>
        </w:tc>
        <w:tc>
          <w:tcPr>
            <w:tcW w:w="1197" w:type="dxa"/>
            <w:shd w:val="clear" w:color="auto" w:fill="BFBFBF" w:themeFill="background1" w:themeFillShade="BF"/>
            <w:vAlign w:val="center"/>
            <w:hideMark/>
          </w:tcPr>
          <w:p w14:paraId="6AEFD924" w14:textId="6026DEDC"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(0.26)</w:t>
            </w:r>
          </w:p>
        </w:tc>
        <w:tc>
          <w:tcPr>
            <w:tcW w:w="1215" w:type="dxa"/>
            <w:shd w:val="clear" w:color="auto" w:fill="BFBFBF" w:themeFill="background1" w:themeFillShade="BF"/>
            <w:vAlign w:val="center"/>
            <w:hideMark/>
          </w:tcPr>
          <w:p w14:paraId="0E6A17F7" w14:textId="1AFCFCFB"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(0.21)</w:t>
            </w:r>
          </w:p>
        </w:tc>
        <w:tc>
          <w:tcPr>
            <w:tcW w:w="1440" w:type="dxa"/>
            <w:shd w:val="clear" w:color="auto" w:fill="BFBFBF" w:themeFill="background1" w:themeFillShade="BF"/>
            <w:vAlign w:val="center"/>
            <w:hideMark/>
          </w:tcPr>
          <w:p w14:paraId="17262923" w14:textId="6E6597CA" w:rsidR="004F60AA" w:rsidRPr="00332AB6" w:rsidRDefault="004F60AA" w:rsidP="004F60A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(0.29/0.27)</w:t>
            </w:r>
          </w:p>
        </w:tc>
      </w:tr>
      <w:tr w:rsidR="004F60AA" w:rsidRPr="00497635" w14:paraId="54C7B86F" w14:textId="77777777" w:rsidTr="004F60A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vAlign w:val="center"/>
            <w:hideMark/>
          </w:tcPr>
          <w:p w14:paraId="0CDF8C09" w14:textId="77777777" w:rsidR="004F60AA" w:rsidRPr="003B4337" w:rsidRDefault="004F60AA" w:rsidP="004F60AA">
            <w:pPr>
              <w:spacing w:line="240" w:lineRule="auto"/>
              <w:jc w:val="center"/>
              <w:rPr>
                <w:rFonts w:eastAsia="Times New Roman" w:cs="Times New Roman"/>
                <w:color w:val="000000"/>
                <w:sz w:val="20"/>
                <w:szCs w:val="20"/>
                <w:lang w:eastAsia="en-GB"/>
              </w:rPr>
            </w:pPr>
          </w:p>
        </w:tc>
        <w:tc>
          <w:tcPr>
            <w:tcW w:w="1805" w:type="dxa"/>
            <w:shd w:val="clear" w:color="auto" w:fill="BFBFBF" w:themeFill="background1" w:themeFillShade="BF"/>
            <w:vAlign w:val="center"/>
            <w:hideMark/>
          </w:tcPr>
          <w:p w14:paraId="770BDCAE" w14:textId="77777777" w:rsidR="004F60AA" w:rsidRPr="003B4337"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B4337">
              <w:rPr>
                <w:rFonts w:eastAsia="Times New Roman" w:cs="Times New Roman"/>
                <w:b/>
                <w:bCs/>
                <w:color w:val="000000"/>
                <w:sz w:val="20"/>
                <w:szCs w:val="20"/>
                <w:lang w:eastAsia="en-GB"/>
              </w:rPr>
              <w:t>Conditional R²</w:t>
            </w:r>
          </w:p>
        </w:tc>
        <w:tc>
          <w:tcPr>
            <w:tcW w:w="1131" w:type="dxa"/>
            <w:shd w:val="clear" w:color="auto" w:fill="BFBFBF" w:themeFill="background1" w:themeFillShade="BF"/>
            <w:vAlign w:val="center"/>
            <w:hideMark/>
          </w:tcPr>
          <w:p w14:paraId="1D1DEDE2" w14:textId="3AEB082D"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(0.25)</w:t>
            </w:r>
          </w:p>
        </w:tc>
        <w:tc>
          <w:tcPr>
            <w:tcW w:w="1552" w:type="dxa"/>
            <w:shd w:val="clear" w:color="auto" w:fill="BFBFBF" w:themeFill="background1" w:themeFillShade="BF"/>
            <w:vAlign w:val="center"/>
            <w:hideMark/>
          </w:tcPr>
          <w:p w14:paraId="203BB585" w14:textId="1598CCA0"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(0.31/0.31)</w:t>
            </w:r>
          </w:p>
        </w:tc>
        <w:tc>
          <w:tcPr>
            <w:tcW w:w="1196" w:type="dxa"/>
            <w:shd w:val="clear" w:color="auto" w:fill="BFBFBF" w:themeFill="background1" w:themeFillShade="BF"/>
            <w:vAlign w:val="center"/>
            <w:hideMark/>
          </w:tcPr>
          <w:p w14:paraId="2DAF6E8F" w14:textId="636DAB73"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(0.33)</w:t>
            </w:r>
          </w:p>
        </w:tc>
        <w:tc>
          <w:tcPr>
            <w:tcW w:w="1197" w:type="dxa"/>
            <w:shd w:val="clear" w:color="auto" w:fill="BFBFBF" w:themeFill="background1" w:themeFillShade="BF"/>
            <w:vAlign w:val="center"/>
            <w:hideMark/>
          </w:tcPr>
          <w:p w14:paraId="3E31231D" w14:textId="0A1CFC7A"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(0.35)</w:t>
            </w:r>
          </w:p>
        </w:tc>
        <w:tc>
          <w:tcPr>
            <w:tcW w:w="1215" w:type="dxa"/>
            <w:shd w:val="clear" w:color="auto" w:fill="BFBFBF" w:themeFill="background1" w:themeFillShade="BF"/>
            <w:vAlign w:val="center"/>
            <w:hideMark/>
          </w:tcPr>
          <w:p w14:paraId="7E1CEE17" w14:textId="6C6AB887"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(0.41)</w:t>
            </w:r>
          </w:p>
        </w:tc>
        <w:tc>
          <w:tcPr>
            <w:tcW w:w="1440" w:type="dxa"/>
            <w:shd w:val="clear" w:color="auto" w:fill="BFBFBF" w:themeFill="background1" w:themeFillShade="BF"/>
            <w:vAlign w:val="center"/>
            <w:hideMark/>
          </w:tcPr>
          <w:p w14:paraId="36E6F166" w14:textId="12B785C4" w:rsidR="004F60AA" w:rsidRPr="00332AB6" w:rsidRDefault="004F60AA" w:rsidP="004F60A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(0.37/0.36)</w:t>
            </w:r>
          </w:p>
        </w:tc>
      </w:tr>
    </w:tbl>
    <w:p w14:paraId="36C8CBC5" w14:textId="3E16ABF4" w:rsidR="00543B8D" w:rsidRDefault="00543B8D" w:rsidP="003B4337">
      <w:pPr>
        <w:spacing w:line="259" w:lineRule="auto"/>
        <w:jc w:val="left"/>
        <w:rPr>
          <w:b/>
          <w:bCs/>
        </w:rPr>
      </w:pPr>
    </w:p>
    <w:p w14:paraId="06CF97F2" w14:textId="6504CC65" w:rsidR="001810C0" w:rsidRDefault="001810C0" w:rsidP="003B4337">
      <w:pPr>
        <w:spacing w:line="259" w:lineRule="auto"/>
        <w:jc w:val="left"/>
        <w:rPr>
          <w:b/>
          <w:bCs/>
        </w:rPr>
      </w:pPr>
    </w:p>
    <w:p w14:paraId="486AAA69" w14:textId="77777777" w:rsidR="00ED5A5C" w:rsidRDefault="00ED5A5C" w:rsidP="001810C0">
      <w:pPr>
        <w:rPr>
          <w:b/>
          <w:bCs/>
        </w:rPr>
      </w:pPr>
    </w:p>
    <w:p w14:paraId="263E95D7" w14:textId="77777777" w:rsidR="00ED5A5C" w:rsidRDefault="00ED5A5C" w:rsidP="001810C0">
      <w:pPr>
        <w:rPr>
          <w:b/>
          <w:bCs/>
        </w:rPr>
      </w:pPr>
    </w:p>
    <w:p w14:paraId="0BE7BCE4" w14:textId="77777777" w:rsidR="00ED5A5C" w:rsidRDefault="00ED5A5C" w:rsidP="001810C0">
      <w:pPr>
        <w:rPr>
          <w:b/>
          <w:bCs/>
        </w:rPr>
      </w:pPr>
    </w:p>
    <w:p w14:paraId="2247CA38" w14:textId="77777777" w:rsidR="00ED5A5C" w:rsidRDefault="00ED5A5C" w:rsidP="001810C0">
      <w:pPr>
        <w:rPr>
          <w:b/>
          <w:bCs/>
        </w:rPr>
      </w:pPr>
    </w:p>
    <w:p w14:paraId="24366755" w14:textId="56EE86D5" w:rsidR="001810C0" w:rsidRPr="00DC6235" w:rsidRDefault="001810C0" w:rsidP="001810C0">
      <w:pPr>
        <w:rPr>
          <w:b/>
        </w:rPr>
      </w:pPr>
      <w:r>
        <w:rPr>
          <w:b/>
          <w:bCs/>
        </w:rPr>
        <w:t>Table S</w:t>
      </w:r>
      <w:r w:rsidR="00F5697C">
        <w:rPr>
          <w:b/>
          <w:bCs/>
        </w:rPr>
        <w:t>3</w:t>
      </w:r>
      <w:r>
        <w:rPr>
          <w:b/>
          <w:bCs/>
        </w:rPr>
        <w:t xml:space="preserve">.2 </w:t>
      </w:r>
      <w:r w:rsidR="00E56114" w:rsidRPr="00A21B01">
        <w:rPr>
          <w:szCs w:val="24"/>
        </w:rPr>
        <w:t xml:space="preserve">Coefficients estimates (Odds ratio +/- 85% CIs) </w:t>
      </w:r>
      <w:r w:rsidR="00E103FB" w:rsidRPr="00A21B01">
        <w:rPr>
          <w:szCs w:val="24"/>
        </w:rPr>
        <w:t>of</w:t>
      </w:r>
      <w:r w:rsidR="00E103FB">
        <w:rPr>
          <w:szCs w:val="24"/>
        </w:rPr>
        <w:t xml:space="preserve"> the best models from the </w:t>
      </w:r>
      <w:r w:rsidR="00E103FB">
        <w:rPr>
          <w:highlight w:val="green"/>
        </w:rPr>
        <w:t>contemporary</w:t>
      </w:r>
      <w:r w:rsidR="00E103FB" w:rsidRPr="00FD3EBE">
        <w:rPr>
          <w:highlight w:val="green"/>
        </w:rPr>
        <w:t xml:space="preserve"> host and vector-centred analysis</w:t>
      </w:r>
      <w:r w:rsidR="00E56114" w:rsidRPr="00A21B01">
        <w:rPr>
          <w:szCs w:val="24"/>
        </w:rPr>
        <w:t xml:space="preserve"> (</w:t>
      </w:r>
      <w:r w:rsidR="00E56114" w:rsidRPr="00E103FB">
        <w:rPr>
          <w:i/>
          <w:iCs/>
          <w:szCs w:val="24"/>
        </w:rPr>
        <w:t xml:space="preserve">Analysis </w:t>
      </w:r>
      <w:r w:rsidR="00E103FB" w:rsidRPr="00E103FB">
        <w:rPr>
          <w:i/>
          <w:iCs/>
          <w:szCs w:val="24"/>
        </w:rPr>
        <w:t>I</w:t>
      </w:r>
      <w:r w:rsidR="00E56114" w:rsidRPr="00E103FB">
        <w:rPr>
          <w:i/>
          <w:iCs/>
          <w:szCs w:val="24"/>
        </w:rPr>
        <w:t>V</w:t>
      </w:r>
      <w:r w:rsidR="00E56114" w:rsidRPr="00A21B01">
        <w:rPr>
          <w:szCs w:val="24"/>
        </w:rPr>
        <w:t>) for ectoparasites only. Informative parameters are presented in bold. conditional R</w:t>
      </w:r>
      <w:r w:rsidR="00E56114" w:rsidRPr="00A21B01">
        <w:rPr>
          <w:szCs w:val="24"/>
          <w:vertAlign w:val="superscript"/>
        </w:rPr>
        <w:t xml:space="preserve">2 </w:t>
      </w:r>
      <w:r w:rsidR="00E56114" w:rsidRPr="00A21B01">
        <w:rPr>
          <w:szCs w:val="24"/>
        </w:rPr>
        <w:t>= variation explained by full model including random effects; marginal R</w:t>
      </w:r>
      <w:r w:rsidR="00E56114" w:rsidRPr="00A21B01">
        <w:rPr>
          <w:szCs w:val="24"/>
          <w:vertAlign w:val="superscript"/>
        </w:rPr>
        <w:t>2</w:t>
      </w:r>
      <w:r w:rsidR="00E56114" w:rsidRPr="00A21B01">
        <w:rPr>
          <w:szCs w:val="24"/>
        </w:rPr>
        <w:t xml:space="preserve"> = variation explained by fixed effects only as. </w:t>
      </w:r>
    </w:p>
    <w:tbl>
      <w:tblPr>
        <w:tblStyle w:val="PlainTable2"/>
        <w:tblW w:w="9340" w:type="dxa"/>
        <w:tblLook w:val="04A0" w:firstRow="1" w:lastRow="0" w:firstColumn="1" w:lastColumn="0" w:noHBand="0" w:noVBand="1"/>
      </w:tblPr>
      <w:tblGrid>
        <w:gridCol w:w="1940"/>
        <w:gridCol w:w="2171"/>
        <w:gridCol w:w="1985"/>
        <w:gridCol w:w="1701"/>
        <w:gridCol w:w="1543"/>
      </w:tblGrid>
      <w:tr w:rsidR="00ED5A5C" w:rsidRPr="00ED5A5C" w14:paraId="21C74E39" w14:textId="77777777" w:rsidTr="00AC2C9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vAlign w:val="center"/>
            <w:hideMark/>
          </w:tcPr>
          <w:p w14:paraId="058BE0F5" w14:textId="77777777" w:rsidR="00ED5A5C" w:rsidRPr="00ED5A5C" w:rsidRDefault="00ED5A5C" w:rsidP="00ED5A5C">
            <w:pPr>
              <w:spacing w:line="240" w:lineRule="auto"/>
              <w:jc w:val="center"/>
              <w:rPr>
                <w:rFonts w:eastAsia="Times New Roman" w:cs="Times New Roman"/>
                <w:color w:val="000000"/>
                <w:sz w:val="20"/>
                <w:szCs w:val="20"/>
                <w:lang w:eastAsia="en-GB"/>
              </w:rPr>
            </w:pPr>
            <w:r w:rsidRPr="00ED5A5C">
              <w:rPr>
                <w:rFonts w:eastAsia="Times New Roman" w:cs="Times New Roman"/>
                <w:color w:val="000000"/>
                <w:sz w:val="20"/>
                <w:szCs w:val="20"/>
                <w:lang w:eastAsia="en-GB"/>
              </w:rPr>
              <w:t>Stage</w:t>
            </w:r>
          </w:p>
        </w:tc>
        <w:tc>
          <w:tcPr>
            <w:tcW w:w="2171" w:type="dxa"/>
            <w:vAlign w:val="center"/>
            <w:hideMark/>
          </w:tcPr>
          <w:p w14:paraId="6241BCB1" w14:textId="77777777" w:rsidR="00ED5A5C" w:rsidRPr="00ED5A5C" w:rsidRDefault="00ED5A5C" w:rsidP="00ED5A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ED5A5C">
              <w:rPr>
                <w:rFonts w:eastAsia="Times New Roman" w:cs="Times New Roman"/>
                <w:color w:val="000000"/>
                <w:sz w:val="20"/>
                <w:szCs w:val="20"/>
                <w:lang w:eastAsia="en-GB"/>
              </w:rPr>
              <w:t>Variable</w:t>
            </w:r>
          </w:p>
        </w:tc>
        <w:tc>
          <w:tcPr>
            <w:tcW w:w="1985" w:type="dxa"/>
            <w:vAlign w:val="center"/>
            <w:hideMark/>
          </w:tcPr>
          <w:p w14:paraId="0EF0BA28" w14:textId="77777777" w:rsidR="00ED5A5C" w:rsidRPr="00ED5008" w:rsidRDefault="00ED5A5C" w:rsidP="00ED5A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Fleas</w:t>
            </w:r>
          </w:p>
        </w:tc>
        <w:tc>
          <w:tcPr>
            <w:tcW w:w="1701" w:type="dxa"/>
            <w:vAlign w:val="center"/>
            <w:hideMark/>
          </w:tcPr>
          <w:p w14:paraId="44223A91" w14:textId="77777777" w:rsidR="00ED5A5C" w:rsidRPr="00ED5008" w:rsidRDefault="00ED5A5C" w:rsidP="00ED5A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I. trianguliceps</w:t>
            </w:r>
          </w:p>
        </w:tc>
        <w:tc>
          <w:tcPr>
            <w:tcW w:w="1543" w:type="dxa"/>
            <w:vAlign w:val="center"/>
            <w:hideMark/>
          </w:tcPr>
          <w:p w14:paraId="702DA2B1" w14:textId="77777777" w:rsidR="00ED5A5C" w:rsidRPr="00ED5008" w:rsidRDefault="00ED5A5C" w:rsidP="00ED5A5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I. ricinus</w:t>
            </w:r>
          </w:p>
        </w:tc>
      </w:tr>
      <w:tr w:rsidR="00D05E29" w:rsidRPr="00ED5A5C" w14:paraId="53376C5C" w14:textId="77777777" w:rsidTr="00D05E2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40" w:type="dxa"/>
            <w:vMerge w:val="restart"/>
            <w:shd w:val="clear" w:color="auto" w:fill="F2F2F2" w:themeFill="background1" w:themeFillShade="F2"/>
            <w:vAlign w:val="center"/>
            <w:hideMark/>
          </w:tcPr>
          <w:p w14:paraId="7610A62A" w14:textId="77777777" w:rsidR="00D05E29" w:rsidRPr="00ED5A5C" w:rsidRDefault="00D05E29" w:rsidP="00D05E29">
            <w:pPr>
              <w:spacing w:line="240" w:lineRule="auto"/>
              <w:jc w:val="center"/>
              <w:rPr>
                <w:rFonts w:eastAsia="Times New Roman" w:cs="Times New Roman"/>
                <w:color w:val="000000"/>
                <w:sz w:val="20"/>
                <w:szCs w:val="20"/>
                <w:lang w:eastAsia="en-GB"/>
              </w:rPr>
            </w:pPr>
            <w:r w:rsidRPr="00ED5A5C">
              <w:rPr>
                <w:rFonts w:eastAsia="Times New Roman" w:cs="Times New Roman"/>
                <w:color w:val="000000"/>
                <w:sz w:val="20"/>
                <w:szCs w:val="20"/>
                <w:lang w:eastAsia="en-GB"/>
              </w:rPr>
              <w:t>Current year</w:t>
            </w:r>
          </w:p>
        </w:tc>
        <w:tc>
          <w:tcPr>
            <w:tcW w:w="2171" w:type="dxa"/>
            <w:shd w:val="clear" w:color="auto" w:fill="F2F2F2" w:themeFill="background1" w:themeFillShade="F2"/>
            <w:vAlign w:val="center"/>
            <w:hideMark/>
          </w:tcPr>
          <w:p w14:paraId="77C381B4" w14:textId="77777777" w:rsidR="00D05E29" w:rsidRPr="00B51AAD"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B51AAD">
              <w:rPr>
                <w:rFonts w:eastAsia="Times New Roman" w:cs="Times New Roman"/>
                <w:color w:val="000000"/>
                <w:sz w:val="20"/>
                <w:szCs w:val="20"/>
                <w:lang w:eastAsia="en-GB"/>
              </w:rPr>
              <w:t>Local-scale host abundance</w:t>
            </w:r>
          </w:p>
        </w:tc>
        <w:tc>
          <w:tcPr>
            <w:tcW w:w="1985" w:type="dxa"/>
            <w:shd w:val="clear" w:color="auto" w:fill="F2F2F2" w:themeFill="background1" w:themeFillShade="F2"/>
            <w:vAlign w:val="center"/>
            <w:hideMark/>
          </w:tcPr>
          <w:p w14:paraId="2253DEB0" w14:textId="77777777" w:rsidR="00D05E29" w:rsidRPr="00332AB6"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c>
          <w:tcPr>
            <w:tcW w:w="1701" w:type="dxa"/>
            <w:shd w:val="clear" w:color="auto" w:fill="F2F2F2" w:themeFill="background1" w:themeFillShade="F2"/>
            <w:vAlign w:val="center"/>
            <w:hideMark/>
          </w:tcPr>
          <w:p w14:paraId="0692C901" w14:textId="77777777" w:rsidR="00D05E29" w:rsidRPr="00332AB6"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c>
          <w:tcPr>
            <w:tcW w:w="1543" w:type="dxa"/>
            <w:shd w:val="clear" w:color="auto" w:fill="F2F2F2" w:themeFill="background1" w:themeFillShade="F2"/>
            <w:vAlign w:val="center"/>
            <w:hideMark/>
          </w:tcPr>
          <w:p w14:paraId="4835CE48" w14:textId="4791EE19" w:rsidR="00D05E29" w:rsidRPr="00332AB6"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0.80</w:t>
            </w:r>
            <w:r w:rsidRPr="00332AB6">
              <w:rPr>
                <w:rFonts w:cs="Times New Roman"/>
                <w:b/>
                <w:bCs/>
                <w:color w:val="000000"/>
                <w:sz w:val="20"/>
                <w:szCs w:val="20"/>
              </w:rPr>
              <w:br/>
            </w:r>
            <w:r w:rsidR="00332AB6">
              <w:rPr>
                <w:rFonts w:cs="Times New Roman"/>
                <w:b/>
                <w:bCs/>
                <w:color w:val="000000"/>
                <w:sz w:val="20"/>
                <w:szCs w:val="20"/>
              </w:rPr>
              <w:t>(</w:t>
            </w:r>
            <w:r w:rsidRPr="00332AB6">
              <w:rPr>
                <w:rFonts w:cs="Times New Roman"/>
                <w:b/>
                <w:bCs/>
                <w:color w:val="000000"/>
                <w:sz w:val="20"/>
                <w:szCs w:val="20"/>
              </w:rPr>
              <w:t>0.69-0.93)</w:t>
            </w:r>
          </w:p>
        </w:tc>
      </w:tr>
      <w:tr w:rsidR="00D05E29" w:rsidRPr="00ED5A5C" w14:paraId="741A65E8" w14:textId="77777777" w:rsidTr="00D05E29">
        <w:trPr>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F2F2F2" w:themeFill="background1" w:themeFillShade="F2"/>
            <w:vAlign w:val="center"/>
            <w:hideMark/>
          </w:tcPr>
          <w:p w14:paraId="1044D4D9"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F2F2F2" w:themeFill="background1" w:themeFillShade="F2"/>
            <w:vAlign w:val="center"/>
            <w:hideMark/>
          </w:tcPr>
          <w:p w14:paraId="3BA650FD" w14:textId="77777777" w:rsidR="00D05E29" w:rsidRPr="00B51AAD"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B51AAD">
              <w:rPr>
                <w:rFonts w:eastAsia="Times New Roman" w:cs="Times New Roman"/>
                <w:color w:val="000000"/>
                <w:sz w:val="20"/>
                <w:szCs w:val="20"/>
                <w:lang w:eastAsia="en-GB"/>
              </w:rPr>
              <w:t>Landscape-scale host connectivity</w:t>
            </w:r>
          </w:p>
        </w:tc>
        <w:tc>
          <w:tcPr>
            <w:tcW w:w="1985" w:type="dxa"/>
            <w:shd w:val="clear" w:color="auto" w:fill="F2F2F2" w:themeFill="background1" w:themeFillShade="F2"/>
            <w:vAlign w:val="center"/>
            <w:hideMark/>
          </w:tcPr>
          <w:p w14:paraId="767DD0AD" w14:textId="77777777" w:rsidR="00D05E29" w:rsidRPr="00332AB6"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p>
        </w:tc>
        <w:tc>
          <w:tcPr>
            <w:tcW w:w="1701" w:type="dxa"/>
            <w:shd w:val="clear" w:color="auto" w:fill="F2F2F2" w:themeFill="background1" w:themeFillShade="F2"/>
            <w:vAlign w:val="center"/>
            <w:hideMark/>
          </w:tcPr>
          <w:p w14:paraId="53BB63B9" w14:textId="77777777" w:rsidR="00D05E29" w:rsidRPr="00332AB6"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GB"/>
              </w:rPr>
            </w:pPr>
          </w:p>
        </w:tc>
        <w:tc>
          <w:tcPr>
            <w:tcW w:w="1543" w:type="dxa"/>
            <w:shd w:val="clear" w:color="auto" w:fill="F2F2F2" w:themeFill="background1" w:themeFillShade="F2"/>
            <w:vAlign w:val="center"/>
            <w:hideMark/>
          </w:tcPr>
          <w:p w14:paraId="56ED992E" w14:textId="77777777" w:rsidR="00D05E29" w:rsidRPr="00332AB6"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GB"/>
              </w:rPr>
            </w:pPr>
          </w:p>
        </w:tc>
      </w:tr>
      <w:tr w:rsidR="00D05E29" w:rsidRPr="00ED5A5C" w14:paraId="7C057E39" w14:textId="77777777" w:rsidTr="00D05E2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F2F2F2" w:themeFill="background1" w:themeFillShade="F2"/>
            <w:vAlign w:val="center"/>
            <w:hideMark/>
          </w:tcPr>
          <w:p w14:paraId="33C45A36"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F2F2F2" w:themeFill="background1" w:themeFillShade="F2"/>
            <w:vAlign w:val="center"/>
            <w:hideMark/>
          </w:tcPr>
          <w:p w14:paraId="0EC596DF" w14:textId="77777777" w:rsidR="00D05E29" w:rsidRPr="00B51AAD"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B51AAD">
              <w:rPr>
                <w:rFonts w:eastAsia="Times New Roman" w:cs="Times New Roman"/>
                <w:color w:val="000000"/>
                <w:sz w:val="20"/>
                <w:szCs w:val="20"/>
                <w:lang w:eastAsia="en-GB"/>
              </w:rPr>
              <w:t>Metapopulation-scale host abundance</w:t>
            </w:r>
          </w:p>
        </w:tc>
        <w:tc>
          <w:tcPr>
            <w:tcW w:w="1985" w:type="dxa"/>
            <w:shd w:val="clear" w:color="auto" w:fill="F2F2F2" w:themeFill="background1" w:themeFillShade="F2"/>
            <w:vAlign w:val="center"/>
            <w:hideMark/>
          </w:tcPr>
          <w:p w14:paraId="4D39A6E7" w14:textId="77777777" w:rsidR="00D05E29" w:rsidRPr="00332AB6"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c>
          <w:tcPr>
            <w:tcW w:w="1701" w:type="dxa"/>
            <w:shd w:val="clear" w:color="auto" w:fill="F2F2F2" w:themeFill="background1" w:themeFillShade="F2"/>
            <w:vAlign w:val="center"/>
            <w:hideMark/>
          </w:tcPr>
          <w:p w14:paraId="37C4C71B" w14:textId="67114567" w:rsidR="00D05E29" w:rsidRPr="00332AB6"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1.55</w:t>
            </w:r>
            <w:r w:rsidRPr="00332AB6">
              <w:rPr>
                <w:rFonts w:cs="Times New Roman"/>
                <w:b/>
                <w:bCs/>
                <w:color w:val="000000"/>
                <w:sz w:val="20"/>
                <w:szCs w:val="20"/>
              </w:rPr>
              <w:br/>
            </w:r>
            <w:r w:rsidR="00332AB6">
              <w:rPr>
                <w:rFonts w:cs="Times New Roman"/>
                <w:b/>
                <w:bCs/>
                <w:color w:val="000000"/>
                <w:sz w:val="20"/>
                <w:szCs w:val="20"/>
              </w:rPr>
              <w:t>(</w:t>
            </w:r>
            <w:r w:rsidRPr="00332AB6">
              <w:rPr>
                <w:rFonts w:cs="Times New Roman"/>
                <w:b/>
                <w:bCs/>
                <w:color w:val="000000"/>
                <w:sz w:val="20"/>
                <w:szCs w:val="20"/>
              </w:rPr>
              <w:t>1.27-1.89)</w:t>
            </w:r>
          </w:p>
        </w:tc>
        <w:tc>
          <w:tcPr>
            <w:tcW w:w="1543" w:type="dxa"/>
            <w:shd w:val="clear" w:color="auto" w:fill="F2F2F2" w:themeFill="background1" w:themeFillShade="F2"/>
            <w:vAlign w:val="center"/>
            <w:hideMark/>
          </w:tcPr>
          <w:p w14:paraId="131732D3" w14:textId="44680EEC" w:rsidR="00D05E29" w:rsidRPr="00332AB6"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332AB6">
              <w:rPr>
                <w:rFonts w:cs="Times New Roman"/>
                <w:b/>
                <w:bCs/>
                <w:color w:val="000000"/>
                <w:sz w:val="20"/>
                <w:szCs w:val="20"/>
              </w:rPr>
              <w:t>1.39</w:t>
            </w:r>
            <w:r w:rsidRPr="00332AB6">
              <w:rPr>
                <w:rFonts w:cs="Times New Roman"/>
                <w:b/>
                <w:bCs/>
                <w:color w:val="000000"/>
                <w:sz w:val="20"/>
                <w:szCs w:val="20"/>
              </w:rPr>
              <w:br/>
            </w:r>
            <w:r w:rsidR="00332AB6">
              <w:rPr>
                <w:rFonts w:cs="Times New Roman"/>
                <w:b/>
                <w:bCs/>
                <w:color w:val="000000"/>
                <w:sz w:val="20"/>
                <w:szCs w:val="20"/>
              </w:rPr>
              <w:t>(</w:t>
            </w:r>
            <w:r w:rsidRPr="00332AB6">
              <w:rPr>
                <w:rFonts w:cs="Times New Roman"/>
                <w:b/>
                <w:bCs/>
                <w:color w:val="000000"/>
                <w:sz w:val="20"/>
                <w:szCs w:val="20"/>
              </w:rPr>
              <w:t>1.17-1.66)</w:t>
            </w:r>
          </w:p>
        </w:tc>
      </w:tr>
      <w:tr w:rsidR="00D05E29" w:rsidRPr="00ED5A5C" w14:paraId="0D2EFABD" w14:textId="77777777" w:rsidTr="00D05E29">
        <w:trPr>
          <w:trHeight w:val="580"/>
        </w:trPr>
        <w:tc>
          <w:tcPr>
            <w:cnfStyle w:val="001000000000" w:firstRow="0" w:lastRow="0" w:firstColumn="1" w:lastColumn="0" w:oddVBand="0" w:evenVBand="0" w:oddHBand="0" w:evenHBand="0" w:firstRowFirstColumn="0" w:firstRowLastColumn="0" w:lastRowFirstColumn="0" w:lastRowLastColumn="0"/>
            <w:tcW w:w="1940" w:type="dxa"/>
            <w:vMerge w:val="restart"/>
            <w:shd w:val="clear" w:color="auto" w:fill="D9D9D9" w:themeFill="background1" w:themeFillShade="D9"/>
            <w:vAlign w:val="center"/>
            <w:hideMark/>
          </w:tcPr>
          <w:p w14:paraId="79C84C09" w14:textId="77777777" w:rsidR="00D05E29" w:rsidRPr="00ED5A5C" w:rsidRDefault="00D05E29" w:rsidP="00D05E29">
            <w:pPr>
              <w:spacing w:line="240" w:lineRule="auto"/>
              <w:jc w:val="center"/>
              <w:rPr>
                <w:rFonts w:eastAsia="Times New Roman" w:cs="Times New Roman"/>
                <w:color w:val="000000"/>
                <w:sz w:val="20"/>
                <w:szCs w:val="20"/>
                <w:lang w:eastAsia="en-GB"/>
              </w:rPr>
            </w:pPr>
            <w:r w:rsidRPr="00ED5A5C">
              <w:rPr>
                <w:rFonts w:eastAsia="Times New Roman" w:cs="Times New Roman"/>
                <w:color w:val="000000"/>
                <w:sz w:val="20"/>
                <w:szCs w:val="20"/>
                <w:lang w:eastAsia="en-GB"/>
              </w:rPr>
              <w:t>Individual</w:t>
            </w:r>
          </w:p>
        </w:tc>
        <w:tc>
          <w:tcPr>
            <w:tcW w:w="2171" w:type="dxa"/>
            <w:shd w:val="clear" w:color="auto" w:fill="D9D9D9" w:themeFill="background1" w:themeFillShade="D9"/>
            <w:vAlign w:val="center"/>
            <w:hideMark/>
          </w:tcPr>
          <w:p w14:paraId="1419F4E0" w14:textId="77777777" w:rsidR="00D05E29" w:rsidRPr="00ED5A5C"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ED5A5C">
              <w:rPr>
                <w:rFonts w:eastAsia="Times New Roman" w:cs="Times New Roman"/>
                <w:color w:val="000000"/>
                <w:sz w:val="20"/>
                <w:szCs w:val="20"/>
                <w:lang w:eastAsia="en-GB"/>
              </w:rPr>
              <w:t>Weight</w:t>
            </w:r>
          </w:p>
        </w:tc>
        <w:tc>
          <w:tcPr>
            <w:tcW w:w="1985" w:type="dxa"/>
            <w:shd w:val="clear" w:color="auto" w:fill="D9D9D9" w:themeFill="background1" w:themeFillShade="D9"/>
            <w:vAlign w:val="center"/>
            <w:hideMark/>
          </w:tcPr>
          <w:p w14:paraId="42D3F5BD" w14:textId="77777777"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701" w:type="dxa"/>
            <w:shd w:val="clear" w:color="auto" w:fill="D9D9D9" w:themeFill="background1" w:themeFillShade="D9"/>
            <w:vAlign w:val="center"/>
            <w:hideMark/>
          </w:tcPr>
          <w:p w14:paraId="58872E9F" w14:textId="1CA0802C"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1.79</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1.52-2.11)</w:t>
            </w:r>
          </w:p>
        </w:tc>
        <w:tc>
          <w:tcPr>
            <w:tcW w:w="1543" w:type="dxa"/>
            <w:shd w:val="clear" w:color="auto" w:fill="D9D9D9" w:themeFill="background1" w:themeFillShade="D9"/>
            <w:vAlign w:val="center"/>
            <w:hideMark/>
          </w:tcPr>
          <w:p w14:paraId="5514773B" w14:textId="77777777"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D05E29" w:rsidRPr="00ED5A5C" w14:paraId="6863D8F7" w14:textId="77777777" w:rsidTr="00D05E2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D9D9D9" w:themeFill="background1" w:themeFillShade="D9"/>
            <w:vAlign w:val="center"/>
            <w:hideMark/>
          </w:tcPr>
          <w:p w14:paraId="5E55D224"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D9D9D9" w:themeFill="background1" w:themeFillShade="D9"/>
            <w:vAlign w:val="center"/>
            <w:hideMark/>
          </w:tcPr>
          <w:p w14:paraId="1D6B92BC" w14:textId="77777777" w:rsidR="00D05E29" w:rsidRPr="00ED5A5C"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ED5A5C">
              <w:rPr>
                <w:rFonts w:eastAsia="Times New Roman" w:cs="Times New Roman"/>
                <w:color w:val="000000"/>
                <w:sz w:val="20"/>
                <w:szCs w:val="20"/>
                <w:lang w:eastAsia="en-GB"/>
              </w:rPr>
              <w:t>Weight²</w:t>
            </w:r>
          </w:p>
        </w:tc>
        <w:tc>
          <w:tcPr>
            <w:tcW w:w="1985" w:type="dxa"/>
            <w:shd w:val="clear" w:color="auto" w:fill="D9D9D9" w:themeFill="background1" w:themeFillShade="D9"/>
            <w:vAlign w:val="center"/>
            <w:hideMark/>
          </w:tcPr>
          <w:p w14:paraId="42E9001A" w14:textId="55143AC4"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1.18</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1.06-1.32)</w:t>
            </w:r>
          </w:p>
        </w:tc>
        <w:tc>
          <w:tcPr>
            <w:tcW w:w="1701" w:type="dxa"/>
            <w:shd w:val="clear" w:color="auto" w:fill="D9D9D9" w:themeFill="background1" w:themeFillShade="D9"/>
            <w:vAlign w:val="center"/>
            <w:hideMark/>
          </w:tcPr>
          <w:p w14:paraId="7FB5BC0F" w14:textId="5461E635"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0.81</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0.71-0.93)</w:t>
            </w:r>
          </w:p>
        </w:tc>
        <w:tc>
          <w:tcPr>
            <w:tcW w:w="1543" w:type="dxa"/>
            <w:shd w:val="clear" w:color="auto" w:fill="D9D9D9" w:themeFill="background1" w:themeFillShade="D9"/>
            <w:vAlign w:val="center"/>
            <w:hideMark/>
          </w:tcPr>
          <w:p w14:paraId="79FC8AC0" w14:textId="77777777"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D05E29" w:rsidRPr="00ED5A5C" w14:paraId="1BFF1317" w14:textId="77777777" w:rsidTr="00D05E29">
        <w:trPr>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D9D9D9" w:themeFill="background1" w:themeFillShade="D9"/>
            <w:vAlign w:val="center"/>
            <w:hideMark/>
          </w:tcPr>
          <w:p w14:paraId="59876740"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D9D9D9" w:themeFill="background1" w:themeFillShade="D9"/>
            <w:vAlign w:val="center"/>
            <w:hideMark/>
          </w:tcPr>
          <w:p w14:paraId="3A90F531" w14:textId="77777777" w:rsidR="00D05E29" w:rsidRPr="00ED5A5C"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roofErr w:type="spellStart"/>
            <w:r w:rsidRPr="00ED5A5C">
              <w:rPr>
                <w:rFonts w:eastAsia="Times New Roman" w:cs="Times New Roman"/>
                <w:color w:val="000000"/>
                <w:sz w:val="20"/>
                <w:szCs w:val="20"/>
                <w:lang w:eastAsia="en-GB"/>
              </w:rPr>
              <w:t>Sex:Female</w:t>
            </w:r>
            <w:proofErr w:type="spellEnd"/>
          </w:p>
        </w:tc>
        <w:tc>
          <w:tcPr>
            <w:tcW w:w="1985" w:type="dxa"/>
            <w:shd w:val="clear" w:color="auto" w:fill="D9D9D9" w:themeFill="background1" w:themeFillShade="D9"/>
            <w:vAlign w:val="center"/>
            <w:hideMark/>
          </w:tcPr>
          <w:p w14:paraId="661B24B3" w14:textId="041F46DA"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0.05</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0.03-0.07)</w:t>
            </w:r>
          </w:p>
        </w:tc>
        <w:tc>
          <w:tcPr>
            <w:tcW w:w="1701" w:type="dxa"/>
            <w:shd w:val="clear" w:color="auto" w:fill="D9D9D9" w:themeFill="background1" w:themeFillShade="D9"/>
            <w:vAlign w:val="center"/>
            <w:hideMark/>
          </w:tcPr>
          <w:p w14:paraId="3A5BE74E" w14:textId="77777777"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543" w:type="dxa"/>
            <w:shd w:val="clear" w:color="auto" w:fill="D9D9D9" w:themeFill="background1" w:themeFillShade="D9"/>
            <w:vAlign w:val="center"/>
            <w:hideMark/>
          </w:tcPr>
          <w:p w14:paraId="72C573F9" w14:textId="4AC9715F"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0.52</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0.40-0.68)</w:t>
            </w:r>
          </w:p>
        </w:tc>
      </w:tr>
      <w:tr w:rsidR="00D05E29" w:rsidRPr="00ED5A5C" w14:paraId="5E9D6424" w14:textId="77777777" w:rsidTr="00D05E2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D9D9D9" w:themeFill="background1" w:themeFillShade="D9"/>
            <w:vAlign w:val="center"/>
            <w:hideMark/>
          </w:tcPr>
          <w:p w14:paraId="238C281B"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D9D9D9" w:themeFill="background1" w:themeFillShade="D9"/>
            <w:vAlign w:val="center"/>
            <w:hideMark/>
          </w:tcPr>
          <w:p w14:paraId="52EB69FA" w14:textId="77777777" w:rsidR="00D05E29" w:rsidRPr="00ED5A5C"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roofErr w:type="spellStart"/>
            <w:r w:rsidRPr="00ED5A5C">
              <w:rPr>
                <w:rFonts w:eastAsia="Times New Roman" w:cs="Times New Roman"/>
                <w:color w:val="000000"/>
                <w:sz w:val="20"/>
                <w:szCs w:val="20"/>
                <w:lang w:eastAsia="en-GB"/>
              </w:rPr>
              <w:t>Sex:Male</w:t>
            </w:r>
            <w:proofErr w:type="spellEnd"/>
          </w:p>
        </w:tc>
        <w:tc>
          <w:tcPr>
            <w:tcW w:w="1985" w:type="dxa"/>
            <w:shd w:val="clear" w:color="auto" w:fill="D9D9D9" w:themeFill="background1" w:themeFillShade="D9"/>
            <w:vAlign w:val="center"/>
            <w:hideMark/>
          </w:tcPr>
          <w:p w14:paraId="2C4D7151" w14:textId="3EEDBDE9"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0.10</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0.06-0.19)</w:t>
            </w:r>
          </w:p>
        </w:tc>
        <w:tc>
          <w:tcPr>
            <w:tcW w:w="1701" w:type="dxa"/>
            <w:shd w:val="clear" w:color="auto" w:fill="D9D9D9" w:themeFill="background1" w:themeFillShade="D9"/>
            <w:vAlign w:val="center"/>
            <w:hideMark/>
          </w:tcPr>
          <w:p w14:paraId="3200ED92" w14:textId="77777777"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543" w:type="dxa"/>
            <w:shd w:val="clear" w:color="auto" w:fill="D9D9D9" w:themeFill="background1" w:themeFillShade="D9"/>
            <w:vAlign w:val="center"/>
            <w:hideMark/>
          </w:tcPr>
          <w:p w14:paraId="68A6B5E8" w14:textId="419B6DA2"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0.82</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0.53-1.25)</w:t>
            </w:r>
          </w:p>
        </w:tc>
      </w:tr>
      <w:tr w:rsidR="00D05E29" w:rsidRPr="00ED5A5C" w14:paraId="1C03CCA0" w14:textId="77777777" w:rsidTr="00D05E29">
        <w:trPr>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D9D9D9" w:themeFill="background1" w:themeFillShade="D9"/>
            <w:vAlign w:val="center"/>
            <w:hideMark/>
          </w:tcPr>
          <w:p w14:paraId="57179145"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D9D9D9" w:themeFill="background1" w:themeFillShade="D9"/>
            <w:vAlign w:val="center"/>
            <w:hideMark/>
          </w:tcPr>
          <w:p w14:paraId="3E2CD5E3" w14:textId="77777777" w:rsidR="00D05E29" w:rsidRPr="00ED5A5C"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roofErr w:type="spellStart"/>
            <w:r w:rsidRPr="00ED5A5C">
              <w:rPr>
                <w:rFonts w:eastAsia="Times New Roman" w:cs="Times New Roman"/>
                <w:color w:val="000000"/>
                <w:sz w:val="20"/>
                <w:szCs w:val="20"/>
                <w:lang w:eastAsia="en-GB"/>
              </w:rPr>
              <w:t>Weight:Sex:Female</w:t>
            </w:r>
            <w:proofErr w:type="spellEnd"/>
          </w:p>
        </w:tc>
        <w:tc>
          <w:tcPr>
            <w:tcW w:w="1985" w:type="dxa"/>
            <w:shd w:val="clear" w:color="auto" w:fill="D9D9D9" w:themeFill="background1" w:themeFillShade="D9"/>
            <w:vAlign w:val="center"/>
            <w:hideMark/>
          </w:tcPr>
          <w:p w14:paraId="59164CCA" w14:textId="02C9BF77"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0.89</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0.75-1.07)</w:t>
            </w:r>
          </w:p>
        </w:tc>
        <w:tc>
          <w:tcPr>
            <w:tcW w:w="1701" w:type="dxa"/>
            <w:shd w:val="clear" w:color="auto" w:fill="D9D9D9" w:themeFill="background1" w:themeFillShade="D9"/>
            <w:vAlign w:val="center"/>
            <w:hideMark/>
          </w:tcPr>
          <w:p w14:paraId="478CCDBB" w14:textId="77777777"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543" w:type="dxa"/>
            <w:shd w:val="clear" w:color="auto" w:fill="D9D9D9" w:themeFill="background1" w:themeFillShade="D9"/>
            <w:vAlign w:val="center"/>
            <w:hideMark/>
          </w:tcPr>
          <w:p w14:paraId="7FBD4B6F" w14:textId="571CF4AC"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1.20</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1.07-1.35)</w:t>
            </w:r>
          </w:p>
        </w:tc>
      </w:tr>
      <w:tr w:rsidR="00D05E29" w:rsidRPr="00ED5A5C" w14:paraId="2AF7536A" w14:textId="77777777" w:rsidTr="00D05E2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D9D9D9" w:themeFill="background1" w:themeFillShade="D9"/>
            <w:vAlign w:val="center"/>
            <w:hideMark/>
          </w:tcPr>
          <w:p w14:paraId="58CDCDCC"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D9D9D9" w:themeFill="background1" w:themeFillShade="D9"/>
            <w:vAlign w:val="center"/>
            <w:hideMark/>
          </w:tcPr>
          <w:p w14:paraId="6A5CE35F" w14:textId="77777777" w:rsidR="00D05E29" w:rsidRPr="00ED5A5C"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roofErr w:type="spellStart"/>
            <w:r w:rsidRPr="00ED5A5C">
              <w:rPr>
                <w:rFonts w:eastAsia="Times New Roman" w:cs="Times New Roman"/>
                <w:color w:val="000000"/>
                <w:sz w:val="20"/>
                <w:szCs w:val="20"/>
                <w:lang w:eastAsia="en-GB"/>
              </w:rPr>
              <w:t>Weight:Sex:Male</w:t>
            </w:r>
            <w:proofErr w:type="spellEnd"/>
          </w:p>
        </w:tc>
        <w:tc>
          <w:tcPr>
            <w:tcW w:w="1985" w:type="dxa"/>
            <w:shd w:val="clear" w:color="auto" w:fill="D9D9D9" w:themeFill="background1" w:themeFillShade="D9"/>
            <w:vAlign w:val="center"/>
            <w:hideMark/>
          </w:tcPr>
          <w:p w14:paraId="088BB2AB" w14:textId="0CE3514A"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1.12</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0.75-1.67)</w:t>
            </w:r>
          </w:p>
        </w:tc>
        <w:tc>
          <w:tcPr>
            <w:tcW w:w="1701" w:type="dxa"/>
            <w:shd w:val="clear" w:color="auto" w:fill="D9D9D9" w:themeFill="background1" w:themeFillShade="D9"/>
            <w:vAlign w:val="center"/>
            <w:hideMark/>
          </w:tcPr>
          <w:p w14:paraId="725206F6" w14:textId="77777777"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543" w:type="dxa"/>
            <w:shd w:val="clear" w:color="auto" w:fill="D9D9D9" w:themeFill="background1" w:themeFillShade="D9"/>
            <w:vAlign w:val="center"/>
            <w:hideMark/>
          </w:tcPr>
          <w:p w14:paraId="4FE1F816" w14:textId="07B23F74"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1.58</w:t>
            </w:r>
            <w:r w:rsidRPr="00D05E29">
              <w:rPr>
                <w:rFonts w:cs="Times New Roman"/>
                <w:color w:val="000000"/>
                <w:sz w:val="20"/>
                <w:szCs w:val="20"/>
              </w:rPr>
              <w:br/>
            </w:r>
            <w:r w:rsidR="00332AB6">
              <w:rPr>
                <w:rFonts w:cs="Times New Roman"/>
                <w:color w:val="000000"/>
                <w:sz w:val="20"/>
                <w:szCs w:val="20"/>
              </w:rPr>
              <w:t>(</w:t>
            </w:r>
            <w:r w:rsidRPr="00D05E29">
              <w:rPr>
                <w:rFonts w:cs="Times New Roman"/>
                <w:color w:val="000000"/>
                <w:sz w:val="20"/>
                <w:szCs w:val="20"/>
              </w:rPr>
              <w:t>1.20-2.10)</w:t>
            </w:r>
          </w:p>
        </w:tc>
      </w:tr>
      <w:tr w:rsidR="00D05E29" w:rsidRPr="00ED5A5C" w14:paraId="04CBE87F" w14:textId="77777777" w:rsidTr="00D05E29">
        <w:trPr>
          <w:trHeight w:val="290"/>
        </w:trPr>
        <w:tc>
          <w:tcPr>
            <w:cnfStyle w:val="001000000000" w:firstRow="0" w:lastRow="0" w:firstColumn="1" w:lastColumn="0" w:oddVBand="0" w:evenVBand="0" w:oddHBand="0" w:evenHBand="0" w:firstRowFirstColumn="0" w:firstRowLastColumn="0" w:lastRowFirstColumn="0" w:lastRowLastColumn="0"/>
            <w:tcW w:w="1940" w:type="dxa"/>
            <w:vMerge w:val="restart"/>
            <w:shd w:val="clear" w:color="auto" w:fill="BFBFBF" w:themeFill="background1" w:themeFillShade="BF"/>
            <w:vAlign w:val="center"/>
            <w:hideMark/>
          </w:tcPr>
          <w:p w14:paraId="6D47C0CD" w14:textId="77777777" w:rsidR="00D05E29" w:rsidRPr="00ED5A5C" w:rsidRDefault="00D05E29" w:rsidP="00D05E29">
            <w:pPr>
              <w:spacing w:line="240" w:lineRule="auto"/>
              <w:jc w:val="center"/>
              <w:rPr>
                <w:rFonts w:eastAsia="Times New Roman" w:cs="Times New Roman"/>
                <w:color w:val="000000"/>
                <w:sz w:val="20"/>
                <w:szCs w:val="20"/>
                <w:lang w:eastAsia="en-GB"/>
              </w:rPr>
            </w:pPr>
            <w:r w:rsidRPr="00ED5A5C">
              <w:rPr>
                <w:rFonts w:eastAsia="Times New Roman" w:cs="Times New Roman"/>
                <w:color w:val="000000"/>
                <w:sz w:val="20"/>
                <w:szCs w:val="20"/>
                <w:lang w:eastAsia="en-GB"/>
              </w:rPr>
              <w:t>Model performance</w:t>
            </w:r>
          </w:p>
        </w:tc>
        <w:tc>
          <w:tcPr>
            <w:tcW w:w="2171" w:type="dxa"/>
            <w:shd w:val="clear" w:color="auto" w:fill="BFBFBF" w:themeFill="background1" w:themeFillShade="BF"/>
            <w:vAlign w:val="center"/>
            <w:hideMark/>
          </w:tcPr>
          <w:p w14:paraId="74BC7A9F" w14:textId="77777777" w:rsidR="00D05E29" w:rsidRPr="00ED5A5C"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ED5A5C">
              <w:rPr>
                <w:rFonts w:eastAsia="Times New Roman" w:cs="Times New Roman"/>
                <w:color w:val="000000"/>
                <w:sz w:val="20"/>
                <w:szCs w:val="20"/>
                <w:lang w:eastAsia="en-GB"/>
              </w:rPr>
              <w:t>Marginal R²</w:t>
            </w:r>
          </w:p>
        </w:tc>
        <w:tc>
          <w:tcPr>
            <w:tcW w:w="1985" w:type="dxa"/>
            <w:shd w:val="clear" w:color="auto" w:fill="BFBFBF" w:themeFill="background1" w:themeFillShade="BF"/>
            <w:vAlign w:val="center"/>
            <w:hideMark/>
          </w:tcPr>
          <w:p w14:paraId="7DB9133B" w14:textId="233C10D5"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(0.03)</w:t>
            </w:r>
          </w:p>
        </w:tc>
        <w:tc>
          <w:tcPr>
            <w:tcW w:w="1701" w:type="dxa"/>
            <w:shd w:val="clear" w:color="auto" w:fill="BFBFBF" w:themeFill="background1" w:themeFillShade="BF"/>
            <w:vAlign w:val="center"/>
            <w:hideMark/>
          </w:tcPr>
          <w:p w14:paraId="4023A6CF" w14:textId="11449A62"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(0.09)</w:t>
            </w:r>
          </w:p>
        </w:tc>
        <w:tc>
          <w:tcPr>
            <w:tcW w:w="1543" w:type="dxa"/>
            <w:shd w:val="clear" w:color="auto" w:fill="BFBFBF" w:themeFill="background1" w:themeFillShade="BF"/>
            <w:vAlign w:val="center"/>
            <w:hideMark/>
          </w:tcPr>
          <w:p w14:paraId="32C32E17" w14:textId="1E01C06D" w:rsidR="00D05E29" w:rsidRPr="00D05E29" w:rsidRDefault="00D05E29" w:rsidP="00D05E2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(0.06)</w:t>
            </w:r>
          </w:p>
        </w:tc>
      </w:tr>
      <w:tr w:rsidR="00D05E29" w:rsidRPr="00ED5A5C" w14:paraId="78B46A25" w14:textId="77777777" w:rsidTr="00D05E2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vMerge/>
            <w:shd w:val="clear" w:color="auto" w:fill="BFBFBF" w:themeFill="background1" w:themeFillShade="BF"/>
            <w:vAlign w:val="center"/>
            <w:hideMark/>
          </w:tcPr>
          <w:p w14:paraId="1DA31632" w14:textId="77777777" w:rsidR="00D05E29" w:rsidRPr="00ED5A5C" w:rsidRDefault="00D05E29" w:rsidP="00D05E29">
            <w:pPr>
              <w:spacing w:line="240" w:lineRule="auto"/>
              <w:jc w:val="left"/>
              <w:rPr>
                <w:rFonts w:eastAsia="Times New Roman" w:cs="Times New Roman"/>
                <w:color w:val="000000"/>
                <w:sz w:val="20"/>
                <w:szCs w:val="20"/>
                <w:lang w:eastAsia="en-GB"/>
              </w:rPr>
            </w:pPr>
          </w:p>
        </w:tc>
        <w:tc>
          <w:tcPr>
            <w:tcW w:w="2171" w:type="dxa"/>
            <w:shd w:val="clear" w:color="auto" w:fill="BFBFBF" w:themeFill="background1" w:themeFillShade="BF"/>
            <w:vAlign w:val="center"/>
            <w:hideMark/>
          </w:tcPr>
          <w:p w14:paraId="14974FA3" w14:textId="77777777" w:rsidR="00D05E29" w:rsidRPr="00ED5A5C"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ED5A5C">
              <w:rPr>
                <w:rFonts w:eastAsia="Times New Roman" w:cs="Times New Roman"/>
                <w:color w:val="000000"/>
                <w:sz w:val="20"/>
                <w:szCs w:val="20"/>
                <w:lang w:eastAsia="en-GB"/>
              </w:rPr>
              <w:t>Conditional R²</w:t>
            </w:r>
          </w:p>
        </w:tc>
        <w:tc>
          <w:tcPr>
            <w:tcW w:w="1985" w:type="dxa"/>
            <w:shd w:val="clear" w:color="auto" w:fill="BFBFBF" w:themeFill="background1" w:themeFillShade="BF"/>
            <w:vAlign w:val="center"/>
            <w:hideMark/>
          </w:tcPr>
          <w:p w14:paraId="0BD6E108" w14:textId="5E2E6E48"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(0.32)</w:t>
            </w:r>
          </w:p>
        </w:tc>
        <w:tc>
          <w:tcPr>
            <w:tcW w:w="1701" w:type="dxa"/>
            <w:shd w:val="clear" w:color="auto" w:fill="BFBFBF" w:themeFill="background1" w:themeFillShade="BF"/>
            <w:vAlign w:val="center"/>
            <w:hideMark/>
          </w:tcPr>
          <w:p w14:paraId="4D83A7F4" w14:textId="40272300"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(0.39)</w:t>
            </w:r>
          </w:p>
        </w:tc>
        <w:tc>
          <w:tcPr>
            <w:tcW w:w="1543" w:type="dxa"/>
            <w:shd w:val="clear" w:color="auto" w:fill="BFBFBF" w:themeFill="background1" w:themeFillShade="BF"/>
            <w:vAlign w:val="center"/>
            <w:hideMark/>
          </w:tcPr>
          <w:p w14:paraId="4ECF1062" w14:textId="35FBACA9" w:rsidR="00D05E29" w:rsidRPr="00D05E29" w:rsidRDefault="00D05E29" w:rsidP="00D05E2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D05E29">
              <w:rPr>
                <w:rFonts w:cs="Times New Roman"/>
                <w:color w:val="000000"/>
                <w:sz w:val="20"/>
                <w:szCs w:val="20"/>
              </w:rPr>
              <w:t>(0.33)</w:t>
            </w:r>
          </w:p>
        </w:tc>
      </w:tr>
    </w:tbl>
    <w:p w14:paraId="0422225A" w14:textId="07E02A59" w:rsidR="001810C0" w:rsidRDefault="001810C0" w:rsidP="003B4337">
      <w:pPr>
        <w:spacing w:line="259" w:lineRule="auto"/>
        <w:jc w:val="left"/>
        <w:rPr>
          <w:b/>
          <w:bCs/>
        </w:rPr>
      </w:pPr>
    </w:p>
    <w:p w14:paraId="3DC54C1C" w14:textId="5505955A" w:rsidR="00AC2C9F" w:rsidRDefault="00AC2C9F" w:rsidP="003B4337">
      <w:pPr>
        <w:spacing w:line="259" w:lineRule="auto"/>
        <w:jc w:val="left"/>
        <w:rPr>
          <w:b/>
          <w:bCs/>
        </w:rPr>
      </w:pPr>
    </w:p>
    <w:p w14:paraId="523F8CF7" w14:textId="6B0FAF74" w:rsidR="00AC2C9F" w:rsidRDefault="00AC2C9F" w:rsidP="003B4337">
      <w:pPr>
        <w:spacing w:line="259" w:lineRule="auto"/>
        <w:jc w:val="left"/>
        <w:rPr>
          <w:b/>
          <w:bCs/>
        </w:rPr>
      </w:pPr>
    </w:p>
    <w:p w14:paraId="53CAD92B" w14:textId="27FA3358" w:rsidR="00AC2C9F" w:rsidRDefault="00AC2C9F" w:rsidP="003B4337">
      <w:pPr>
        <w:spacing w:line="259" w:lineRule="auto"/>
        <w:jc w:val="left"/>
        <w:rPr>
          <w:b/>
          <w:bCs/>
        </w:rPr>
      </w:pPr>
    </w:p>
    <w:p w14:paraId="44907FF3" w14:textId="768963F7" w:rsidR="00AC2C9F" w:rsidRDefault="00AC2C9F" w:rsidP="003B4337">
      <w:pPr>
        <w:spacing w:line="259" w:lineRule="auto"/>
        <w:jc w:val="left"/>
        <w:rPr>
          <w:b/>
          <w:bCs/>
        </w:rPr>
      </w:pPr>
    </w:p>
    <w:p w14:paraId="0FCD0101" w14:textId="79D1C254" w:rsidR="00AC2C9F" w:rsidRDefault="00AC2C9F" w:rsidP="003B4337">
      <w:pPr>
        <w:spacing w:line="259" w:lineRule="auto"/>
        <w:jc w:val="left"/>
        <w:rPr>
          <w:b/>
          <w:bCs/>
        </w:rPr>
      </w:pPr>
    </w:p>
    <w:p w14:paraId="7F18FFA1" w14:textId="7D13D213" w:rsidR="009A0A5A" w:rsidRDefault="009A0A5A" w:rsidP="003B4337">
      <w:pPr>
        <w:spacing w:line="259" w:lineRule="auto"/>
        <w:jc w:val="left"/>
        <w:rPr>
          <w:b/>
          <w:bCs/>
        </w:rPr>
      </w:pPr>
    </w:p>
    <w:p w14:paraId="7C6F1637" w14:textId="4CB42ACD" w:rsidR="009A0A5A" w:rsidRDefault="009A0A5A" w:rsidP="003B4337">
      <w:pPr>
        <w:spacing w:line="259" w:lineRule="auto"/>
        <w:jc w:val="left"/>
        <w:rPr>
          <w:b/>
          <w:bCs/>
        </w:rPr>
      </w:pPr>
    </w:p>
    <w:p w14:paraId="36DAC6D3" w14:textId="77777777" w:rsidR="009A0A5A" w:rsidRDefault="009A0A5A" w:rsidP="003B4337">
      <w:pPr>
        <w:spacing w:line="259" w:lineRule="auto"/>
        <w:jc w:val="left"/>
        <w:rPr>
          <w:b/>
          <w:bCs/>
        </w:rPr>
      </w:pPr>
    </w:p>
    <w:p w14:paraId="5AA086AB" w14:textId="5B5B3AB1" w:rsidR="00AC2C9F" w:rsidRDefault="00AC2C9F" w:rsidP="003B4337">
      <w:pPr>
        <w:spacing w:line="259" w:lineRule="auto"/>
        <w:jc w:val="left"/>
        <w:rPr>
          <w:b/>
          <w:bCs/>
        </w:rPr>
      </w:pPr>
    </w:p>
    <w:p w14:paraId="69A4CEE1" w14:textId="57FDE609" w:rsidR="00C93739" w:rsidRDefault="00C93739" w:rsidP="00C93739">
      <w:pPr>
        <w:rPr>
          <w:szCs w:val="24"/>
        </w:rPr>
      </w:pPr>
      <w:r>
        <w:rPr>
          <w:b/>
          <w:bCs/>
        </w:rPr>
        <w:t>Table S</w:t>
      </w:r>
      <w:r w:rsidR="00F5697C">
        <w:rPr>
          <w:b/>
          <w:bCs/>
        </w:rPr>
        <w:t>3</w:t>
      </w:r>
      <w:r>
        <w:rPr>
          <w:b/>
          <w:bCs/>
        </w:rPr>
        <w:t xml:space="preserve">.3 </w:t>
      </w:r>
      <w:r w:rsidRPr="00A21B01">
        <w:rPr>
          <w:szCs w:val="24"/>
        </w:rPr>
        <w:t xml:space="preserve">Coefficients estimates (Odds ratio +/- 85% CIs) </w:t>
      </w:r>
      <w:r w:rsidR="00EE5740" w:rsidRPr="00A21B01">
        <w:rPr>
          <w:szCs w:val="24"/>
        </w:rPr>
        <w:t>of</w:t>
      </w:r>
      <w:r w:rsidR="00EE5740">
        <w:rPr>
          <w:szCs w:val="24"/>
        </w:rPr>
        <w:t xml:space="preserve"> the best models from the </w:t>
      </w:r>
      <w:r w:rsidR="00EE5740">
        <w:rPr>
          <w:highlight w:val="green"/>
        </w:rPr>
        <w:t>contemporary</w:t>
      </w:r>
      <w:r w:rsidR="00EE5740" w:rsidRPr="00FD3EBE">
        <w:rPr>
          <w:highlight w:val="green"/>
        </w:rPr>
        <w:t xml:space="preserve"> host and vector-centred analysis</w:t>
      </w:r>
      <w:r w:rsidR="00EE5740" w:rsidRPr="00A21B01">
        <w:rPr>
          <w:szCs w:val="24"/>
        </w:rPr>
        <w:t xml:space="preserve"> (</w:t>
      </w:r>
      <w:r w:rsidR="00EE5740" w:rsidRPr="00E103FB">
        <w:rPr>
          <w:i/>
          <w:iCs/>
          <w:szCs w:val="24"/>
        </w:rPr>
        <w:t>Analysis IV</w:t>
      </w:r>
      <w:r w:rsidR="00EE5740" w:rsidRPr="00A21B01">
        <w:rPr>
          <w:szCs w:val="24"/>
        </w:rPr>
        <w:t>)</w:t>
      </w:r>
      <w:r w:rsidR="00EE5740">
        <w:rPr>
          <w:szCs w:val="24"/>
        </w:rPr>
        <w:t xml:space="preserve"> </w:t>
      </w:r>
      <w:r w:rsidRPr="00A21B01">
        <w:rPr>
          <w:szCs w:val="24"/>
        </w:rPr>
        <w:t xml:space="preserve">for </w:t>
      </w:r>
      <w:r>
        <w:rPr>
          <w:szCs w:val="24"/>
        </w:rPr>
        <w:t>micro</w:t>
      </w:r>
      <w:r w:rsidRPr="00A21B01">
        <w:rPr>
          <w:szCs w:val="24"/>
        </w:rPr>
        <w:t>parasites only. Informative parameters are presented in bold. conditional R</w:t>
      </w:r>
      <w:r w:rsidRPr="00A21B01">
        <w:rPr>
          <w:szCs w:val="24"/>
          <w:vertAlign w:val="superscript"/>
        </w:rPr>
        <w:t xml:space="preserve">2 </w:t>
      </w:r>
      <w:r w:rsidRPr="00A21B01">
        <w:rPr>
          <w:szCs w:val="24"/>
        </w:rPr>
        <w:t>= variation explained by full model including random effects; marginal R</w:t>
      </w:r>
      <w:r w:rsidRPr="00A21B01">
        <w:rPr>
          <w:szCs w:val="24"/>
          <w:vertAlign w:val="superscript"/>
        </w:rPr>
        <w:t>2</w:t>
      </w:r>
      <w:r w:rsidRPr="00A21B01">
        <w:rPr>
          <w:szCs w:val="24"/>
        </w:rPr>
        <w:t xml:space="preserve"> = variation explained by fixed effects only as. </w:t>
      </w:r>
    </w:p>
    <w:tbl>
      <w:tblPr>
        <w:tblStyle w:val="PlainTable2"/>
        <w:tblW w:w="9471" w:type="dxa"/>
        <w:tblLayout w:type="fixed"/>
        <w:tblLook w:val="04A0" w:firstRow="1" w:lastRow="0" w:firstColumn="1" w:lastColumn="0" w:noHBand="0" w:noVBand="1"/>
      </w:tblPr>
      <w:tblGrid>
        <w:gridCol w:w="1724"/>
        <w:gridCol w:w="1537"/>
        <w:gridCol w:w="1875"/>
        <w:gridCol w:w="1259"/>
        <w:gridCol w:w="1260"/>
        <w:gridCol w:w="1816"/>
      </w:tblGrid>
      <w:tr w:rsidR="00456C36" w:rsidRPr="005B1993" w14:paraId="78D66C82" w14:textId="77777777" w:rsidTr="00482D08">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724" w:type="dxa"/>
            <w:noWrap/>
            <w:vAlign w:val="center"/>
            <w:hideMark/>
          </w:tcPr>
          <w:p w14:paraId="14EE0592" w14:textId="77777777" w:rsidR="00456C36" w:rsidRPr="00456C36" w:rsidRDefault="00456C36" w:rsidP="00456C36">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Stage</w:t>
            </w:r>
          </w:p>
        </w:tc>
        <w:tc>
          <w:tcPr>
            <w:tcW w:w="1537" w:type="dxa"/>
            <w:noWrap/>
            <w:vAlign w:val="center"/>
            <w:hideMark/>
          </w:tcPr>
          <w:p w14:paraId="0A58739B" w14:textId="77777777" w:rsidR="00456C36" w:rsidRPr="00456C36" w:rsidRDefault="00456C36" w:rsidP="00456C3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Variable</w:t>
            </w:r>
          </w:p>
        </w:tc>
        <w:tc>
          <w:tcPr>
            <w:tcW w:w="1875" w:type="dxa"/>
            <w:vAlign w:val="center"/>
            <w:hideMark/>
          </w:tcPr>
          <w:p w14:paraId="7E57B24F" w14:textId="77777777" w:rsidR="00456C36" w:rsidRPr="00456C36" w:rsidRDefault="00456C36" w:rsidP="00456C3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Scale</w:t>
            </w:r>
          </w:p>
        </w:tc>
        <w:tc>
          <w:tcPr>
            <w:tcW w:w="1259" w:type="dxa"/>
            <w:noWrap/>
            <w:vAlign w:val="center"/>
            <w:hideMark/>
          </w:tcPr>
          <w:p w14:paraId="056078F7" w14:textId="77777777" w:rsidR="00456C36" w:rsidRPr="00ED5008" w:rsidRDefault="00456C36" w:rsidP="00456C3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Bartonella</w:t>
            </w:r>
          </w:p>
        </w:tc>
        <w:tc>
          <w:tcPr>
            <w:tcW w:w="1260" w:type="dxa"/>
            <w:noWrap/>
            <w:vAlign w:val="center"/>
            <w:hideMark/>
          </w:tcPr>
          <w:p w14:paraId="610D3D5F" w14:textId="77777777" w:rsidR="00456C36" w:rsidRPr="00ED5008" w:rsidRDefault="00456C36" w:rsidP="00456C3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B. microti</w:t>
            </w:r>
          </w:p>
        </w:tc>
        <w:tc>
          <w:tcPr>
            <w:tcW w:w="1816" w:type="dxa"/>
            <w:noWrap/>
            <w:vAlign w:val="center"/>
            <w:hideMark/>
          </w:tcPr>
          <w:p w14:paraId="53F854B4" w14:textId="77777777" w:rsidR="00456C36" w:rsidRPr="00ED5008" w:rsidRDefault="00456C36" w:rsidP="00456C3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GB"/>
              </w:rPr>
            </w:pPr>
            <w:r w:rsidRPr="00ED5008">
              <w:rPr>
                <w:rFonts w:eastAsia="Times New Roman" w:cs="Times New Roman"/>
                <w:i/>
                <w:iCs/>
                <w:color w:val="000000"/>
                <w:sz w:val="20"/>
                <w:szCs w:val="20"/>
                <w:lang w:eastAsia="en-GB"/>
              </w:rPr>
              <w:t>Hepatozoon</w:t>
            </w:r>
          </w:p>
        </w:tc>
      </w:tr>
      <w:tr w:rsidR="00987D4F" w:rsidRPr="005B1993" w14:paraId="3D67501C"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val="restart"/>
            <w:shd w:val="clear" w:color="auto" w:fill="F2F2F2" w:themeFill="background1" w:themeFillShade="F2"/>
            <w:noWrap/>
            <w:vAlign w:val="center"/>
            <w:hideMark/>
          </w:tcPr>
          <w:p w14:paraId="550D9F60"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Current year</w:t>
            </w:r>
          </w:p>
        </w:tc>
        <w:tc>
          <w:tcPr>
            <w:tcW w:w="1537" w:type="dxa"/>
            <w:vMerge w:val="restart"/>
            <w:shd w:val="clear" w:color="auto" w:fill="F2F2F2" w:themeFill="background1" w:themeFillShade="F2"/>
            <w:noWrap/>
            <w:vAlign w:val="center"/>
            <w:hideMark/>
          </w:tcPr>
          <w:p w14:paraId="06A8124D" w14:textId="77777777" w:rsidR="00987D4F" w:rsidRPr="00B51AAD"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B51AAD">
              <w:rPr>
                <w:rFonts w:eastAsia="Times New Roman" w:cs="Times New Roman"/>
                <w:b/>
                <w:bCs/>
                <w:color w:val="000000"/>
                <w:sz w:val="20"/>
                <w:szCs w:val="20"/>
                <w:lang w:eastAsia="en-GB"/>
              </w:rPr>
              <w:t>Host</w:t>
            </w:r>
          </w:p>
        </w:tc>
        <w:tc>
          <w:tcPr>
            <w:tcW w:w="1875" w:type="dxa"/>
            <w:shd w:val="clear" w:color="auto" w:fill="F2F2F2" w:themeFill="background1" w:themeFillShade="F2"/>
            <w:vAlign w:val="center"/>
            <w:hideMark/>
          </w:tcPr>
          <w:p w14:paraId="78D2C114"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Local-scale abundance</w:t>
            </w:r>
          </w:p>
        </w:tc>
        <w:tc>
          <w:tcPr>
            <w:tcW w:w="1259" w:type="dxa"/>
            <w:shd w:val="clear" w:color="auto" w:fill="F2F2F2" w:themeFill="background1" w:themeFillShade="F2"/>
            <w:noWrap/>
            <w:vAlign w:val="center"/>
            <w:hideMark/>
          </w:tcPr>
          <w:p w14:paraId="48460371" w14:textId="77777777"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260" w:type="dxa"/>
            <w:shd w:val="clear" w:color="auto" w:fill="F2F2F2" w:themeFill="background1" w:themeFillShade="F2"/>
            <w:noWrap/>
            <w:vAlign w:val="center"/>
            <w:hideMark/>
          </w:tcPr>
          <w:p w14:paraId="40FEE489" w14:textId="77777777"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816" w:type="dxa"/>
            <w:shd w:val="clear" w:color="auto" w:fill="F2F2F2" w:themeFill="background1" w:themeFillShade="F2"/>
            <w:noWrap/>
            <w:vAlign w:val="center"/>
            <w:hideMark/>
          </w:tcPr>
          <w:p w14:paraId="0D92377C" w14:textId="77777777"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987D4F" w:rsidRPr="005B1993" w14:paraId="3C8E4C4C" w14:textId="77777777" w:rsidTr="00987D4F">
        <w:trPr>
          <w:trHeight w:val="585"/>
        </w:trPr>
        <w:tc>
          <w:tcPr>
            <w:tcW w:w="1724" w:type="dxa"/>
            <w:vMerge/>
            <w:shd w:val="clear" w:color="auto" w:fill="F2F2F2" w:themeFill="background1" w:themeFillShade="F2"/>
            <w:vAlign w:val="center"/>
            <w:hideMark/>
          </w:tcPr>
          <w:p w14:paraId="3F7927A0" w14:textId="77777777" w:rsidR="00987D4F" w:rsidRPr="00456C36" w:rsidRDefault="00987D4F" w:rsidP="00987D4F">
            <w:pPr>
              <w:spacing w:line="240" w:lineRule="auto"/>
              <w:jc w:val="left"/>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25F1FCB8" w14:textId="77777777" w:rsidR="00987D4F" w:rsidRPr="00B51AAD" w:rsidRDefault="00987D4F" w:rsidP="00987D4F">
            <w:pPr>
              <w:spacing w:line="240" w:lineRule="auto"/>
              <w:jc w:val="left"/>
              <w:rPr>
                <w:rFonts w:eastAsia="Times New Roman" w:cs="Times New Roman"/>
                <w:b/>
                <w:bCs/>
                <w:color w:val="000000"/>
                <w:sz w:val="20"/>
                <w:szCs w:val="20"/>
                <w:lang w:eastAsia="en-GB"/>
              </w:rPr>
            </w:pPr>
          </w:p>
        </w:tc>
        <w:tc>
          <w:tcPr>
            <w:tcW w:w="1875" w:type="dxa"/>
            <w:shd w:val="clear" w:color="auto" w:fill="F2F2F2" w:themeFill="background1" w:themeFillShade="F2"/>
            <w:vAlign w:val="center"/>
            <w:hideMark/>
          </w:tcPr>
          <w:p w14:paraId="4F78DF48"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Landscape-scale connectivity</w:t>
            </w:r>
          </w:p>
        </w:tc>
        <w:tc>
          <w:tcPr>
            <w:tcW w:w="1259" w:type="dxa"/>
            <w:shd w:val="clear" w:color="auto" w:fill="F2F2F2" w:themeFill="background1" w:themeFillShade="F2"/>
            <w:vAlign w:val="center"/>
            <w:hideMark/>
          </w:tcPr>
          <w:p w14:paraId="6B1AAF16" w14:textId="65ACFF12" w:rsidR="00987D4F" w:rsidRPr="00EE5740" w:rsidRDefault="00987D4F" w:rsidP="00987D4F">
            <w:pPr>
              <w:spacing w:line="240" w:lineRule="auto"/>
              <w:jc w:val="center"/>
              <w:rPr>
                <w:rFonts w:eastAsia="Times New Roman" w:cs="Times New Roman"/>
                <w:b/>
                <w:bCs/>
                <w:color w:val="000000"/>
                <w:sz w:val="20"/>
                <w:szCs w:val="20"/>
                <w:lang w:eastAsia="en-GB"/>
              </w:rPr>
            </w:pPr>
            <w:r w:rsidRPr="00EE5740">
              <w:rPr>
                <w:rFonts w:cs="Times New Roman"/>
                <w:b/>
                <w:bCs/>
                <w:color w:val="000000"/>
                <w:sz w:val="20"/>
                <w:szCs w:val="20"/>
              </w:rPr>
              <w:t>0.66</w:t>
            </w:r>
            <w:r w:rsidRPr="00EE5740">
              <w:rPr>
                <w:rFonts w:cs="Times New Roman"/>
                <w:b/>
                <w:bCs/>
                <w:color w:val="000000"/>
                <w:sz w:val="20"/>
                <w:szCs w:val="20"/>
              </w:rPr>
              <w:br/>
            </w:r>
            <w:r w:rsidR="00ED2274" w:rsidRPr="00EE5740">
              <w:rPr>
                <w:rFonts w:cs="Times New Roman"/>
                <w:b/>
                <w:bCs/>
                <w:color w:val="000000"/>
                <w:sz w:val="20"/>
                <w:szCs w:val="20"/>
              </w:rPr>
              <w:t>(</w:t>
            </w:r>
            <w:r w:rsidRPr="00EE5740">
              <w:rPr>
                <w:rFonts w:cs="Times New Roman"/>
                <w:b/>
                <w:bCs/>
                <w:color w:val="000000"/>
                <w:sz w:val="20"/>
                <w:szCs w:val="20"/>
              </w:rPr>
              <w:t>0.54-0.82)</w:t>
            </w:r>
          </w:p>
        </w:tc>
        <w:tc>
          <w:tcPr>
            <w:tcW w:w="1260" w:type="dxa"/>
            <w:shd w:val="clear" w:color="auto" w:fill="F2F2F2" w:themeFill="background1" w:themeFillShade="F2"/>
            <w:noWrap/>
            <w:vAlign w:val="center"/>
            <w:hideMark/>
          </w:tcPr>
          <w:p w14:paraId="79BBC857" w14:textId="77777777" w:rsidR="00987D4F" w:rsidRPr="00EE5740" w:rsidRDefault="00987D4F" w:rsidP="00987D4F">
            <w:pPr>
              <w:spacing w:line="240" w:lineRule="auto"/>
              <w:jc w:val="center"/>
              <w:rPr>
                <w:rFonts w:eastAsia="Times New Roman" w:cs="Times New Roman"/>
                <w:b/>
                <w:bCs/>
                <w:color w:val="000000"/>
                <w:sz w:val="20"/>
                <w:szCs w:val="20"/>
                <w:lang w:eastAsia="en-GB"/>
              </w:rPr>
            </w:pPr>
          </w:p>
        </w:tc>
        <w:tc>
          <w:tcPr>
            <w:tcW w:w="1816" w:type="dxa"/>
            <w:shd w:val="clear" w:color="auto" w:fill="F2F2F2" w:themeFill="background1" w:themeFillShade="F2"/>
            <w:noWrap/>
            <w:vAlign w:val="center"/>
            <w:hideMark/>
          </w:tcPr>
          <w:p w14:paraId="34019A6E" w14:textId="77777777" w:rsidR="00987D4F" w:rsidRPr="00EE5740" w:rsidRDefault="00987D4F" w:rsidP="00987D4F">
            <w:pPr>
              <w:spacing w:line="240" w:lineRule="auto"/>
              <w:jc w:val="center"/>
              <w:rPr>
                <w:rFonts w:eastAsia="Times New Roman" w:cs="Times New Roman"/>
                <w:b/>
                <w:bCs/>
                <w:sz w:val="20"/>
                <w:szCs w:val="20"/>
                <w:lang w:eastAsia="en-GB"/>
              </w:rPr>
            </w:pPr>
          </w:p>
        </w:tc>
      </w:tr>
      <w:tr w:rsidR="00987D4F" w:rsidRPr="005B1993" w14:paraId="0CF69B5A"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3A11CD63"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58011745" w14:textId="77777777" w:rsidR="00987D4F" w:rsidRPr="00B51AAD" w:rsidRDefault="00987D4F" w:rsidP="00987D4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c>
          <w:tcPr>
            <w:tcW w:w="1875" w:type="dxa"/>
            <w:shd w:val="clear" w:color="auto" w:fill="F2F2F2" w:themeFill="background1" w:themeFillShade="F2"/>
            <w:vAlign w:val="center"/>
            <w:hideMark/>
          </w:tcPr>
          <w:p w14:paraId="3CE696C5"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Metapopulation-scale abundance</w:t>
            </w:r>
          </w:p>
        </w:tc>
        <w:tc>
          <w:tcPr>
            <w:tcW w:w="1259" w:type="dxa"/>
            <w:shd w:val="clear" w:color="auto" w:fill="F2F2F2" w:themeFill="background1" w:themeFillShade="F2"/>
            <w:noWrap/>
            <w:vAlign w:val="center"/>
            <w:hideMark/>
          </w:tcPr>
          <w:p w14:paraId="7532E233" w14:textId="77777777"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c>
          <w:tcPr>
            <w:tcW w:w="1260" w:type="dxa"/>
            <w:shd w:val="clear" w:color="auto" w:fill="F2F2F2" w:themeFill="background1" w:themeFillShade="F2"/>
            <w:noWrap/>
            <w:vAlign w:val="center"/>
            <w:hideMark/>
          </w:tcPr>
          <w:p w14:paraId="3C1CA82D" w14:textId="77777777"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c>
          <w:tcPr>
            <w:tcW w:w="1816" w:type="dxa"/>
            <w:shd w:val="clear" w:color="auto" w:fill="F2F2F2" w:themeFill="background1" w:themeFillShade="F2"/>
            <w:vAlign w:val="center"/>
            <w:hideMark/>
          </w:tcPr>
          <w:p w14:paraId="326CA4AF" w14:textId="38C240E9"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EE5740">
              <w:rPr>
                <w:rFonts w:cs="Times New Roman"/>
                <w:b/>
                <w:bCs/>
                <w:color w:val="000000"/>
                <w:sz w:val="20"/>
                <w:szCs w:val="20"/>
              </w:rPr>
              <w:t>2.11</w:t>
            </w:r>
            <w:r w:rsidRPr="00EE5740">
              <w:rPr>
                <w:rFonts w:cs="Times New Roman"/>
                <w:b/>
                <w:bCs/>
                <w:color w:val="000000"/>
                <w:sz w:val="20"/>
                <w:szCs w:val="20"/>
              </w:rPr>
              <w:br/>
            </w:r>
            <w:r w:rsidR="00ED2274" w:rsidRPr="00EE5740">
              <w:rPr>
                <w:rFonts w:cs="Times New Roman"/>
                <w:b/>
                <w:bCs/>
                <w:color w:val="000000"/>
                <w:sz w:val="20"/>
                <w:szCs w:val="20"/>
              </w:rPr>
              <w:t>(</w:t>
            </w:r>
            <w:r w:rsidRPr="00EE5740">
              <w:rPr>
                <w:rFonts w:cs="Times New Roman"/>
                <w:b/>
                <w:bCs/>
                <w:color w:val="000000"/>
                <w:sz w:val="20"/>
                <w:szCs w:val="20"/>
              </w:rPr>
              <w:t>1.39-3.23)</w:t>
            </w:r>
          </w:p>
        </w:tc>
      </w:tr>
      <w:tr w:rsidR="00987D4F" w:rsidRPr="005B1993" w14:paraId="01F9DE7C" w14:textId="77777777" w:rsidTr="00987D4F">
        <w:trPr>
          <w:trHeight w:val="585"/>
        </w:trPr>
        <w:tc>
          <w:tcPr>
            <w:tcW w:w="1724" w:type="dxa"/>
            <w:vMerge/>
            <w:shd w:val="clear" w:color="auto" w:fill="F2F2F2" w:themeFill="background1" w:themeFillShade="F2"/>
            <w:vAlign w:val="center"/>
            <w:hideMark/>
          </w:tcPr>
          <w:p w14:paraId="6BB29400" w14:textId="77777777" w:rsidR="00987D4F" w:rsidRPr="00456C36" w:rsidRDefault="00987D4F" w:rsidP="00987D4F">
            <w:pPr>
              <w:spacing w:line="240" w:lineRule="auto"/>
              <w:jc w:val="left"/>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537" w:type="dxa"/>
            <w:vMerge w:val="restart"/>
            <w:shd w:val="clear" w:color="auto" w:fill="F2F2F2" w:themeFill="background1" w:themeFillShade="F2"/>
            <w:noWrap/>
            <w:vAlign w:val="center"/>
            <w:hideMark/>
          </w:tcPr>
          <w:p w14:paraId="3CE4A8B4" w14:textId="77777777" w:rsidR="00987D4F" w:rsidRPr="00B51AAD" w:rsidRDefault="00987D4F" w:rsidP="00987D4F">
            <w:pPr>
              <w:spacing w:line="240" w:lineRule="auto"/>
              <w:jc w:val="center"/>
              <w:rPr>
                <w:rFonts w:eastAsia="Times New Roman" w:cs="Times New Roman"/>
                <w:b/>
                <w:bCs/>
                <w:color w:val="000000"/>
                <w:sz w:val="20"/>
                <w:szCs w:val="20"/>
                <w:lang w:eastAsia="en-GB"/>
              </w:rPr>
            </w:pPr>
            <w:r w:rsidRPr="00B51AAD">
              <w:rPr>
                <w:rFonts w:eastAsia="Times New Roman" w:cs="Times New Roman"/>
                <w:b/>
                <w:bCs/>
                <w:color w:val="000000"/>
                <w:sz w:val="20"/>
                <w:szCs w:val="20"/>
                <w:lang w:eastAsia="en-GB"/>
              </w:rPr>
              <w:t>Fleas</w:t>
            </w:r>
          </w:p>
        </w:tc>
        <w:tc>
          <w:tcPr>
            <w:tcW w:w="1875" w:type="dxa"/>
            <w:shd w:val="clear" w:color="auto" w:fill="F2F2F2" w:themeFill="background1" w:themeFillShade="F2"/>
            <w:vAlign w:val="center"/>
            <w:hideMark/>
          </w:tcPr>
          <w:p w14:paraId="2B28E007"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Local-scale abundance</w:t>
            </w:r>
          </w:p>
        </w:tc>
        <w:tc>
          <w:tcPr>
            <w:tcW w:w="1259" w:type="dxa"/>
            <w:shd w:val="clear" w:color="auto" w:fill="F2F2F2" w:themeFill="background1" w:themeFillShade="F2"/>
            <w:noWrap/>
            <w:vAlign w:val="center"/>
            <w:hideMark/>
          </w:tcPr>
          <w:p w14:paraId="5A272FD4" w14:textId="77777777" w:rsidR="00987D4F" w:rsidRPr="00EE5740" w:rsidRDefault="00987D4F" w:rsidP="00987D4F">
            <w:pPr>
              <w:spacing w:line="240" w:lineRule="auto"/>
              <w:jc w:val="center"/>
              <w:rPr>
                <w:rFonts w:eastAsia="Times New Roman" w:cs="Times New Roman"/>
                <w:b/>
                <w:bCs/>
                <w:color w:val="000000"/>
                <w:sz w:val="20"/>
                <w:szCs w:val="20"/>
                <w:lang w:eastAsia="en-GB"/>
              </w:rPr>
            </w:pPr>
          </w:p>
        </w:tc>
        <w:tc>
          <w:tcPr>
            <w:tcW w:w="1260" w:type="dxa"/>
            <w:shd w:val="clear" w:color="auto" w:fill="F2F2F2" w:themeFill="background1" w:themeFillShade="F2"/>
            <w:noWrap/>
            <w:vAlign w:val="center"/>
            <w:hideMark/>
          </w:tcPr>
          <w:p w14:paraId="2C62B634" w14:textId="73F74CD6" w:rsidR="00987D4F" w:rsidRPr="00EE5740" w:rsidRDefault="001B5C44" w:rsidP="00987D4F">
            <w:pPr>
              <w:spacing w:line="240" w:lineRule="auto"/>
              <w:jc w:val="center"/>
              <w:rPr>
                <w:rFonts w:eastAsia="Times New Roman" w:cs="Times New Roman"/>
                <w:sz w:val="20"/>
                <w:szCs w:val="20"/>
                <w:lang w:eastAsia="en-GB"/>
              </w:rPr>
            </w:pPr>
            <w:r w:rsidRPr="00EE5740">
              <w:rPr>
                <w:rFonts w:eastAsia="Times New Roman" w:cs="Times New Roman"/>
                <w:sz w:val="20"/>
                <w:szCs w:val="20"/>
                <w:lang w:eastAsia="en-GB"/>
              </w:rPr>
              <w:t>/</w:t>
            </w:r>
          </w:p>
        </w:tc>
        <w:tc>
          <w:tcPr>
            <w:tcW w:w="1816" w:type="dxa"/>
            <w:shd w:val="clear" w:color="auto" w:fill="F2F2F2" w:themeFill="background1" w:themeFillShade="F2"/>
            <w:noWrap/>
            <w:vAlign w:val="center"/>
            <w:hideMark/>
          </w:tcPr>
          <w:p w14:paraId="61F4A8BA" w14:textId="75EDC5B0" w:rsidR="00987D4F" w:rsidRPr="00EE5740" w:rsidRDefault="00987D4F" w:rsidP="00987D4F">
            <w:pPr>
              <w:spacing w:line="240" w:lineRule="auto"/>
              <w:jc w:val="center"/>
              <w:rPr>
                <w:rFonts w:eastAsia="Times New Roman" w:cs="Times New Roman"/>
                <w:b/>
                <w:bCs/>
                <w:sz w:val="20"/>
                <w:szCs w:val="20"/>
                <w:lang w:eastAsia="en-GB"/>
              </w:rPr>
            </w:pPr>
          </w:p>
        </w:tc>
      </w:tr>
      <w:tr w:rsidR="00987D4F" w:rsidRPr="005B1993" w14:paraId="5240E578"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69D8F8A3"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43C76AE5" w14:textId="77777777" w:rsidR="00987D4F" w:rsidRPr="00B51AAD" w:rsidRDefault="00987D4F" w:rsidP="00987D4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c>
          <w:tcPr>
            <w:tcW w:w="1875" w:type="dxa"/>
            <w:shd w:val="clear" w:color="auto" w:fill="F2F2F2" w:themeFill="background1" w:themeFillShade="F2"/>
            <w:vAlign w:val="center"/>
            <w:hideMark/>
          </w:tcPr>
          <w:p w14:paraId="545CB054"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Landscape-scale connectivity</w:t>
            </w:r>
          </w:p>
        </w:tc>
        <w:tc>
          <w:tcPr>
            <w:tcW w:w="1259" w:type="dxa"/>
            <w:shd w:val="clear" w:color="auto" w:fill="F2F2F2" w:themeFill="background1" w:themeFillShade="F2"/>
            <w:vAlign w:val="center"/>
            <w:hideMark/>
          </w:tcPr>
          <w:p w14:paraId="02E557E4" w14:textId="0F410FA7"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EE5740">
              <w:rPr>
                <w:rFonts w:cs="Times New Roman"/>
                <w:b/>
                <w:bCs/>
                <w:color w:val="000000"/>
                <w:sz w:val="20"/>
                <w:szCs w:val="20"/>
              </w:rPr>
              <w:t>1.67</w:t>
            </w:r>
            <w:r w:rsidRPr="00EE5740">
              <w:rPr>
                <w:rFonts w:cs="Times New Roman"/>
                <w:b/>
                <w:bCs/>
                <w:color w:val="000000"/>
                <w:sz w:val="20"/>
                <w:szCs w:val="20"/>
              </w:rPr>
              <w:br/>
            </w:r>
            <w:r w:rsidR="00ED2274" w:rsidRPr="00EE5740">
              <w:rPr>
                <w:rFonts w:cs="Times New Roman"/>
                <w:b/>
                <w:bCs/>
                <w:color w:val="000000"/>
                <w:sz w:val="20"/>
                <w:szCs w:val="20"/>
              </w:rPr>
              <w:t>(</w:t>
            </w:r>
            <w:r w:rsidRPr="00EE5740">
              <w:rPr>
                <w:rFonts w:cs="Times New Roman"/>
                <w:b/>
                <w:bCs/>
                <w:color w:val="000000"/>
                <w:sz w:val="20"/>
                <w:szCs w:val="20"/>
              </w:rPr>
              <w:t>1.37-2.03)</w:t>
            </w:r>
          </w:p>
        </w:tc>
        <w:tc>
          <w:tcPr>
            <w:tcW w:w="1260" w:type="dxa"/>
            <w:shd w:val="clear" w:color="auto" w:fill="F2F2F2" w:themeFill="background1" w:themeFillShade="F2"/>
            <w:noWrap/>
            <w:vAlign w:val="center"/>
            <w:hideMark/>
          </w:tcPr>
          <w:p w14:paraId="33698358" w14:textId="714BA015" w:rsidR="00987D4F" w:rsidRPr="00EE5740" w:rsidRDefault="001B5C44"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816" w:type="dxa"/>
            <w:shd w:val="clear" w:color="auto" w:fill="F2F2F2" w:themeFill="background1" w:themeFillShade="F2"/>
            <w:noWrap/>
            <w:vAlign w:val="center"/>
            <w:hideMark/>
          </w:tcPr>
          <w:p w14:paraId="71E0A5AD" w14:textId="40897F84"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r>
      <w:tr w:rsidR="00987D4F" w:rsidRPr="005B1993" w14:paraId="3684A71D" w14:textId="77777777" w:rsidTr="00987D4F">
        <w:trPr>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1EAFFDBE"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60A630FF" w14:textId="77777777" w:rsidR="00987D4F" w:rsidRPr="00B51AAD" w:rsidRDefault="00987D4F" w:rsidP="00987D4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p>
        </w:tc>
        <w:tc>
          <w:tcPr>
            <w:tcW w:w="1875" w:type="dxa"/>
            <w:shd w:val="clear" w:color="auto" w:fill="F2F2F2" w:themeFill="background1" w:themeFillShade="F2"/>
            <w:vAlign w:val="center"/>
            <w:hideMark/>
          </w:tcPr>
          <w:p w14:paraId="62B291B5" w14:textId="77777777" w:rsidR="00987D4F" w:rsidRPr="00456C36"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Metapopulation-scale abundance</w:t>
            </w:r>
          </w:p>
        </w:tc>
        <w:tc>
          <w:tcPr>
            <w:tcW w:w="1259" w:type="dxa"/>
            <w:shd w:val="clear" w:color="auto" w:fill="F2F2F2" w:themeFill="background1" w:themeFillShade="F2"/>
            <w:noWrap/>
            <w:vAlign w:val="center"/>
            <w:hideMark/>
          </w:tcPr>
          <w:p w14:paraId="778CBC3E" w14:textId="77777777" w:rsidR="00987D4F" w:rsidRPr="00EE5740"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p>
        </w:tc>
        <w:tc>
          <w:tcPr>
            <w:tcW w:w="1260" w:type="dxa"/>
            <w:shd w:val="clear" w:color="auto" w:fill="F2F2F2" w:themeFill="background1" w:themeFillShade="F2"/>
            <w:noWrap/>
            <w:vAlign w:val="center"/>
            <w:hideMark/>
          </w:tcPr>
          <w:p w14:paraId="6D1EA183" w14:textId="7D4926A8" w:rsidR="00987D4F" w:rsidRPr="00EE5740" w:rsidRDefault="001B5C44"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EE5740">
              <w:rPr>
                <w:rFonts w:eastAsia="Times New Roman" w:cs="Times New Roman"/>
                <w:sz w:val="20"/>
                <w:szCs w:val="20"/>
                <w:lang w:eastAsia="en-GB"/>
              </w:rPr>
              <w:t>/</w:t>
            </w:r>
          </w:p>
        </w:tc>
        <w:tc>
          <w:tcPr>
            <w:tcW w:w="1816" w:type="dxa"/>
            <w:shd w:val="clear" w:color="auto" w:fill="F2F2F2" w:themeFill="background1" w:themeFillShade="F2"/>
            <w:vAlign w:val="center"/>
            <w:hideMark/>
          </w:tcPr>
          <w:p w14:paraId="4B271CB2" w14:textId="4E022773" w:rsidR="00987D4F" w:rsidRPr="00EE5740"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EE5740">
              <w:rPr>
                <w:rFonts w:cs="Times New Roman"/>
                <w:b/>
                <w:bCs/>
                <w:color w:val="000000"/>
                <w:sz w:val="20"/>
                <w:szCs w:val="20"/>
              </w:rPr>
              <w:t>0.52</w:t>
            </w:r>
            <w:r w:rsidRPr="00EE5740">
              <w:rPr>
                <w:rFonts w:cs="Times New Roman"/>
                <w:b/>
                <w:bCs/>
                <w:color w:val="000000"/>
                <w:sz w:val="20"/>
                <w:szCs w:val="20"/>
              </w:rPr>
              <w:br/>
            </w:r>
            <w:r w:rsidR="00ED2274" w:rsidRPr="00EE5740">
              <w:rPr>
                <w:rFonts w:cs="Times New Roman"/>
                <w:b/>
                <w:bCs/>
                <w:color w:val="000000"/>
                <w:sz w:val="20"/>
                <w:szCs w:val="20"/>
              </w:rPr>
              <w:t>(</w:t>
            </w:r>
            <w:r w:rsidRPr="00EE5740">
              <w:rPr>
                <w:rFonts w:cs="Times New Roman"/>
                <w:b/>
                <w:bCs/>
                <w:color w:val="000000"/>
                <w:sz w:val="20"/>
                <w:szCs w:val="20"/>
              </w:rPr>
              <w:t>0.32-0.84)</w:t>
            </w:r>
          </w:p>
        </w:tc>
      </w:tr>
      <w:tr w:rsidR="00987D4F" w:rsidRPr="005B1993" w14:paraId="1E19F4AE"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1A0BE432"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val="restart"/>
            <w:shd w:val="clear" w:color="auto" w:fill="F2F2F2" w:themeFill="background1" w:themeFillShade="F2"/>
            <w:noWrap/>
            <w:vAlign w:val="center"/>
            <w:hideMark/>
          </w:tcPr>
          <w:p w14:paraId="553E11C7" w14:textId="77777777" w:rsidR="00987D4F" w:rsidRPr="00B51AAD"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20"/>
                <w:szCs w:val="20"/>
                <w:lang w:eastAsia="en-GB"/>
              </w:rPr>
            </w:pPr>
            <w:r w:rsidRPr="00B51AAD">
              <w:rPr>
                <w:rFonts w:eastAsia="Times New Roman" w:cs="Times New Roman"/>
                <w:b/>
                <w:bCs/>
                <w:i/>
                <w:iCs/>
                <w:color w:val="000000"/>
                <w:sz w:val="20"/>
                <w:szCs w:val="20"/>
                <w:lang w:eastAsia="en-GB"/>
              </w:rPr>
              <w:t>I. trianguliceps</w:t>
            </w:r>
          </w:p>
        </w:tc>
        <w:tc>
          <w:tcPr>
            <w:tcW w:w="1875" w:type="dxa"/>
            <w:shd w:val="clear" w:color="auto" w:fill="F2F2F2" w:themeFill="background1" w:themeFillShade="F2"/>
            <w:vAlign w:val="center"/>
            <w:hideMark/>
          </w:tcPr>
          <w:p w14:paraId="493CE14D"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Local-scale abundance</w:t>
            </w:r>
          </w:p>
        </w:tc>
        <w:tc>
          <w:tcPr>
            <w:tcW w:w="1259" w:type="dxa"/>
            <w:shd w:val="clear" w:color="auto" w:fill="F2F2F2" w:themeFill="background1" w:themeFillShade="F2"/>
            <w:noWrap/>
            <w:vAlign w:val="center"/>
            <w:hideMark/>
          </w:tcPr>
          <w:p w14:paraId="3F9C10ED" w14:textId="76CAC833" w:rsidR="00987D4F" w:rsidRPr="00EE5740" w:rsidRDefault="001B5C44"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260" w:type="dxa"/>
            <w:shd w:val="clear" w:color="auto" w:fill="F2F2F2" w:themeFill="background1" w:themeFillShade="F2"/>
            <w:vAlign w:val="center"/>
            <w:hideMark/>
          </w:tcPr>
          <w:p w14:paraId="614238A6" w14:textId="43B03FF1"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EE5740">
              <w:rPr>
                <w:rFonts w:cs="Times New Roman"/>
                <w:b/>
                <w:bCs/>
                <w:color w:val="000000"/>
                <w:sz w:val="20"/>
                <w:szCs w:val="20"/>
              </w:rPr>
              <w:t>1.30</w:t>
            </w:r>
            <w:r w:rsidRPr="00EE5740">
              <w:rPr>
                <w:rFonts w:cs="Times New Roman"/>
                <w:b/>
                <w:bCs/>
                <w:color w:val="000000"/>
                <w:sz w:val="20"/>
                <w:szCs w:val="20"/>
              </w:rPr>
              <w:br/>
            </w:r>
            <w:r w:rsidR="00ED2274" w:rsidRPr="00EE5740">
              <w:rPr>
                <w:rFonts w:cs="Times New Roman"/>
                <w:b/>
                <w:bCs/>
                <w:color w:val="000000"/>
                <w:sz w:val="20"/>
                <w:szCs w:val="20"/>
              </w:rPr>
              <w:t>(</w:t>
            </w:r>
            <w:r w:rsidRPr="00EE5740">
              <w:rPr>
                <w:rFonts w:cs="Times New Roman"/>
                <w:b/>
                <w:bCs/>
                <w:color w:val="000000"/>
                <w:sz w:val="20"/>
                <w:szCs w:val="20"/>
              </w:rPr>
              <w:t>1.05-1.62)</w:t>
            </w:r>
          </w:p>
        </w:tc>
        <w:tc>
          <w:tcPr>
            <w:tcW w:w="1816" w:type="dxa"/>
            <w:shd w:val="clear" w:color="auto" w:fill="F2F2F2" w:themeFill="background1" w:themeFillShade="F2"/>
            <w:noWrap/>
            <w:vAlign w:val="center"/>
            <w:hideMark/>
          </w:tcPr>
          <w:p w14:paraId="44842F5E" w14:textId="77777777"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r>
      <w:tr w:rsidR="00987D4F" w:rsidRPr="005B1993" w14:paraId="5BCC7AD8" w14:textId="77777777" w:rsidTr="00987D4F">
        <w:trPr>
          <w:trHeight w:val="585"/>
        </w:trPr>
        <w:tc>
          <w:tcPr>
            <w:tcW w:w="1724" w:type="dxa"/>
            <w:vMerge/>
            <w:shd w:val="clear" w:color="auto" w:fill="F2F2F2" w:themeFill="background1" w:themeFillShade="F2"/>
            <w:vAlign w:val="center"/>
            <w:hideMark/>
          </w:tcPr>
          <w:p w14:paraId="64CC6E48" w14:textId="77777777" w:rsidR="00987D4F" w:rsidRPr="00456C36" w:rsidRDefault="00987D4F" w:rsidP="00987D4F">
            <w:pPr>
              <w:spacing w:line="240" w:lineRule="auto"/>
              <w:jc w:val="left"/>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11AFAD68" w14:textId="77777777" w:rsidR="00987D4F" w:rsidRPr="00B51AAD" w:rsidRDefault="00987D4F" w:rsidP="00987D4F">
            <w:pPr>
              <w:spacing w:line="240" w:lineRule="auto"/>
              <w:jc w:val="left"/>
              <w:rPr>
                <w:rFonts w:eastAsia="Times New Roman" w:cs="Times New Roman"/>
                <w:b/>
                <w:bCs/>
                <w:i/>
                <w:iCs/>
                <w:color w:val="000000"/>
                <w:sz w:val="20"/>
                <w:szCs w:val="20"/>
                <w:lang w:eastAsia="en-GB"/>
              </w:rPr>
            </w:pPr>
          </w:p>
        </w:tc>
        <w:tc>
          <w:tcPr>
            <w:tcW w:w="1875" w:type="dxa"/>
            <w:shd w:val="clear" w:color="auto" w:fill="F2F2F2" w:themeFill="background1" w:themeFillShade="F2"/>
            <w:vAlign w:val="center"/>
            <w:hideMark/>
          </w:tcPr>
          <w:p w14:paraId="1B9C1BD1"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Landscape-scale connectivity</w:t>
            </w:r>
          </w:p>
        </w:tc>
        <w:tc>
          <w:tcPr>
            <w:tcW w:w="1259" w:type="dxa"/>
            <w:shd w:val="clear" w:color="auto" w:fill="F2F2F2" w:themeFill="background1" w:themeFillShade="F2"/>
            <w:noWrap/>
            <w:vAlign w:val="center"/>
            <w:hideMark/>
          </w:tcPr>
          <w:p w14:paraId="4EE3DAC5" w14:textId="5C6F4071" w:rsidR="00987D4F" w:rsidRPr="00EE5740" w:rsidRDefault="001B5C44" w:rsidP="00987D4F">
            <w:pPr>
              <w:spacing w:line="240" w:lineRule="auto"/>
              <w:jc w:val="center"/>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260" w:type="dxa"/>
            <w:shd w:val="clear" w:color="auto" w:fill="F2F2F2" w:themeFill="background1" w:themeFillShade="F2"/>
            <w:vAlign w:val="center"/>
            <w:hideMark/>
          </w:tcPr>
          <w:p w14:paraId="164C9A1A" w14:textId="5B91E03C" w:rsidR="00987D4F" w:rsidRPr="00EE5740" w:rsidRDefault="00987D4F" w:rsidP="00987D4F">
            <w:pPr>
              <w:spacing w:line="240" w:lineRule="auto"/>
              <w:jc w:val="center"/>
              <w:rPr>
                <w:rFonts w:eastAsia="Times New Roman" w:cs="Times New Roman"/>
                <w:b/>
                <w:bCs/>
                <w:color w:val="000000"/>
                <w:sz w:val="20"/>
                <w:szCs w:val="20"/>
                <w:lang w:eastAsia="en-GB"/>
              </w:rPr>
            </w:pPr>
            <w:r w:rsidRPr="00EE5740">
              <w:rPr>
                <w:rFonts w:cs="Times New Roman"/>
                <w:b/>
                <w:bCs/>
                <w:color w:val="000000"/>
                <w:sz w:val="20"/>
                <w:szCs w:val="20"/>
              </w:rPr>
              <w:t>2.30</w:t>
            </w:r>
            <w:r w:rsidRPr="00EE5740">
              <w:rPr>
                <w:rFonts w:cs="Times New Roman"/>
                <w:b/>
                <w:bCs/>
                <w:color w:val="000000"/>
                <w:sz w:val="20"/>
                <w:szCs w:val="20"/>
              </w:rPr>
              <w:br/>
            </w:r>
            <w:r w:rsidR="00ED2274" w:rsidRPr="00EE5740">
              <w:rPr>
                <w:rFonts w:cs="Times New Roman"/>
                <w:b/>
                <w:bCs/>
                <w:color w:val="000000"/>
                <w:sz w:val="20"/>
                <w:szCs w:val="20"/>
              </w:rPr>
              <w:t>(</w:t>
            </w:r>
            <w:r w:rsidRPr="00EE5740">
              <w:rPr>
                <w:rFonts w:cs="Times New Roman"/>
                <w:b/>
                <w:bCs/>
                <w:color w:val="000000"/>
                <w:sz w:val="20"/>
                <w:szCs w:val="20"/>
              </w:rPr>
              <w:t>1.69-3.12)</w:t>
            </w:r>
          </w:p>
        </w:tc>
        <w:tc>
          <w:tcPr>
            <w:tcW w:w="1816" w:type="dxa"/>
            <w:shd w:val="clear" w:color="auto" w:fill="F2F2F2" w:themeFill="background1" w:themeFillShade="F2"/>
            <w:noWrap/>
            <w:vAlign w:val="center"/>
            <w:hideMark/>
          </w:tcPr>
          <w:p w14:paraId="13C08574" w14:textId="77777777" w:rsidR="00987D4F" w:rsidRPr="00EE5740" w:rsidRDefault="00987D4F" w:rsidP="00987D4F">
            <w:pPr>
              <w:spacing w:line="240" w:lineRule="auto"/>
              <w:jc w:val="center"/>
              <w:rPr>
                <w:rFonts w:eastAsia="Times New Roman" w:cs="Times New Roman"/>
                <w:b/>
                <w:bCs/>
                <w:color w:val="000000"/>
                <w:sz w:val="20"/>
                <w:szCs w:val="20"/>
                <w:lang w:eastAsia="en-GB"/>
              </w:rPr>
            </w:pPr>
          </w:p>
        </w:tc>
      </w:tr>
      <w:tr w:rsidR="00987D4F" w:rsidRPr="005B1993" w14:paraId="3CE7BB9B"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4E91AA27"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45397368" w14:textId="77777777" w:rsidR="00987D4F" w:rsidRPr="00B51AAD" w:rsidRDefault="00987D4F" w:rsidP="00987D4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20"/>
                <w:szCs w:val="20"/>
                <w:lang w:eastAsia="en-GB"/>
              </w:rPr>
            </w:pPr>
          </w:p>
        </w:tc>
        <w:tc>
          <w:tcPr>
            <w:tcW w:w="1875" w:type="dxa"/>
            <w:shd w:val="clear" w:color="auto" w:fill="F2F2F2" w:themeFill="background1" w:themeFillShade="F2"/>
            <w:vAlign w:val="center"/>
            <w:hideMark/>
          </w:tcPr>
          <w:p w14:paraId="480D436F"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Metapopulation-scale abundance</w:t>
            </w:r>
          </w:p>
        </w:tc>
        <w:tc>
          <w:tcPr>
            <w:tcW w:w="1259" w:type="dxa"/>
            <w:shd w:val="clear" w:color="auto" w:fill="F2F2F2" w:themeFill="background1" w:themeFillShade="F2"/>
            <w:noWrap/>
            <w:vAlign w:val="center"/>
            <w:hideMark/>
          </w:tcPr>
          <w:p w14:paraId="3FE0CD52" w14:textId="330808E4" w:rsidR="00987D4F" w:rsidRPr="00EE5740" w:rsidRDefault="001B5C44"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260" w:type="dxa"/>
            <w:shd w:val="clear" w:color="auto" w:fill="F2F2F2" w:themeFill="background1" w:themeFillShade="F2"/>
            <w:noWrap/>
            <w:vAlign w:val="center"/>
            <w:hideMark/>
          </w:tcPr>
          <w:p w14:paraId="2E318E05" w14:textId="77777777"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c>
          <w:tcPr>
            <w:tcW w:w="1816" w:type="dxa"/>
            <w:shd w:val="clear" w:color="auto" w:fill="F2F2F2" w:themeFill="background1" w:themeFillShade="F2"/>
            <w:noWrap/>
            <w:vAlign w:val="center"/>
            <w:hideMark/>
          </w:tcPr>
          <w:p w14:paraId="3E221761" w14:textId="77777777" w:rsidR="00987D4F" w:rsidRPr="00EE5740"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r>
      <w:tr w:rsidR="00987D4F" w:rsidRPr="005B1993" w14:paraId="6D95A695" w14:textId="77777777" w:rsidTr="00987D4F">
        <w:trPr>
          <w:trHeight w:val="585"/>
        </w:trPr>
        <w:tc>
          <w:tcPr>
            <w:tcW w:w="1724" w:type="dxa"/>
            <w:vMerge/>
            <w:shd w:val="clear" w:color="auto" w:fill="F2F2F2" w:themeFill="background1" w:themeFillShade="F2"/>
            <w:vAlign w:val="center"/>
            <w:hideMark/>
          </w:tcPr>
          <w:p w14:paraId="2114FB35" w14:textId="77777777" w:rsidR="00987D4F" w:rsidRPr="00456C36" w:rsidRDefault="00987D4F" w:rsidP="00987D4F">
            <w:pPr>
              <w:spacing w:line="240" w:lineRule="auto"/>
              <w:jc w:val="left"/>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537" w:type="dxa"/>
            <w:vMerge w:val="restart"/>
            <w:shd w:val="clear" w:color="auto" w:fill="F2F2F2" w:themeFill="background1" w:themeFillShade="F2"/>
            <w:noWrap/>
            <w:vAlign w:val="center"/>
            <w:hideMark/>
          </w:tcPr>
          <w:p w14:paraId="3CF5E830" w14:textId="77777777" w:rsidR="00987D4F" w:rsidRPr="00B51AAD" w:rsidRDefault="00987D4F" w:rsidP="00987D4F">
            <w:pPr>
              <w:spacing w:line="240" w:lineRule="auto"/>
              <w:jc w:val="center"/>
              <w:rPr>
                <w:rFonts w:eastAsia="Times New Roman" w:cs="Times New Roman"/>
                <w:b/>
                <w:bCs/>
                <w:i/>
                <w:iCs/>
                <w:color w:val="000000"/>
                <w:sz w:val="20"/>
                <w:szCs w:val="20"/>
                <w:lang w:eastAsia="en-GB"/>
              </w:rPr>
            </w:pPr>
            <w:r w:rsidRPr="00B51AAD">
              <w:rPr>
                <w:rFonts w:eastAsia="Times New Roman" w:cs="Times New Roman"/>
                <w:b/>
                <w:bCs/>
                <w:i/>
                <w:iCs/>
                <w:color w:val="000000"/>
                <w:sz w:val="20"/>
                <w:szCs w:val="20"/>
                <w:lang w:eastAsia="en-GB"/>
              </w:rPr>
              <w:t>I. ricinus</w:t>
            </w:r>
          </w:p>
        </w:tc>
        <w:tc>
          <w:tcPr>
            <w:tcW w:w="1875" w:type="dxa"/>
            <w:shd w:val="clear" w:color="auto" w:fill="F2F2F2" w:themeFill="background1" w:themeFillShade="F2"/>
            <w:vAlign w:val="center"/>
            <w:hideMark/>
          </w:tcPr>
          <w:p w14:paraId="40D93B4D"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Local-scale abundance</w:t>
            </w:r>
          </w:p>
        </w:tc>
        <w:tc>
          <w:tcPr>
            <w:tcW w:w="1259" w:type="dxa"/>
            <w:shd w:val="clear" w:color="auto" w:fill="F2F2F2" w:themeFill="background1" w:themeFillShade="F2"/>
            <w:noWrap/>
            <w:vAlign w:val="center"/>
            <w:hideMark/>
          </w:tcPr>
          <w:p w14:paraId="68C4C5D9" w14:textId="5649E480" w:rsidR="00987D4F" w:rsidRPr="00EE5740" w:rsidRDefault="001B5C44" w:rsidP="00987D4F">
            <w:pPr>
              <w:spacing w:line="240" w:lineRule="auto"/>
              <w:jc w:val="center"/>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260" w:type="dxa"/>
            <w:shd w:val="clear" w:color="auto" w:fill="F2F2F2" w:themeFill="background1" w:themeFillShade="F2"/>
            <w:noWrap/>
            <w:vAlign w:val="center"/>
            <w:hideMark/>
          </w:tcPr>
          <w:p w14:paraId="5FE6FD9B" w14:textId="77777777" w:rsidR="00987D4F" w:rsidRPr="00987D4F" w:rsidRDefault="00987D4F" w:rsidP="00987D4F">
            <w:pPr>
              <w:spacing w:line="240" w:lineRule="auto"/>
              <w:jc w:val="center"/>
              <w:rPr>
                <w:rFonts w:eastAsia="Times New Roman" w:cs="Times New Roman"/>
                <w:sz w:val="20"/>
                <w:szCs w:val="20"/>
                <w:lang w:eastAsia="en-GB"/>
              </w:rPr>
            </w:pPr>
          </w:p>
        </w:tc>
        <w:tc>
          <w:tcPr>
            <w:tcW w:w="1816" w:type="dxa"/>
            <w:shd w:val="clear" w:color="auto" w:fill="F2F2F2" w:themeFill="background1" w:themeFillShade="F2"/>
            <w:noWrap/>
            <w:vAlign w:val="center"/>
            <w:hideMark/>
          </w:tcPr>
          <w:p w14:paraId="3B9C131A" w14:textId="77777777" w:rsidR="00987D4F" w:rsidRPr="00987D4F" w:rsidRDefault="00987D4F" w:rsidP="00987D4F">
            <w:pPr>
              <w:spacing w:line="240" w:lineRule="auto"/>
              <w:jc w:val="center"/>
              <w:rPr>
                <w:rFonts w:eastAsia="Times New Roman" w:cs="Times New Roman"/>
                <w:sz w:val="20"/>
                <w:szCs w:val="20"/>
                <w:lang w:eastAsia="en-GB"/>
              </w:rPr>
            </w:pPr>
          </w:p>
        </w:tc>
      </w:tr>
      <w:tr w:rsidR="00987D4F" w:rsidRPr="005B1993" w14:paraId="0658FBCB"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21248FAD"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12A8A8E8" w14:textId="77777777" w:rsidR="00987D4F" w:rsidRPr="00456C36" w:rsidRDefault="00987D4F" w:rsidP="00987D4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875" w:type="dxa"/>
            <w:shd w:val="clear" w:color="auto" w:fill="F2F2F2" w:themeFill="background1" w:themeFillShade="F2"/>
            <w:vAlign w:val="center"/>
            <w:hideMark/>
          </w:tcPr>
          <w:p w14:paraId="6B648393"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Landscape-scale connectivity</w:t>
            </w:r>
          </w:p>
        </w:tc>
        <w:tc>
          <w:tcPr>
            <w:tcW w:w="1259" w:type="dxa"/>
            <w:shd w:val="clear" w:color="auto" w:fill="F2F2F2" w:themeFill="background1" w:themeFillShade="F2"/>
            <w:noWrap/>
            <w:vAlign w:val="center"/>
            <w:hideMark/>
          </w:tcPr>
          <w:p w14:paraId="0A18A08E" w14:textId="6BCFDBE3" w:rsidR="00987D4F" w:rsidRPr="00EE5740" w:rsidRDefault="001B5C44"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260" w:type="dxa"/>
            <w:shd w:val="clear" w:color="auto" w:fill="F2F2F2" w:themeFill="background1" w:themeFillShade="F2"/>
            <w:noWrap/>
            <w:vAlign w:val="center"/>
            <w:hideMark/>
          </w:tcPr>
          <w:p w14:paraId="6DD42EB1" w14:textId="77777777"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816" w:type="dxa"/>
            <w:shd w:val="clear" w:color="auto" w:fill="F2F2F2" w:themeFill="background1" w:themeFillShade="F2"/>
            <w:noWrap/>
            <w:vAlign w:val="center"/>
            <w:hideMark/>
          </w:tcPr>
          <w:p w14:paraId="0010249B" w14:textId="77777777"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987D4F" w:rsidRPr="005B1993" w14:paraId="00893BE8" w14:textId="77777777" w:rsidTr="00987D4F">
        <w:trPr>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F2F2F2" w:themeFill="background1" w:themeFillShade="F2"/>
            <w:vAlign w:val="center"/>
            <w:hideMark/>
          </w:tcPr>
          <w:p w14:paraId="1EC0580B"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vMerge/>
            <w:shd w:val="clear" w:color="auto" w:fill="F2F2F2" w:themeFill="background1" w:themeFillShade="F2"/>
            <w:vAlign w:val="center"/>
            <w:hideMark/>
          </w:tcPr>
          <w:p w14:paraId="53FE4F18" w14:textId="77777777" w:rsidR="00987D4F" w:rsidRPr="00456C36" w:rsidRDefault="00987D4F" w:rsidP="00987D4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875" w:type="dxa"/>
            <w:shd w:val="clear" w:color="auto" w:fill="F2F2F2" w:themeFill="background1" w:themeFillShade="F2"/>
            <w:vAlign w:val="center"/>
            <w:hideMark/>
          </w:tcPr>
          <w:p w14:paraId="5E2D1CB7" w14:textId="77777777" w:rsidR="00987D4F" w:rsidRPr="00456C36"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Metapopulation-scale abundance</w:t>
            </w:r>
          </w:p>
        </w:tc>
        <w:tc>
          <w:tcPr>
            <w:tcW w:w="1259" w:type="dxa"/>
            <w:shd w:val="clear" w:color="auto" w:fill="F2F2F2" w:themeFill="background1" w:themeFillShade="F2"/>
            <w:noWrap/>
            <w:vAlign w:val="center"/>
            <w:hideMark/>
          </w:tcPr>
          <w:p w14:paraId="03B37FE3" w14:textId="2033880E" w:rsidR="00987D4F" w:rsidRPr="00EE5740" w:rsidRDefault="001B5C44"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EE5740">
              <w:rPr>
                <w:rFonts w:eastAsia="Times New Roman" w:cs="Times New Roman"/>
                <w:color w:val="000000"/>
                <w:sz w:val="20"/>
                <w:szCs w:val="20"/>
                <w:lang w:eastAsia="en-GB"/>
              </w:rPr>
              <w:t>/</w:t>
            </w:r>
          </w:p>
        </w:tc>
        <w:tc>
          <w:tcPr>
            <w:tcW w:w="1260" w:type="dxa"/>
            <w:shd w:val="clear" w:color="auto" w:fill="F2F2F2" w:themeFill="background1" w:themeFillShade="F2"/>
            <w:noWrap/>
            <w:vAlign w:val="center"/>
            <w:hideMark/>
          </w:tcPr>
          <w:p w14:paraId="183DCE0E" w14:textId="77777777"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816" w:type="dxa"/>
            <w:shd w:val="clear" w:color="auto" w:fill="F2F2F2" w:themeFill="background1" w:themeFillShade="F2"/>
            <w:noWrap/>
            <w:vAlign w:val="center"/>
            <w:hideMark/>
          </w:tcPr>
          <w:p w14:paraId="1616B778" w14:textId="77777777"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987D4F" w:rsidRPr="005B1993" w14:paraId="2489ED9F" w14:textId="77777777" w:rsidTr="00987D4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24" w:type="dxa"/>
            <w:vMerge w:val="restart"/>
            <w:shd w:val="clear" w:color="auto" w:fill="D9D9D9" w:themeFill="background1" w:themeFillShade="D9"/>
            <w:noWrap/>
            <w:vAlign w:val="center"/>
            <w:hideMark/>
          </w:tcPr>
          <w:p w14:paraId="2BCBE76F"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Individual</w:t>
            </w:r>
          </w:p>
        </w:tc>
        <w:tc>
          <w:tcPr>
            <w:tcW w:w="1537" w:type="dxa"/>
            <w:shd w:val="clear" w:color="auto" w:fill="D9D9D9" w:themeFill="background1" w:themeFillShade="D9"/>
            <w:noWrap/>
            <w:vAlign w:val="center"/>
            <w:hideMark/>
          </w:tcPr>
          <w:p w14:paraId="487A50FC"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Weight</w:t>
            </w:r>
          </w:p>
        </w:tc>
        <w:tc>
          <w:tcPr>
            <w:tcW w:w="1875" w:type="dxa"/>
            <w:shd w:val="clear" w:color="auto" w:fill="D9D9D9" w:themeFill="background1" w:themeFillShade="D9"/>
            <w:vAlign w:val="center"/>
            <w:hideMark/>
          </w:tcPr>
          <w:p w14:paraId="1781B9B7"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259" w:type="dxa"/>
            <w:shd w:val="clear" w:color="auto" w:fill="D9D9D9" w:themeFill="background1" w:themeFillShade="D9"/>
            <w:vAlign w:val="center"/>
            <w:hideMark/>
          </w:tcPr>
          <w:p w14:paraId="66BE5B53" w14:textId="065435EB"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1.00</w:t>
            </w:r>
            <w:r w:rsidRPr="00987D4F">
              <w:rPr>
                <w:rFonts w:cs="Times New Roman"/>
                <w:color w:val="000000"/>
                <w:sz w:val="20"/>
                <w:szCs w:val="20"/>
              </w:rPr>
              <w:br/>
            </w:r>
            <w:r w:rsidR="00ED2274">
              <w:rPr>
                <w:rFonts w:cs="Times New Roman"/>
                <w:color w:val="000000"/>
                <w:sz w:val="20"/>
                <w:szCs w:val="20"/>
              </w:rPr>
              <w:t>(</w:t>
            </w:r>
            <w:r w:rsidRPr="00987D4F">
              <w:rPr>
                <w:rFonts w:cs="Times New Roman"/>
                <w:color w:val="000000"/>
                <w:sz w:val="20"/>
                <w:szCs w:val="20"/>
              </w:rPr>
              <w:t>0.87-1.15)</w:t>
            </w:r>
          </w:p>
        </w:tc>
        <w:tc>
          <w:tcPr>
            <w:tcW w:w="1260" w:type="dxa"/>
            <w:shd w:val="clear" w:color="auto" w:fill="D9D9D9" w:themeFill="background1" w:themeFillShade="D9"/>
            <w:vAlign w:val="center"/>
            <w:hideMark/>
          </w:tcPr>
          <w:p w14:paraId="2FC261AF" w14:textId="67A51CDC"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1.82</w:t>
            </w:r>
            <w:r w:rsidRPr="00987D4F">
              <w:rPr>
                <w:rFonts w:cs="Times New Roman"/>
                <w:color w:val="000000"/>
                <w:sz w:val="20"/>
                <w:szCs w:val="20"/>
              </w:rPr>
              <w:br/>
            </w:r>
            <w:r w:rsidR="00ED2274">
              <w:rPr>
                <w:rFonts w:cs="Times New Roman"/>
                <w:color w:val="000000"/>
                <w:sz w:val="20"/>
                <w:szCs w:val="20"/>
              </w:rPr>
              <w:t>(</w:t>
            </w:r>
            <w:r w:rsidRPr="00987D4F">
              <w:rPr>
                <w:rFonts w:cs="Times New Roman"/>
                <w:color w:val="000000"/>
                <w:sz w:val="20"/>
                <w:szCs w:val="20"/>
              </w:rPr>
              <w:t>1.52-2.17)</w:t>
            </w:r>
          </w:p>
        </w:tc>
        <w:tc>
          <w:tcPr>
            <w:tcW w:w="1816" w:type="dxa"/>
            <w:shd w:val="clear" w:color="auto" w:fill="D9D9D9" w:themeFill="background1" w:themeFillShade="D9"/>
            <w:vAlign w:val="center"/>
            <w:hideMark/>
          </w:tcPr>
          <w:p w14:paraId="4F2A4AF1" w14:textId="44510F5E"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0.44</w:t>
            </w:r>
            <w:r w:rsidRPr="00987D4F">
              <w:rPr>
                <w:rFonts w:cs="Times New Roman"/>
                <w:color w:val="000000"/>
                <w:sz w:val="20"/>
                <w:szCs w:val="20"/>
              </w:rPr>
              <w:br/>
            </w:r>
            <w:r w:rsidR="00ED2274">
              <w:rPr>
                <w:rFonts w:cs="Times New Roman"/>
                <w:color w:val="000000"/>
                <w:sz w:val="20"/>
                <w:szCs w:val="20"/>
              </w:rPr>
              <w:t>(</w:t>
            </w:r>
            <w:r w:rsidRPr="00987D4F">
              <w:rPr>
                <w:rFonts w:cs="Times New Roman"/>
                <w:color w:val="000000"/>
                <w:sz w:val="20"/>
                <w:szCs w:val="20"/>
              </w:rPr>
              <w:t>0.35-0.56)</w:t>
            </w:r>
          </w:p>
        </w:tc>
      </w:tr>
      <w:tr w:rsidR="00987D4F" w:rsidRPr="005B1993" w14:paraId="43DD3FEC" w14:textId="77777777" w:rsidTr="00987D4F">
        <w:trPr>
          <w:trHeight w:val="585"/>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D9D9D9" w:themeFill="background1" w:themeFillShade="D9"/>
            <w:vAlign w:val="center"/>
            <w:hideMark/>
          </w:tcPr>
          <w:p w14:paraId="5A6DC015"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shd w:val="clear" w:color="auto" w:fill="D9D9D9" w:themeFill="background1" w:themeFillShade="D9"/>
            <w:noWrap/>
            <w:vAlign w:val="center"/>
            <w:hideMark/>
          </w:tcPr>
          <w:p w14:paraId="3F6EBEDE" w14:textId="77777777" w:rsidR="00987D4F" w:rsidRPr="00456C36"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Weight²</w:t>
            </w:r>
          </w:p>
        </w:tc>
        <w:tc>
          <w:tcPr>
            <w:tcW w:w="1875" w:type="dxa"/>
            <w:shd w:val="clear" w:color="auto" w:fill="D9D9D9" w:themeFill="background1" w:themeFillShade="D9"/>
            <w:vAlign w:val="center"/>
            <w:hideMark/>
          </w:tcPr>
          <w:p w14:paraId="169D314E" w14:textId="77777777" w:rsidR="00987D4F" w:rsidRPr="00456C36"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259" w:type="dxa"/>
            <w:shd w:val="clear" w:color="auto" w:fill="D9D9D9" w:themeFill="background1" w:themeFillShade="D9"/>
            <w:vAlign w:val="center"/>
            <w:hideMark/>
          </w:tcPr>
          <w:p w14:paraId="27792AF8" w14:textId="74C7751E"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0.57</w:t>
            </w:r>
            <w:r w:rsidRPr="00987D4F">
              <w:rPr>
                <w:rFonts w:cs="Times New Roman"/>
                <w:color w:val="000000"/>
                <w:sz w:val="20"/>
                <w:szCs w:val="20"/>
              </w:rPr>
              <w:br/>
            </w:r>
            <w:r w:rsidR="00ED2274">
              <w:rPr>
                <w:rFonts w:cs="Times New Roman"/>
                <w:color w:val="000000"/>
                <w:sz w:val="20"/>
                <w:szCs w:val="20"/>
              </w:rPr>
              <w:t>(</w:t>
            </w:r>
            <w:r w:rsidRPr="00987D4F">
              <w:rPr>
                <w:rFonts w:cs="Times New Roman"/>
                <w:color w:val="000000"/>
                <w:sz w:val="20"/>
                <w:szCs w:val="20"/>
              </w:rPr>
              <w:t>0.49-0.66)</w:t>
            </w:r>
          </w:p>
        </w:tc>
        <w:tc>
          <w:tcPr>
            <w:tcW w:w="1260" w:type="dxa"/>
            <w:shd w:val="clear" w:color="auto" w:fill="D9D9D9" w:themeFill="background1" w:themeFillShade="D9"/>
            <w:noWrap/>
            <w:vAlign w:val="center"/>
            <w:hideMark/>
          </w:tcPr>
          <w:p w14:paraId="6E723752" w14:textId="77777777"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816" w:type="dxa"/>
            <w:shd w:val="clear" w:color="auto" w:fill="D9D9D9" w:themeFill="background1" w:themeFillShade="D9"/>
            <w:vAlign w:val="center"/>
            <w:hideMark/>
          </w:tcPr>
          <w:p w14:paraId="2EC12CB7" w14:textId="22E4F64A"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1.34</w:t>
            </w:r>
            <w:r w:rsidRPr="00987D4F">
              <w:rPr>
                <w:rFonts w:cs="Times New Roman"/>
                <w:color w:val="000000"/>
                <w:sz w:val="20"/>
                <w:szCs w:val="20"/>
              </w:rPr>
              <w:br/>
            </w:r>
            <w:r w:rsidR="00ED2274">
              <w:rPr>
                <w:rFonts w:cs="Times New Roman"/>
                <w:color w:val="000000"/>
                <w:sz w:val="20"/>
                <w:szCs w:val="20"/>
              </w:rPr>
              <w:t>(</w:t>
            </w:r>
            <w:r w:rsidRPr="00987D4F">
              <w:rPr>
                <w:rFonts w:cs="Times New Roman"/>
                <w:color w:val="000000"/>
                <w:sz w:val="20"/>
                <w:szCs w:val="20"/>
              </w:rPr>
              <w:t>1.09-1.65)</w:t>
            </w:r>
          </w:p>
        </w:tc>
      </w:tr>
      <w:tr w:rsidR="00987D4F" w:rsidRPr="005B1993" w14:paraId="1B984E98" w14:textId="77777777" w:rsidTr="00987D4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724" w:type="dxa"/>
            <w:vMerge w:val="restart"/>
            <w:shd w:val="clear" w:color="auto" w:fill="BFBFBF" w:themeFill="background1" w:themeFillShade="BF"/>
            <w:noWrap/>
            <w:vAlign w:val="center"/>
            <w:hideMark/>
          </w:tcPr>
          <w:p w14:paraId="19EA199A" w14:textId="77777777" w:rsidR="00987D4F" w:rsidRPr="00456C36" w:rsidRDefault="00987D4F" w:rsidP="00987D4F">
            <w:pPr>
              <w:spacing w:line="240" w:lineRule="auto"/>
              <w:jc w:val="center"/>
              <w:rPr>
                <w:rFonts w:eastAsia="Times New Roman" w:cs="Times New Roman"/>
                <w:color w:val="000000"/>
                <w:sz w:val="20"/>
                <w:szCs w:val="20"/>
                <w:lang w:eastAsia="en-GB"/>
              </w:rPr>
            </w:pPr>
            <w:r w:rsidRPr="00456C36">
              <w:rPr>
                <w:rFonts w:eastAsia="Times New Roman" w:cs="Times New Roman"/>
                <w:color w:val="000000"/>
                <w:sz w:val="20"/>
                <w:szCs w:val="20"/>
                <w:lang w:eastAsia="en-GB"/>
              </w:rPr>
              <w:t>Model performance</w:t>
            </w:r>
          </w:p>
        </w:tc>
        <w:tc>
          <w:tcPr>
            <w:tcW w:w="1537" w:type="dxa"/>
            <w:shd w:val="clear" w:color="auto" w:fill="BFBFBF" w:themeFill="background1" w:themeFillShade="BF"/>
            <w:noWrap/>
            <w:vAlign w:val="center"/>
            <w:hideMark/>
          </w:tcPr>
          <w:p w14:paraId="44E4ECC1"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Marginal R²</w:t>
            </w:r>
          </w:p>
        </w:tc>
        <w:tc>
          <w:tcPr>
            <w:tcW w:w="1875" w:type="dxa"/>
            <w:shd w:val="clear" w:color="auto" w:fill="BFBFBF" w:themeFill="background1" w:themeFillShade="BF"/>
            <w:vAlign w:val="center"/>
            <w:hideMark/>
          </w:tcPr>
          <w:p w14:paraId="1D5B90B7" w14:textId="77777777" w:rsidR="00987D4F" w:rsidRPr="00456C36"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259" w:type="dxa"/>
            <w:shd w:val="clear" w:color="auto" w:fill="BFBFBF" w:themeFill="background1" w:themeFillShade="BF"/>
            <w:noWrap/>
            <w:vAlign w:val="center"/>
            <w:hideMark/>
          </w:tcPr>
          <w:p w14:paraId="5CCB85D5" w14:textId="3D923AA0"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(0.11)</w:t>
            </w:r>
          </w:p>
        </w:tc>
        <w:tc>
          <w:tcPr>
            <w:tcW w:w="1260" w:type="dxa"/>
            <w:shd w:val="clear" w:color="auto" w:fill="BFBFBF" w:themeFill="background1" w:themeFillShade="BF"/>
            <w:noWrap/>
            <w:vAlign w:val="center"/>
            <w:hideMark/>
          </w:tcPr>
          <w:p w14:paraId="06DA35EB" w14:textId="019A2580"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(0.24)</w:t>
            </w:r>
          </w:p>
        </w:tc>
        <w:tc>
          <w:tcPr>
            <w:tcW w:w="1816" w:type="dxa"/>
            <w:shd w:val="clear" w:color="auto" w:fill="BFBFBF" w:themeFill="background1" w:themeFillShade="BF"/>
            <w:noWrap/>
            <w:vAlign w:val="center"/>
            <w:hideMark/>
          </w:tcPr>
          <w:p w14:paraId="7C531D4F" w14:textId="5CE0E2D8" w:rsidR="00987D4F" w:rsidRPr="00987D4F" w:rsidRDefault="00987D4F" w:rsidP="00987D4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(0.23/0.17/0.17)</w:t>
            </w:r>
          </w:p>
        </w:tc>
      </w:tr>
      <w:tr w:rsidR="00987D4F" w:rsidRPr="005B1993" w14:paraId="5A634B1E" w14:textId="77777777" w:rsidTr="00987D4F">
        <w:trPr>
          <w:trHeight w:val="292"/>
        </w:trPr>
        <w:tc>
          <w:tcPr>
            <w:cnfStyle w:val="001000000000" w:firstRow="0" w:lastRow="0" w:firstColumn="1" w:lastColumn="0" w:oddVBand="0" w:evenVBand="0" w:oddHBand="0" w:evenHBand="0" w:firstRowFirstColumn="0" w:firstRowLastColumn="0" w:lastRowFirstColumn="0" w:lastRowLastColumn="0"/>
            <w:tcW w:w="1724" w:type="dxa"/>
            <w:vMerge/>
            <w:shd w:val="clear" w:color="auto" w:fill="BFBFBF" w:themeFill="background1" w:themeFillShade="BF"/>
            <w:vAlign w:val="center"/>
            <w:hideMark/>
          </w:tcPr>
          <w:p w14:paraId="3D0BF077" w14:textId="77777777" w:rsidR="00987D4F" w:rsidRPr="00456C36" w:rsidRDefault="00987D4F" w:rsidP="00987D4F">
            <w:pPr>
              <w:spacing w:line="240" w:lineRule="auto"/>
              <w:jc w:val="left"/>
              <w:rPr>
                <w:rFonts w:eastAsia="Times New Roman" w:cs="Times New Roman"/>
                <w:color w:val="000000"/>
                <w:sz w:val="20"/>
                <w:szCs w:val="20"/>
                <w:lang w:eastAsia="en-GB"/>
              </w:rPr>
            </w:pPr>
          </w:p>
        </w:tc>
        <w:tc>
          <w:tcPr>
            <w:tcW w:w="1537" w:type="dxa"/>
            <w:shd w:val="clear" w:color="auto" w:fill="BFBFBF" w:themeFill="background1" w:themeFillShade="BF"/>
            <w:noWrap/>
            <w:vAlign w:val="center"/>
            <w:hideMark/>
          </w:tcPr>
          <w:p w14:paraId="0E14D781" w14:textId="77777777" w:rsidR="00987D4F" w:rsidRPr="00456C36"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456C36">
              <w:rPr>
                <w:rFonts w:eastAsia="Times New Roman" w:cs="Times New Roman"/>
                <w:color w:val="000000"/>
                <w:sz w:val="20"/>
                <w:szCs w:val="20"/>
                <w:lang w:eastAsia="en-GB"/>
              </w:rPr>
              <w:t>Conditional R²</w:t>
            </w:r>
          </w:p>
        </w:tc>
        <w:tc>
          <w:tcPr>
            <w:tcW w:w="1875" w:type="dxa"/>
            <w:shd w:val="clear" w:color="auto" w:fill="BFBFBF" w:themeFill="background1" w:themeFillShade="BF"/>
            <w:vAlign w:val="center"/>
            <w:hideMark/>
          </w:tcPr>
          <w:p w14:paraId="509C3446" w14:textId="77777777" w:rsidR="00987D4F" w:rsidRPr="00456C36"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259" w:type="dxa"/>
            <w:shd w:val="clear" w:color="auto" w:fill="BFBFBF" w:themeFill="background1" w:themeFillShade="BF"/>
            <w:noWrap/>
            <w:vAlign w:val="center"/>
            <w:hideMark/>
          </w:tcPr>
          <w:p w14:paraId="138E350D" w14:textId="43EC4F21"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(0.32)</w:t>
            </w:r>
          </w:p>
        </w:tc>
        <w:tc>
          <w:tcPr>
            <w:tcW w:w="1260" w:type="dxa"/>
            <w:shd w:val="clear" w:color="auto" w:fill="BFBFBF" w:themeFill="background1" w:themeFillShade="BF"/>
            <w:noWrap/>
            <w:vAlign w:val="center"/>
            <w:hideMark/>
          </w:tcPr>
          <w:p w14:paraId="51960279" w14:textId="5051E04F"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(0.47)</w:t>
            </w:r>
          </w:p>
        </w:tc>
        <w:tc>
          <w:tcPr>
            <w:tcW w:w="1816" w:type="dxa"/>
            <w:shd w:val="clear" w:color="auto" w:fill="BFBFBF" w:themeFill="background1" w:themeFillShade="BF"/>
            <w:noWrap/>
            <w:vAlign w:val="center"/>
            <w:hideMark/>
          </w:tcPr>
          <w:p w14:paraId="02E9B221" w14:textId="3FDC9010" w:rsidR="00987D4F" w:rsidRPr="00987D4F" w:rsidRDefault="00987D4F" w:rsidP="00987D4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987D4F">
              <w:rPr>
                <w:rFonts w:cs="Times New Roman"/>
                <w:color w:val="000000"/>
                <w:sz w:val="20"/>
                <w:szCs w:val="20"/>
              </w:rPr>
              <w:t>(0.37/0.34/0.36)</w:t>
            </w:r>
          </w:p>
        </w:tc>
      </w:tr>
    </w:tbl>
    <w:p w14:paraId="522CADFA" w14:textId="61A111F5" w:rsidR="000000F0" w:rsidRDefault="000000F0" w:rsidP="00C93739">
      <w:pPr>
        <w:rPr>
          <w:b/>
        </w:rPr>
      </w:pPr>
    </w:p>
    <w:p w14:paraId="7B3ABD77" w14:textId="77777777" w:rsidR="000000F0" w:rsidRDefault="000000F0">
      <w:pPr>
        <w:spacing w:line="259" w:lineRule="auto"/>
        <w:jc w:val="left"/>
        <w:rPr>
          <w:b/>
        </w:rPr>
      </w:pPr>
      <w:r>
        <w:rPr>
          <w:b/>
        </w:rPr>
        <w:br w:type="page"/>
      </w:r>
    </w:p>
    <w:p w14:paraId="55B37BCC" w14:textId="40019DAC" w:rsidR="00C93739" w:rsidRDefault="000000F0" w:rsidP="00C93739">
      <w:pPr>
        <w:rPr>
          <w:b/>
        </w:rPr>
      </w:pPr>
      <w:r>
        <w:rPr>
          <w:b/>
        </w:rPr>
        <w:t>References</w:t>
      </w:r>
    </w:p>
    <w:sdt>
      <w:sdtPr>
        <w:rPr>
          <w:b/>
        </w:rPr>
        <w:tag w:val="MENDELEY_BIBLIOGRAPHY"/>
        <w:id w:val="1270359932"/>
        <w:placeholder>
          <w:docPart w:val="DefaultPlaceholder_-1854013440"/>
        </w:placeholder>
      </w:sdtPr>
      <w:sdtContent>
        <w:p w14:paraId="176AB7DF" w14:textId="77777777" w:rsidR="007A0E41" w:rsidRDefault="007A0E41">
          <w:pPr>
            <w:autoSpaceDE w:val="0"/>
            <w:autoSpaceDN w:val="0"/>
            <w:ind w:hanging="480"/>
            <w:divId w:val="1942712635"/>
            <w:rPr>
              <w:rFonts w:eastAsia="Times New Roman"/>
              <w:szCs w:val="24"/>
            </w:rPr>
          </w:pPr>
          <w:r>
            <w:rPr>
              <w:rFonts w:eastAsia="Times New Roman"/>
            </w:rPr>
            <w:t xml:space="preserve">Hassall, R. M. (2020). </w:t>
          </w:r>
          <w:r>
            <w:rPr>
              <w:rFonts w:eastAsia="Times New Roman"/>
              <w:i/>
              <w:iCs/>
            </w:rPr>
            <w:t>Understanding the Generation and Dynamics of Bartonella Diversity in Fragmented Host Populations</w:t>
          </w:r>
          <w:r>
            <w:rPr>
              <w:rFonts w:eastAsia="Times New Roman"/>
            </w:rPr>
            <w:t>. University of Aberdeen .</w:t>
          </w:r>
        </w:p>
        <w:p w14:paraId="741C9EBB" w14:textId="77777777" w:rsidR="007A0E41" w:rsidRDefault="007A0E41">
          <w:pPr>
            <w:autoSpaceDE w:val="0"/>
            <w:autoSpaceDN w:val="0"/>
            <w:ind w:hanging="480"/>
            <w:divId w:val="144056829"/>
            <w:rPr>
              <w:rFonts w:eastAsia="Times New Roman"/>
            </w:rPr>
          </w:pPr>
          <w:r>
            <w:rPr>
              <w:rFonts w:eastAsia="Times New Roman"/>
            </w:rPr>
            <w:t xml:space="preserve">Simpson, V. R., </w:t>
          </w:r>
          <w:proofErr w:type="spellStart"/>
          <w:r>
            <w:rPr>
              <w:rFonts w:eastAsia="Times New Roman"/>
            </w:rPr>
            <w:t>Panciera</w:t>
          </w:r>
          <w:proofErr w:type="spellEnd"/>
          <w:r>
            <w:rPr>
              <w:rFonts w:eastAsia="Times New Roman"/>
            </w:rPr>
            <w:t xml:space="preserve">, R. J., Hargreaves, J., McGarry, J. W., Scholes, S. F. E., </w:t>
          </w:r>
          <w:proofErr w:type="spellStart"/>
          <w:r>
            <w:rPr>
              <w:rFonts w:eastAsia="Times New Roman"/>
            </w:rPr>
            <w:t>Bown</w:t>
          </w:r>
          <w:proofErr w:type="spellEnd"/>
          <w:r>
            <w:rPr>
              <w:rFonts w:eastAsia="Times New Roman"/>
            </w:rPr>
            <w:t xml:space="preserve">, K. J., &amp; Birtles, R. J. (2005). Myocarditis and myositis due to infection with Hepatozoon species in pine martens (Martes martes) in Scotland. </w:t>
          </w:r>
          <w:r>
            <w:rPr>
              <w:rFonts w:eastAsia="Times New Roman"/>
              <w:i/>
              <w:iCs/>
            </w:rPr>
            <w:t>Veterinary Record</w:t>
          </w:r>
          <w:r>
            <w:rPr>
              <w:rFonts w:eastAsia="Times New Roman"/>
            </w:rPr>
            <w:t xml:space="preserve">, </w:t>
          </w:r>
          <w:r>
            <w:rPr>
              <w:rFonts w:eastAsia="Times New Roman"/>
              <w:i/>
              <w:iCs/>
            </w:rPr>
            <w:t>156</w:t>
          </w:r>
          <w:r>
            <w:rPr>
              <w:rFonts w:eastAsia="Times New Roman"/>
            </w:rPr>
            <w:t>(14), 442–446. https://doi.org/10.1136/vr.156.14.442</w:t>
          </w:r>
        </w:p>
        <w:p w14:paraId="0355D6A0" w14:textId="09025908" w:rsidR="00A35F7A" w:rsidRPr="00DC6235" w:rsidRDefault="007A0E41" w:rsidP="00C93739">
          <w:pPr>
            <w:rPr>
              <w:b/>
            </w:rPr>
          </w:pPr>
          <w:r>
            <w:rPr>
              <w:rFonts w:eastAsia="Times New Roman"/>
            </w:rPr>
            <w:t> </w:t>
          </w:r>
        </w:p>
      </w:sdtContent>
    </w:sdt>
    <w:sectPr w:rsidR="00A35F7A" w:rsidRPr="00DC6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zMDYyNzewsDQwM7dU0lEKTi0uzszPAykwqQUAW8q1TCwAAAA="/>
  </w:docVars>
  <w:rsids>
    <w:rsidRoot w:val="00EA4CAD"/>
    <w:rsid w:val="000000F0"/>
    <w:rsid w:val="000209E2"/>
    <w:rsid w:val="000719E1"/>
    <w:rsid w:val="00090CC0"/>
    <w:rsid w:val="000B42FC"/>
    <w:rsid w:val="000E1E4B"/>
    <w:rsid w:val="001007CA"/>
    <w:rsid w:val="00111C8B"/>
    <w:rsid w:val="00130B84"/>
    <w:rsid w:val="00133696"/>
    <w:rsid w:val="001810C0"/>
    <w:rsid w:val="00197948"/>
    <w:rsid w:val="001A734E"/>
    <w:rsid w:val="001B5C44"/>
    <w:rsid w:val="001B7F1B"/>
    <w:rsid w:val="0020549C"/>
    <w:rsid w:val="00245491"/>
    <w:rsid w:val="00256CDB"/>
    <w:rsid w:val="002D3CA0"/>
    <w:rsid w:val="002F2916"/>
    <w:rsid w:val="00332AB6"/>
    <w:rsid w:val="00367102"/>
    <w:rsid w:val="00375D2C"/>
    <w:rsid w:val="003B4337"/>
    <w:rsid w:val="00431A57"/>
    <w:rsid w:val="00441D85"/>
    <w:rsid w:val="00445BB3"/>
    <w:rsid w:val="00447D04"/>
    <w:rsid w:val="00456C36"/>
    <w:rsid w:val="004605A2"/>
    <w:rsid w:val="00482D08"/>
    <w:rsid w:val="00497635"/>
    <w:rsid w:val="004C5787"/>
    <w:rsid w:val="004F60AA"/>
    <w:rsid w:val="00542C49"/>
    <w:rsid w:val="00543B8D"/>
    <w:rsid w:val="00552B40"/>
    <w:rsid w:val="005A7409"/>
    <w:rsid w:val="005B1993"/>
    <w:rsid w:val="006102B1"/>
    <w:rsid w:val="00622328"/>
    <w:rsid w:val="006413E1"/>
    <w:rsid w:val="00665307"/>
    <w:rsid w:val="006A19E0"/>
    <w:rsid w:val="006E5C7D"/>
    <w:rsid w:val="00746EF1"/>
    <w:rsid w:val="007906D7"/>
    <w:rsid w:val="007A0E41"/>
    <w:rsid w:val="0081302B"/>
    <w:rsid w:val="00856319"/>
    <w:rsid w:val="008D1915"/>
    <w:rsid w:val="008D74AC"/>
    <w:rsid w:val="00942123"/>
    <w:rsid w:val="009836A3"/>
    <w:rsid w:val="00987D4F"/>
    <w:rsid w:val="009A0A5A"/>
    <w:rsid w:val="009B2CBD"/>
    <w:rsid w:val="009D3AA5"/>
    <w:rsid w:val="009F61FA"/>
    <w:rsid w:val="00A071CB"/>
    <w:rsid w:val="00A318E1"/>
    <w:rsid w:val="00A35F7A"/>
    <w:rsid w:val="00A47BD7"/>
    <w:rsid w:val="00A74B6A"/>
    <w:rsid w:val="00A87DE3"/>
    <w:rsid w:val="00AA358B"/>
    <w:rsid w:val="00AC2C9F"/>
    <w:rsid w:val="00B36BCC"/>
    <w:rsid w:val="00B51AAD"/>
    <w:rsid w:val="00BA7D3B"/>
    <w:rsid w:val="00C33EAA"/>
    <w:rsid w:val="00C93739"/>
    <w:rsid w:val="00CB1A05"/>
    <w:rsid w:val="00CD432D"/>
    <w:rsid w:val="00D05E29"/>
    <w:rsid w:val="00D154DB"/>
    <w:rsid w:val="00DC795C"/>
    <w:rsid w:val="00E027D8"/>
    <w:rsid w:val="00E103FB"/>
    <w:rsid w:val="00E56114"/>
    <w:rsid w:val="00EA4CAD"/>
    <w:rsid w:val="00EC09E1"/>
    <w:rsid w:val="00ED2274"/>
    <w:rsid w:val="00ED5008"/>
    <w:rsid w:val="00ED5A5C"/>
    <w:rsid w:val="00EE5740"/>
    <w:rsid w:val="00EF0420"/>
    <w:rsid w:val="00F526BB"/>
    <w:rsid w:val="00F5697C"/>
    <w:rsid w:val="00FB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B115"/>
  <w15:chartTrackingRefBased/>
  <w15:docId w15:val="{C84450E3-C77A-44E3-9382-1B40630C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AD"/>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CA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CAD"/>
    <w:pPr>
      <w:spacing w:after="200" w:line="240" w:lineRule="auto"/>
      <w:jc w:val="left"/>
    </w:pPr>
    <w:rPr>
      <w:i/>
      <w:iCs/>
      <w:color w:val="44546A" w:themeColor="text2"/>
      <w:sz w:val="18"/>
      <w:szCs w:val="18"/>
    </w:rPr>
  </w:style>
  <w:style w:type="character" w:styleId="CommentReference">
    <w:name w:val="annotation reference"/>
    <w:basedOn w:val="DefaultParagraphFont"/>
    <w:uiPriority w:val="99"/>
    <w:semiHidden/>
    <w:unhideWhenUsed/>
    <w:rsid w:val="00EA4CAD"/>
    <w:rPr>
      <w:sz w:val="16"/>
      <w:szCs w:val="16"/>
    </w:rPr>
  </w:style>
  <w:style w:type="paragraph" w:styleId="CommentText">
    <w:name w:val="annotation text"/>
    <w:basedOn w:val="Normal"/>
    <w:link w:val="CommentTextChar"/>
    <w:uiPriority w:val="99"/>
    <w:semiHidden/>
    <w:unhideWhenUsed/>
    <w:rsid w:val="00EA4CAD"/>
    <w:pPr>
      <w:spacing w:line="240" w:lineRule="auto"/>
    </w:pPr>
    <w:rPr>
      <w:sz w:val="20"/>
      <w:szCs w:val="20"/>
    </w:rPr>
  </w:style>
  <w:style w:type="character" w:customStyle="1" w:styleId="CommentTextChar">
    <w:name w:val="Comment Text Char"/>
    <w:basedOn w:val="DefaultParagraphFont"/>
    <w:link w:val="CommentText"/>
    <w:uiPriority w:val="99"/>
    <w:semiHidden/>
    <w:rsid w:val="00EA4CAD"/>
    <w:rPr>
      <w:rFonts w:ascii="Times New Roman" w:hAnsi="Times New Roman"/>
      <w:sz w:val="20"/>
      <w:szCs w:val="20"/>
    </w:rPr>
  </w:style>
  <w:style w:type="table" w:styleId="PlainTable2">
    <w:name w:val="Plain Table 2"/>
    <w:basedOn w:val="TableNormal"/>
    <w:uiPriority w:val="42"/>
    <w:rsid w:val="003B43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111C8B"/>
    <w:rPr>
      <w:color w:val="808080"/>
    </w:rPr>
  </w:style>
  <w:style w:type="character" w:customStyle="1" w:styleId="ui-provider">
    <w:name w:val="ui-provider"/>
    <w:basedOn w:val="DefaultParagraphFont"/>
    <w:rsid w:val="0020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766">
      <w:bodyDiv w:val="1"/>
      <w:marLeft w:val="0"/>
      <w:marRight w:val="0"/>
      <w:marTop w:val="0"/>
      <w:marBottom w:val="0"/>
      <w:divBdr>
        <w:top w:val="none" w:sz="0" w:space="0" w:color="auto"/>
        <w:left w:val="none" w:sz="0" w:space="0" w:color="auto"/>
        <w:bottom w:val="none" w:sz="0" w:space="0" w:color="auto"/>
        <w:right w:val="none" w:sz="0" w:space="0" w:color="auto"/>
      </w:divBdr>
      <w:divsChild>
        <w:div w:id="1942712635">
          <w:marLeft w:val="480"/>
          <w:marRight w:val="0"/>
          <w:marTop w:val="0"/>
          <w:marBottom w:val="0"/>
          <w:divBdr>
            <w:top w:val="none" w:sz="0" w:space="0" w:color="auto"/>
            <w:left w:val="none" w:sz="0" w:space="0" w:color="auto"/>
            <w:bottom w:val="none" w:sz="0" w:space="0" w:color="auto"/>
            <w:right w:val="none" w:sz="0" w:space="0" w:color="auto"/>
          </w:divBdr>
        </w:div>
        <w:div w:id="144056829">
          <w:marLeft w:val="480"/>
          <w:marRight w:val="0"/>
          <w:marTop w:val="0"/>
          <w:marBottom w:val="0"/>
          <w:divBdr>
            <w:top w:val="none" w:sz="0" w:space="0" w:color="auto"/>
            <w:left w:val="none" w:sz="0" w:space="0" w:color="auto"/>
            <w:bottom w:val="none" w:sz="0" w:space="0" w:color="auto"/>
            <w:right w:val="none" w:sz="0" w:space="0" w:color="auto"/>
          </w:divBdr>
        </w:div>
      </w:divsChild>
    </w:div>
    <w:div w:id="389504497">
      <w:bodyDiv w:val="1"/>
      <w:marLeft w:val="0"/>
      <w:marRight w:val="0"/>
      <w:marTop w:val="0"/>
      <w:marBottom w:val="0"/>
      <w:divBdr>
        <w:top w:val="none" w:sz="0" w:space="0" w:color="auto"/>
        <w:left w:val="none" w:sz="0" w:space="0" w:color="auto"/>
        <w:bottom w:val="none" w:sz="0" w:space="0" w:color="auto"/>
        <w:right w:val="none" w:sz="0" w:space="0" w:color="auto"/>
      </w:divBdr>
    </w:div>
    <w:div w:id="570190326">
      <w:bodyDiv w:val="1"/>
      <w:marLeft w:val="0"/>
      <w:marRight w:val="0"/>
      <w:marTop w:val="0"/>
      <w:marBottom w:val="0"/>
      <w:divBdr>
        <w:top w:val="none" w:sz="0" w:space="0" w:color="auto"/>
        <w:left w:val="none" w:sz="0" w:space="0" w:color="auto"/>
        <w:bottom w:val="none" w:sz="0" w:space="0" w:color="auto"/>
        <w:right w:val="none" w:sz="0" w:space="0" w:color="auto"/>
      </w:divBdr>
      <w:divsChild>
        <w:div w:id="568737489">
          <w:marLeft w:val="480"/>
          <w:marRight w:val="0"/>
          <w:marTop w:val="0"/>
          <w:marBottom w:val="0"/>
          <w:divBdr>
            <w:top w:val="none" w:sz="0" w:space="0" w:color="auto"/>
            <w:left w:val="none" w:sz="0" w:space="0" w:color="auto"/>
            <w:bottom w:val="none" w:sz="0" w:space="0" w:color="auto"/>
            <w:right w:val="none" w:sz="0" w:space="0" w:color="auto"/>
          </w:divBdr>
        </w:div>
        <w:div w:id="30083053">
          <w:marLeft w:val="480"/>
          <w:marRight w:val="0"/>
          <w:marTop w:val="0"/>
          <w:marBottom w:val="0"/>
          <w:divBdr>
            <w:top w:val="none" w:sz="0" w:space="0" w:color="auto"/>
            <w:left w:val="none" w:sz="0" w:space="0" w:color="auto"/>
            <w:bottom w:val="none" w:sz="0" w:space="0" w:color="auto"/>
            <w:right w:val="none" w:sz="0" w:space="0" w:color="auto"/>
          </w:divBdr>
        </w:div>
      </w:divsChild>
    </w:div>
    <w:div w:id="661589384">
      <w:bodyDiv w:val="1"/>
      <w:marLeft w:val="0"/>
      <w:marRight w:val="0"/>
      <w:marTop w:val="0"/>
      <w:marBottom w:val="0"/>
      <w:divBdr>
        <w:top w:val="none" w:sz="0" w:space="0" w:color="auto"/>
        <w:left w:val="none" w:sz="0" w:space="0" w:color="auto"/>
        <w:bottom w:val="none" w:sz="0" w:space="0" w:color="auto"/>
        <w:right w:val="none" w:sz="0" w:space="0" w:color="auto"/>
      </w:divBdr>
    </w:div>
    <w:div w:id="702678969">
      <w:bodyDiv w:val="1"/>
      <w:marLeft w:val="0"/>
      <w:marRight w:val="0"/>
      <w:marTop w:val="0"/>
      <w:marBottom w:val="0"/>
      <w:divBdr>
        <w:top w:val="none" w:sz="0" w:space="0" w:color="auto"/>
        <w:left w:val="none" w:sz="0" w:space="0" w:color="auto"/>
        <w:bottom w:val="none" w:sz="0" w:space="0" w:color="auto"/>
        <w:right w:val="none" w:sz="0" w:space="0" w:color="auto"/>
      </w:divBdr>
      <w:divsChild>
        <w:div w:id="1114180273">
          <w:marLeft w:val="480"/>
          <w:marRight w:val="0"/>
          <w:marTop w:val="0"/>
          <w:marBottom w:val="0"/>
          <w:divBdr>
            <w:top w:val="none" w:sz="0" w:space="0" w:color="auto"/>
            <w:left w:val="none" w:sz="0" w:space="0" w:color="auto"/>
            <w:bottom w:val="none" w:sz="0" w:space="0" w:color="auto"/>
            <w:right w:val="none" w:sz="0" w:space="0" w:color="auto"/>
          </w:divBdr>
        </w:div>
      </w:divsChild>
    </w:div>
    <w:div w:id="805053547">
      <w:bodyDiv w:val="1"/>
      <w:marLeft w:val="0"/>
      <w:marRight w:val="0"/>
      <w:marTop w:val="0"/>
      <w:marBottom w:val="0"/>
      <w:divBdr>
        <w:top w:val="none" w:sz="0" w:space="0" w:color="auto"/>
        <w:left w:val="none" w:sz="0" w:space="0" w:color="auto"/>
        <w:bottom w:val="none" w:sz="0" w:space="0" w:color="auto"/>
        <w:right w:val="none" w:sz="0" w:space="0" w:color="auto"/>
      </w:divBdr>
      <w:divsChild>
        <w:div w:id="1052919554">
          <w:marLeft w:val="480"/>
          <w:marRight w:val="0"/>
          <w:marTop w:val="0"/>
          <w:marBottom w:val="0"/>
          <w:divBdr>
            <w:top w:val="none" w:sz="0" w:space="0" w:color="auto"/>
            <w:left w:val="none" w:sz="0" w:space="0" w:color="auto"/>
            <w:bottom w:val="none" w:sz="0" w:space="0" w:color="auto"/>
            <w:right w:val="none" w:sz="0" w:space="0" w:color="auto"/>
          </w:divBdr>
        </w:div>
      </w:divsChild>
    </w:div>
    <w:div w:id="896627697">
      <w:bodyDiv w:val="1"/>
      <w:marLeft w:val="0"/>
      <w:marRight w:val="0"/>
      <w:marTop w:val="0"/>
      <w:marBottom w:val="0"/>
      <w:divBdr>
        <w:top w:val="none" w:sz="0" w:space="0" w:color="auto"/>
        <w:left w:val="none" w:sz="0" w:space="0" w:color="auto"/>
        <w:bottom w:val="none" w:sz="0" w:space="0" w:color="auto"/>
        <w:right w:val="none" w:sz="0" w:space="0" w:color="auto"/>
      </w:divBdr>
    </w:div>
    <w:div w:id="905804538">
      <w:bodyDiv w:val="1"/>
      <w:marLeft w:val="0"/>
      <w:marRight w:val="0"/>
      <w:marTop w:val="0"/>
      <w:marBottom w:val="0"/>
      <w:divBdr>
        <w:top w:val="none" w:sz="0" w:space="0" w:color="auto"/>
        <w:left w:val="none" w:sz="0" w:space="0" w:color="auto"/>
        <w:bottom w:val="none" w:sz="0" w:space="0" w:color="auto"/>
        <w:right w:val="none" w:sz="0" w:space="0" w:color="auto"/>
      </w:divBdr>
      <w:divsChild>
        <w:div w:id="1877237916">
          <w:marLeft w:val="480"/>
          <w:marRight w:val="0"/>
          <w:marTop w:val="0"/>
          <w:marBottom w:val="0"/>
          <w:divBdr>
            <w:top w:val="none" w:sz="0" w:space="0" w:color="auto"/>
            <w:left w:val="none" w:sz="0" w:space="0" w:color="auto"/>
            <w:bottom w:val="none" w:sz="0" w:space="0" w:color="auto"/>
            <w:right w:val="none" w:sz="0" w:space="0" w:color="auto"/>
          </w:divBdr>
        </w:div>
        <w:div w:id="1387222517">
          <w:marLeft w:val="480"/>
          <w:marRight w:val="0"/>
          <w:marTop w:val="0"/>
          <w:marBottom w:val="0"/>
          <w:divBdr>
            <w:top w:val="none" w:sz="0" w:space="0" w:color="auto"/>
            <w:left w:val="none" w:sz="0" w:space="0" w:color="auto"/>
            <w:bottom w:val="none" w:sz="0" w:space="0" w:color="auto"/>
            <w:right w:val="none" w:sz="0" w:space="0" w:color="auto"/>
          </w:divBdr>
        </w:div>
      </w:divsChild>
    </w:div>
    <w:div w:id="1037125864">
      <w:bodyDiv w:val="1"/>
      <w:marLeft w:val="0"/>
      <w:marRight w:val="0"/>
      <w:marTop w:val="0"/>
      <w:marBottom w:val="0"/>
      <w:divBdr>
        <w:top w:val="none" w:sz="0" w:space="0" w:color="auto"/>
        <w:left w:val="none" w:sz="0" w:space="0" w:color="auto"/>
        <w:bottom w:val="none" w:sz="0" w:space="0" w:color="auto"/>
        <w:right w:val="none" w:sz="0" w:space="0" w:color="auto"/>
      </w:divBdr>
    </w:div>
    <w:div w:id="1084492686">
      <w:bodyDiv w:val="1"/>
      <w:marLeft w:val="0"/>
      <w:marRight w:val="0"/>
      <w:marTop w:val="0"/>
      <w:marBottom w:val="0"/>
      <w:divBdr>
        <w:top w:val="none" w:sz="0" w:space="0" w:color="auto"/>
        <w:left w:val="none" w:sz="0" w:space="0" w:color="auto"/>
        <w:bottom w:val="none" w:sz="0" w:space="0" w:color="auto"/>
        <w:right w:val="none" w:sz="0" w:space="0" w:color="auto"/>
      </w:divBdr>
      <w:divsChild>
        <w:div w:id="1195466330">
          <w:marLeft w:val="480"/>
          <w:marRight w:val="0"/>
          <w:marTop w:val="0"/>
          <w:marBottom w:val="0"/>
          <w:divBdr>
            <w:top w:val="none" w:sz="0" w:space="0" w:color="auto"/>
            <w:left w:val="none" w:sz="0" w:space="0" w:color="auto"/>
            <w:bottom w:val="none" w:sz="0" w:space="0" w:color="auto"/>
            <w:right w:val="none" w:sz="0" w:space="0" w:color="auto"/>
          </w:divBdr>
        </w:div>
      </w:divsChild>
    </w:div>
    <w:div w:id="1238831396">
      <w:bodyDiv w:val="1"/>
      <w:marLeft w:val="0"/>
      <w:marRight w:val="0"/>
      <w:marTop w:val="0"/>
      <w:marBottom w:val="0"/>
      <w:divBdr>
        <w:top w:val="none" w:sz="0" w:space="0" w:color="auto"/>
        <w:left w:val="none" w:sz="0" w:space="0" w:color="auto"/>
        <w:bottom w:val="none" w:sz="0" w:space="0" w:color="auto"/>
        <w:right w:val="none" w:sz="0" w:space="0" w:color="auto"/>
      </w:divBdr>
      <w:divsChild>
        <w:div w:id="841354796">
          <w:marLeft w:val="480"/>
          <w:marRight w:val="0"/>
          <w:marTop w:val="0"/>
          <w:marBottom w:val="0"/>
          <w:divBdr>
            <w:top w:val="none" w:sz="0" w:space="0" w:color="auto"/>
            <w:left w:val="none" w:sz="0" w:space="0" w:color="auto"/>
            <w:bottom w:val="none" w:sz="0" w:space="0" w:color="auto"/>
            <w:right w:val="none" w:sz="0" w:space="0" w:color="auto"/>
          </w:divBdr>
        </w:div>
      </w:divsChild>
    </w:div>
    <w:div w:id="1305240393">
      <w:bodyDiv w:val="1"/>
      <w:marLeft w:val="0"/>
      <w:marRight w:val="0"/>
      <w:marTop w:val="0"/>
      <w:marBottom w:val="0"/>
      <w:divBdr>
        <w:top w:val="none" w:sz="0" w:space="0" w:color="auto"/>
        <w:left w:val="none" w:sz="0" w:space="0" w:color="auto"/>
        <w:bottom w:val="none" w:sz="0" w:space="0" w:color="auto"/>
        <w:right w:val="none" w:sz="0" w:space="0" w:color="auto"/>
      </w:divBdr>
      <w:divsChild>
        <w:div w:id="1889948176">
          <w:marLeft w:val="480"/>
          <w:marRight w:val="0"/>
          <w:marTop w:val="0"/>
          <w:marBottom w:val="0"/>
          <w:divBdr>
            <w:top w:val="none" w:sz="0" w:space="0" w:color="auto"/>
            <w:left w:val="none" w:sz="0" w:space="0" w:color="auto"/>
            <w:bottom w:val="none" w:sz="0" w:space="0" w:color="auto"/>
            <w:right w:val="none" w:sz="0" w:space="0" w:color="auto"/>
          </w:divBdr>
        </w:div>
      </w:divsChild>
    </w:div>
    <w:div w:id="1690402499">
      <w:bodyDiv w:val="1"/>
      <w:marLeft w:val="0"/>
      <w:marRight w:val="0"/>
      <w:marTop w:val="0"/>
      <w:marBottom w:val="0"/>
      <w:divBdr>
        <w:top w:val="none" w:sz="0" w:space="0" w:color="auto"/>
        <w:left w:val="none" w:sz="0" w:space="0" w:color="auto"/>
        <w:bottom w:val="none" w:sz="0" w:space="0" w:color="auto"/>
        <w:right w:val="none" w:sz="0" w:space="0" w:color="auto"/>
      </w:divBdr>
    </w:div>
    <w:div w:id="1855261104">
      <w:bodyDiv w:val="1"/>
      <w:marLeft w:val="0"/>
      <w:marRight w:val="0"/>
      <w:marTop w:val="0"/>
      <w:marBottom w:val="0"/>
      <w:divBdr>
        <w:top w:val="none" w:sz="0" w:space="0" w:color="auto"/>
        <w:left w:val="none" w:sz="0" w:space="0" w:color="auto"/>
        <w:bottom w:val="none" w:sz="0" w:space="0" w:color="auto"/>
        <w:right w:val="none" w:sz="0" w:space="0" w:color="auto"/>
      </w:divBdr>
      <w:divsChild>
        <w:div w:id="1893079235">
          <w:marLeft w:val="480"/>
          <w:marRight w:val="0"/>
          <w:marTop w:val="0"/>
          <w:marBottom w:val="0"/>
          <w:divBdr>
            <w:top w:val="none" w:sz="0" w:space="0" w:color="auto"/>
            <w:left w:val="none" w:sz="0" w:space="0" w:color="auto"/>
            <w:bottom w:val="none" w:sz="0" w:space="0" w:color="auto"/>
            <w:right w:val="none" w:sz="0" w:space="0" w:color="auto"/>
          </w:divBdr>
        </w:div>
      </w:divsChild>
    </w:div>
    <w:div w:id="1856529285">
      <w:bodyDiv w:val="1"/>
      <w:marLeft w:val="0"/>
      <w:marRight w:val="0"/>
      <w:marTop w:val="0"/>
      <w:marBottom w:val="0"/>
      <w:divBdr>
        <w:top w:val="none" w:sz="0" w:space="0" w:color="auto"/>
        <w:left w:val="none" w:sz="0" w:space="0" w:color="auto"/>
        <w:bottom w:val="none" w:sz="0" w:space="0" w:color="auto"/>
        <w:right w:val="none" w:sz="0" w:space="0" w:color="auto"/>
      </w:divBdr>
      <w:divsChild>
        <w:div w:id="36587368">
          <w:marLeft w:val="480"/>
          <w:marRight w:val="0"/>
          <w:marTop w:val="0"/>
          <w:marBottom w:val="0"/>
          <w:divBdr>
            <w:top w:val="none" w:sz="0" w:space="0" w:color="auto"/>
            <w:left w:val="none" w:sz="0" w:space="0" w:color="auto"/>
            <w:bottom w:val="none" w:sz="0" w:space="0" w:color="auto"/>
            <w:right w:val="none" w:sz="0" w:space="0" w:color="auto"/>
          </w:divBdr>
        </w:div>
        <w:div w:id="2056469774">
          <w:marLeft w:val="480"/>
          <w:marRight w:val="0"/>
          <w:marTop w:val="0"/>
          <w:marBottom w:val="0"/>
          <w:divBdr>
            <w:top w:val="none" w:sz="0" w:space="0" w:color="auto"/>
            <w:left w:val="none" w:sz="0" w:space="0" w:color="auto"/>
            <w:bottom w:val="none" w:sz="0" w:space="0" w:color="auto"/>
            <w:right w:val="none" w:sz="0" w:space="0" w:color="auto"/>
          </w:divBdr>
        </w:div>
      </w:divsChild>
    </w:div>
    <w:div w:id="1909656571">
      <w:bodyDiv w:val="1"/>
      <w:marLeft w:val="0"/>
      <w:marRight w:val="0"/>
      <w:marTop w:val="0"/>
      <w:marBottom w:val="0"/>
      <w:divBdr>
        <w:top w:val="none" w:sz="0" w:space="0" w:color="auto"/>
        <w:left w:val="none" w:sz="0" w:space="0" w:color="auto"/>
        <w:bottom w:val="none" w:sz="0" w:space="0" w:color="auto"/>
        <w:right w:val="none" w:sz="0" w:space="0" w:color="auto"/>
      </w:divBdr>
      <w:divsChild>
        <w:div w:id="55931449">
          <w:marLeft w:val="480"/>
          <w:marRight w:val="0"/>
          <w:marTop w:val="0"/>
          <w:marBottom w:val="0"/>
          <w:divBdr>
            <w:top w:val="none" w:sz="0" w:space="0" w:color="auto"/>
            <w:left w:val="none" w:sz="0" w:space="0" w:color="auto"/>
            <w:bottom w:val="none" w:sz="0" w:space="0" w:color="auto"/>
            <w:right w:val="none" w:sz="0" w:space="0" w:color="auto"/>
          </w:divBdr>
        </w:div>
        <w:div w:id="356581979">
          <w:marLeft w:val="480"/>
          <w:marRight w:val="0"/>
          <w:marTop w:val="0"/>
          <w:marBottom w:val="0"/>
          <w:divBdr>
            <w:top w:val="none" w:sz="0" w:space="0" w:color="auto"/>
            <w:left w:val="none" w:sz="0" w:space="0" w:color="auto"/>
            <w:bottom w:val="none" w:sz="0" w:space="0" w:color="auto"/>
            <w:right w:val="none" w:sz="0" w:space="0" w:color="auto"/>
          </w:divBdr>
        </w:div>
      </w:divsChild>
    </w:div>
    <w:div w:id="1957366871">
      <w:bodyDiv w:val="1"/>
      <w:marLeft w:val="0"/>
      <w:marRight w:val="0"/>
      <w:marTop w:val="0"/>
      <w:marBottom w:val="0"/>
      <w:divBdr>
        <w:top w:val="none" w:sz="0" w:space="0" w:color="auto"/>
        <w:left w:val="none" w:sz="0" w:space="0" w:color="auto"/>
        <w:bottom w:val="none" w:sz="0" w:space="0" w:color="auto"/>
        <w:right w:val="none" w:sz="0" w:space="0" w:color="auto"/>
      </w:divBdr>
    </w:div>
    <w:div w:id="1967196591">
      <w:bodyDiv w:val="1"/>
      <w:marLeft w:val="0"/>
      <w:marRight w:val="0"/>
      <w:marTop w:val="0"/>
      <w:marBottom w:val="0"/>
      <w:divBdr>
        <w:top w:val="none" w:sz="0" w:space="0" w:color="auto"/>
        <w:left w:val="none" w:sz="0" w:space="0" w:color="auto"/>
        <w:bottom w:val="none" w:sz="0" w:space="0" w:color="auto"/>
        <w:right w:val="none" w:sz="0" w:space="0" w:color="auto"/>
      </w:divBdr>
    </w:div>
    <w:div w:id="2088111669">
      <w:bodyDiv w:val="1"/>
      <w:marLeft w:val="0"/>
      <w:marRight w:val="0"/>
      <w:marTop w:val="0"/>
      <w:marBottom w:val="0"/>
      <w:divBdr>
        <w:top w:val="none" w:sz="0" w:space="0" w:color="auto"/>
        <w:left w:val="none" w:sz="0" w:space="0" w:color="auto"/>
        <w:bottom w:val="none" w:sz="0" w:space="0" w:color="auto"/>
        <w:right w:val="none" w:sz="0" w:space="0" w:color="auto"/>
      </w:divBdr>
      <w:divsChild>
        <w:div w:id="1227492585">
          <w:marLeft w:val="480"/>
          <w:marRight w:val="0"/>
          <w:marTop w:val="0"/>
          <w:marBottom w:val="0"/>
          <w:divBdr>
            <w:top w:val="none" w:sz="0" w:space="0" w:color="auto"/>
            <w:left w:val="none" w:sz="0" w:space="0" w:color="auto"/>
            <w:bottom w:val="none" w:sz="0" w:space="0" w:color="auto"/>
            <w:right w:val="none" w:sz="0" w:space="0" w:color="auto"/>
          </w:divBdr>
        </w:div>
        <w:div w:id="1182277514">
          <w:marLeft w:val="480"/>
          <w:marRight w:val="0"/>
          <w:marTop w:val="0"/>
          <w:marBottom w:val="0"/>
          <w:divBdr>
            <w:top w:val="none" w:sz="0" w:space="0" w:color="auto"/>
            <w:left w:val="none" w:sz="0" w:space="0" w:color="auto"/>
            <w:bottom w:val="none" w:sz="0" w:space="0" w:color="auto"/>
            <w:right w:val="none" w:sz="0" w:space="0" w:color="auto"/>
          </w:divBdr>
        </w:div>
      </w:divsChild>
    </w:div>
    <w:div w:id="2108887403">
      <w:bodyDiv w:val="1"/>
      <w:marLeft w:val="0"/>
      <w:marRight w:val="0"/>
      <w:marTop w:val="0"/>
      <w:marBottom w:val="0"/>
      <w:divBdr>
        <w:top w:val="none" w:sz="0" w:space="0" w:color="auto"/>
        <w:left w:val="none" w:sz="0" w:space="0" w:color="auto"/>
        <w:bottom w:val="none" w:sz="0" w:space="0" w:color="auto"/>
        <w:right w:val="none" w:sz="0" w:space="0" w:color="auto"/>
      </w:divBdr>
      <w:divsChild>
        <w:div w:id="1244879618">
          <w:marLeft w:val="480"/>
          <w:marRight w:val="0"/>
          <w:marTop w:val="0"/>
          <w:marBottom w:val="0"/>
          <w:divBdr>
            <w:top w:val="none" w:sz="0" w:space="0" w:color="auto"/>
            <w:left w:val="none" w:sz="0" w:space="0" w:color="auto"/>
            <w:bottom w:val="none" w:sz="0" w:space="0" w:color="auto"/>
            <w:right w:val="none" w:sz="0" w:space="0" w:color="auto"/>
          </w:divBdr>
        </w:div>
        <w:div w:id="125852261">
          <w:marLeft w:val="480"/>
          <w:marRight w:val="0"/>
          <w:marTop w:val="0"/>
          <w:marBottom w:val="0"/>
          <w:divBdr>
            <w:top w:val="none" w:sz="0" w:space="0" w:color="auto"/>
            <w:left w:val="none" w:sz="0" w:space="0" w:color="auto"/>
            <w:bottom w:val="none" w:sz="0" w:space="0" w:color="auto"/>
            <w:right w:val="none" w:sz="0" w:space="0" w:color="auto"/>
          </w:divBdr>
        </w:div>
      </w:divsChild>
    </w:div>
    <w:div w:id="21400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FA621E-97D2-4059-A9D8-8D1216622E06}"/>
      </w:docPartPr>
      <w:docPartBody>
        <w:p w:rsidR="005F583D" w:rsidRDefault="00F24512">
          <w:r w:rsidRPr="00E35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12"/>
    <w:rsid w:val="00275958"/>
    <w:rsid w:val="005F583D"/>
    <w:rsid w:val="00F24512"/>
    <w:rsid w:val="00FA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0E1901-CFAC-4C86-9EE0-BF708AE3FED1}">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b9578896-4fca-427d-b171-b97aa890c32f&quot;,&quot;properties&quot;:{&quot;noteIndex&quot;:0},&quot;isEdited&quot;:false,&quot;manualOverride&quot;:{&quot;isManuallyOverridden&quot;:false,&quot;citeprocText&quot;:&quot;(Simpson et al., 2005)&quot;,&quot;manualOverrideText&quot;:&quot;&quot;},&quot;citationTag&quot;:&quot;MENDELEY_CITATION_v3_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&quot;,&quot;citationItems&quot;:[{&quot;id&quot;:&quot;19350f46-bfb6-3718-bba5-c8850d9cacd8&quot;,&quot;itemData&quot;:{&quot;type&quot;:&quot;article-journal&quot;,&quot;id&quot;:&quot;19350f46-bfb6-3718-bba5-c8850d9cacd8&quot;,&quot;title&quot;:&quot;Myocarditis and myositis due to infection with Hepatozoon species in pine martens (Martes martes) in Scotland&quot;,&quot;author&quot;:[{&quot;family&quot;:&quot;Simpson&quot;,&quot;given&quot;:&quot;V. R.&quot;,&quot;parse-names&quot;:false,&quot;dropping-particle&quot;:&quot;&quot;,&quot;non-dropping-particle&quot;:&quot;&quot;},{&quot;family&quot;:&quot;Panciera&quot;,&quot;given&quot;:&quot;R. J.&quot;,&quot;parse-names&quot;:false,&quot;dropping-particle&quot;:&quot;&quot;,&quot;non-dropping-particle&quot;:&quot;&quot;},{&quot;family&quot;:&quot;Hargreaves&quot;,&quot;given&quot;:&quot;J.&quot;,&quot;parse-names&quot;:false,&quot;dropping-particle&quot;:&quot;&quot;,&quot;non-dropping-particle&quot;:&quot;&quot;},{&quot;family&quot;:&quot;McGarry&quot;,&quot;given&quot;:&quot;J. W.&quot;,&quot;parse-names&quot;:false,&quot;dropping-particle&quot;:&quot;&quot;,&quot;non-dropping-particle&quot;:&quot;&quot;},{&quot;family&quot;:&quot;Scholes&quot;,&quot;given&quot;:&quot;S. F.E.&quot;,&quot;parse-names&quot;:false,&quot;dropping-particle&quot;:&quot;&quot;,&quot;non-dropping-particle&quot;:&quot;&quot;},{&quot;family&quot;:&quot;Bown&quot;,&quot;given&quot;:&quot;K. J.&quot;,&quot;parse-names&quot;:false,&quot;dropping-particle&quot;:&quot;&quot;,&quot;non-dropping-particle&quot;:&quot;&quot;},{&quot;family&quot;:&quot;Birtles&quot;,&quot;given&quot;:&quot;R. J.&quot;,&quot;parse-names&quot;:false,&quot;dropping-particle&quot;:&quot;&quot;,&quot;non-dropping-particle&quot;:&quot;&quot;}],&quot;container-title&quot;:&quot;Veterinary Record&quot;,&quot;DOI&quot;:&quot;10.1136/vr.156.14.442&quot;,&quot;ISSN&quot;:&quot;00424900&quot;,&quot;issued&quot;:{&quot;date-parts&quot;:[[2005]]},&quot;page&quot;:&quot;442-446&quot;,&quot;abstract&quot;:&quot;Postmortem examinations of four pine martens which had died as a result of road accidents in Scotland revealed focal, granulomatous lesions in the heart and skeletal muscles of three of them. An immunoperoxidase staining technique showed that the lesions were due to infection with Hepatozoon species. A PCR-based assay was used to confirm the presence of Hepatozoon DNA in the infected tissues. The nucleotide base sequence of the PCR products suggested that the infecting organism was probably a new species of Hepatozoon, most closely related to, but distinct from, Hepatozoon canis. The pine martens were in good physical condition and there was no indication that the infection was causing ill health.&quot;,&quot;issue&quot;:&quot;14&quot;,&quot;volume&quot;:&quot;156&quot;,&quot;container-title-short&quot;:&quot;&quot;},&quot;isTemporary&quot;:false}]},{&quot;citationID&quot;:&quot;MENDELEY_CITATION_dbcae9ad-daaa-4f9b-b71e-d758e24a4cf6&quot;,&quot;properties&quot;:{&quot;noteIndex&quot;:0},&quot;isEdited&quot;:false,&quot;manualOverride&quot;:{&quot;isManuallyOverridden&quot;:false,&quot;citeprocText&quot;:&quot;(Hassall, 2020)&quot;,&quot;manualOverrideText&quot;:&quot;&quot;},&quot;citationTag&quot;:&quot;MENDELEY_CITATION_v3_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&quot;,&quot;citationItems&quot;:[{&quot;id&quot;:&quot;4e8c87cc-5086-3925-a2fd-352dd54783d6&quot;,&quot;itemData&quot;:{&quot;type&quot;:&quot;thesis&quot;,&quot;id&quot;:&quot;4e8c87cc-5086-3925-a2fd-352dd54783d6&quot;,&quot;title&quot;:&quot;Understanding the Generation and Dynamics of Bartonella Diversity in Fragmented Host Populations&quot;,&quot;author&quot;:[{&quot;family&quot;:&quot;Hassall&quot;,&quot;given&quot;:&quot;Richard Moses&quot;,&quot;parse-names&quot;:false,&quot;dropping-particle&quot;:&quot;&quot;,&quot;non-dropping-particle&quot;:&quot;&quot;}],&quot;issued&quot;:{&quot;date-parts&quot;:[[2020]]},&quot;publisher-place&quot;:&quot;Aberdeen &quot;,&quot;publisher&quot;:&quot;University of Aberdeen &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93CD-31D7-4D7C-BCB5-A348E827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LAURA (PGR)</dc:creator>
  <cp:keywords/>
  <dc:description/>
  <cp:lastModifiedBy>MACKENZIE, LAURA (PGR)</cp:lastModifiedBy>
  <cp:revision>90</cp:revision>
  <dcterms:created xsi:type="dcterms:W3CDTF">2023-03-07T13:06:00Z</dcterms:created>
  <dcterms:modified xsi:type="dcterms:W3CDTF">2023-07-04T07:41:00Z</dcterms:modified>
</cp:coreProperties>
</file>