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281BE2" w14:textId="334D482A" w:rsidR="0064345D" w:rsidRPr="00BA2A27" w:rsidRDefault="0064345D" w:rsidP="0064345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  <w:r w:rsidRPr="00BA2A2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Table S</w:t>
      </w:r>
      <w:r w:rsidR="001318D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2</w:t>
      </w:r>
      <w:r w:rsidRPr="00BA2A27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. Results </w:t>
      </w:r>
      <w:r w:rsidR="00CA67E8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from</w:t>
      </w:r>
      <w:r w:rsidRPr="00BA2A27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 the PRISMA-based study selection used to quantify Cohen's </w:t>
      </w:r>
      <w:r w:rsidRPr="00BA2A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pt-BR"/>
        </w:rPr>
        <w:t>kappa coefficient</w:t>
      </w:r>
      <w:r w:rsidRPr="00BA2A27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 (κ) to measure inter-rater reliability of </w:t>
      </w:r>
      <w:r w:rsidR="00CA67E8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the </w:t>
      </w:r>
      <w:r w:rsidRPr="00BA2A27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search strategy.</w:t>
      </w:r>
    </w:p>
    <w:p w14:paraId="59C2AB34" w14:textId="77777777" w:rsidR="0064345D" w:rsidRPr="00BA2A27" w:rsidRDefault="0064345D" w:rsidP="006434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</w:p>
    <w:tbl>
      <w:tblPr>
        <w:tblW w:w="90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2885"/>
        <w:gridCol w:w="2710"/>
        <w:gridCol w:w="2795"/>
      </w:tblGrid>
      <w:tr w:rsidR="0000386E" w:rsidRPr="00BA2A27" w14:paraId="3F973256" w14:textId="77777777" w:rsidTr="000354B8">
        <w:trPr>
          <w:trHeight w:val="488"/>
          <w:jc w:val="center"/>
        </w:trPr>
        <w:tc>
          <w:tcPr>
            <w:tcW w:w="3508" w:type="dxa"/>
            <w:gridSpan w:val="2"/>
            <w:vMerge w:val="restart"/>
            <w:tcBorders>
              <w:top w:val="double" w:sz="4" w:space="0" w:color="000000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EDEB5" w14:textId="77777777" w:rsidR="0064345D" w:rsidRPr="00BA2A27" w:rsidRDefault="0064345D" w:rsidP="0003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pt-BR"/>
              </w:rPr>
            </w:pPr>
            <w:r w:rsidRPr="00BA2A2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pt-BR"/>
              </w:rPr>
              <w:t>Kappa calculation</w:t>
            </w:r>
          </w:p>
        </w:tc>
        <w:tc>
          <w:tcPr>
            <w:tcW w:w="5505" w:type="dxa"/>
            <w:gridSpan w:val="2"/>
            <w:tcBorders>
              <w:top w:val="double" w:sz="4" w:space="0" w:color="000000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D22800C" w14:textId="77777777" w:rsidR="0064345D" w:rsidRPr="00BA2A27" w:rsidRDefault="0064345D" w:rsidP="0003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t-BR"/>
              </w:rPr>
            </w:pPr>
            <w:r w:rsidRPr="00BA2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t-BR"/>
              </w:rPr>
              <w:t>Researcher 2</w:t>
            </w:r>
          </w:p>
        </w:tc>
      </w:tr>
      <w:tr w:rsidR="0000386E" w:rsidRPr="00BA2A27" w14:paraId="34C14D1D" w14:textId="77777777" w:rsidTr="000354B8">
        <w:trPr>
          <w:trHeight w:val="488"/>
          <w:jc w:val="center"/>
        </w:trPr>
        <w:tc>
          <w:tcPr>
            <w:tcW w:w="350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672EF40" w14:textId="77777777" w:rsidR="0064345D" w:rsidRPr="00BA2A27" w:rsidRDefault="0064345D" w:rsidP="0003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doub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513435" w14:textId="77777777" w:rsidR="0064345D" w:rsidRPr="00BA2A27" w:rsidRDefault="0064345D" w:rsidP="0003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t-BR"/>
              </w:rPr>
            </w:pPr>
            <w:r w:rsidRPr="00BA2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t-BR"/>
              </w:rPr>
              <w:t>Paper included</w:t>
            </w:r>
          </w:p>
        </w:tc>
        <w:tc>
          <w:tcPr>
            <w:tcW w:w="2794" w:type="dxa"/>
            <w:tcBorders>
              <w:top w:val="nil"/>
              <w:left w:val="nil"/>
              <w:bottom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204C9372" w14:textId="77777777" w:rsidR="0064345D" w:rsidRPr="00BA2A27" w:rsidRDefault="0064345D" w:rsidP="0003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t-BR"/>
              </w:rPr>
            </w:pPr>
            <w:r w:rsidRPr="00BA2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t-BR"/>
              </w:rPr>
              <w:t>Paper excluded</w:t>
            </w:r>
          </w:p>
        </w:tc>
      </w:tr>
      <w:tr w:rsidR="0000386E" w:rsidRPr="00BA2A27" w14:paraId="3E6912A3" w14:textId="77777777" w:rsidTr="000354B8">
        <w:trPr>
          <w:trHeight w:val="1187"/>
          <w:jc w:val="center"/>
        </w:trPr>
        <w:tc>
          <w:tcPr>
            <w:tcW w:w="623" w:type="dxa"/>
            <w:vMerge w:val="restart"/>
            <w:tcBorders>
              <w:top w:val="doub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6B81D0F" w14:textId="77777777" w:rsidR="0064345D" w:rsidRPr="00BA2A27" w:rsidRDefault="0064345D" w:rsidP="0003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t-BR"/>
              </w:rPr>
            </w:pPr>
            <w:r w:rsidRPr="00BA2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t-BR"/>
              </w:rPr>
              <w:t>Researcher 1</w:t>
            </w:r>
          </w:p>
        </w:tc>
        <w:tc>
          <w:tcPr>
            <w:tcW w:w="2885" w:type="dxa"/>
            <w:tcBorders>
              <w:top w:val="double" w:sz="4" w:space="0" w:color="000000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FCC40" w14:textId="77777777" w:rsidR="0064345D" w:rsidRPr="00BA2A27" w:rsidRDefault="0064345D" w:rsidP="00035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t-BR"/>
              </w:rPr>
            </w:pPr>
            <w:r w:rsidRPr="00BA2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t-BR"/>
              </w:rPr>
              <w:t>Paper included</w:t>
            </w:r>
          </w:p>
        </w:tc>
        <w:tc>
          <w:tcPr>
            <w:tcW w:w="2710" w:type="dxa"/>
            <w:tcBorders>
              <w:top w:val="double" w:sz="4" w:space="0" w:color="000000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B7A34" w14:textId="77777777" w:rsidR="0064345D" w:rsidRPr="00BA2A27" w:rsidRDefault="0064345D" w:rsidP="0003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t-BR"/>
              </w:rPr>
            </w:pPr>
            <w:r w:rsidRPr="00BA2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t-BR"/>
              </w:rPr>
              <w:t>11</w:t>
            </w:r>
          </w:p>
        </w:tc>
        <w:tc>
          <w:tcPr>
            <w:tcW w:w="2794" w:type="dxa"/>
            <w:tcBorders>
              <w:top w:val="double" w:sz="4" w:space="0" w:color="000000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C1D9E" w14:textId="77777777" w:rsidR="0064345D" w:rsidRPr="00BA2A27" w:rsidRDefault="0064345D" w:rsidP="0003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t-BR"/>
              </w:rPr>
            </w:pPr>
            <w:r w:rsidRPr="00BA2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t-BR"/>
              </w:rPr>
              <w:t>1</w:t>
            </w:r>
          </w:p>
        </w:tc>
      </w:tr>
      <w:tr w:rsidR="0000386E" w:rsidRPr="00BA2A27" w14:paraId="5FCB267B" w14:textId="77777777" w:rsidTr="000354B8">
        <w:trPr>
          <w:trHeight w:val="1187"/>
          <w:jc w:val="center"/>
        </w:trPr>
        <w:tc>
          <w:tcPr>
            <w:tcW w:w="623" w:type="dxa"/>
            <w:vMerge/>
            <w:tcBorders>
              <w:top w:val="single" w:sz="4" w:space="0" w:color="auto"/>
              <w:bottom w:val="double" w:sz="4" w:space="0" w:color="000000"/>
              <w:right w:val="nil"/>
            </w:tcBorders>
            <w:vAlign w:val="center"/>
            <w:hideMark/>
          </w:tcPr>
          <w:p w14:paraId="5FFCC1B1" w14:textId="77777777" w:rsidR="0064345D" w:rsidRPr="00BA2A27" w:rsidRDefault="0064345D" w:rsidP="00035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t-BR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7E9F9244" w14:textId="77777777" w:rsidR="0064345D" w:rsidRPr="00BA2A27" w:rsidRDefault="0064345D" w:rsidP="00035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t-BR"/>
              </w:rPr>
            </w:pPr>
            <w:r w:rsidRPr="00BA2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t-BR"/>
              </w:rPr>
              <w:t>Paper excluded</w:t>
            </w:r>
          </w:p>
        </w:tc>
        <w:tc>
          <w:tcPr>
            <w:tcW w:w="2710" w:type="dxa"/>
            <w:tcBorders>
              <w:top w:val="nil"/>
              <w:left w:val="nil"/>
              <w:bottom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4ABB3B48" w14:textId="77777777" w:rsidR="0064345D" w:rsidRPr="00BA2A27" w:rsidRDefault="0064345D" w:rsidP="0003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t-BR"/>
              </w:rPr>
            </w:pPr>
            <w:r w:rsidRPr="00BA2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t-BR"/>
              </w:rPr>
              <w:t>3</w:t>
            </w:r>
          </w:p>
        </w:tc>
        <w:tc>
          <w:tcPr>
            <w:tcW w:w="2794" w:type="dxa"/>
            <w:tcBorders>
              <w:top w:val="nil"/>
              <w:left w:val="nil"/>
              <w:bottom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0BDE074F" w14:textId="77777777" w:rsidR="0064345D" w:rsidRPr="00BA2A27" w:rsidRDefault="0064345D" w:rsidP="0003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t-BR"/>
              </w:rPr>
            </w:pPr>
            <w:r w:rsidRPr="00BA2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t-BR"/>
              </w:rPr>
              <w:t>503</w:t>
            </w:r>
          </w:p>
        </w:tc>
      </w:tr>
    </w:tbl>
    <w:p w14:paraId="0F903326" w14:textId="77777777" w:rsidR="0064345D" w:rsidRPr="00BA2A27" w:rsidRDefault="0064345D" w:rsidP="0064345D">
      <w:pPr>
        <w:spacing w:before="120"/>
        <w:rPr>
          <w:rFonts w:ascii="Times New Roman" w:hAnsi="Times New Roman" w:cs="Times New Roman"/>
          <w:sz w:val="24"/>
          <w:szCs w:val="24"/>
          <w:lang w:val="en-US"/>
        </w:rPr>
      </w:pPr>
      <w:r w:rsidRPr="00BA2A27">
        <w:rPr>
          <w:rFonts w:ascii="Times New Roman" w:hAnsi="Times New Roman" w:cs="Times New Roman"/>
          <w:sz w:val="24"/>
          <w:szCs w:val="24"/>
          <w:lang w:val="en-US"/>
        </w:rPr>
        <w:t xml:space="preserve">Statistical calculator: </w:t>
      </w:r>
      <w:hyperlink r:id="rId5">
        <w:r w:rsidRPr="00BA2A27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https://www.graphpad.com/quickcalcs/kappa1/</w:t>
        </w:r>
      </w:hyperlink>
    </w:p>
    <w:p w14:paraId="2A06F2F3" w14:textId="77777777" w:rsidR="0064345D" w:rsidRPr="00BA2A27" w:rsidRDefault="0064345D" w:rsidP="0064345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7A32C51" w14:textId="77777777" w:rsidR="0064345D" w:rsidRPr="00BA2A27" w:rsidRDefault="0064345D" w:rsidP="0064345D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2A27">
        <w:rPr>
          <w:rFonts w:ascii="Times New Roman" w:hAnsi="Times New Roman" w:cs="Times New Roman"/>
          <w:b/>
          <w:sz w:val="24"/>
          <w:szCs w:val="24"/>
          <w:lang w:val="en-US"/>
        </w:rPr>
        <w:t>Statistical results:</w:t>
      </w:r>
    </w:p>
    <w:p w14:paraId="79E809AC" w14:textId="77777777" w:rsidR="0064345D" w:rsidRPr="00BA2A27" w:rsidRDefault="0064345D" w:rsidP="0064345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A2A27">
        <w:rPr>
          <w:rFonts w:ascii="Times New Roman" w:hAnsi="Times New Roman" w:cs="Times New Roman"/>
          <w:sz w:val="24"/>
          <w:szCs w:val="24"/>
          <w:lang w:val="en-US"/>
        </w:rPr>
        <w:t>Number of observed agreements: 513 (</w:t>
      </w:r>
      <w:r w:rsidRPr="00BA2A27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98</w:t>
      </w:r>
      <w:r w:rsidRPr="00BA2A27">
        <w:rPr>
          <w:rFonts w:ascii="Times New Roman" w:hAnsi="Times New Roman" w:cs="Times New Roman"/>
          <w:sz w:val="24"/>
          <w:szCs w:val="24"/>
          <w:lang w:val="en-US"/>
        </w:rPr>
        <w:t>.46% of the observations).</w:t>
      </w:r>
      <w:r w:rsidRPr="00BA2A27">
        <w:rPr>
          <w:rFonts w:ascii="Times New Roman" w:hAnsi="Times New Roman" w:cs="Times New Roman"/>
          <w:sz w:val="24"/>
          <w:szCs w:val="24"/>
          <w:lang w:val="en-US"/>
        </w:rPr>
        <w:br/>
        <w:t>Number of agreements expected by chance: 491.9 (94.41% of the observations)</w:t>
      </w:r>
    </w:p>
    <w:p w14:paraId="55C7FB0D" w14:textId="77777777" w:rsidR="0064345D" w:rsidRPr="00BA2A27" w:rsidRDefault="0064345D" w:rsidP="0064345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A2A27">
        <w:rPr>
          <w:rFonts w:ascii="Times New Roman" w:hAnsi="Times New Roman" w:cs="Times New Roman"/>
          <w:sz w:val="24"/>
          <w:szCs w:val="24"/>
          <w:lang w:val="en-US"/>
        </w:rPr>
        <w:t>Kappa= 0.842</w:t>
      </w:r>
      <w:r w:rsidRPr="00BA2A27">
        <w:rPr>
          <w:rFonts w:ascii="Times New Roman" w:hAnsi="Times New Roman" w:cs="Times New Roman"/>
          <w:sz w:val="24"/>
          <w:szCs w:val="24"/>
          <w:lang w:val="en-US"/>
        </w:rPr>
        <w:br/>
        <w:t>SE of kappa = 0.078</w:t>
      </w:r>
      <w:r w:rsidRPr="00BA2A27">
        <w:rPr>
          <w:rFonts w:ascii="Times New Roman" w:hAnsi="Times New Roman" w:cs="Times New Roman"/>
          <w:sz w:val="24"/>
          <w:szCs w:val="24"/>
          <w:lang w:val="en-US"/>
        </w:rPr>
        <w:br/>
        <w:t>95% confidence interval: From 0.690 to 0.994</w:t>
      </w:r>
    </w:p>
    <w:p w14:paraId="73F70D64" w14:textId="77777777" w:rsidR="0064345D" w:rsidRPr="00BA2A27" w:rsidRDefault="0064345D" w:rsidP="0064345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7C9B634" w14:textId="77777777" w:rsidR="0064345D" w:rsidRPr="00BA2A27" w:rsidRDefault="0064345D" w:rsidP="0064345D">
      <w:pPr>
        <w:spacing w:after="1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A2A27">
        <w:rPr>
          <w:rFonts w:ascii="Times New Roman" w:hAnsi="Times New Roman" w:cs="Times New Roman"/>
          <w:b/>
          <w:i/>
          <w:sz w:val="24"/>
          <w:szCs w:val="24"/>
          <w:lang w:val="en-US"/>
        </w:rPr>
        <w:t>One way to interpret kappa is with this scale (1):</w:t>
      </w:r>
    </w:p>
    <w:p w14:paraId="405FD2EA" w14:textId="77777777" w:rsidR="0064345D" w:rsidRPr="00BA2A27" w:rsidRDefault="0064345D" w:rsidP="0064345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A2A27">
        <w:rPr>
          <w:rFonts w:ascii="Times New Roman" w:hAnsi="Times New Roman" w:cs="Times New Roman"/>
          <w:sz w:val="24"/>
          <w:szCs w:val="24"/>
          <w:lang w:val="en-US"/>
        </w:rPr>
        <w:t>Kappa &lt; 0: No agreement</w:t>
      </w:r>
    </w:p>
    <w:p w14:paraId="372B35AC" w14:textId="77777777" w:rsidR="0064345D" w:rsidRPr="00BA2A27" w:rsidRDefault="0064345D" w:rsidP="0064345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A2A27">
        <w:rPr>
          <w:rFonts w:ascii="Times New Roman" w:hAnsi="Times New Roman" w:cs="Times New Roman"/>
          <w:sz w:val="24"/>
          <w:szCs w:val="24"/>
          <w:lang w:val="en-US"/>
        </w:rPr>
        <w:t>Kappa between 0.00 and 0.20: Slight agreement</w:t>
      </w:r>
    </w:p>
    <w:p w14:paraId="0FB6D916" w14:textId="77777777" w:rsidR="0064345D" w:rsidRPr="00BA2A27" w:rsidRDefault="0064345D" w:rsidP="0064345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A2A27">
        <w:rPr>
          <w:rFonts w:ascii="Times New Roman" w:hAnsi="Times New Roman" w:cs="Times New Roman"/>
          <w:sz w:val="24"/>
          <w:szCs w:val="24"/>
          <w:lang w:val="en-US"/>
        </w:rPr>
        <w:t>Kappa between 0.21 and 0.40: Fair agreement</w:t>
      </w:r>
    </w:p>
    <w:p w14:paraId="74B2CD0C" w14:textId="77777777" w:rsidR="0064345D" w:rsidRPr="00BA2A27" w:rsidRDefault="0064345D" w:rsidP="0064345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A2A27">
        <w:rPr>
          <w:rFonts w:ascii="Times New Roman" w:hAnsi="Times New Roman" w:cs="Times New Roman"/>
          <w:sz w:val="24"/>
          <w:szCs w:val="24"/>
          <w:lang w:val="en-US"/>
        </w:rPr>
        <w:t>Kappa between 0.41 and 0.60: Moderate agreement</w:t>
      </w:r>
    </w:p>
    <w:p w14:paraId="0A713E13" w14:textId="77777777" w:rsidR="0064345D" w:rsidRPr="00BA2A27" w:rsidRDefault="0064345D" w:rsidP="0064345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A2A27">
        <w:rPr>
          <w:rFonts w:ascii="Times New Roman" w:hAnsi="Times New Roman" w:cs="Times New Roman"/>
          <w:sz w:val="24"/>
          <w:szCs w:val="24"/>
          <w:lang w:val="en-US"/>
        </w:rPr>
        <w:t>Kappa between 0.61 and 0.80: Substantial agreement</w:t>
      </w:r>
    </w:p>
    <w:p w14:paraId="356703FE" w14:textId="77777777" w:rsidR="0064345D" w:rsidRPr="00BA2A27" w:rsidRDefault="0064345D" w:rsidP="0064345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A2A27">
        <w:rPr>
          <w:rFonts w:ascii="Times New Roman" w:hAnsi="Times New Roman" w:cs="Times New Roman"/>
          <w:sz w:val="24"/>
          <w:szCs w:val="24"/>
          <w:lang w:val="en-US"/>
        </w:rPr>
        <w:t>Kappa between 0.81 and 1.00: Almost perfect agreement.</w:t>
      </w:r>
    </w:p>
    <w:p w14:paraId="37EBCD19" w14:textId="77777777" w:rsidR="0064345D" w:rsidRPr="00BA2A27" w:rsidRDefault="0064345D" w:rsidP="00323A1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DDDD00B" w14:textId="77777777" w:rsidR="0064345D" w:rsidRPr="00BA2A27" w:rsidRDefault="0064345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2A27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369C02FF" w14:textId="3B0837E7" w:rsidR="0064345D" w:rsidRPr="001318D6" w:rsidRDefault="0064345D" w:rsidP="0000386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318D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Complete list of papers selec</w:t>
      </w:r>
      <w:bookmarkStart w:id="0" w:name="_GoBack"/>
      <w:bookmarkEnd w:id="0"/>
      <w:r w:rsidRPr="001318D6">
        <w:rPr>
          <w:rFonts w:ascii="Times New Roman" w:hAnsi="Times New Roman" w:cs="Times New Roman"/>
          <w:b/>
          <w:sz w:val="24"/>
          <w:szCs w:val="24"/>
          <w:lang w:val="en-US"/>
        </w:rPr>
        <w:t>ted and included in the systematic review.</w:t>
      </w:r>
    </w:p>
    <w:tbl>
      <w:tblPr>
        <w:tblStyle w:val="Tabelacomgrade"/>
        <w:tblW w:w="9209" w:type="dxa"/>
        <w:jc w:val="center"/>
        <w:tblLook w:val="04A0" w:firstRow="1" w:lastRow="0" w:firstColumn="1" w:lastColumn="0" w:noHBand="0" w:noVBand="1"/>
      </w:tblPr>
      <w:tblGrid>
        <w:gridCol w:w="9209"/>
      </w:tblGrid>
      <w:tr w:rsidR="0000386E" w:rsidRPr="00BA2A27" w14:paraId="6BD57FEA" w14:textId="77777777" w:rsidTr="0000386E">
        <w:trPr>
          <w:trHeight w:val="1695"/>
          <w:jc w:val="center"/>
        </w:trPr>
        <w:tc>
          <w:tcPr>
            <w:tcW w:w="9209" w:type="dxa"/>
            <w:tcBorders>
              <w:left w:val="single" w:sz="4" w:space="0" w:color="FFFFFF" w:themeColor="background1"/>
              <w:right w:val="single" w:sz="4" w:space="0" w:color="FFFFFF"/>
            </w:tcBorders>
          </w:tcPr>
          <w:p w14:paraId="0914538A" w14:textId="2392A5C6" w:rsidR="0064345D" w:rsidRPr="00BA2A27" w:rsidRDefault="0064345D" w:rsidP="0000386E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de</w:t>
            </w:r>
            <w:proofErr w:type="gramEnd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Andrade AL, </w:t>
            </w:r>
            <w:proofErr w:type="spellStart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Zicker</w:t>
            </w:r>
            <w:proofErr w:type="spellEnd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F, de Oliveira RM, Almeida Silva S, </w:t>
            </w:r>
            <w:proofErr w:type="spellStart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Luquetti</w:t>
            </w:r>
            <w:proofErr w:type="spellEnd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A, Travassos LR, Almeida IC, de Andrade SS, de Andrade JG, </w:t>
            </w:r>
            <w:proofErr w:type="spellStart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Martelli</w:t>
            </w:r>
            <w:proofErr w:type="spellEnd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CM. </w:t>
            </w:r>
            <w:proofErr w:type="spellStart"/>
            <w:r w:rsidRPr="00BA2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Randomised</w:t>
            </w:r>
            <w:proofErr w:type="spellEnd"/>
            <w:r w:rsidRPr="00BA2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trial of efficacy of benznidazole in treatment of early </w:t>
            </w:r>
            <w:r w:rsidRPr="00BA2A2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Trypanosoma cruzi</w:t>
            </w:r>
            <w:r w:rsidRPr="00BA2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infection. Lancet. 1996</w:t>
            </w:r>
            <w:proofErr w:type="gramStart"/>
            <w:r w:rsidRPr="00BA2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;</w:t>
            </w:r>
            <w:proofErr w:type="gramEnd"/>
            <w:r w:rsidRPr="00BA2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348(9039):1407-13.</w:t>
            </w:r>
          </w:p>
        </w:tc>
      </w:tr>
      <w:tr w:rsidR="0000386E" w:rsidRPr="00BA2A27" w14:paraId="26D40031" w14:textId="77777777" w:rsidTr="0000386E">
        <w:trPr>
          <w:jc w:val="center"/>
        </w:trPr>
        <w:tc>
          <w:tcPr>
            <w:tcW w:w="92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8992958" w14:textId="3E600AB3" w:rsidR="0064345D" w:rsidRPr="00BA2A27" w:rsidRDefault="0064345D" w:rsidP="0000386E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5A7">
              <w:rPr>
                <w:rFonts w:ascii="Times New Roman" w:hAnsi="Times New Roman" w:cs="Times New Roman"/>
                <w:sz w:val="24"/>
                <w:szCs w:val="24"/>
              </w:rPr>
              <w:t xml:space="preserve">Coura JR, Abreu LL, </w:t>
            </w:r>
            <w:proofErr w:type="spellStart"/>
            <w:r w:rsidRPr="004D65A7">
              <w:rPr>
                <w:rFonts w:ascii="Times New Roman" w:hAnsi="Times New Roman" w:cs="Times New Roman"/>
                <w:sz w:val="24"/>
                <w:szCs w:val="24"/>
              </w:rPr>
              <w:t>Willcox</w:t>
            </w:r>
            <w:proofErr w:type="spellEnd"/>
            <w:r w:rsidRPr="004D65A7">
              <w:rPr>
                <w:rFonts w:ascii="Times New Roman" w:hAnsi="Times New Roman" w:cs="Times New Roman"/>
                <w:sz w:val="24"/>
                <w:szCs w:val="24"/>
              </w:rPr>
              <w:t xml:space="preserve"> HPF, </w:t>
            </w:r>
            <w:proofErr w:type="spellStart"/>
            <w:r w:rsidRPr="004D65A7">
              <w:rPr>
                <w:rFonts w:ascii="Times New Roman" w:hAnsi="Times New Roman" w:cs="Times New Roman"/>
                <w:sz w:val="24"/>
                <w:szCs w:val="24"/>
              </w:rPr>
              <w:t>Petana</w:t>
            </w:r>
            <w:proofErr w:type="spellEnd"/>
            <w:r w:rsidRPr="004D65A7">
              <w:rPr>
                <w:rFonts w:ascii="Times New Roman" w:hAnsi="Times New Roman" w:cs="Times New Roman"/>
                <w:sz w:val="24"/>
                <w:szCs w:val="24"/>
              </w:rPr>
              <w:t xml:space="preserve"> W. Estudo comparativo controlado com </w:t>
            </w:r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emprego</w:t>
            </w:r>
            <w:r w:rsidRPr="004D65A7">
              <w:rPr>
                <w:rFonts w:ascii="Times New Roman" w:hAnsi="Times New Roman" w:cs="Times New Roman"/>
                <w:sz w:val="24"/>
                <w:szCs w:val="24"/>
              </w:rPr>
              <w:t xml:space="preserve"> de benznidazole, nifurtimox e placebo, na forma crônica da doença de Chagas, em uma área de campo com transmissão interrompida. I. Avaliação preliminar. Revista da Sociedade Brasileira de </w:t>
            </w:r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Medicina</w:t>
            </w:r>
            <w:r w:rsidRPr="004D65A7">
              <w:rPr>
                <w:rFonts w:ascii="Times New Roman" w:hAnsi="Times New Roman" w:cs="Times New Roman"/>
                <w:sz w:val="24"/>
                <w:szCs w:val="24"/>
              </w:rPr>
              <w:t xml:space="preserve"> Tropical. </w:t>
            </w:r>
            <w:r w:rsidRPr="00BA2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1997</w:t>
            </w:r>
            <w:proofErr w:type="gramStart"/>
            <w:r w:rsidRPr="00BA2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;30:139</w:t>
            </w:r>
            <w:proofErr w:type="gramEnd"/>
            <w:r w:rsidRPr="00BA2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-144.</w:t>
            </w:r>
          </w:p>
        </w:tc>
      </w:tr>
      <w:tr w:rsidR="0000386E" w:rsidRPr="00BA2A27" w14:paraId="70CDB6E7" w14:textId="77777777" w:rsidTr="0000386E">
        <w:trPr>
          <w:jc w:val="center"/>
        </w:trPr>
        <w:tc>
          <w:tcPr>
            <w:tcW w:w="92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E182EF2" w14:textId="76E09A87" w:rsidR="0064345D" w:rsidRPr="00BA2A27" w:rsidRDefault="0064345D" w:rsidP="0000386E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2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Sosa Estani S, Segura EL, Ruiz AM, Velazquez E, </w:t>
            </w:r>
            <w:proofErr w:type="spellStart"/>
            <w:r w:rsidRPr="00BA2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Porcel</w:t>
            </w:r>
            <w:proofErr w:type="spellEnd"/>
            <w:r w:rsidRPr="00BA2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BM, </w:t>
            </w:r>
            <w:proofErr w:type="spellStart"/>
            <w:r w:rsidRPr="00BA2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Yampotis</w:t>
            </w:r>
            <w:proofErr w:type="spellEnd"/>
            <w:r w:rsidRPr="00BA2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C. Efficacy of chemotherapy with benznidazole in children in the indeterminate phase of Chagas' disease. Am J Trop Med </w:t>
            </w:r>
            <w:proofErr w:type="spellStart"/>
            <w:proofErr w:type="gramStart"/>
            <w:r w:rsidRPr="00BA2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Hyg</w:t>
            </w:r>
            <w:proofErr w:type="spellEnd"/>
            <w:r w:rsidRPr="00BA2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  <w:proofErr w:type="gramEnd"/>
            <w:r w:rsidRPr="00BA2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1998</w:t>
            </w:r>
            <w:proofErr w:type="gramStart"/>
            <w:r w:rsidRPr="00BA2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;59</w:t>
            </w:r>
            <w:proofErr w:type="gramEnd"/>
            <w:r w:rsidRPr="00BA2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(4):526-9. </w:t>
            </w:r>
          </w:p>
        </w:tc>
      </w:tr>
      <w:tr w:rsidR="0000386E" w:rsidRPr="00BA2A27" w14:paraId="46DF0C94" w14:textId="77777777" w:rsidTr="0000386E">
        <w:trPr>
          <w:jc w:val="center"/>
        </w:trPr>
        <w:tc>
          <w:tcPr>
            <w:tcW w:w="92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EEEB694" w14:textId="2E47C394" w:rsidR="0064345D" w:rsidRPr="00BA2A27" w:rsidRDefault="0064345D" w:rsidP="0000386E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Andrade AL, </w:t>
            </w:r>
            <w:proofErr w:type="spellStart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Martelli</w:t>
            </w:r>
            <w:proofErr w:type="spellEnd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CM, Oliveira RM, Silva SA, Aires AI, </w:t>
            </w:r>
            <w:proofErr w:type="spellStart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Soussumi</w:t>
            </w:r>
            <w:proofErr w:type="spellEnd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LM, Covas DT, Silva LS, Andrade JG, Travassos LR, Almeida IC. </w:t>
            </w:r>
            <w:r w:rsidRPr="00BA2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Short report: benznidazole efficacy among </w:t>
            </w:r>
            <w:r w:rsidRPr="00BA2A2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Trypanosoma cruzi</w:t>
            </w:r>
            <w:r w:rsidRPr="00BA2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-infected adolescents after a six-year follow-up. Am J Trop Med </w:t>
            </w:r>
            <w:proofErr w:type="spellStart"/>
            <w:proofErr w:type="gramStart"/>
            <w:r w:rsidRPr="00BA2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Hyg</w:t>
            </w:r>
            <w:proofErr w:type="spellEnd"/>
            <w:r w:rsidRPr="00BA2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  <w:proofErr w:type="gramEnd"/>
            <w:r w:rsidRPr="00BA2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2004</w:t>
            </w:r>
            <w:proofErr w:type="gramStart"/>
            <w:r w:rsidRPr="00BA2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;71</w:t>
            </w:r>
            <w:proofErr w:type="gramEnd"/>
            <w:r w:rsidRPr="00BA2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(5):594-7. </w:t>
            </w:r>
          </w:p>
        </w:tc>
      </w:tr>
      <w:tr w:rsidR="0000386E" w:rsidRPr="00CA67E8" w14:paraId="6F935B17" w14:textId="77777777" w:rsidTr="0000386E">
        <w:trPr>
          <w:jc w:val="center"/>
        </w:trPr>
        <w:tc>
          <w:tcPr>
            <w:tcW w:w="92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5F2682C" w14:textId="5F1D67D4" w:rsidR="0064345D" w:rsidRPr="00BA2A27" w:rsidRDefault="0064345D" w:rsidP="0000386E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Sosa</w:t>
            </w:r>
            <w:proofErr w:type="spellEnd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-Estani S, </w:t>
            </w:r>
            <w:proofErr w:type="spellStart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Armenti</w:t>
            </w:r>
            <w:proofErr w:type="spellEnd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A, </w:t>
            </w:r>
            <w:proofErr w:type="spellStart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Araujo</w:t>
            </w:r>
            <w:proofErr w:type="spellEnd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G, </w:t>
            </w:r>
            <w:proofErr w:type="spellStart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Viotti</w:t>
            </w:r>
            <w:proofErr w:type="spellEnd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R, </w:t>
            </w:r>
            <w:proofErr w:type="spellStart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Lococo</w:t>
            </w:r>
            <w:proofErr w:type="spellEnd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B, Ruiz Vera B, </w:t>
            </w:r>
            <w:proofErr w:type="spellStart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Vigliano</w:t>
            </w:r>
            <w:proofErr w:type="spellEnd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C, de </w:t>
            </w:r>
            <w:proofErr w:type="spellStart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Rissio</w:t>
            </w:r>
            <w:proofErr w:type="spellEnd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AM, Segura EL. </w:t>
            </w:r>
            <w:r w:rsidRPr="00BA2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Treatment of Chagas disease with benznidazole and thioctic acid. </w:t>
            </w:r>
            <w:proofErr w:type="spellStart"/>
            <w:r w:rsidRPr="00BA2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Medicina</w:t>
            </w:r>
            <w:proofErr w:type="spellEnd"/>
            <w:r w:rsidRPr="00BA2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(B Aires). 2004</w:t>
            </w:r>
            <w:proofErr w:type="gramStart"/>
            <w:r w:rsidRPr="00BA2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;64</w:t>
            </w:r>
            <w:proofErr w:type="gramEnd"/>
            <w:r w:rsidRPr="00BA2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(1):1-6.</w:t>
            </w:r>
          </w:p>
        </w:tc>
      </w:tr>
      <w:tr w:rsidR="0000386E" w:rsidRPr="00BA2A27" w14:paraId="27AD41F2" w14:textId="77777777" w:rsidTr="0000386E">
        <w:trPr>
          <w:jc w:val="center"/>
        </w:trPr>
        <w:tc>
          <w:tcPr>
            <w:tcW w:w="92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31A6BFC" w14:textId="3385C1AD" w:rsidR="0064345D" w:rsidRPr="00BA2A27" w:rsidRDefault="0064345D" w:rsidP="0000386E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2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Rassi A, </w:t>
            </w:r>
            <w:proofErr w:type="spellStart"/>
            <w:r w:rsidRPr="00BA2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Luquetti</w:t>
            </w:r>
            <w:proofErr w:type="spellEnd"/>
            <w:r w:rsidRPr="00BA2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AO, Rassi A Jr, Rassi GG, Rassi SG, DA Silva IG, Rassi AG. Specific treatment for </w:t>
            </w:r>
            <w:r w:rsidRPr="00BA2A2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Trypanosoma cruzi</w:t>
            </w:r>
            <w:r w:rsidRPr="00BA2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: lack of efficacy of allopurinol in the human chronic phase of Chagas disease. Am J Trop Med </w:t>
            </w:r>
            <w:proofErr w:type="spellStart"/>
            <w:proofErr w:type="gramStart"/>
            <w:r w:rsidRPr="00BA2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Hyg</w:t>
            </w:r>
            <w:proofErr w:type="spellEnd"/>
            <w:r w:rsidRPr="00BA2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  <w:proofErr w:type="gramEnd"/>
            <w:r w:rsidRPr="00BA2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2007</w:t>
            </w:r>
            <w:proofErr w:type="gramStart"/>
            <w:r w:rsidRPr="00BA2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;76</w:t>
            </w:r>
            <w:proofErr w:type="gramEnd"/>
            <w:r w:rsidRPr="00BA2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(1):58-61. </w:t>
            </w:r>
          </w:p>
        </w:tc>
      </w:tr>
      <w:tr w:rsidR="0000386E" w:rsidRPr="00BA2A27" w14:paraId="5032C1E4" w14:textId="77777777" w:rsidTr="0000386E">
        <w:trPr>
          <w:jc w:val="center"/>
        </w:trPr>
        <w:tc>
          <w:tcPr>
            <w:tcW w:w="92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CC79884" w14:textId="5C758132" w:rsidR="0064345D" w:rsidRPr="00BA2A27" w:rsidRDefault="0064345D" w:rsidP="0000386E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Marin-Neto JA, Rassi A Jr, Morillo CA, </w:t>
            </w:r>
            <w:proofErr w:type="spellStart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Avezum</w:t>
            </w:r>
            <w:proofErr w:type="spellEnd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A, </w:t>
            </w:r>
            <w:proofErr w:type="spellStart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Connolly</w:t>
            </w:r>
            <w:proofErr w:type="spellEnd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SJ, </w:t>
            </w:r>
            <w:proofErr w:type="spellStart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Sosa</w:t>
            </w:r>
            <w:proofErr w:type="spellEnd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-Estani S, Rosas F, </w:t>
            </w:r>
            <w:proofErr w:type="spellStart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Yusuf</w:t>
            </w:r>
            <w:proofErr w:type="spellEnd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S; BENEFIT </w:t>
            </w:r>
            <w:proofErr w:type="spellStart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Investigators</w:t>
            </w:r>
            <w:proofErr w:type="spellEnd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BA2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Rationale and design of a randomized placebo-controlled trial assessing the effects of etiologic treatment in Chagas' cardiomyopathy: the </w:t>
            </w:r>
            <w:proofErr w:type="spellStart"/>
            <w:r w:rsidRPr="00BA2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BENznidazole</w:t>
            </w:r>
            <w:proofErr w:type="spellEnd"/>
            <w:r w:rsidRPr="00BA2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Evaluation </w:t>
            </w:r>
            <w:proofErr w:type="gramStart"/>
            <w:r w:rsidRPr="00BA2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For</w:t>
            </w:r>
            <w:proofErr w:type="gramEnd"/>
            <w:r w:rsidRPr="00BA2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Interrupting Trypanosomiasis (BENEFIT). Am Heart J. 2008</w:t>
            </w:r>
            <w:proofErr w:type="gramStart"/>
            <w:r w:rsidRPr="00BA2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;156</w:t>
            </w:r>
            <w:proofErr w:type="gramEnd"/>
            <w:r w:rsidRPr="00BA2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(1):37-43. </w:t>
            </w:r>
          </w:p>
        </w:tc>
      </w:tr>
      <w:tr w:rsidR="0000386E" w:rsidRPr="00BA2A27" w14:paraId="64437923" w14:textId="77777777" w:rsidTr="0000386E">
        <w:trPr>
          <w:jc w:val="center"/>
        </w:trPr>
        <w:tc>
          <w:tcPr>
            <w:tcW w:w="92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6451BAC" w14:textId="299B16CC" w:rsidR="0064345D" w:rsidRPr="00BA2A27" w:rsidRDefault="00D8734D" w:rsidP="0000386E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2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Chippaux JP, </w:t>
            </w:r>
            <w:proofErr w:type="spellStart"/>
            <w:r w:rsidRPr="00BA2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Clavijo</w:t>
            </w:r>
            <w:proofErr w:type="spellEnd"/>
            <w:r w:rsidRPr="00BA2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AN, </w:t>
            </w:r>
            <w:proofErr w:type="spellStart"/>
            <w:r w:rsidRPr="00BA2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Santalla</w:t>
            </w:r>
            <w:proofErr w:type="spellEnd"/>
            <w:r w:rsidRPr="00BA2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JA, </w:t>
            </w:r>
            <w:proofErr w:type="spellStart"/>
            <w:r w:rsidRPr="00BA2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Postigo</w:t>
            </w:r>
            <w:proofErr w:type="spellEnd"/>
            <w:r w:rsidRPr="00BA2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JR, Schneider D, Brutus L. Antibody drop in newborns congenitally infected by </w:t>
            </w:r>
            <w:r w:rsidRPr="00BA2A2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Trypanosoma cruzi</w:t>
            </w:r>
            <w:r w:rsidRPr="00BA2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treated with benznidazole. Trop Med </w:t>
            </w:r>
            <w:proofErr w:type="spellStart"/>
            <w:r w:rsidRPr="00BA2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Int</w:t>
            </w:r>
            <w:proofErr w:type="spellEnd"/>
            <w:r w:rsidRPr="00BA2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Health. 2010</w:t>
            </w:r>
            <w:proofErr w:type="gramStart"/>
            <w:r w:rsidRPr="00BA2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;15</w:t>
            </w:r>
            <w:proofErr w:type="gramEnd"/>
            <w:r w:rsidRPr="00BA2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(1):87-93.</w:t>
            </w:r>
          </w:p>
        </w:tc>
      </w:tr>
      <w:tr w:rsidR="0000386E" w:rsidRPr="00BA2A27" w14:paraId="25C9B1E8" w14:textId="77777777" w:rsidTr="0000386E">
        <w:trPr>
          <w:jc w:val="center"/>
        </w:trPr>
        <w:tc>
          <w:tcPr>
            <w:tcW w:w="92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64BD226" w14:textId="49A8E1C5" w:rsidR="0064345D" w:rsidRPr="00BA2A27" w:rsidRDefault="00D8734D" w:rsidP="0000386E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Molina I, Gómez i </w:t>
            </w:r>
            <w:proofErr w:type="spellStart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Prat</w:t>
            </w:r>
            <w:proofErr w:type="spellEnd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J, Salvador F, </w:t>
            </w:r>
            <w:proofErr w:type="spellStart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Treviño</w:t>
            </w:r>
            <w:proofErr w:type="spellEnd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B, </w:t>
            </w:r>
            <w:proofErr w:type="spellStart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Sulleiro</w:t>
            </w:r>
            <w:proofErr w:type="spellEnd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E, Serre N, </w:t>
            </w:r>
            <w:proofErr w:type="spellStart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Pou</w:t>
            </w:r>
            <w:proofErr w:type="spellEnd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D, </w:t>
            </w:r>
            <w:proofErr w:type="spellStart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Roure</w:t>
            </w:r>
            <w:proofErr w:type="spellEnd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S, </w:t>
            </w:r>
            <w:proofErr w:type="spellStart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Cabezos</w:t>
            </w:r>
            <w:proofErr w:type="spellEnd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J, </w:t>
            </w:r>
            <w:proofErr w:type="spellStart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Valerio</w:t>
            </w:r>
            <w:proofErr w:type="spellEnd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L, Blanco-Grau A, Sánchez-</w:t>
            </w:r>
            <w:proofErr w:type="spellStart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Montalvá</w:t>
            </w:r>
            <w:proofErr w:type="spellEnd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A, Vidal X, </w:t>
            </w:r>
            <w:proofErr w:type="spellStart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Pahissa</w:t>
            </w:r>
            <w:proofErr w:type="spellEnd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A. </w:t>
            </w:r>
            <w:proofErr w:type="spellStart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Randomized</w:t>
            </w:r>
            <w:proofErr w:type="spellEnd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trial</w:t>
            </w:r>
            <w:proofErr w:type="spellEnd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posaconazole </w:t>
            </w:r>
            <w:proofErr w:type="spellStart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and</w:t>
            </w:r>
            <w:proofErr w:type="spellEnd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benznidazole for </w:t>
            </w:r>
            <w:proofErr w:type="spellStart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chronic</w:t>
            </w:r>
            <w:proofErr w:type="spellEnd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Chagas' </w:t>
            </w:r>
            <w:proofErr w:type="spellStart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disease</w:t>
            </w:r>
            <w:proofErr w:type="spellEnd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BA2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N </w:t>
            </w:r>
            <w:proofErr w:type="spellStart"/>
            <w:r w:rsidRPr="00BA2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Engl</w:t>
            </w:r>
            <w:proofErr w:type="spellEnd"/>
            <w:r w:rsidRPr="00BA2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J Med. 2014</w:t>
            </w:r>
            <w:proofErr w:type="gramStart"/>
            <w:r w:rsidRPr="00BA2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;370</w:t>
            </w:r>
            <w:proofErr w:type="gramEnd"/>
            <w:r w:rsidRPr="00BA2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(20):1899-908. </w:t>
            </w:r>
          </w:p>
        </w:tc>
      </w:tr>
      <w:tr w:rsidR="0000386E" w:rsidRPr="00CA67E8" w14:paraId="7EF6666E" w14:textId="77777777" w:rsidTr="0000386E">
        <w:trPr>
          <w:jc w:val="center"/>
        </w:trPr>
        <w:tc>
          <w:tcPr>
            <w:tcW w:w="92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B171110" w14:textId="15CCC093" w:rsidR="0064345D" w:rsidRPr="00BA2A27" w:rsidRDefault="00D8734D" w:rsidP="0000386E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Morillo CA, Marin-Neto JA, </w:t>
            </w:r>
            <w:proofErr w:type="spellStart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Avezum</w:t>
            </w:r>
            <w:proofErr w:type="spellEnd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A, </w:t>
            </w:r>
            <w:proofErr w:type="spellStart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Sosa</w:t>
            </w:r>
            <w:proofErr w:type="spellEnd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-Estani S, Rassi A Jr, Rosas F, </w:t>
            </w:r>
            <w:proofErr w:type="spellStart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Villena</w:t>
            </w:r>
            <w:proofErr w:type="spellEnd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E, </w:t>
            </w:r>
            <w:proofErr w:type="spellStart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Quiroz</w:t>
            </w:r>
            <w:proofErr w:type="spellEnd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R, </w:t>
            </w:r>
            <w:proofErr w:type="spellStart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Bonilla</w:t>
            </w:r>
            <w:proofErr w:type="spellEnd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R, Britto C, Guhl F, </w:t>
            </w:r>
            <w:proofErr w:type="spellStart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Velazquez</w:t>
            </w:r>
            <w:proofErr w:type="spellEnd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E, </w:t>
            </w:r>
            <w:proofErr w:type="spellStart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Bonilla</w:t>
            </w:r>
            <w:proofErr w:type="spellEnd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L, </w:t>
            </w:r>
            <w:proofErr w:type="spellStart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Meeks</w:t>
            </w:r>
            <w:proofErr w:type="spellEnd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B, Rao-</w:t>
            </w:r>
            <w:proofErr w:type="spellStart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Melacini</w:t>
            </w:r>
            <w:proofErr w:type="spellEnd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P, </w:t>
            </w:r>
            <w:proofErr w:type="spellStart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Pogue</w:t>
            </w:r>
            <w:proofErr w:type="spellEnd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J, Mattos A, </w:t>
            </w:r>
            <w:proofErr w:type="spellStart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Lazdins</w:t>
            </w:r>
            <w:proofErr w:type="spellEnd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J, Rassi A, </w:t>
            </w:r>
            <w:proofErr w:type="spellStart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Connolly</w:t>
            </w:r>
            <w:proofErr w:type="spellEnd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SJ, </w:t>
            </w:r>
            <w:proofErr w:type="spellStart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Yusuf</w:t>
            </w:r>
            <w:proofErr w:type="spellEnd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S; BENEFIT </w:t>
            </w:r>
            <w:proofErr w:type="spellStart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Investigators</w:t>
            </w:r>
            <w:proofErr w:type="spellEnd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BA2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Randomized Trial of Benznidazole for Chronic Chagas' Cardiomyopathy. N </w:t>
            </w:r>
            <w:proofErr w:type="spellStart"/>
            <w:r w:rsidRPr="00BA2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Engl</w:t>
            </w:r>
            <w:proofErr w:type="spellEnd"/>
            <w:r w:rsidRPr="00BA2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J Med. 2015</w:t>
            </w:r>
            <w:proofErr w:type="gramStart"/>
            <w:r w:rsidRPr="00BA2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;373</w:t>
            </w:r>
            <w:proofErr w:type="gramEnd"/>
            <w:r w:rsidRPr="00BA2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(14):1295-306. </w:t>
            </w:r>
          </w:p>
        </w:tc>
      </w:tr>
      <w:tr w:rsidR="0000386E" w:rsidRPr="00BA2A27" w14:paraId="472C83F1" w14:textId="77777777" w:rsidTr="0000386E">
        <w:trPr>
          <w:jc w:val="center"/>
        </w:trPr>
        <w:tc>
          <w:tcPr>
            <w:tcW w:w="92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84FC45B" w14:textId="0239CB4E" w:rsidR="0064345D" w:rsidRPr="00BA2A27" w:rsidRDefault="00D8734D" w:rsidP="0000386E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Vallejo A, Monge-</w:t>
            </w:r>
            <w:proofErr w:type="spellStart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Maillo</w:t>
            </w:r>
            <w:proofErr w:type="spellEnd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B, Gutiérrez C, Norman FF, López-Vélez R, Pérez-Molina JA. </w:t>
            </w:r>
            <w:r w:rsidRPr="00BA2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Changes </w:t>
            </w:r>
            <w:proofErr w:type="gramStart"/>
            <w:r w:rsidRPr="00BA2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in the immune response after treatment with benznidazole versus no treatment in patients with chronic indeterminate Chagas disease</w:t>
            </w:r>
            <w:proofErr w:type="gramEnd"/>
            <w:r w:rsidRPr="00BA2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BA2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Acta</w:t>
            </w:r>
            <w:proofErr w:type="spellEnd"/>
            <w:r w:rsidRPr="00BA2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Trop. 2016</w:t>
            </w:r>
            <w:proofErr w:type="gramStart"/>
            <w:r w:rsidRPr="00BA2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;164:117</w:t>
            </w:r>
            <w:proofErr w:type="gramEnd"/>
            <w:r w:rsidRPr="00BA2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-124.</w:t>
            </w:r>
          </w:p>
        </w:tc>
      </w:tr>
      <w:tr w:rsidR="0000386E" w:rsidRPr="00BA2A27" w14:paraId="7F1C4747" w14:textId="77777777" w:rsidTr="0000386E">
        <w:trPr>
          <w:jc w:val="center"/>
        </w:trPr>
        <w:tc>
          <w:tcPr>
            <w:tcW w:w="92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16A1E62" w14:textId="1267DF9A" w:rsidR="0064345D" w:rsidRPr="00BA2A27" w:rsidRDefault="00D8734D" w:rsidP="0000386E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Morillo CA, </w:t>
            </w:r>
            <w:proofErr w:type="spellStart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Waskin</w:t>
            </w:r>
            <w:proofErr w:type="spellEnd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H, </w:t>
            </w:r>
            <w:proofErr w:type="spellStart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Sosa</w:t>
            </w:r>
            <w:proofErr w:type="spellEnd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-Estani S, Del Carmen </w:t>
            </w:r>
            <w:proofErr w:type="spellStart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Bangher</w:t>
            </w:r>
            <w:proofErr w:type="spellEnd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M, </w:t>
            </w:r>
            <w:proofErr w:type="spellStart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Cuneo</w:t>
            </w:r>
            <w:proofErr w:type="spellEnd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C, </w:t>
            </w:r>
            <w:proofErr w:type="spellStart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Milesi</w:t>
            </w:r>
            <w:proofErr w:type="spellEnd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R, </w:t>
            </w:r>
            <w:proofErr w:type="spellStart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Mallagray</w:t>
            </w:r>
            <w:proofErr w:type="spellEnd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M, </w:t>
            </w:r>
            <w:proofErr w:type="spellStart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Apt</w:t>
            </w:r>
            <w:proofErr w:type="spellEnd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W, </w:t>
            </w:r>
            <w:proofErr w:type="spellStart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Beloscar</w:t>
            </w:r>
            <w:proofErr w:type="spellEnd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J, </w:t>
            </w:r>
            <w:proofErr w:type="spellStart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Gascon</w:t>
            </w:r>
            <w:proofErr w:type="spellEnd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J, Molina I, </w:t>
            </w:r>
            <w:proofErr w:type="spellStart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Echeverria</w:t>
            </w:r>
            <w:proofErr w:type="spellEnd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LE, Colombo H, Perez-Molina JA, </w:t>
            </w:r>
            <w:proofErr w:type="spellStart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Wyss</w:t>
            </w:r>
            <w:proofErr w:type="spellEnd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F, </w:t>
            </w:r>
            <w:proofErr w:type="spellStart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Meeks</w:t>
            </w:r>
            <w:proofErr w:type="spellEnd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B, </w:t>
            </w:r>
            <w:proofErr w:type="spellStart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Bonilla</w:t>
            </w:r>
            <w:proofErr w:type="spellEnd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LR, Gao P, </w:t>
            </w:r>
            <w:proofErr w:type="spellStart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Wei</w:t>
            </w:r>
            <w:proofErr w:type="spellEnd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B, McCarthy M, </w:t>
            </w:r>
            <w:proofErr w:type="spellStart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Yusuf</w:t>
            </w:r>
            <w:proofErr w:type="spellEnd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S; STOP-CHAGAS </w:t>
            </w:r>
            <w:proofErr w:type="spellStart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Investigators</w:t>
            </w:r>
            <w:proofErr w:type="spellEnd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BA2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Benznidazole and Posaconazole in Eliminating Parasites in Asymptomatic </w:t>
            </w:r>
            <w:r w:rsidRPr="00BA2A2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T. </w:t>
            </w:r>
            <w:r w:rsidR="0000386E" w:rsidRPr="00BA2A2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c</w:t>
            </w:r>
            <w:r w:rsidRPr="00BA2A2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ruzi</w:t>
            </w:r>
            <w:r w:rsidRPr="00BA2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Carriers: The STOP-CHAGAS Trial. J Am </w:t>
            </w:r>
            <w:proofErr w:type="spellStart"/>
            <w:r w:rsidRPr="00BA2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Coll</w:t>
            </w:r>
            <w:proofErr w:type="spellEnd"/>
            <w:r w:rsidRPr="00BA2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A2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Cardiol</w:t>
            </w:r>
            <w:proofErr w:type="spellEnd"/>
            <w:r w:rsidRPr="00BA2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 2017</w:t>
            </w:r>
            <w:proofErr w:type="gramStart"/>
            <w:r w:rsidRPr="00BA2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;69</w:t>
            </w:r>
            <w:proofErr w:type="gramEnd"/>
            <w:r w:rsidRPr="00BA2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(8):939-947. </w:t>
            </w:r>
          </w:p>
        </w:tc>
      </w:tr>
      <w:tr w:rsidR="0000386E" w:rsidRPr="00BA2A27" w14:paraId="24E0157A" w14:textId="77777777" w:rsidTr="0000386E">
        <w:trPr>
          <w:jc w:val="center"/>
        </w:trPr>
        <w:tc>
          <w:tcPr>
            <w:tcW w:w="92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F4C1575" w14:textId="51F33D62" w:rsidR="0064345D" w:rsidRPr="00BA2A27" w:rsidRDefault="00D8734D" w:rsidP="0000386E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Torrico</w:t>
            </w:r>
            <w:proofErr w:type="spellEnd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F, </w:t>
            </w:r>
            <w:proofErr w:type="spellStart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Gascon</w:t>
            </w:r>
            <w:proofErr w:type="spellEnd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J, Ortiz L, Alonso-Vega C, </w:t>
            </w:r>
            <w:proofErr w:type="spellStart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Pinazo</w:t>
            </w:r>
            <w:proofErr w:type="spellEnd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MJ, </w:t>
            </w:r>
            <w:proofErr w:type="spellStart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Schijman</w:t>
            </w:r>
            <w:proofErr w:type="spellEnd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A, Almeida IC, Alves F, </w:t>
            </w:r>
            <w:proofErr w:type="spellStart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Strub-Wourgaft</w:t>
            </w:r>
            <w:proofErr w:type="spellEnd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N, Ribeiro I; E1224 </w:t>
            </w:r>
            <w:proofErr w:type="spellStart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Study</w:t>
            </w:r>
            <w:proofErr w:type="spellEnd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Group</w:t>
            </w:r>
            <w:proofErr w:type="spellEnd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BA2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Treatment of adult chronic indeterminate Chagas disease with benznidazole and three E1224 dosing regimens: a proof-of-concept, </w:t>
            </w:r>
            <w:proofErr w:type="spellStart"/>
            <w:r w:rsidRPr="00BA2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randomised</w:t>
            </w:r>
            <w:proofErr w:type="spellEnd"/>
            <w:r w:rsidRPr="00BA2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, placebo-controlled trial. Lancet Infect Dis. 2018</w:t>
            </w:r>
            <w:proofErr w:type="gramStart"/>
            <w:r w:rsidRPr="00BA2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;18</w:t>
            </w:r>
            <w:proofErr w:type="gramEnd"/>
            <w:r w:rsidRPr="00BA2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(4):419-430.</w:t>
            </w:r>
          </w:p>
        </w:tc>
      </w:tr>
      <w:tr w:rsidR="0000386E" w:rsidRPr="00BA2A27" w14:paraId="4FED4AC8" w14:textId="77777777" w:rsidTr="0000386E">
        <w:trPr>
          <w:jc w:val="center"/>
        </w:trPr>
        <w:tc>
          <w:tcPr>
            <w:tcW w:w="92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3EC6BB7" w14:textId="1D84DA87" w:rsidR="0064345D" w:rsidRPr="00BA2A27" w:rsidRDefault="00D8734D" w:rsidP="0000386E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A2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Molina-Morant D, </w:t>
            </w:r>
            <w:proofErr w:type="spellStart"/>
            <w:r w:rsidRPr="00BA2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Fernández</w:t>
            </w:r>
            <w:proofErr w:type="spellEnd"/>
            <w:r w:rsidRPr="00BA2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ML, Bosch-</w:t>
            </w:r>
            <w:proofErr w:type="spellStart"/>
            <w:r w:rsidRPr="00BA2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Nicolau</w:t>
            </w:r>
            <w:proofErr w:type="spellEnd"/>
            <w:r w:rsidRPr="00BA2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P, </w:t>
            </w:r>
            <w:proofErr w:type="spellStart"/>
            <w:r w:rsidRPr="00BA2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Sulleiro</w:t>
            </w:r>
            <w:proofErr w:type="spellEnd"/>
            <w:r w:rsidRPr="00BA2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E, </w:t>
            </w:r>
            <w:proofErr w:type="spellStart"/>
            <w:r w:rsidRPr="00BA2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Bangher</w:t>
            </w:r>
            <w:proofErr w:type="spellEnd"/>
            <w:r w:rsidRPr="00BA2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M, Salvador F, Sanchez-</w:t>
            </w:r>
            <w:proofErr w:type="spellStart"/>
            <w:r w:rsidRPr="00BA2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Montalva</w:t>
            </w:r>
            <w:proofErr w:type="spellEnd"/>
            <w:r w:rsidRPr="00BA2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A, Ribeiro ALP, de Paula AMB, Eloi S, Correa-Oliveira R, </w:t>
            </w:r>
            <w:proofErr w:type="spellStart"/>
            <w:r w:rsidRPr="00BA2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Villar</w:t>
            </w:r>
            <w:proofErr w:type="spellEnd"/>
            <w:r w:rsidRPr="00BA2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JC, Sosa-Estani S, Molina I. Efficacy and safety assessment of different dosage of benznidazol for the treatment of Chagas disease in chronic phase in adults (MULTIBENZ study): study protocol for a multicenter randomized Phase II non-inferiority clinical trial.</w:t>
            </w:r>
            <w:proofErr w:type="gramEnd"/>
            <w:r w:rsidRPr="00BA2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Trials. 2020</w:t>
            </w:r>
            <w:proofErr w:type="gramStart"/>
            <w:r w:rsidRPr="00BA2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;21</w:t>
            </w:r>
            <w:proofErr w:type="gramEnd"/>
            <w:r w:rsidRPr="00BA2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(1):328.</w:t>
            </w:r>
          </w:p>
        </w:tc>
      </w:tr>
      <w:tr w:rsidR="0000386E" w:rsidRPr="00BA2A27" w14:paraId="3D7074C1" w14:textId="77777777" w:rsidTr="0000386E">
        <w:trPr>
          <w:jc w:val="center"/>
        </w:trPr>
        <w:tc>
          <w:tcPr>
            <w:tcW w:w="92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5F0AED8" w14:textId="41C9BD0E" w:rsidR="00D8734D" w:rsidRPr="00BA2A27" w:rsidRDefault="00D8734D" w:rsidP="0000386E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Torrico</w:t>
            </w:r>
            <w:proofErr w:type="spellEnd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F, </w:t>
            </w:r>
            <w:proofErr w:type="spellStart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Gascón</w:t>
            </w:r>
            <w:proofErr w:type="spellEnd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J, Barreira F, </w:t>
            </w:r>
            <w:proofErr w:type="spellStart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Blum</w:t>
            </w:r>
            <w:proofErr w:type="spellEnd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B, Almeida IC, Alonso-Vega C, Barboza T, </w:t>
            </w:r>
            <w:proofErr w:type="spellStart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Bilbe</w:t>
            </w:r>
            <w:proofErr w:type="spellEnd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G, Correia E, Garcia W, Ortiz L, Parrado R, Ramirez JC, Ribeiro I, </w:t>
            </w:r>
            <w:proofErr w:type="spellStart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Strub-Wourgaft</w:t>
            </w:r>
            <w:proofErr w:type="spellEnd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N, </w:t>
            </w:r>
            <w:proofErr w:type="spellStart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Vaillant</w:t>
            </w:r>
            <w:proofErr w:type="spellEnd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M, </w:t>
            </w:r>
            <w:proofErr w:type="spellStart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Sosa</w:t>
            </w:r>
            <w:proofErr w:type="spellEnd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-Estani S; BENDITA </w:t>
            </w:r>
            <w:proofErr w:type="spellStart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study</w:t>
            </w:r>
            <w:proofErr w:type="spellEnd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group</w:t>
            </w:r>
            <w:proofErr w:type="spellEnd"/>
            <w:r w:rsidRPr="004D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BA2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New regimens of benznidazole monotherapy and in combination with fosravuconazole for treatment of Chagas disease (BENDITA): a phase 2, </w:t>
            </w:r>
            <w:proofErr w:type="gramStart"/>
            <w:r w:rsidRPr="00BA2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double-blind</w:t>
            </w:r>
            <w:proofErr w:type="gramEnd"/>
            <w:r w:rsidRPr="00BA2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BA2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randomised</w:t>
            </w:r>
            <w:proofErr w:type="spellEnd"/>
            <w:r w:rsidRPr="00BA2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tr</w:t>
            </w:r>
            <w:r w:rsidR="0000386E" w:rsidRPr="00BA2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ial. Lancet Infect Dis. 2021</w:t>
            </w:r>
            <w:proofErr w:type="gramStart"/>
            <w:r w:rsidRPr="00BA2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;21</w:t>
            </w:r>
            <w:proofErr w:type="gramEnd"/>
            <w:r w:rsidRPr="00BA2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(8):1129-1140. </w:t>
            </w:r>
          </w:p>
        </w:tc>
      </w:tr>
    </w:tbl>
    <w:p w14:paraId="1E3BD340" w14:textId="77777777" w:rsidR="00D8734D" w:rsidRPr="00BA2A27" w:rsidRDefault="00D8734D" w:rsidP="00D8734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8734D" w:rsidRPr="00BA2A27" w:rsidSect="0012722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B41E6"/>
    <w:multiLevelType w:val="hybridMultilevel"/>
    <w:tmpl w:val="D1B496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F4F46"/>
    <w:multiLevelType w:val="hybridMultilevel"/>
    <w:tmpl w:val="D1B496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DB"/>
    <w:rsid w:val="0000386E"/>
    <w:rsid w:val="00007ADB"/>
    <w:rsid w:val="0012722A"/>
    <w:rsid w:val="001318D6"/>
    <w:rsid w:val="00263D58"/>
    <w:rsid w:val="00323A12"/>
    <w:rsid w:val="00391FF4"/>
    <w:rsid w:val="00423BBE"/>
    <w:rsid w:val="00441ECE"/>
    <w:rsid w:val="00484338"/>
    <w:rsid w:val="004D65A7"/>
    <w:rsid w:val="0064345D"/>
    <w:rsid w:val="008C5772"/>
    <w:rsid w:val="00B01F9B"/>
    <w:rsid w:val="00BA2A27"/>
    <w:rsid w:val="00CA67E8"/>
    <w:rsid w:val="00CC1569"/>
    <w:rsid w:val="00D8734D"/>
    <w:rsid w:val="00E24E60"/>
    <w:rsid w:val="00E3451C"/>
    <w:rsid w:val="00E76DAA"/>
    <w:rsid w:val="00FA38AF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2F2CE"/>
  <w15:chartTrackingRefBased/>
  <w15:docId w15:val="{DB2F89D5-1947-4039-BC10-C488B87D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A38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esurname">
    <w:name w:val="ce_surname"/>
    <w:basedOn w:val="Fontepargpadro"/>
    <w:rsid w:val="00007ADB"/>
  </w:style>
  <w:style w:type="character" w:customStyle="1" w:styleId="x">
    <w:name w:val="x"/>
    <w:basedOn w:val="Fontepargpadro"/>
    <w:rsid w:val="00007ADB"/>
  </w:style>
  <w:style w:type="character" w:customStyle="1" w:styleId="cegiven-name">
    <w:name w:val="ce_given-name"/>
    <w:basedOn w:val="Fontepargpadro"/>
    <w:rsid w:val="00007ADB"/>
  </w:style>
  <w:style w:type="character" w:customStyle="1" w:styleId="sbmaintitle">
    <w:name w:val="sb_maintitle"/>
    <w:basedOn w:val="Fontepargpadro"/>
    <w:rsid w:val="00007ADB"/>
  </w:style>
  <w:style w:type="character" w:customStyle="1" w:styleId="ceitalic">
    <w:name w:val="ce_italic"/>
    <w:basedOn w:val="Fontepargpadro"/>
    <w:rsid w:val="00007ADB"/>
  </w:style>
  <w:style w:type="character" w:customStyle="1" w:styleId="sbvolume-nr">
    <w:name w:val="sb_volume-nr"/>
    <w:basedOn w:val="Fontepargpadro"/>
    <w:rsid w:val="00007ADB"/>
  </w:style>
  <w:style w:type="character" w:customStyle="1" w:styleId="sbdate">
    <w:name w:val="sb_date"/>
    <w:basedOn w:val="Fontepargpadro"/>
    <w:rsid w:val="00007ADB"/>
  </w:style>
  <w:style w:type="character" w:customStyle="1" w:styleId="sbfirst-page">
    <w:name w:val="sb_first-page"/>
    <w:basedOn w:val="Fontepargpadro"/>
    <w:rsid w:val="00007ADB"/>
  </w:style>
  <w:style w:type="character" w:customStyle="1" w:styleId="sblast-page">
    <w:name w:val="sb_last-page"/>
    <w:basedOn w:val="Fontepargpadro"/>
    <w:rsid w:val="00007ADB"/>
  </w:style>
  <w:style w:type="character" w:customStyle="1" w:styleId="cpedel">
    <w:name w:val="cpedel"/>
    <w:basedOn w:val="Fontepargpadro"/>
    <w:rsid w:val="00007ADB"/>
  </w:style>
  <w:style w:type="character" w:customStyle="1" w:styleId="cpeins">
    <w:name w:val="cpeins"/>
    <w:basedOn w:val="Fontepargpadro"/>
    <w:rsid w:val="00007ADB"/>
  </w:style>
  <w:style w:type="character" w:customStyle="1" w:styleId="cesuffix">
    <w:name w:val="ce_suffix"/>
    <w:basedOn w:val="Fontepargpadro"/>
    <w:rsid w:val="00007ADB"/>
  </w:style>
  <w:style w:type="character" w:customStyle="1" w:styleId="sbarticle-number">
    <w:name w:val="sb_article-number"/>
    <w:basedOn w:val="Fontepargpadro"/>
    <w:rsid w:val="00007ADB"/>
  </w:style>
  <w:style w:type="character" w:customStyle="1" w:styleId="cedoi">
    <w:name w:val="ce_doi"/>
    <w:basedOn w:val="Fontepargpadro"/>
    <w:rsid w:val="00007ADB"/>
  </w:style>
  <w:style w:type="character" w:customStyle="1" w:styleId="unicode-char">
    <w:name w:val="unicode-char"/>
    <w:basedOn w:val="Fontepargpadro"/>
    <w:rsid w:val="00007ADB"/>
  </w:style>
  <w:style w:type="character" w:styleId="Hyperlink">
    <w:name w:val="Hyperlink"/>
    <w:basedOn w:val="Fontepargpadro"/>
    <w:uiPriority w:val="99"/>
    <w:unhideWhenUsed/>
    <w:rsid w:val="00007ADB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E0F33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FA38A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cit">
    <w:name w:val="cit"/>
    <w:basedOn w:val="Fontepargpadro"/>
    <w:rsid w:val="00FA38AF"/>
  </w:style>
  <w:style w:type="character" w:customStyle="1" w:styleId="fm-citation-ids-label">
    <w:name w:val="fm-citation-ids-label"/>
    <w:basedOn w:val="Fontepargpadro"/>
    <w:rsid w:val="00FA38AF"/>
  </w:style>
  <w:style w:type="character" w:customStyle="1" w:styleId="UnresolvedMention">
    <w:name w:val="Unresolved Mention"/>
    <w:basedOn w:val="Fontepargpadro"/>
    <w:uiPriority w:val="99"/>
    <w:semiHidden/>
    <w:unhideWhenUsed/>
    <w:rsid w:val="00263D5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643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4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9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0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4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97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4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0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25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9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0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6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093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46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raphpad.com/quickcalcs/kappa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885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10</cp:revision>
  <dcterms:created xsi:type="dcterms:W3CDTF">2021-10-04T17:49:00Z</dcterms:created>
  <dcterms:modified xsi:type="dcterms:W3CDTF">2022-07-10T23:33:00Z</dcterms:modified>
</cp:coreProperties>
</file>