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E0" w:rsidRPr="00F1345B" w:rsidRDefault="00430523" w:rsidP="00E33AE0">
      <w:pPr>
        <w:jc w:val="center"/>
        <w:rPr>
          <w:b/>
          <w:sz w:val="28"/>
          <w:lang w:val="en-GB"/>
        </w:rPr>
      </w:pPr>
      <w:r w:rsidRPr="00F1345B">
        <w:rPr>
          <w:b/>
          <w:sz w:val="28"/>
          <w:lang w:val="en-GB"/>
        </w:rPr>
        <w:t>Supplementary material</w:t>
      </w:r>
    </w:p>
    <w:p w:rsidR="008B4C4F" w:rsidRDefault="008B4C4F" w:rsidP="00F1345B">
      <w:pPr>
        <w:rPr>
          <w:b/>
          <w:lang w:val="en-GB"/>
        </w:rPr>
      </w:pPr>
    </w:p>
    <w:p w:rsidR="00F1345B" w:rsidRPr="000167C8" w:rsidRDefault="00F1345B" w:rsidP="00F1345B">
      <w:pPr>
        <w:rPr>
          <w:b/>
          <w:lang w:val="en-GB"/>
        </w:rPr>
      </w:pPr>
      <w:r w:rsidRPr="0022018C">
        <w:rPr>
          <w:b/>
          <w:lang w:val="en-GB"/>
        </w:rPr>
        <w:t xml:space="preserve">From: </w:t>
      </w:r>
      <w:r w:rsidR="000167C8">
        <w:rPr>
          <w:b/>
          <w:lang w:val="en-GB"/>
        </w:rPr>
        <w:t xml:space="preserve">Habitat-dependent </w:t>
      </w:r>
      <w:proofErr w:type="spellStart"/>
      <w:r w:rsidR="000167C8">
        <w:rPr>
          <w:b/>
          <w:i/>
          <w:lang w:val="en-GB"/>
        </w:rPr>
        <w:t>Culicoides</w:t>
      </w:r>
      <w:proofErr w:type="spellEnd"/>
      <w:r w:rsidR="000167C8">
        <w:rPr>
          <w:b/>
          <w:i/>
          <w:lang w:val="en-GB"/>
        </w:rPr>
        <w:t xml:space="preserve"> </w:t>
      </w:r>
      <w:r w:rsidR="000167C8">
        <w:rPr>
          <w:b/>
          <w:lang w:val="en-GB"/>
        </w:rPr>
        <w:t>species composition and abundance in blue tit (</w:t>
      </w:r>
      <w:proofErr w:type="spellStart"/>
      <w:r w:rsidR="000167C8">
        <w:rPr>
          <w:b/>
          <w:i/>
          <w:lang w:val="en-GB"/>
        </w:rPr>
        <w:t>Cyanistes</w:t>
      </w:r>
      <w:proofErr w:type="spellEnd"/>
      <w:r w:rsidR="000167C8">
        <w:rPr>
          <w:b/>
          <w:i/>
          <w:lang w:val="en-GB"/>
        </w:rPr>
        <w:t xml:space="preserve"> </w:t>
      </w:r>
      <w:proofErr w:type="spellStart"/>
      <w:r w:rsidR="000167C8">
        <w:rPr>
          <w:b/>
          <w:i/>
          <w:lang w:val="en-GB"/>
        </w:rPr>
        <w:t>caeruleus</w:t>
      </w:r>
      <w:proofErr w:type="spellEnd"/>
      <w:r w:rsidR="000167C8">
        <w:rPr>
          <w:b/>
          <w:lang w:val="en-GB"/>
        </w:rPr>
        <w:t>) nests</w:t>
      </w:r>
    </w:p>
    <w:p w:rsidR="00F1345B" w:rsidRDefault="00F1345B">
      <w:pPr>
        <w:rPr>
          <w:b/>
          <w:lang w:val="en-GB"/>
        </w:rPr>
      </w:pPr>
    </w:p>
    <w:p w:rsidR="001706CD" w:rsidRDefault="00EA5534">
      <w:pPr>
        <w:rPr>
          <w:sz w:val="22"/>
          <w:lang w:val="en-GB"/>
        </w:rPr>
      </w:pPr>
      <w:r w:rsidRPr="00442AF5">
        <w:rPr>
          <w:b/>
          <w:sz w:val="22"/>
          <w:lang w:val="en-GB"/>
        </w:rPr>
        <w:t>Table S</w:t>
      </w:r>
      <w:r w:rsidR="008A06BC">
        <w:rPr>
          <w:b/>
          <w:sz w:val="22"/>
          <w:lang w:val="en-GB"/>
        </w:rPr>
        <w:t>1</w:t>
      </w:r>
      <w:r w:rsidR="00430523" w:rsidRPr="00442AF5">
        <w:rPr>
          <w:b/>
          <w:sz w:val="22"/>
          <w:lang w:val="en-GB"/>
        </w:rPr>
        <w:t xml:space="preserve">. </w:t>
      </w:r>
      <w:r w:rsidR="00BE6DCB">
        <w:rPr>
          <w:sz w:val="22"/>
          <w:lang w:val="en-GB"/>
        </w:rPr>
        <w:t>Temperature, relative humidity, irradiation</w:t>
      </w:r>
      <w:r w:rsidR="000167C8">
        <w:rPr>
          <w:sz w:val="22"/>
          <w:lang w:val="en-GB"/>
        </w:rPr>
        <w:t xml:space="preserve">, insolation and NDVI </w:t>
      </w:r>
      <w:r w:rsidR="00813919">
        <w:rPr>
          <w:sz w:val="22"/>
          <w:lang w:val="en-GB"/>
        </w:rPr>
        <w:t>for</w:t>
      </w:r>
      <w:r w:rsidR="000167C8">
        <w:rPr>
          <w:sz w:val="22"/>
          <w:lang w:val="en-GB"/>
        </w:rPr>
        <w:t xml:space="preserve"> the two</w:t>
      </w:r>
      <w:r w:rsidR="005A7D32">
        <w:rPr>
          <w:sz w:val="22"/>
          <w:lang w:val="en-GB"/>
        </w:rPr>
        <w:t xml:space="preserve"> forests of the study area.</w:t>
      </w:r>
      <w:r w:rsidR="008D7552">
        <w:rPr>
          <w:sz w:val="22"/>
          <w:lang w:val="en-GB"/>
        </w:rPr>
        <w:t xml:space="preserve"> T</w:t>
      </w:r>
      <w:bookmarkStart w:id="0" w:name="_GoBack"/>
      <w:bookmarkEnd w:id="0"/>
      <w:r w:rsidR="00813919">
        <w:rPr>
          <w:sz w:val="22"/>
          <w:lang w:val="en-GB"/>
        </w:rPr>
        <w:t>able shows the mean values, standard deviation, statistic and p-value.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1559"/>
        <w:gridCol w:w="1128"/>
      </w:tblGrid>
      <w:tr w:rsidR="003D4E35" w:rsidRPr="008D7552" w:rsidTr="00107C0A">
        <w:tc>
          <w:tcPr>
            <w:tcW w:w="2830" w:type="dxa"/>
            <w:vMerge w:val="restart"/>
            <w:vAlign w:val="center"/>
          </w:tcPr>
          <w:p w:rsidR="003D4E35" w:rsidRPr="003D4E35" w:rsidRDefault="003D4E35" w:rsidP="003D4E35">
            <w:pPr>
              <w:jc w:val="center"/>
              <w:rPr>
                <w:b/>
                <w:sz w:val="20"/>
                <w:lang w:val="en-GB"/>
              </w:rPr>
            </w:pPr>
            <w:r w:rsidRPr="003D4E35">
              <w:rPr>
                <w:b/>
                <w:sz w:val="20"/>
                <w:lang w:val="en-GB"/>
              </w:rPr>
              <w:t>Factor</w:t>
            </w:r>
          </w:p>
        </w:tc>
        <w:tc>
          <w:tcPr>
            <w:tcW w:w="2977" w:type="dxa"/>
            <w:gridSpan w:val="2"/>
            <w:vAlign w:val="center"/>
          </w:tcPr>
          <w:p w:rsidR="003D4E35" w:rsidRPr="003D4E35" w:rsidRDefault="003D4E35" w:rsidP="003D4E35">
            <w:pPr>
              <w:jc w:val="center"/>
              <w:rPr>
                <w:b/>
                <w:sz w:val="20"/>
                <w:lang w:val="en-GB"/>
              </w:rPr>
            </w:pPr>
            <w:r w:rsidRPr="003D4E35">
              <w:rPr>
                <w:b/>
                <w:sz w:val="20"/>
                <w:lang w:val="en-GB"/>
              </w:rPr>
              <w:t>Forest</w:t>
            </w:r>
          </w:p>
        </w:tc>
        <w:tc>
          <w:tcPr>
            <w:tcW w:w="1559" w:type="dxa"/>
            <w:vMerge w:val="restart"/>
            <w:vAlign w:val="center"/>
          </w:tcPr>
          <w:p w:rsidR="003D4E35" w:rsidRPr="003D4E35" w:rsidRDefault="003D4E35" w:rsidP="003D4E35">
            <w:pPr>
              <w:jc w:val="center"/>
              <w:rPr>
                <w:b/>
                <w:sz w:val="20"/>
                <w:lang w:val="en-GB"/>
              </w:rPr>
            </w:pPr>
            <w:r w:rsidRPr="003D4E35">
              <w:rPr>
                <w:b/>
                <w:sz w:val="20"/>
                <w:lang w:val="en-GB"/>
              </w:rPr>
              <w:t>Statistic</w:t>
            </w:r>
          </w:p>
        </w:tc>
        <w:tc>
          <w:tcPr>
            <w:tcW w:w="1128" w:type="dxa"/>
            <w:vMerge w:val="restart"/>
            <w:vAlign w:val="center"/>
          </w:tcPr>
          <w:p w:rsidR="003D4E35" w:rsidRPr="003D4E35" w:rsidRDefault="003D4E35" w:rsidP="003D4E35">
            <w:pPr>
              <w:jc w:val="center"/>
              <w:rPr>
                <w:b/>
                <w:sz w:val="20"/>
                <w:lang w:val="en-GB"/>
              </w:rPr>
            </w:pPr>
            <w:r w:rsidRPr="003D4E35">
              <w:rPr>
                <w:b/>
                <w:sz w:val="20"/>
                <w:lang w:val="en-GB"/>
              </w:rPr>
              <w:t>p-value</w:t>
            </w:r>
          </w:p>
        </w:tc>
      </w:tr>
      <w:tr w:rsidR="003D4E35" w:rsidRPr="008D7552" w:rsidTr="00107C0A">
        <w:tc>
          <w:tcPr>
            <w:tcW w:w="2830" w:type="dxa"/>
            <w:vMerge/>
          </w:tcPr>
          <w:p w:rsidR="003D4E35" w:rsidRPr="003D4E35" w:rsidRDefault="003D4E35">
            <w:pPr>
              <w:rPr>
                <w:sz w:val="20"/>
                <w:lang w:val="en-GB"/>
              </w:rPr>
            </w:pPr>
          </w:p>
        </w:tc>
        <w:tc>
          <w:tcPr>
            <w:tcW w:w="1418" w:type="dxa"/>
          </w:tcPr>
          <w:p w:rsidR="003D4E35" w:rsidRPr="003D4E35" w:rsidRDefault="003D4E35" w:rsidP="00107C0A">
            <w:pPr>
              <w:jc w:val="center"/>
              <w:rPr>
                <w:sz w:val="20"/>
                <w:lang w:val="en-GB"/>
              </w:rPr>
            </w:pPr>
            <w:r w:rsidRPr="003D4E35">
              <w:rPr>
                <w:sz w:val="20"/>
                <w:lang w:val="en-GB"/>
              </w:rPr>
              <w:t>Dry forest</w:t>
            </w:r>
          </w:p>
        </w:tc>
        <w:tc>
          <w:tcPr>
            <w:tcW w:w="1559" w:type="dxa"/>
          </w:tcPr>
          <w:p w:rsidR="003D4E35" w:rsidRPr="003D4E35" w:rsidRDefault="003D4E35" w:rsidP="00107C0A">
            <w:pPr>
              <w:jc w:val="center"/>
              <w:rPr>
                <w:sz w:val="20"/>
                <w:lang w:val="en-GB"/>
              </w:rPr>
            </w:pPr>
            <w:r w:rsidRPr="003D4E35">
              <w:rPr>
                <w:sz w:val="20"/>
                <w:lang w:val="en-GB"/>
              </w:rPr>
              <w:t>Humid forest</w:t>
            </w:r>
          </w:p>
        </w:tc>
        <w:tc>
          <w:tcPr>
            <w:tcW w:w="1559" w:type="dxa"/>
            <w:vMerge/>
          </w:tcPr>
          <w:p w:rsidR="003D4E35" w:rsidRPr="003D4E35" w:rsidRDefault="003D4E35">
            <w:pPr>
              <w:rPr>
                <w:sz w:val="20"/>
                <w:lang w:val="en-GB"/>
              </w:rPr>
            </w:pPr>
          </w:p>
        </w:tc>
        <w:tc>
          <w:tcPr>
            <w:tcW w:w="1128" w:type="dxa"/>
            <w:vMerge/>
          </w:tcPr>
          <w:p w:rsidR="003D4E35" w:rsidRPr="003D4E35" w:rsidRDefault="003D4E35">
            <w:pPr>
              <w:rPr>
                <w:sz w:val="20"/>
                <w:lang w:val="en-GB"/>
              </w:rPr>
            </w:pPr>
          </w:p>
        </w:tc>
      </w:tr>
      <w:tr w:rsidR="003D4E35" w:rsidTr="00107C0A">
        <w:tc>
          <w:tcPr>
            <w:tcW w:w="2830" w:type="dxa"/>
          </w:tcPr>
          <w:p w:rsidR="003D4E35" w:rsidRPr="003D4E35" w:rsidRDefault="003D4E35">
            <w:pPr>
              <w:rPr>
                <w:sz w:val="20"/>
                <w:lang w:val="en-GB"/>
              </w:rPr>
            </w:pPr>
            <w:r w:rsidRPr="003D4E35">
              <w:rPr>
                <w:sz w:val="20"/>
                <w:lang w:val="en-GB"/>
              </w:rPr>
              <w:t>Temperature (ºC)</w:t>
            </w:r>
            <w:r>
              <w:rPr>
                <w:sz w:val="20"/>
                <w:lang w:val="en-GB"/>
              </w:rPr>
              <w:t xml:space="preserve"> </w:t>
            </w:r>
            <w:r w:rsidRPr="003D4E35">
              <w:rPr>
                <w:sz w:val="20"/>
                <w:vertAlign w:val="superscript"/>
                <w:lang w:val="en-GB"/>
              </w:rPr>
              <w:t>1</w:t>
            </w:r>
          </w:p>
        </w:tc>
        <w:tc>
          <w:tcPr>
            <w:tcW w:w="1418" w:type="dxa"/>
          </w:tcPr>
          <w:p w:rsidR="003D4E35" w:rsidRPr="003D4E35" w:rsidRDefault="00107C0A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17.81 ± 6.47</w:t>
            </w:r>
          </w:p>
        </w:tc>
        <w:tc>
          <w:tcPr>
            <w:tcW w:w="1559" w:type="dxa"/>
          </w:tcPr>
          <w:p w:rsidR="003D4E35" w:rsidRPr="003D4E35" w:rsidRDefault="00107C0A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16.80 ± 6.19</w:t>
            </w:r>
          </w:p>
        </w:tc>
        <w:tc>
          <w:tcPr>
            <w:tcW w:w="1559" w:type="dxa"/>
          </w:tcPr>
          <w:p w:rsidR="003D4E35" w:rsidRPr="003D4E35" w:rsidRDefault="00107C0A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  <w:r w:rsidRPr="00107C0A">
              <w:rPr>
                <w:sz w:val="20"/>
                <w:vertAlign w:val="subscript"/>
                <w:lang w:val="en-GB"/>
              </w:rPr>
              <w:t>1338</w:t>
            </w:r>
            <w:r>
              <w:rPr>
                <w:sz w:val="20"/>
                <w:lang w:val="en-GB"/>
              </w:rPr>
              <w:t xml:space="preserve"> = 14.11</w:t>
            </w:r>
          </w:p>
        </w:tc>
        <w:tc>
          <w:tcPr>
            <w:tcW w:w="1128" w:type="dxa"/>
          </w:tcPr>
          <w:p w:rsidR="003D4E35" w:rsidRPr="003D4E35" w:rsidRDefault="00107C0A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&lt; 0.001</w:t>
            </w:r>
          </w:p>
        </w:tc>
      </w:tr>
      <w:tr w:rsidR="003D4E35" w:rsidTr="00107C0A">
        <w:tc>
          <w:tcPr>
            <w:tcW w:w="2830" w:type="dxa"/>
          </w:tcPr>
          <w:p w:rsidR="003D4E35" w:rsidRPr="003D4E35" w:rsidRDefault="003D4E3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Relative humidity (%) </w:t>
            </w:r>
            <w:r w:rsidRPr="00107C0A">
              <w:rPr>
                <w:sz w:val="20"/>
                <w:vertAlign w:val="superscript"/>
                <w:lang w:val="en-GB"/>
              </w:rPr>
              <w:t>1</w:t>
            </w:r>
          </w:p>
        </w:tc>
        <w:tc>
          <w:tcPr>
            <w:tcW w:w="1418" w:type="dxa"/>
          </w:tcPr>
          <w:p w:rsidR="003D4E35" w:rsidRPr="003D4E35" w:rsidRDefault="00107C0A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41.37 ± 18.02</w:t>
            </w:r>
          </w:p>
        </w:tc>
        <w:tc>
          <w:tcPr>
            <w:tcW w:w="1559" w:type="dxa"/>
          </w:tcPr>
          <w:p w:rsidR="003D4E35" w:rsidRPr="003D4E35" w:rsidRDefault="00107C0A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42.99 ± 17.90</w:t>
            </w:r>
          </w:p>
        </w:tc>
        <w:tc>
          <w:tcPr>
            <w:tcW w:w="1559" w:type="dxa"/>
          </w:tcPr>
          <w:p w:rsidR="003D4E35" w:rsidRPr="003D4E35" w:rsidRDefault="00107C0A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  <w:r w:rsidRPr="00107C0A">
              <w:rPr>
                <w:sz w:val="20"/>
                <w:vertAlign w:val="subscript"/>
                <w:lang w:val="en-GB"/>
              </w:rPr>
              <w:t>1338</w:t>
            </w:r>
            <w:r>
              <w:rPr>
                <w:sz w:val="20"/>
                <w:lang w:val="en-GB"/>
              </w:rPr>
              <w:t xml:space="preserve"> = 9.21</w:t>
            </w:r>
          </w:p>
        </w:tc>
        <w:tc>
          <w:tcPr>
            <w:tcW w:w="1128" w:type="dxa"/>
          </w:tcPr>
          <w:p w:rsidR="003D4E35" w:rsidRPr="003D4E35" w:rsidRDefault="00107C0A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&lt; 0.001</w:t>
            </w:r>
          </w:p>
        </w:tc>
      </w:tr>
      <w:tr w:rsidR="003D4E35" w:rsidTr="00107C0A">
        <w:tc>
          <w:tcPr>
            <w:tcW w:w="2830" w:type="dxa"/>
          </w:tcPr>
          <w:p w:rsidR="003D4E35" w:rsidRPr="003D4E35" w:rsidRDefault="003D4E3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Insolation (h) </w:t>
            </w:r>
            <w:r w:rsidRPr="00107C0A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418" w:type="dxa"/>
          </w:tcPr>
          <w:p w:rsidR="003D4E35" w:rsidRPr="003D4E35" w:rsidRDefault="00107C0A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13.46 ± 0.34</w:t>
            </w:r>
          </w:p>
        </w:tc>
        <w:tc>
          <w:tcPr>
            <w:tcW w:w="1559" w:type="dxa"/>
          </w:tcPr>
          <w:p w:rsidR="003D4E35" w:rsidRPr="003D4E35" w:rsidRDefault="00107C0A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11.98 ± 0.21</w:t>
            </w:r>
          </w:p>
        </w:tc>
        <w:tc>
          <w:tcPr>
            <w:tcW w:w="1559" w:type="dxa"/>
          </w:tcPr>
          <w:p w:rsidR="003D4E35" w:rsidRPr="003D4E35" w:rsidRDefault="00107C0A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 = 0.00</w:t>
            </w:r>
          </w:p>
        </w:tc>
        <w:tc>
          <w:tcPr>
            <w:tcW w:w="1128" w:type="dxa"/>
          </w:tcPr>
          <w:p w:rsidR="003D4E35" w:rsidRPr="003D4E35" w:rsidRDefault="00107C0A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&lt; 0.001</w:t>
            </w:r>
          </w:p>
        </w:tc>
      </w:tr>
      <w:tr w:rsidR="003D4E35" w:rsidTr="00107C0A">
        <w:tc>
          <w:tcPr>
            <w:tcW w:w="2830" w:type="dxa"/>
          </w:tcPr>
          <w:p w:rsidR="003D4E35" w:rsidRPr="003D4E35" w:rsidRDefault="003D4E3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Irradiation (kWh/m</w:t>
            </w:r>
            <w:r w:rsidRPr="00680D36">
              <w:rPr>
                <w:sz w:val="20"/>
                <w:vertAlign w:val="superscript"/>
                <w:lang w:val="en-GB"/>
              </w:rPr>
              <w:t>2</w:t>
            </w:r>
            <w:r>
              <w:rPr>
                <w:sz w:val="20"/>
                <w:lang w:val="en-GB"/>
              </w:rPr>
              <w:t xml:space="preserve">/day) </w:t>
            </w:r>
            <w:r w:rsidRPr="00A73C21">
              <w:rPr>
                <w:sz w:val="20"/>
                <w:vertAlign w:val="superscript"/>
                <w:lang w:val="en-GB"/>
              </w:rPr>
              <w:t>3</w:t>
            </w:r>
          </w:p>
        </w:tc>
        <w:tc>
          <w:tcPr>
            <w:tcW w:w="1418" w:type="dxa"/>
          </w:tcPr>
          <w:p w:rsidR="003D4E35" w:rsidRPr="003D4E35" w:rsidRDefault="000445E2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6.63 ± 0.20</w:t>
            </w:r>
          </w:p>
        </w:tc>
        <w:tc>
          <w:tcPr>
            <w:tcW w:w="1559" w:type="dxa"/>
          </w:tcPr>
          <w:p w:rsidR="003D4E35" w:rsidRPr="003D4E35" w:rsidRDefault="000445E2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6.45 ± 0.19</w:t>
            </w:r>
          </w:p>
        </w:tc>
        <w:tc>
          <w:tcPr>
            <w:tcW w:w="1559" w:type="dxa"/>
          </w:tcPr>
          <w:p w:rsidR="003D4E35" w:rsidRPr="003D4E35" w:rsidRDefault="000445E2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 = 530.00</w:t>
            </w:r>
          </w:p>
        </w:tc>
        <w:tc>
          <w:tcPr>
            <w:tcW w:w="1128" w:type="dxa"/>
          </w:tcPr>
          <w:p w:rsidR="003D4E35" w:rsidRPr="003D4E35" w:rsidRDefault="000445E2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&lt; 0.001</w:t>
            </w:r>
          </w:p>
        </w:tc>
      </w:tr>
      <w:tr w:rsidR="00A73C21" w:rsidTr="00107C0A">
        <w:tc>
          <w:tcPr>
            <w:tcW w:w="2830" w:type="dxa"/>
          </w:tcPr>
          <w:p w:rsidR="00A73C21" w:rsidRDefault="00A73C2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NDVI </w:t>
            </w:r>
            <w:r w:rsidRPr="00A73C21">
              <w:rPr>
                <w:sz w:val="20"/>
                <w:vertAlign w:val="superscript"/>
                <w:lang w:val="en-GB"/>
              </w:rPr>
              <w:t>4</w:t>
            </w:r>
          </w:p>
        </w:tc>
        <w:tc>
          <w:tcPr>
            <w:tcW w:w="1418" w:type="dxa"/>
          </w:tcPr>
          <w:p w:rsidR="00A73C21" w:rsidRPr="003D4E35" w:rsidRDefault="009875D0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0.54 ± 0.08</w:t>
            </w:r>
          </w:p>
        </w:tc>
        <w:tc>
          <w:tcPr>
            <w:tcW w:w="1559" w:type="dxa"/>
          </w:tcPr>
          <w:p w:rsidR="00A73C21" w:rsidRPr="003D4E35" w:rsidRDefault="009875D0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0.59 ± 0.04</w:t>
            </w:r>
          </w:p>
        </w:tc>
        <w:tc>
          <w:tcPr>
            <w:tcW w:w="1559" w:type="dxa"/>
          </w:tcPr>
          <w:p w:rsidR="00A73C21" w:rsidRPr="003D4E35" w:rsidRDefault="009875D0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 = 17.00</w:t>
            </w:r>
          </w:p>
        </w:tc>
        <w:tc>
          <w:tcPr>
            <w:tcW w:w="1128" w:type="dxa"/>
          </w:tcPr>
          <w:p w:rsidR="00A73C21" w:rsidRPr="003D4E35" w:rsidRDefault="009875D0" w:rsidP="00107C0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0.112</w:t>
            </w:r>
          </w:p>
        </w:tc>
      </w:tr>
    </w:tbl>
    <w:p w:rsidR="008A06BC" w:rsidRPr="00442AF5" w:rsidRDefault="00107C0A" w:rsidP="00676EC8">
      <w:pPr>
        <w:rPr>
          <w:sz w:val="22"/>
          <w:lang w:val="en-GB"/>
        </w:rPr>
      </w:pPr>
      <w:r>
        <w:rPr>
          <w:sz w:val="22"/>
          <w:lang w:val="en-GB"/>
        </w:rPr>
        <w:br/>
      </w:r>
      <w:r w:rsidRPr="00107C0A">
        <w:rPr>
          <w:sz w:val="22"/>
          <w:vertAlign w:val="superscript"/>
          <w:lang w:val="en-GB"/>
        </w:rPr>
        <w:t>1</w:t>
      </w:r>
      <w:r>
        <w:rPr>
          <w:sz w:val="22"/>
          <w:lang w:val="en-GB"/>
        </w:rPr>
        <w:t xml:space="preserve"> Data obtained from </w:t>
      </w:r>
      <w:proofErr w:type="spellStart"/>
      <w:r>
        <w:rPr>
          <w:sz w:val="22"/>
          <w:lang w:val="en-GB"/>
        </w:rPr>
        <w:t>dataloggers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iButton</w:t>
      </w:r>
      <w:proofErr w:type="spellEnd"/>
      <w:r>
        <w:rPr>
          <w:sz w:val="22"/>
          <w:lang w:val="en-GB"/>
        </w:rPr>
        <w:t>® installed in outer walls of nest-boxes. Year: 2019. Statistic: t-test.</w:t>
      </w:r>
      <w:r>
        <w:rPr>
          <w:sz w:val="22"/>
          <w:lang w:val="en-GB"/>
        </w:rPr>
        <w:br/>
      </w:r>
      <w:r w:rsidRPr="00107C0A">
        <w:rPr>
          <w:sz w:val="22"/>
          <w:vertAlign w:val="superscript"/>
          <w:lang w:val="en-GB"/>
        </w:rPr>
        <w:t>2</w:t>
      </w:r>
      <w:r>
        <w:rPr>
          <w:sz w:val="22"/>
          <w:lang w:val="en-GB"/>
        </w:rPr>
        <w:t xml:space="preserve"> Data obtained from software GRASS SIG 7.8.2, integrated in QGIS 3.10.5, using the “</w:t>
      </w:r>
      <w:proofErr w:type="spellStart"/>
      <w:r>
        <w:rPr>
          <w:sz w:val="22"/>
          <w:lang w:val="en-GB"/>
        </w:rPr>
        <w:t>r.sun.insoltime</w:t>
      </w:r>
      <w:proofErr w:type="spellEnd"/>
      <w:r>
        <w:rPr>
          <w:sz w:val="22"/>
          <w:lang w:val="en-GB"/>
        </w:rPr>
        <w:t xml:space="preserve">” algorithm. Insolation obtained every five days and covering breeding seasons </w:t>
      </w:r>
      <w:r w:rsidR="00EA52E0">
        <w:rPr>
          <w:sz w:val="22"/>
          <w:lang w:val="en-GB"/>
        </w:rPr>
        <w:t xml:space="preserve">of blue tits </w:t>
      </w:r>
      <w:r>
        <w:rPr>
          <w:sz w:val="22"/>
          <w:lang w:val="en-GB"/>
        </w:rPr>
        <w:t>from 2017 to 2019. Statistic: U-Mann Whitney test.</w:t>
      </w:r>
      <w:r w:rsidR="00A73C21">
        <w:rPr>
          <w:sz w:val="22"/>
          <w:lang w:val="en-GB"/>
        </w:rPr>
        <w:br/>
      </w:r>
      <w:r w:rsidR="00A73C21" w:rsidRPr="00A73C21">
        <w:rPr>
          <w:sz w:val="22"/>
          <w:vertAlign w:val="superscript"/>
          <w:lang w:val="en-GB"/>
        </w:rPr>
        <w:t>3</w:t>
      </w:r>
      <w:r w:rsidR="00A73C21">
        <w:rPr>
          <w:sz w:val="22"/>
          <w:lang w:val="en-GB"/>
        </w:rPr>
        <w:t xml:space="preserve"> Data obtained from software </w:t>
      </w:r>
      <w:proofErr w:type="spellStart"/>
      <w:r w:rsidR="00A73C21">
        <w:rPr>
          <w:sz w:val="22"/>
          <w:lang w:val="en-GB"/>
        </w:rPr>
        <w:t>ArGis</w:t>
      </w:r>
      <w:proofErr w:type="spellEnd"/>
      <w:r w:rsidR="00A73C21">
        <w:rPr>
          <w:sz w:val="22"/>
          <w:lang w:val="en-GB"/>
        </w:rPr>
        <w:t xml:space="preserve"> Desktop 10.3.1, using the “Area solar radiation”</w:t>
      </w:r>
      <w:r w:rsidR="00680D36">
        <w:rPr>
          <w:sz w:val="22"/>
          <w:lang w:val="en-GB"/>
        </w:rPr>
        <w:t xml:space="preserve"> algorithm. Solar i</w:t>
      </w:r>
      <w:r w:rsidR="00A73C21">
        <w:rPr>
          <w:sz w:val="22"/>
          <w:lang w:val="en-GB"/>
        </w:rPr>
        <w:t>rradiation obtained every five days for breeding seasons of each year (2017, 2018 and 2019). Statistic: U-Mann Whitney test.</w:t>
      </w:r>
      <w:r w:rsidR="00A73C21">
        <w:rPr>
          <w:sz w:val="22"/>
          <w:lang w:val="en-GB"/>
        </w:rPr>
        <w:br/>
      </w:r>
      <w:r w:rsidR="00A73C21" w:rsidRPr="00A73C21">
        <w:rPr>
          <w:sz w:val="22"/>
          <w:vertAlign w:val="superscript"/>
          <w:lang w:val="en-GB"/>
        </w:rPr>
        <w:t>4</w:t>
      </w:r>
      <w:r w:rsidR="00A73C21">
        <w:rPr>
          <w:sz w:val="22"/>
          <w:lang w:val="en-GB"/>
        </w:rPr>
        <w:t xml:space="preserve"> Data obtained from software QGIS 3.10.5 using Landsat-8 satellite images covering the breeding seasons of each year (2017, 2018 and 2019). NDVI calculated based on Landsat-8 bands B4 (red) and B5 (near infrared) as: (B5 – B4) / (B5 + B4). Statistic: U-Mann Whitney test.</w:t>
      </w:r>
    </w:p>
    <w:sectPr w:rsidR="008A06BC" w:rsidRPr="00442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sDQ0NzMyMTQxNTBW0lEKTi0uzszPAykwqgUA1bYBEywAAAA="/>
  </w:docVars>
  <w:rsids>
    <w:rsidRoot w:val="00BE14F1"/>
    <w:rsid w:val="000167C8"/>
    <w:rsid w:val="000445E2"/>
    <w:rsid w:val="0007085B"/>
    <w:rsid w:val="00107C0A"/>
    <w:rsid w:val="00163B43"/>
    <w:rsid w:val="001706CD"/>
    <w:rsid w:val="0022018C"/>
    <w:rsid w:val="00281D17"/>
    <w:rsid w:val="00295A64"/>
    <w:rsid w:val="003779E0"/>
    <w:rsid w:val="003A07C7"/>
    <w:rsid w:val="003D4E35"/>
    <w:rsid w:val="00430523"/>
    <w:rsid w:val="00442AF5"/>
    <w:rsid w:val="004E37DB"/>
    <w:rsid w:val="005229F0"/>
    <w:rsid w:val="00531C2B"/>
    <w:rsid w:val="005A7D32"/>
    <w:rsid w:val="005E3559"/>
    <w:rsid w:val="006551D1"/>
    <w:rsid w:val="00676EC8"/>
    <w:rsid w:val="00677140"/>
    <w:rsid w:val="00680D36"/>
    <w:rsid w:val="007411AF"/>
    <w:rsid w:val="00791E29"/>
    <w:rsid w:val="00813919"/>
    <w:rsid w:val="008216CB"/>
    <w:rsid w:val="008A06BC"/>
    <w:rsid w:val="008B4C4F"/>
    <w:rsid w:val="008D7552"/>
    <w:rsid w:val="00932948"/>
    <w:rsid w:val="009558D1"/>
    <w:rsid w:val="009875D0"/>
    <w:rsid w:val="009944F5"/>
    <w:rsid w:val="009A0A2E"/>
    <w:rsid w:val="009F22EB"/>
    <w:rsid w:val="009F4C3A"/>
    <w:rsid w:val="00A33193"/>
    <w:rsid w:val="00A50070"/>
    <w:rsid w:val="00A73C21"/>
    <w:rsid w:val="00B30937"/>
    <w:rsid w:val="00BE14F1"/>
    <w:rsid w:val="00BE6DCB"/>
    <w:rsid w:val="00DA3058"/>
    <w:rsid w:val="00E33AE0"/>
    <w:rsid w:val="00EA52E0"/>
    <w:rsid w:val="00EA5534"/>
    <w:rsid w:val="00F1345B"/>
    <w:rsid w:val="00F35A3D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8693-BD0B-4471-9528-003C1AF0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Garrido </dc:creator>
  <cp:keywords/>
  <dc:description/>
  <cp:lastModifiedBy>Jorge Garrido </cp:lastModifiedBy>
  <cp:revision>31</cp:revision>
  <dcterms:created xsi:type="dcterms:W3CDTF">2020-06-03T15:58:00Z</dcterms:created>
  <dcterms:modified xsi:type="dcterms:W3CDTF">2022-03-01T15:22:00Z</dcterms:modified>
</cp:coreProperties>
</file>