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EDD" w:rsidRPr="00A95705" w:rsidRDefault="00776EDD" w:rsidP="00776EDD">
      <w:pPr>
        <w:rPr>
          <w:rFonts w:eastAsia="Times New Roman" w:cs="Times New Roman"/>
          <w:b/>
          <w:bCs/>
          <w:color w:val="538135"/>
          <w:szCs w:val="24"/>
          <w:lang w:eastAsia="en-GB"/>
        </w:rPr>
      </w:pPr>
      <w:r w:rsidRPr="00790543">
        <w:rPr>
          <w:rFonts w:eastAsia="Times New Roman" w:cs="Times New Roman"/>
          <w:b/>
          <w:bCs/>
          <w:color w:val="538135"/>
          <w:szCs w:val="24"/>
          <w:lang w:eastAsia="en-GB"/>
        </w:rPr>
        <w:t>Supplementary material</w:t>
      </w:r>
    </w:p>
    <w:p w:rsidR="00776EDD" w:rsidRPr="00571B86" w:rsidRDefault="00776EDD" w:rsidP="00776EDD">
      <w:pPr>
        <w:spacing w:line="276" w:lineRule="auto"/>
        <w:rPr>
          <w:rFonts w:cs="Times New Roman"/>
          <w:szCs w:val="24"/>
          <w:lang w:val="en-IE"/>
        </w:rPr>
      </w:pPr>
      <w:r>
        <w:rPr>
          <w:rFonts w:cs="Times New Roman"/>
          <w:szCs w:val="24"/>
          <w:lang w:val="en-IE"/>
        </w:rPr>
        <w:t xml:space="preserve">Suppl. </w:t>
      </w:r>
      <w:r w:rsidRPr="00571B86">
        <w:rPr>
          <w:rFonts w:cs="Times New Roman"/>
          <w:szCs w:val="24"/>
          <w:lang w:val="en-IE"/>
        </w:rPr>
        <w:t xml:space="preserve">Table </w:t>
      </w:r>
      <w:r>
        <w:rPr>
          <w:rFonts w:cs="Times New Roman"/>
          <w:szCs w:val="24"/>
          <w:lang w:val="en-IE"/>
        </w:rPr>
        <w:t>1</w:t>
      </w:r>
      <w:r w:rsidRPr="00571B86">
        <w:rPr>
          <w:rFonts w:cs="Times New Roman"/>
          <w:szCs w:val="24"/>
          <w:lang w:val="en-IE"/>
        </w:rPr>
        <w:t xml:space="preserve">: Observed frequencies of infection with </w:t>
      </w:r>
      <w:proofErr w:type="spellStart"/>
      <w:r w:rsidRPr="00571B86">
        <w:rPr>
          <w:rFonts w:cs="Times New Roman"/>
          <w:szCs w:val="24"/>
          <w:lang w:val="en-IE"/>
        </w:rPr>
        <w:t>Haplosporidia</w:t>
      </w:r>
      <w:proofErr w:type="spellEnd"/>
      <w:r w:rsidRPr="00571B86">
        <w:rPr>
          <w:rFonts w:cs="Times New Roman"/>
          <w:szCs w:val="24"/>
          <w:lang w:val="en-IE"/>
        </w:rPr>
        <w:t xml:space="preserve"> and </w:t>
      </w:r>
      <w:r w:rsidRPr="00571B86">
        <w:rPr>
          <w:rFonts w:cs="Times New Roman"/>
          <w:i/>
          <w:iCs/>
          <w:szCs w:val="24"/>
          <w:lang w:val="en-IE"/>
        </w:rPr>
        <w:t>Vibrio</w:t>
      </w:r>
      <w:r w:rsidRPr="00571B86">
        <w:rPr>
          <w:rFonts w:cs="Times New Roman"/>
          <w:szCs w:val="24"/>
          <w:lang w:val="en-IE"/>
        </w:rPr>
        <w:t xml:space="preserve"> and their combination; and expected frequencies under </w:t>
      </w:r>
      <w:r>
        <w:rPr>
          <w:rFonts w:cs="Times New Roman"/>
          <w:szCs w:val="24"/>
          <w:lang w:val="en-IE"/>
        </w:rPr>
        <w:t>c</w:t>
      </w:r>
      <w:r w:rsidRPr="00571B86">
        <w:rPr>
          <w:rFonts w:cs="Times New Roman"/>
          <w:szCs w:val="24"/>
          <w:lang w:val="en-IE"/>
        </w:rPr>
        <w:t xml:space="preserve">orrected Pearson’s chi-square </w:t>
      </w:r>
      <w:r>
        <w:rPr>
          <w:rFonts w:cs="Times New Roman"/>
          <w:szCs w:val="24"/>
          <w:lang w:val="en-IE"/>
        </w:rPr>
        <w:t>te</w:t>
      </w:r>
      <w:r w:rsidRPr="00571B86">
        <w:rPr>
          <w:rFonts w:cs="Times New Roman"/>
          <w:szCs w:val="24"/>
          <w:lang w:val="en-IE"/>
        </w:rPr>
        <w:t>st considering</w:t>
      </w:r>
      <w:r>
        <w:rPr>
          <w:rFonts w:cs="Times New Roman"/>
          <w:szCs w:val="24"/>
          <w:lang w:val="en-IE"/>
        </w:rPr>
        <w:t xml:space="preserve"> </w:t>
      </w:r>
      <w:r w:rsidRPr="00571B86">
        <w:rPr>
          <w:rFonts w:cs="Times New Roman"/>
          <w:szCs w:val="24"/>
        </w:rPr>
        <w:t xml:space="preserve">confounding </w:t>
      </w:r>
      <w:r w:rsidRPr="00571B86">
        <w:rPr>
          <w:rFonts w:cs="Times New Roman"/>
          <w:szCs w:val="24"/>
          <w:lang w:val="en-IE"/>
        </w:rPr>
        <w:t>factors.</w:t>
      </w:r>
    </w:p>
    <w:tbl>
      <w:tblPr>
        <w:tblStyle w:val="ListTable6Colorful12"/>
        <w:tblW w:w="5000" w:type="pct"/>
        <w:tblLook w:val="04A0" w:firstRow="1" w:lastRow="0" w:firstColumn="1" w:lastColumn="0" w:noHBand="0" w:noVBand="1"/>
      </w:tblPr>
      <w:tblGrid>
        <w:gridCol w:w="2879"/>
        <w:gridCol w:w="3098"/>
        <w:gridCol w:w="3049"/>
      </w:tblGrid>
      <w:tr w:rsidR="00776EDD" w:rsidRPr="00571B86" w:rsidTr="00820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sz w:val="20"/>
                <w:szCs w:val="20"/>
                <w:lang w:eastAsia="en-IE"/>
              </w:rPr>
            </w:pPr>
            <w:r w:rsidRPr="00571B86">
              <w:rPr>
                <w:rFonts w:cs="Times New Roman"/>
                <w:sz w:val="20"/>
                <w:szCs w:val="20"/>
              </w:rPr>
              <w:t>Corrected Pearson’s Chi-square Test</w:t>
            </w:r>
          </w:p>
        </w:tc>
      </w:tr>
      <w:tr w:rsidR="00776EDD" w:rsidRPr="00571B86" w:rsidTr="0082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proofErr w:type="spellStart"/>
            <w:r w:rsidRPr="00571B86">
              <w:rPr>
                <w:rFonts w:cs="Times New Roman"/>
                <w:i/>
                <w:iCs/>
                <w:sz w:val="20"/>
                <w:szCs w:val="20"/>
              </w:rPr>
              <w:t>Haplosporidia</w:t>
            </w:r>
            <w:proofErr w:type="spellEnd"/>
            <w:r w:rsidRPr="00571B86">
              <w:rPr>
                <w:rFonts w:cs="Times New Roman"/>
                <w:i/>
                <w:iCs/>
                <w:sz w:val="20"/>
                <w:szCs w:val="20"/>
              </w:rPr>
              <w:t>-Vibrio</w:t>
            </w:r>
          </w:p>
        </w:tc>
        <w:tc>
          <w:tcPr>
            <w:tcW w:w="1716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en-IE"/>
              </w:rPr>
            </w:pPr>
            <w:r w:rsidRPr="00571B86">
              <w:rPr>
                <w:rFonts w:eastAsia="Times New Roman" w:cs="Times New Roman"/>
                <w:b/>
                <w:bCs/>
                <w:sz w:val="20"/>
                <w:szCs w:val="20"/>
                <w:lang w:eastAsia="en-IE"/>
              </w:rPr>
              <w:t>Observed frequencies:</w:t>
            </w:r>
          </w:p>
        </w:tc>
        <w:tc>
          <w:tcPr>
            <w:tcW w:w="1689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en-IE"/>
              </w:rPr>
            </w:pPr>
            <w:r w:rsidRPr="00571B86">
              <w:rPr>
                <w:rFonts w:eastAsia="Times New Roman" w:cs="Times New Roman"/>
                <w:b/>
                <w:bCs/>
                <w:sz w:val="20"/>
                <w:szCs w:val="20"/>
                <w:lang w:eastAsia="en-IE"/>
              </w:rPr>
              <w:t>Expected frequencies:</w:t>
            </w:r>
          </w:p>
        </w:tc>
      </w:tr>
      <w:tr w:rsidR="00776EDD" w:rsidRPr="00571B86" w:rsidTr="0082066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571B86">
              <w:rPr>
                <w:rFonts w:cs="Times New Roman"/>
              </w:rPr>
              <w:t>-/-</w:t>
            </w:r>
          </w:p>
        </w:tc>
        <w:tc>
          <w:tcPr>
            <w:tcW w:w="1716" w:type="pct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IE"/>
              </w:rPr>
            </w:pPr>
            <w:r w:rsidRPr="00571B86">
              <w:rPr>
                <w:rFonts w:eastAsia="Times New Roman" w:cs="Times New Roman"/>
                <w:sz w:val="20"/>
                <w:szCs w:val="20"/>
                <w:lang w:eastAsia="en-IE"/>
              </w:rPr>
              <w:t>342</w:t>
            </w:r>
          </w:p>
        </w:tc>
        <w:tc>
          <w:tcPr>
            <w:tcW w:w="1689" w:type="pct"/>
            <w:tcBorders>
              <w:top w:val="single" w:sz="8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IE"/>
              </w:rPr>
            </w:pPr>
            <w:r w:rsidRPr="00571B86">
              <w:rPr>
                <w:rFonts w:eastAsia="Times New Roman" w:cs="Times New Roman"/>
                <w:sz w:val="20"/>
                <w:szCs w:val="20"/>
                <w:lang w:eastAsia="en-IE"/>
              </w:rPr>
              <w:t>351.17</w:t>
            </w:r>
          </w:p>
        </w:tc>
      </w:tr>
      <w:tr w:rsidR="00776EDD" w:rsidRPr="00571B86" w:rsidTr="0082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</w:rPr>
            </w:pPr>
            <w:r w:rsidRPr="00571B86">
              <w:rPr>
                <w:rFonts w:cs="Times New Roman"/>
              </w:rPr>
              <w:t>-/+</w:t>
            </w:r>
          </w:p>
        </w:tc>
        <w:tc>
          <w:tcPr>
            <w:tcW w:w="1716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71B86">
              <w:rPr>
                <w:rFonts w:eastAsia="Times New Roman" w:cs="Times New Roman"/>
                <w:sz w:val="20"/>
                <w:szCs w:val="20"/>
                <w:lang w:eastAsia="en-IE"/>
              </w:rPr>
              <w:t>116</w:t>
            </w:r>
          </w:p>
        </w:tc>
        <w:tc>
          <w:tcPr>
            <w:tcW w:w="1689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71B86">
              <w:rPr>
                <w:rFonts w:eastAsia="Times New Roman" w:cs="Times New Roman"/>
                <w:sz w:val="20"/>
                <w:szCs w:val="20"/>
                <w:lang w:eastAsia="en-IE"/>
              </w:rPr>
              <w:t>106.83</w:t>
            </w:r>
          </w:p>
        </w:tc>
      </w:tr>
      <w:tr w:rsidR="00776EDD" w:rsidRPr="00571B86" w:rsidTr="00820664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tcBorders>
              <w:top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</w:rPr>
            </w:pPr>
            <w:r w:rsidRPr="00571B86">
              <w:rPr>
                <w:rFonts w:cs="Times New Roman"/>
              </w:rPr>
              <w:t>+/-</w:t>
            </w:r>
          </w:p>
        </w:tc>
        <w:tc>
          <w:tcPr>
            <w:tcW w:w="1716" w:type="pct"/>
            <w:tcBorders>
              <w:top w:val="nil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71B86">
              <w:rPr>
                <w:rFonts w:eastAsia="Times New Roman" w:cs="Times New Roman"/>
                <w:sz w:val="20"/>
                <w:szCs w:val="20"/>
                <w:lang w:eastAsia="en-IE"/>
              </w:rPr>
              <w:t>207</w:t>
            </w:r>
          </w:p>
        </w:tc>
        <w:tc>
          <w:tcPr>
            <w:tcW w:w="1689" w:type="pct"/>
            <w:tcBorders>
              <w:top w:val="nil"/>
              <w:left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71B86">
              <w:rPr>
                <w:rFonts w:eastAsia="Times New Roman" w:cs="Times New Roman"/>
                <w:sz w:val="20"/>
                <w:szCs w:val="20"/>
                <w:lang w:eastAsia="en-IE"/>
              </w:rPr>
              <w:t>197.83</w:t>
            </w:r>
          </w:p>
        </w:tc>
      </w:tr>
      <w:tr w:rsidR="00776EDD" w:rsidRPr="00571B86" w:rsidTr="0082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5" w:type="pct"/>
            <w:tcBorders>
              <w:top w:val="dashSmallGap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Times New Roman"/>
              </w:rPr>
            </w:pPr>
            <w:r w:rsidRPr="00571B86">
              <w:rPr>
                <w:rFonts w:cs="Times New Roman"/>
              </w:rPr>
              <w:t>+/+</w:t>
            </w:r>
          </w:p>
        </w:tc>
        <w:tc>
          <w:tcPr>
            <w:tcW w:w="1716" w:type="pct"/>
            <w:tcBorders>
              <w:top w:val="dashSmallGap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71B86">
              <w:rPr>
                <w:rFonts w:cs="Times New Roman"/>
                <w:sz w:val="20"/>
                <w:szCs w:val="20"/>
              </w:rPr>
              <w:t>70</w:t>
            </w:r>
          </w:p>
        </w:tc>
        <w:tc>
          <w:tcPr>
            <w:tcW w:w="1689" w:type="pct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71B86">
              <w:rPr>
                <w:rFonts w:eastAsia="Times New Roman" w:cs="Times New Roman"/>
                <w:sz w:val="20"/>
                <w:szCs w:val="20"/>
                <w:lang w:eastAsia="en-IE"/>
              </w:rPr>
              <w:t>79.17</w:t>
            </w:r>
          </w:p>
        </w:tc>
      </w:tr>
    </w:tbl>
    <w:p w:rsidR="00776EDD" w:rsidRPr="00003FDA" w:rsidRDefault="00776EDD" w:rsidP="00776EDD">
      <w:pPr>
        <w:autoSpaceDE w:val="0"/>
        <w:autoSpaceDN w:val="0"/>
        <w:adjustRightInd w:val="0"/>
        <w:spacing w:line="240" w:lineRule="auto"/>
        <w:rPr>
          <w:rFonts w:cs="Times New Roman"/>
          <w:sz w:val="16"/>
          <w:szCs w:val="16"/>
          <w:lang w:val="en-IE"/>
        </w:rPr>
      </w:pPr>
      <w:r w:rsidRPr="00003FDA">
        <w:rPr>
          <w:rFonts w:cs="Times New Roman"/>
          <w:sz w:val="16"/>
          <w:szCs w:val="16"/>
          <w:lang w:val="en-IE"/>
        </w:rPr>
        <w:t>(-/-) Non-infected individuals</w:t>
      </w:r>
    </w:p>
    <w:p w:rsidR="00776EDD" w:rsidRPr="00003FDA" w:rsidRDefault="00776EDD" w:rsidP="00776EDD">
      <w:pPr>
        <w:autoSpaceDE w:val="0"/>
        <w:autoSpaceDN w:val="0"/>
        <w:adjustRightInd w:val="0"/>
        <w:spacing w:line="240" w:lineRule="auto"/>
        <w:rPr>
          <w:rFonts w:cs="Times New Roman"/>
          <w:sz w:val="16"/>
          <w:szCs w:val="16"/>
          <w:lang w:val="en-IE"/>
        </w:rPr>
      </w:pPr>
      <w:r w:rsidRPr="00003FDA">
        <w:rPr>
          <w:rFonts w:cs="Times New Roman"/>
          <w:sz w:val="16"/>
          <w:szCs w:val="16"/>
          <w:lang w:val="en-IE"/>
        </w:rPr>
        <w:t>(-/+) (+/-) Single infected individuals</w:t>
      </w:r>
    </w:p>
    <w:p w:rsidR="00776EDD" w:rsidRPr="00A95705" w:rsidRDefault="00776EDD" w:rsidP="00776EDD">
      <w:pPr>
        <w:autoSpaceDE w:val="0"/>
        <w:autoSpaceDN w:val="0"/>
        <w:adjustRightInd w:val="0"/>
        <w:spacing w:line="240" w:lineRule="auto"/>
        <w:rPr>
          <w:rFonts w:cs="Times New Roman"/>
          <w:sz w:val="16"/>
          <w:szCs w:val="16"/>
          <w:lang w:val="en-IE"/>
        </w:rPr>
      </w:pPr>
      <w:r w:rsidRPr="00003FDA">
        <w:rPr>
          <w:rFonts w:cs="Times New Roman"/>
          <w:sz w:val="16"/>
          <w:szCs w:val="16"/>
          <w:lang w:val="en-IE"/>
        </w:rPr>
        <w:t xml:space="preserve">(+/+) Double infected individuals </w:t>
      </w:r>
    </w:p>
    <w:p w:rsidR="00776EDD" w:rsidRDefault="00776EDD" w:rsidP="00776EDD">
      <w:pPr>
        <w:spacing w:line="240" w:lineRule="auto"/>
        <w:jc w:val="left"/>
        <w:rPr>
          <w:rFonts w:cs="Times New Roman"/>
          <w:szCs w:val="24"/>
          <w:lang w:val="en-IE"/>
        </w:rPr>
      </w:pPr>
      <w:bookmarkStart w:id="0" w:name="_Hlk57387788"/>
      <w:r>
        <w:rPr>
          <w:rFonts w:cs="Times New Roman"/>
          <w:szCs w:val="24"/>
          <w:lang w:val="en-IE"/>
        </w:rPr>
        <w:br w:type="page"/>
      </w:r>
    </w:p>
    <w:p w:rsidR="00776EDD" w:rsidRPr="00571B86" w:rsidRDefault="00776EDD" w:rsidP="00776EDD">
      <w:pPr>
        <w:spacing w:line="276" w:lineRule="auto"/>
        <w:rPr>
          <w:rFonts w:cs="Times New Roman"/>
          <w:szCs w:val="24"/>
          <w:lang w:val="en-IE"/>
        </w:rPr>
      </w:pPr>
      <w:r>
        <w:rPr>
          <w:rFonts w:cs="Times New Roman"/>
          <w:szCs w:val="24"/>
          <w:lang w:val="en-IE"/>
        </w:rPr>
        <w:lastRenderedPageBreak/>
        <w:t xml:space="preserve">Suppl. </w:t>
      </w:r>
      <w:r w:rsidRPr="00571B86">
        <w:rPr>
          <w:rFonts w:cs="Times New Roman"/>
          <w:szCs w:val="24"/>
          <w:lang w:val="en-IE"/>
        </w:rPr>
        <w:t xml:space="preserve">Table </w:t>
      </w:r>
      <w:r>
        <w:rPr>
          <w:rFonts w:cs="Times New Roman"/>
          <w:szCs w:val="24"/>
          <w:lang w:val="en-IE"/>
        </w:rPr>
        <w:t>2</w:t>
      </w:r>
      <w:r w:rsidRPr="00571B86">
        <w:rPr>
          <w:rFonts w:cs="Times New Roman"/>
          <w:szCs w:val="24"/>
          <w:lang w:val="en-IE"/>
        </w:rPr>
        <w:t xml:space="preserve">: Observed frequencies of infection with </w:t>
      </w:r>
      <w:proofErr w:type="spellStart"/>
      <w:r w:rsidRPr="00571B86">
        <w:rPr>
          <w:rFonts w:cs="Times New Roman"/>
          <w:i/>
          <w:iCs/>
          <w:szCs w:val="24"/>
          <w:lang w:val="en-IE"/>
        </w:rPr>
        <w:t>Minchinia</w:t>
      </w:r>
      <w:proofErr w:type="spellEnd"/>
      <w:r w:rsidRPr="00571B86">
        <w:rPr>
          <w:rFonts w:cs="Times New Roman"/>
          <w:i/>
          <w:iCs/>
          <w:szCs w:val="24"/>
          <w:lang w:val="en-IE"/>
        </w:rPr>
        <w:t xml:space="preserve"> </w:t>
      </w:r>
      <w:proofErr w:type="spellStart"/>
      <w:r w:rsidRPr="00571B86">
        <w:rPr>
          <w:rFonts w:cs="Times New Roman"/>
          <w:i/>
          <w:iCs/>
          <w:szCs w:val="24"/>
          <w:lang w:val="en-IE"/>
        </w:rPr>
        <w:t>tapetis</w:t>
      </w:r>
      <w:proofErr w:type="spellEnd"/>
      <w:r w:rsidRPr="00571B86">
        <w:rPr>
          <w:rFonts w:cs="Times New Roman"/>
          <w:szCs w:val="24"/>
          <w:lang w:val="en-IE"/>
        </w:rPr>
        <w:t xml:space="preserve"> and </w:t>
      </w:r>
      <w:r w:rsidRPr="00571B86">
        <w:rPr>
          <w:rFonts w:cs="Times New Roman"/>
          <w:i/>
          <w:iCs/>
          <w:szCs w:val="24"/>
          <w:lang w:val="en-IE"/>
        </w:rPr>
        <w:t xml:space="preserve">M. </w:t>
      </w:r>
      <w:proofErr w:type="spellStart"/>
      <w:r w:rsidRPr="00571B86">
        <w:rPr>
          <w:rFonts w:cs="Times New Roman"/>
          <w:i/>
          <w:iCs/>
          <w:szCs w:val="24"/>
          <w:lang w:val="en-IE"/>
        </w:rPr>
        <w:t>mercenariae</w:t>
      </w:r>
      <w:proofErr w:type="spellEnd"/>
      <w:r w:rsidRPr="00571B86">
        <w:rPr>
          <w:rFonts w:cs="Times New Roman"/>
          <w:szCs w:val="24"/>
          <w:lang w:val="en-IE"/>
        </w:rPr>
        <w:t xml:space="preserve">-like and their combination; and expected frequencies under </w:t>
      </w:r>
      <w:r>
        <w:rPr>
          <w:rFonts w:cs="Times New Roman"/>
          <w:szCs w:val="24"/>
          <w:lang w:val="en-IE"/>
        </w:rPr>
        <w:t>c</w:t>
      </w:r>
      <w:r w:rsidRPr="00571B86">
        <w:rPr>
          <w:rFonts w:cs="Times New Roman"/>
          <w:szCs w:val="24"/>
          <w:lang w:val="en-IE"/>
        </w:rPr>
        <w:t xml:space="preserve">orrected Pearson’s chi-square </w:t>
      </w:r>
      <w:r>
        <w:rPr>
          <w:rFonts w:cs="Times New Roman"/>
          <w:szCs w:val="24"/>
          <w:lang w:val="en-IE"/>
        </w:rPr>
        <w:t>t</w:t>
      </w:r>
      <w:r w:rsidRPr="00571B86">
        <w:rPr>
          <w:rFonts w:cs="Times New Roman"/>
          <w:szCs w:val="24"/>
          <w:lang w:val="en-IE"/>
        </w:rPr>
        <w:t xml:space="preserve">est considering </w:t>
      </w:r>
      <w:r w:rsidRPr="00571B86">
        <w:rPr>
          <w:rFonts w:cs="Times New Roman"/>
          <w:szCs w:val="24"/>
        </w:rPr>
        <w:t xml:space="preserve">confounding </w:t>
      </w:r>
      <w:r w:rsidRPr="00571B86">
        <w:rPr>
          <w:rFonts w:cs="Times New Roman"/>
          <w:szCs w:val="24"/>
          <w:lang w:val="en-IE"/>
        </w:rPr>
        <w:t>factors.</w:t>
      </w:r>
    </w:p>
    <w:tbl>
      <w:tblPr>
        <w:tblStyle w:val="ListTable6Colorful12"/>
        <w:tblW w:w="5000" w:type="pct"/>
        <w:tblLook w:val="04A0" w:firstRow="1" w:lastRow="0" w:firstColumn="1" w:lastColumn="0" w:noHBand="0" w:noVBand="1"/>
      </w:tblPr>
      <w:tblGrid>
        <w:gridCol w:w="2320"/>
        <w:gridCol w:w="3657"/>
        <w:gridCol w:w="3049"/>
      </w:tblGrid>
      <w:tr w:rsidR="00776EDD" w:rsidRPr="00571B86" w:rsidTr="00820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bookmarkEnd w:id="0"/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en-IE"/>
              </w:rPr>
            </w:pPr>
            <w:r w:rsidRPr="00571B86">
              <w:rPr>
                <w:rFonts w:cs="Times New Roman"/>
                <w:sz w:val="20"/>
                <w:szCs w:val="20"/>
              </w:rPr>
              <w:t>Corrected Pearson’s Chi-square Test</w:t>
            </w:r>
          </w:p>
        </w:tc>
      </w:tr>
      <w:tr w:rsidR="00776EDD" w:rsidRPr="00571B86" w:rsidTr="0082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b w:val="0"/>
                <w:bCs w:val="0"/>
                <w:i/>
                <w:iCs/>
                <w:sz w:val="20"/>
                <w:szCs w:val="20"/>
              </w:rPr>
            </w:pPr>
            <w:r w:rsidRPr="00571B86">
              <w:rPr>
                <w:rFonts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571B86">
              <w:rPr>
                <w:rFonts w:cs="Times New Roman"/>
                <w:i/>
                <w:iCs/>
                <w:sz w:val="20"/>
                <w:szCs w:val="20"/>
              </w:rPr>
              <w:t>tapetis</w:t>
            </w:r>
            <w:proofErr w:type="spellEnd"/>
            <w:r w:rsidRPr="00571B86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 w:rsidRPr="00571B86">
              <w:rPr>
                <w:rFonts w:cs="Times New Roman"/>
                <w:sz w:val="20"/>
                <w:szCs w:val="20"/>
              </w:rPr>
              <w:t>and</w:t>
            </w:r>
            <w:r w:rsidRPr="00571B86"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</w:p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571B86">
              <w:rPr>
                <w:rFonts w:cs="Times New Roman"/>
                <w:i/>
                <w:iCs/>
                <w:sz w:val="20"/>
                <w:szCs w:val="20"/>
              </w:rPr>
              <w:t xml:space="preserve">M. </w:t>
            </w:r>
            <w:proofErr w:type="spellStart"/>
            <w:r w:rsidRPr="00571B86">
              <w:rPr>
                <w:rFonts w:cs="Times New Roman"/>
                <w:i/>
                <w:iCs/>
                <w:sz w:val="20"/>
                <w:szCs w:val="20"/>
              </w:rPr>
              <w:t>mercenariae</w:t>
            </w:r>
            <w:proofErr w:type="spellEnd"/>
            <w:r w:rsidRPr="00571B86">
              <w:rPr>
                <w:rFonts w:cs="Times New Roman"/>
                <w:i/>
                <w:iCs/>
                <w:sz w:val="20"/>
                <w:szCs w:val="20"/>
              </w:rPr>
              <w:t>-like</w:t>
            </w:r>
          </w:p>
        </w:tc>
        <w:tc>
          <w:tcPr>
            <w:tcW w:w="2026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en-IE"/>
              </w:rPr>
            </w:pPr>
            <w:r w:rsidRPr="00571B86">
              <w:rPr>
                <w:rFonts w:eastAsia="Times New Roman" w:cs="Times New Roman"/>
                <w:b/>
                <w:bCs/>
                <w:sz w:val="20"/>
                <w:szCs w:val="20"/>
                <w:lang w:eastAsia="en-IE"/>
              </w:rPr>
              <w:t>Observed frequencies:</w:t>
            </w:r>
          </w:p>
        </w:tc>
        <w:tc>
          <w:tcPr>
            <w:tcW w:w="1689" w:type="pct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bCs/>
                <w:sz w:val="20"/>
                <w:szCs w:val="20"/>
                <w:lang w:eastAsia="en-IE"/>
              </w:rPr>
            </w:pPr>
            <w:r w:rsidRPr="00571B86">
              <w:rPr>
                <w:rFonts w:eastAsia="Times New Roman" w:cs="Times New Roman"/>
                <w:b/>
                <w:bCs/>
                <w:sz w:val="20"/>
                <w:szCs w:val="20"/>
                <w:lang w:eastAsia="en-IE"/>
              </w:rPr>
              <w:t>Expected frequencies:</w:t>
            </w:r>
          </w:p>
        </w:tc>
      </w:tr>
      <w:tr w:rsidR="00776EDD" w:rsidRPr="00571B86" w:rsidTr="00820664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pct"/>
            <w:tcBorders>
              <w:top w:val="single" w:sz="8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i/>
                <w:iCs/>
                <w:sz w:val="20"/>
                <w:szCs w:val="20"/>
              </w:rPr>
            </w:pPr>
            <w:r w:rsidRPr="00571B86">
              <w:rPr>
                <w:rFonts w:cs="Times New Roman"/>
                <w:sz w:val="20"/>
                <w:szCs w:val="20"/>
              </w:rPr>
              <w:t>-/-</w:t>
            </w:r>
          </w:p>
        </w:tc>
        <w:tc>
          <w:tcPr>
            <w:tcW w:w="2026" w:type="pct"/>
            <w:tcBorders>
              <w:top w:val="single" w:sz="8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IE"/>
              </w:rPr>
            </w:pPr>
            <w:r w:rsidRPr="00571B86">
              <w:rPr>
                <w:rFonts w:eastAsia="Times New Roman" w:cs="Times New Roman"/>
                <w:sz w:val="20"/>
                <w:szCs w:val="20"/>
                <w:lang w:eastAsia="en-IE"/>
              </w:rPr>
              <w:t>171</w:t>
            </w:r>
          </w:p>
        </w:tc>
        <w:tc>
          <w:tcPr>
            <w:tcW w:w="1689" w:type="pct"/>
            <w:tcBorders>
              <w:top w:val="single" w:sz="8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en-IE"/>
              </w:rPr>
            </w:pPr>
            <w:r w:rsidRPr="00571B86">
              <w:rPr>
                <w:rFonts w:eastAsia="Times New Roman" w:cs="Times New Roman"/>
                <w:sz w:val="20"/>
                <w:szCs w:val="20"/>
                <w:lang w:eastAsia="en-IE"/>
              </w:rPr>
              <w:t>166.28</w:t>
            </w:r>
          </w:p>
        </w:tc>
      </w:tr>
      <w:tr w:rsidR="00776EDD" w:rsidRPr="00571B86" w:rsidTr="0082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pct"/>
            <w:tcBorders>
              <w:top w:val="dashSmallGap" w:sz="4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71B86">
              <w:rPr>
                <w:rFonts w:cs="Times New Roman"/>
                <w:sz w:val="20"/>
                <w:szCs w:val="20"/>
              </w:rPr>
              <w:t>-/+</w:t>
            </w:r>
          </w:p>
        </w:tc>
        <w:tc>
          <w:tcPr>
            <w:tcW w:w="2026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71B86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689" w:type="pct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71B86">
              <w:rPr>
                <w:rFonts w:cs="Times New Roman"/>
                <w:sz w:val="20"/>
                <w:szCs w:val="20"/>
              </w:rPr>
              <w:t>28.72</w:t>
            </w:r>
          </w:p>
        </w:tc>
      </w:tr>
      <w:tr w:rsidR="00776EDD" w:rsidRPr="00571B86" w:rsidTr="00820664">
        <w:trPr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pct"/>
            <w:tcBorders>
              <w:top w:val="nil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71B86">
              <w:rPr>
                <w:rFonts w:cs="Times New Roman"/>
                <w:sz w:val="20"/>
                <w:szCs w:val="20"/>
              </w:rPr>
              <w:t>+/-</w:t>
            </w:r>
          </w:p>
        </w:tc>
        <w:tc>
          <w:tcPr>
            <w:tcW w:w="2026" w:type="pct"/>
            <w:tcBorders>
              <w:top w:val="nil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71B86">
              <w:rPr>
                <w:rFonts w:cs="Times New Roman"/>
                <w:sz w:val="20"/>
                <w:szCs w:val="20"/>
              </w:rPr>
              <w:t>65</w:t>
            </w:r>
          </w:p>
        </w:tc>
        <w:tc>
          <w:tcPr>
            <w:tcW w:w="1689" w:type="pct"/>
            <w:tcBorders>
              <w:top w:val="nil"/>
              <w:left w:val="single" w:sz="6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71B86">
              <w:rPr>
                <w:rFonts w:cs="Times New Roman"/>
                <w:sz w:val="20"/>
                <w:szCs w:val="20"/>
              </w:rPr>
              <w:t>69.72</w:t>
            </w:r>
          </w:p>
        </w:tc>
      </w:tr>
      <w:tr w:rsidR="00776EDD" w:rsidRPr="00571B86" w:rsidTr="00820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5" w:type="pct"/>
            <w:tcBorders>
              <w:top w:val="dashSmallGap" w:sz="4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571B86">
              <w:rPr>
                <w:rFonts w:cs="Times New Roman"/>
                <w:sz w:val="20"/>
                <w:szCs w:val="20"/>
              </w:rPr>
              <w:t>+/+</w:t>
            </w:r>
          </w:p>
        </w:tc>
        <w:tc>
          <w:tcPr>
            <w:tcW w:w="2026" w:type="pct"/>
            <w:tcBorders>
              <w:top w:val="dashSmallGap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71B86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689" w:type="pct"/>
            <w:tcBorders>
              <w:top w:val="dashSmallGap" w:sz="4" w:space="0" w:color="auto"/>
              <w:left w:val="single" w:sz="4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76EDD" w:rsidRPr="00571B86" w:rsidRDefault="00776EDD" w:rsidP="00820664">
            <w:pPr>
              <w:autoSpaceDE w:val="0"/>
              <w:autoSpaceDN w:val="0"/>
              <w:adjustRightIn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571B86">
              <w:rPr>
                <w:rFonts w:cs="Times New Roman"/>
                <w:sz w:val="20"/>
                <w:szCs w:val="20"/>
              </w:rPr>
              <w:t>12.28</w:t>
            </w:r>
          </w:p>
        </w:tc>
      </w:tr>
    </w:tbl>
    <w:p w:rsidR="00776EDD" w:rsidRPr="00003FDA" w:rsidRDefault="00776EDD" w:rsidP="00776EDD">
      <w:pPr>
        <w:autoSpaceDE w:val="0"/>
        <w:autoSpaceDN w:val="0"/>
        <w:adjustRightInd w:val="0"/>
        <w:spacing w:line="240" w:lineRule="auto"/>
        <w:rPr>
          <w:rFonts w:cs="Times New Roman"/>
          <w:sz w:val="16"/>
          <w:szCs w:val="16"/>
          <w:lang w:val="en-IE"/>
        </w:rPr>
      </w:pPr>
      <w:r w:rsidRPr="00003FDA">
        <w:rPr>
          <w:rFonts w:cs="Times New Roman"/>
          <w:sz w:val="16"/>
          <w:szCs w:val="16"/>
          <w:lang w:val="en-IE"/>
        </w:rPr>
        <w:t>(-/-) Non-infected individuals</w:t>
      </w:r>
    </w:p>
    <w:p w:rsidR="00776EDD" w:rsidRPr="00003FDA" w:rsidRDefault="00776EDD" w:rsidP="00776EDD">
      <w:pPr>
        <w:autoSpaceDE w:val="0"/>
        <w:autoSpaceDN w:val="0"/>
        <w:adjustRightInd w:val="0"/>
        <w:spacing w:line="240" w:lineRule="auto"/>
        <w:rPr>
          <w:rFonts w:cs="Times New Roman"/>
          <w:sz w:val="16"/>
          <w:szCs w:val="16"/>
          <w:lang w:val="en-IE"/>
        </w:rPr>
      </w:pPr>
      <w:r w:rsidRPr="00003FDA">
        <w:rPr>
          <w:rFonts w:cs="Times New Roman"/>
          <w:sz w:val="16"/>
          <w:szCs w:val="16"/>
          <w:lang w:val="en-IE"/>
        </w:rPr>
        <w:t>(-/+) (+/-) Single infected individuals</w:t>
      </w:r>
    </w:p>
    <w:p w:rsidR="00776EDD" w:rsidRPr="00003FDA" w:rsidRDefault="00776EDD" w:rsidP="00776EDD">
      <w:pPr>
        <w:autoSpaceDE w:val="0"/>
        <w:autoSpaceDN w:val="0"/>
        <w:adjustRightInd w:val="0"/>
        <w:spacing w:line="240" w:lineRule="auto"/>
        <w:rPr>
          <w:rFonts w:cs="Times New Roman"/>
          <w:sz w:val="16"/>
          <w:szCs w:val="16"/>
          <w:lang w:val="en-IE"/>
        </w:rPr>
      </w:pPr>
      <w:r w:rsidRPr="00003FDA">
        <w:rPr>
          <w:rFonts w:cs="Times New Roman"/>
          <w:sz w:val="16"/>
          <w:szCs w:val="16"/>
          <w:lang w:val="en-IE"/>
        </w:rPr>
        <w:t xml:space="preserve">(+/+) Double infected individuals </w:t>
      </w:r>
    </w:p>
    <w:p w:rsidR="00776EDD" w:rsidRPr="009C4B27" w:rsidRDefault="00776EDD" w:rsidP="00776EDD">
      <w:pPr>
        <w:spacing w:before="240"/>
        <w:rPr>
          <w:rFonts w:cs="Times New Roman"/>
          <w:b/>
          <w:szCs w:val="24"/>
        </w:rPr>
      </w:pPr>
    </w:p>
    <w:p w:rsidR="00F1764B" w:rsidRDefault="00F1764B">
      <w:bookmarkStart w:id="1" w:name="_GoBack"/>
      <w:bookmarkEnd w:id="1"/>
    </w:p>
    <w:sectPr w:rsidR="00F176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DD"/>
    <w:rsid w:val="002C31EC"/>
    <w:rsid w:val="002E01EA"/>
    <w:rsid w:val="00776EDD"/>
    <w:rsid w:val="00DE6A23"/>
    <w:rsid w:val="00F1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88926-0307-46EB-A25B-59B618CC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EDD"/>
    <w:pPr>
      <w:spacing w:after="0" w:line="480" w:lineRule="auto"/>
      <w:jc w:val="both"/>
    </w:pPr>
    <w:rPr>
      <w:rFonts w:ascii="Times New Roman" w:eastAsia="Calibri" w:hAnsi="Times New Roman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stTable6Colorful12">
    <w:name w:val="List Table 6 Colorful12"/>
    <w:basedOn w:val="TableNormal"/>
    <w:uiPriority w:val="51"/>
    <w:rsid w:val="00776EDD"/>
    <w:pPr>
      <w:spacing w:after="0" w:line="240" w:lineRule="auto"/>
    </w:pPr>
    <w:rPr>
      <w:color w:val="000000" w:themeColor="text1"/>
      <w:lang w:val="en-IE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Sage</dc:creator>
  <cp:keywords/>
  <dc:description/>
  <cp:lastModifiedBy>Alison Sage</cp:lastModifiedBy>
  <cp:revision>1</cp:revision>
  <dcterms:created xsi:type="dcterms:W3CDTF">2021-07-27T11:13:00Z</dcterms:created>
  <dcterms:modified xsi:type="dcterms:W3CDTF">2021-07-27T11:13:00Z</dcterms:modified>
</cp:coreProperties>
</file>