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C6" w:rsidRPr="004447C6" w:rsidRDefault="004447C6" w:rsidP="004447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7C6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:rsidR="004447C6" w:rsidRPr="004447C6" w:rsidRDefault="004447C6" w:rsidP="004447C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447C6" w:rsidRPr="004447C6" w:rsidRDefault="004447C6" w:rsidP="004447C6">
      <w:pPr>
        <w:widowControl w:val="0"/>
        <w:rPr>
          <w:rFonts w:ascii="Times New Roman" w:hAnsi="Times New Roman" w:cs="Times New Roman"/>
          <w:b/>
          <w:bCs/>
          <w:sz w:val="20"/>
        </w:rPr>
      </w:pPr>
      <w:r w:rsidRPr="004447C6">
        <w:rPr>
          <w:rFonts w:ascii="Times New Roman" w:hAnsi="Times New Roman" w:cs="Times New Roman"/>
          <w:b/>
          <w:bCs/>
          <w:sz w:val="24"/>
          <w:szCs w:val="24"/>
        </w:rPr>
        <w:t>Influence of colony traits on ectoparasite infestation in birds breeding in mixed-species colonies</w:t>
      </w:r>
    </w:p>
    <w:p w:rsidR="004447C6" w:rsidRPr="004447C6" w:rsidRDefault="004447C6" w:rsidP="004447C6">
      <w:pPr>
        <w:widowControl w:val="0"/>
        <w:rPr>
          <w:rFonts w:ascii="Times New Roman" w:hAnsi="Times New Roman" w:cs="Times New Roman"/>
          <w:sz w:val="24"/>
          <w:szCs w:val="28"/>
          <w:lang w:val="pt-PT"/>
        </w:rPr>
      </w:pPr>
      <w:r w:rsidRPr="004447C6">
        <w:rPr>
          <w:rFonts w:ascii="Times New Roman" w:hAnsi="Times New Roman" w:cs="Times New Roman"/>
          <w:sz w:val="24"/>
          <w:szCs w:val="28"/>
          <w:lang w:val="pt-PT"/>
        </w:rPr>
        <w:t>João Gameiro, Jesús Veiga, Francisco Valera, Jorge M. Palmeirim, Inês Catry</w:t>
      </w:r>
    </w:p>
    <w:p w:rsidR="004447C6" w:rsidRPr="004447C6" w:rsidRDefault="004447C6" w:rsidP="004447C6">
      <w:pPr>
        <w:widowControl w:val="0"/>
        <w:rPr>
          <w:rFonts w:asciiTheme="majorBidi" w:hAnsiTheme="majorBidi" w:cs="Times New Roman"/>
          <w:szCs w:val="24"/>
          <w:lang w:val="pt-PT"/>
        </w:rPr>
      </w:pPr>
    </w:p>
    <w:p w:rsidR="004447C6" w:rsidRPr="004447C6" w:rsidRDefault="004447C6" w:rsidP="004447C6">
      <w:pPr>
        <w:widowControl w:val="0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4447C6" w:rsidRPr="006E1EA8" w:rsidRDefault="004447C6" w:rsidP="004447C6">
      <w:pPr>
        <w:widowControl w:val="0"/>
        <w:rPr>
          <w:rFonts w:ascii="Times New Roman" w:hAnsi="Times New Roman" w:cs="Times New Roman"/>
          <w:b/>
          <w:bCs/>
          <w:sz w:val="24"/>
          <w:szCs w:val="28"/>
        </w:rPr>
      </w:pPr>
      <w:r w:rsidRPr="006E1EA8">
        <w:rPr>
          <w:rFonts w:ascii="Times New Roman" w:hAnsi="Times New Roman" w:cs="Times New Roman"/>
          <w:b/>
          <w:bCs/>
          <w:sz w:val="24"/>
          <w:szCs w:val="28"/>
        </w:rPr>
        <w:t>Content:</w:t>
      </w:r>
    </w:p>
    <w:p w:rsidR="004447C6" w:rsidRPr="006E1EA8" w:rsidRDefault="004447C6" w:rsidP="004447C6">
      <w:pPr>
        <w:widowControl w:val="0"/>
        <w:rPr>
          <w:rFonts w:ascii="Times New Roman" w:hAnsi="Times New Roman" w:cs="Times New Roman"/>
          <w:b/>
          <w:bCs/>
          <w:sz w:val="24"/>
          <w:szCs w:val="28"/>
        </w:rPr>
      </w:pPr>
      <w:r w:rsidRPr="006E1EA8">
        <w:rPr>
          <w:rFonts w:ascii="Times New Roman" w:hAnsi="Times New Roman" w:cs="Times New Roman"/>
          <w:b/>
          <w:bCs/>
          <w:sz w:val="24"/>
          <w:szCs w:val="28"/>
        </w:rPr>
        <w:t>- Supplementary Figure S1</w:t>
      </w:r>
    </w:p>
    <w:p w:rsidR="004447C6" w:rsidRPr="004447C6" w:rsidRDefault="004447C6" w:rsidP="004447C6">
      <w:pPr>
        <w:widowControl w:val="0"/>
        <w:rPr>
          <w:rFonts w:ascii="Times New Roman" w:hAnsi="Times New Roman" w:cs="Times New Roman"/>
          <w:b/>
          <w:bCs/>
          <w:sz w:val="24"/>
          <w:szCs w:val="28"/>
        </w:rPr>
      </w:pPr>
      <w:r w:rsidRPr="004447C6">
        <w:rPr>
          <w:rFonts w:ascii="Times New Roman" w:hAnsi="Times New Roman" w:cs="Times New Roman"/>
          <w:b/>
          <w:bCs/>
          <w:sz w:val="24"/>
          <w:szCs w:val="28"/>
        </w:rPr>
        <w:t>- Supplementary Table S1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and </w:t>
      </w:r>
      <w:r w:rsidRPr="004447C6">
        <w:rPr>
          <w:rFonts w:ascii="Times New Roman" w:hAnsi="Times New Roman" w:cs="Times New Roman"/>
          <w:b/>
          <w:bCs/>
          <w:sz w:val="24"/>
          <w:szCs w:val="28"/>
        </w:rPr>
        <w:t>Table S2</w:t>
      </w:r>
    </w:p>
    <w:p w:rsidR="004447C6" w:rsidRPr="004447C6" w:rsidRDefault="004447C6" w:rsidP="004447C6"/>
    <w:p w:rsidR="004447C6" w:rsidRPr="004447C6" w:rsidRDefault="004447C6" w:rsidP="004447C6">
      <w:pPr>
        <w:pStyle w:val="Caption"/>
        <w:rPr>
          <w:b/>
          <w:bCs/>
          <w:i w:val="0"/>
          <w:i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r w:rsidRPr="004447C6">
        <w:rPr>
          <w:b/>
          <w:bCs/>
          <w:i w:val="0"/>
          <w:iCs w:val="0"/>
          <w:color w:val="auto"/>
          <w:sz w:val="24"/>
          <w:szCs w:val="24"/>
        </w:rPr>
        <w:lastRenderedPageBreak/>
        <w:t>Gameiro et al. Supplementary Figure S1.</w:t>
      </w:r>
    </w:p>
    <w:p w:rsidR="004447C6" w:rsidRPr="004447C6" w:rsidRDefault="00A7546E" w:rsidP="004447C6">
      <w:pPr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5791200"/>
            <wp:effectExtent l="0" t="0" r="0" b="0"/>
            <wp:docPr id="1" name="Picture 1" descr="C:\Users\amsage\Dropbox\Parasitology\Accepted papers\2021-0012 Gameiro\plot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sage\Dropbox\Parasitology\Accepted papers\2021-0012 Gameiro\plotS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47C6" w:rsidRDefault="004447C6" w:rsidP="004447C6">
      <w:pPr>
        <w:pStyle w:val="Caption"/>
        <w:rPr>
          <w:color w:val="auto"/>
          <w:sz w:val="24"/>
          <w:szCs w:val="24"/>
        </w:rPr>
      </w:pPr>
      <w:r w:rsidRPr="007B558D">
        <w:rPr>
          <w:color w:val="auto"/>
          <w:sz w:val="24"/>
          <w:szCs w:val="24"/>
        </w:rPr>
        <w:t xml:space="preserve">Figure </w:t>
      </w:r>
      <w:r>
        <w:rPr>
          <w:color w:val="auto"/>
          <w:sz w:val="24"/>
          <w:szCs w:val="24"/>
        </w:rPr>
        <w:t>S</w:t>
      </w:r>
      <w:r w:rsidRPr="007B558D">
        <w:rPr>
          <w:color w:val="auto"/>
          <w:sz w:val="24"/>
          <w:szCs w:val="24"/>
        </w:rPr>
        <w:t xml:space="preserve">1: Principal Component Analysis (PCA) correlation biplot (scaling 2) on the relationship between colony traits: richness, size, density, and composition (divided in the number of F. naumanni, C. garrulus, C. livia, and S. unicolor nests). Julian date and brood size also included. </w:t>
      </w:r>
      <w:r w:rsidR="006E1EA8">
        <w:rPr>
          <w:color w:val="auto"/>
          <w:sz w:val="24"/>
          <w:szCs w:val="24"/>
        </w:rPr>
        <w:t>A</w:t>
      </w:r>
      <w:r w:rsidRPr="007B558D">
        <w:rPr>
          <w:color w:val="auto"/>
          <w:sz w:val="24"/>
          <w:szCs w:val="24"/>
        </w:rPr>
        <w:t xml:space="preserve">rrows show the direction and relationship between the variables. </w:t>
      </w:r>
      <w:r w:rsidR="006E1EA8">
        <w:rPr>
          <w:color w:val="auto"/>
          <w:sz w:val="24"/>
          <w:szCs w:val="24"/>
        </w:rPr>
        <w:t>D</w:t>
      </w:r>
      <w:r w:rsidRPr="007B558D">
        <w:rPr>
          <w:color w:val="auto"/>
          <w:sz w:val="24"/>
          <w:szCs w:val="24"/>
        </w:rPr>
        <w:t xml:space="preserve">ots refer to individual nests. </w:t>
      </w:r>
    </w:p>
    <w:p w:rsidR="004447C6" w:rsidRPr="004447C6" w:rsidRDefault="004447C6" w:rsidP="004447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4447C6">
        <w:rPr>
          <w:rFonts w:ascii="Times New Roman" w:hAnsi="Times New Roman" w:cs="Times New Roman"/>
          <w:b/>
          <w:bCs/>
          <w:sz w:val="24"/>
          <w:szCs w:val="24"/>
        </w:rPr>
        <w:lastRenderedPageBreak/>
        <w:t>Gameiro et al. Supplementary Table S1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Table S2.</w:t>
      </w:r>
    </w:p>
    <w:p w:rsidR="004447C6" w:rsidRDefault="004447C6" w:rsidP="004447C6">
      <w:pPr>
        <w:spacing w:line="240" w:lineRule="auto"/>
        <w:rPr>
          <w:rFonts w:ascii="Times New Roman" w:hAnsi="Times New Roman" w:cs="Times New Roman"/>
        </w:rPr>
      </w:pPr>
    </w:p>
    <w:p w:rsidR="004447C6" w:rsidRPr="004447C6" w:rsidRDefault="004447C6" w:rsidP="00444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7C6">
        <w:rPr>
          <w:rFonts w:ascii="Times New Roman" w:hAnsi="Times New Roman" w:cs="Times New Roman"/>
          <w:sz w:val="24"/>
          <w:szCs w:val="24"/>
        </w:rPr>
        <w:t xml:space="preserve">Table S1: Models with ΔAICc &lt;2 after model averaging on the effect of colony traits </w:t>
      </w:r>
      <w:r w:rsidRPr="004447C6">
        <w:rPr>
          <w:rFonts w:ascii="Times New Roman" w:hAnsi="Times New Roman" w:cs="Times New Roman"/>
          <w:i/>
          <w:iCs/>
          <w:sz w:val="24"/>
          <w:szCs w:val="24"/>
        </w:rPr>
        <w:t>on Carnus hemapterus</w:t>
      </w:r>
      <w:r w:rsidRPr="004447C6">
        <w:rPr>
          <w:rFonts w:ascii="Times New Roman" w:hAnsi="Times New Roman" w:cs="Times New Roman"/>
          <w:sz w:val="24"/>
          <w:szCs w:val="24"/>
        </w:rPr>
        <w:t xml:space="preserve"> abundance using nests from all four host species.</w:t>
      </w:r>
    </w:p>
    <w:tbl>
      <w:tblPr>
        <w:tblStyle w:val="Estilo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4"/>
        <w:gridCol w:w="553"/>
        <w:gridCol w:w="834"/>
        <w:gridCol w:w="864"/>
        <w:gridCol w:w="821"/>
      </w:tblGrid>
      <w:tr w:rsidR="004447C6" w:rsidRPr="00877E48" w:rsidTr="00AF52C3">
        <w:tc>
          <w:tcPr>
            <w:tcW w:w="5954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Models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d.f.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ΔAICc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Weight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AICc</w:t>
            </w:r>
          </w:p>
        </w:tc>
      </w:tr>
      <w:tr w:rsidR="004447C6" w:rsidRPr="00877E48" w:rsidTr="00AF52C3">
        <w:tc>
          <w:tcPr>
            <w:tcW w:w="5954" w:type="dxa"/>
            <w:tcBorders>
              <w:top w:val="single" w:sz="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1. Number of lesser kestrel nests + number of starling nests + number of nestlings + host species</w:t>
            </w:r>
          </w:p>
        </w:tc>
        <w:tc>
          <w:tcPr>
            <w:tcW w:w="553" w:type="dxa"/>
            <w:tcBorders>
              <w:top w:val="single" w:sz="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0.00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0.272</w:t>
            </w:r>
          </w:p>
        </w:tc>
        <w:tc>
          <w:tcPr>
            <w:tcW w:w="821" w:type="dxa"/>
            <w:tcBorders>
              <w:top w:val="single" w:sz="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1653.5</w:t>
            </w:r>
          </w:p>
        </w:tc>
      </w:tr>
      <w:tr w:rsidR="004447C6" w:rsidRPr="00877E48" w:rsidTr="00AF52C3">
        <w:tc>
          <w:tcPr>
            <w:tcW w:w="5954" w:type="dxa"/>
            <w:tcBorders>
              <w:bottom w:val="single" w:sz="1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2. Number of starling nests + number of nestlings + host species</w:t>
            </w:r>
          </w:p>
        </w:tc>
        <w:tc>
          <w:tcPr>
            <w:tcW w:w="553" w:type="dxa"/>
            <w:tcBorders>
              <w:bottom w:val="single" w:sz="1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1.67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0.118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:rsidR="004447C6" w:rsidRPr="004447C6" w:rsidRDefault="004447C6" w:rsidP="00AF52C3">
            <w:pPr>
              <w:rPr>
                <w:rFonts w:ascii="Times New Roman" w:hAnsi="Times New Roman" w:cs="Times New Roman"/>
                <w:szCs w:val="20"/>
              </w:rPr>
            </w:pPr>
            <w:r w:rsidRPr="004447C6">
              <w:rPr>
                <w:rFonts w:ascii="Times New Roman" w:hAnsi="Times New Roman" w:cs="Times New Roman"/>
                <w:szCs w:val="20"/>
              </w:rPr>
              <w:t>1655.2</w:t>
            </w:r>
          </w:p>
        </w:tc>
      </w:tr>
    </w:tbl>
    <w:p w:rsidR="004447C6" w:rsidRDefault="004447C6" w:rsidP="004447C6">
      <w:pPr>
        <w:pStyle w:val="Caption"/>
        <w:rPr>
          <w:i w:val="0"/>
          <w:iCs w:val="0"/>
          <w:color w:val="auto"/>
          <w:sz w:val="28"/>
          <w:szCs w:val="28"/>
        </w:rPr>
      </w:pPr>
    </w:p>
    <w:p w:rsidR="004447C6" w:rsidRPr="004447C6" w:rsidRDefault="004447C6" w:rsidP="004447C6">
      <w:pPr>
        <w:rPr>
          <w:lang w:eastAsia="en-US"/>
        </w:rPr>
      </w:pPr>
    </w:p>
    <w:p w:rsidR="004447C6" w:rsidRPr="004447C6" w:rsidRDefault="004447C6" w:rsidP="004447C6">
      <w:pPr>
        <w:pStyle w:val="Caption"/>
        <w:keepNext/>
        <w:rPr>
          <w:rFonts w:cs="Times New Roman"/>
          <w:i w:val="0"/>
          <w:iCs w:val="0"/>
          <w:color w:val="auto"/>
          <w:sz w:val="24"/>
          <w:szCs w:val="24"/>
        </w:rPr>
      </w:pPr>
      <w:r w:rsidRPr="004447C6">
        <w:rPr>
          <w:rFonts w:cs="Times New Roman"/>
          <w:i w:val="0"/>
          <w:iCs w:val="0"/>
          <w:color w:val="auto"/>
          <w:sz w:val="24"/>
          <w:szCs w:val="24"/>
        </w:rPr>
        <w:t xml:space="preserve">Table S2: Two top models on the effect of colony traits on </w:t>
      </w:r>
      <w:r w:rsidRPr="004447C6">
        <w:rPr>
          <w:rFonts w:cs="Times New Roman"/>
          <w:color w:val="auto"/>
          <w:sz w:val="24"/>
          <w:szCs w:val="24"/>
        </w:rPr>
        <w:t>Carnus hemapterus</w:t>
      </w:r>
      <w:r w:rsidRPr="004447C6">
        <w:rPr>
          <w:rFonts w:cs="Times New Roman"/>
          <w:i w:val="0"/>
          <w:iCs w:val="0"/>
          <w:color w:val="auto"/>
          <w:sz w:val="24"/>
          <w:szCs w:val="24"/>
        </w:rPr>
        <w:t xml:space="preserve"> abundance in mixed-species colonies using nests from all four host species.</w:t>
      </w:r>
    </w:p>
    <w:tbl>
      <w:tblPr>
        <w:tblStyle w:val="Estilo1"/>
        <w:tblW w:w="8647" w:type="dxa"/>
        <w:tblLook w:val="04A0" w:firstRow="1" w:lastRow="0" w:firstColumn="1" w:lastColumn="0" w:noHBand="0" w:noVBand="1"/>
      </w:tblPr>
      <w:tblGrid>
        <w:gridCol w:w="2694"/>
        <w:gridCol w:w="1417"/>
        <w:gridCol w:w="964"/>
        <w:gridCol w:w="1190"/>
        <w:gridCol w:w="1191"/>
        <w:gridCol w:w="1191"/>
      </w:tblGrid>
      <w:tr w:rsidR="004447C6" w:rsidRPr="00877E48" w:rsidTr="00AF52C3">
        <w:tc>
          <w:tcPr>
            <w:tcW w:w="2694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SD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Estimate</w:t>
            </w:r>
          </w:p>
        </w:tc>
        <w:tc>
          <w:tcPr>
            <w:tcW w:w="1190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SE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P-value</w:t>
            </w:r>
          </w:p>
        </w:tc>
      </w:tr>
      <w:tr w:rsidR="004447C6" w:rsidRPr="00877E48" w:rsidTr="00AF52C3">
        <w:tc>
          <w:tcPr>
            <w:tcW w:w="2694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B558D">
              <w:rPr>
                <w:rFonts w:cs="Times New Roman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Colony ID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 xml:space="preserve">0.052 </w:t>
            </w: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 xml:space="preserve">Intercept 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0.721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0.268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2.686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0.007</w:t>
            </w: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# Lesser kestrel nests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0.144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0.073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1.962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0.050</w:t>
            </w: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# starling nests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-0.202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0.080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-2.536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0.011</w:t>
            </w: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Number of nestlings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0.286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0.088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3.235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0.001</w:t>
            </w: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Host species roller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3.090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0.356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8.673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&lt;0.001</w:t>
            </w: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Host species lesser kestrel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2.137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0.300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7.118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&lt;0.001</w:t>
            </w:r>
          </w:p>
        </w:tc>
      </w:tr>
      <w:tr w:rsidR="004447C6" w:rsidRPr="00877E48" w:rsidTr="00AF52C3">
        <w:tc>
          <w:tcPr>
            <w:tcW w:w="2694" w:type="dxa"/>
            <w:tcBorders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Host species starling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0.911</w:t>
            </w:r>
          </w:p>
        </w:tc>
        <w:tc>
          <w:tcPr>
            <w:tcW w:w="1190" w:type="dxa"/>
            <w:tcBorders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0.306</w:t>
            </w:r>
          </w:p>
        </w:tc>
        <w:tc>
          <w:tcPr>
            <w:tcW w:w="1191" w:type="dxa"/>
            <w:tcBorders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2.982</w:t>
            </w:r>
          </w:p>
        </w:tc>
        <w:tc>
          <w:tcPr>
            <w:tcW w:w="1191" w:type="dxa"/>
            <w:tcBorders>
              <w:bottom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0.003</w:t>
            </w:r>
          </w:p>
        </w:tc>
      </w:tr>
      <w:tr w:rsidR="004447C6" w:rsidRPr="00877E48" w:rsidTr="00AF52C3">
        <w:tc>
          <w:tcPr>
            <w:tcW w:w="2694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B558D">
              <w:rPr>
                <w:rFonts w:cs="Times New Roman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Colony ID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0.109</w:t>
            </w: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Intercept (host species pigeon)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0.684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0.272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2.510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0.012</w:t>
            </w: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# starling nests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-0.185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0.085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-2.177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0.030</w:t>
            </w: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Number of nestlings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0.262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0.089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2.938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0.003</w:t>
            </w: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Host species roller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3.065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0.363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8.443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&lt;0.001</w:t>
            </w:r>
          </w:p>
        </w:tc>
      </w:tr>
      <w:tr w:rsidR="004447C6" w:rsidRPr="00877E48" w:rsidTr="00AF52C3">
        <w:tc>
          <w:tcPr>
            <w:tcW w:w="269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Host species lesser kestrel</w:t>
            </w:r>
          </w:p>
        </w:tc>
        <w:tc>
          <w:tcPr>
            <w:tcW w:w="1417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2.191</w:t>
            </w:r>
          </w:p>
        </w:tc>
        <w:tc>
          <w:tcPr>
            <w:tcW w:w="1190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0.304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7.203</w:t>
            </w:r>
          </w:p>
        </w:tc>
        <w:tc>
          <w:tcPr>
            <w:tcW w:w="1191" w:type="dxa"/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&lt;0.001</w:t>
            </w:r>
          </w:p>
        </w:tc>
      </w:tr>
      <w:tr w:rsidR="004447C6" w:rsidRPr="00877E48" w:rsidTr="00AF52C3">
        <w:tc>
          <w:tcPr>
            <w:tcW w:w="2694" w:type="dxa"/>
            <w:tcBorders>
              <w:bottom w:val="single" w:sz="1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Host species starling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0.953</w:t>
            </w:r>
          </w:p>
        </w:tc>
        <w:tc>
          <w:tcPr>
            <w:tcW w:w="1190" w:type="dxa"/>
            <w:tcBorders>
              <w:bottom w:val="single" w:sz="1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0.310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3.073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4447C6" w:rsidRPr="007B558D" w:rsidRDefault="004447C6" w:rsidP="00AF52C3">
            <w:pPr>
              <w:rPr>
                <w:rFonts w:cs="Times New Roman"/>
                <w:sz w:val="20"/>
                <w:szCs w:val="20"/>
              </w:rPr>
            </w:pPr>
            <w:r w:rsidRPr="007B558D">
              <w:rPr>
                <w:rFonts w:cs="Times New Roman"/>
                <w:sz w:val="20"/>
                <w:szCs w:val="20"/>
              </w:rPr>
              <w:t>0.002</w:t>
            </w:r>
          </w:p>
        </w:tc>
      </w:tr>
    </w:tbl>
    <w:p w:rsidR="004447C6" w:rsidRPr="007B558D" w:rsidRDefault="004447C6" w:rsidP="004447C6">
      <w:pPr>
        <w:pStyle w:val="Caption"/>
        <w:rPr>
          <w:color w:val="auto"/>
          <w:sz w:val="24"/>
          <w:szCs w:val="24"/>
        </w:rPr>
      </w:pPr>
    </w:p>
    <w:p w:rsidR="004447C6" w:rsidRDefault="004447C6" w:rsidP="004447C6">
      <w:pPr>
        <w:spacing w:line="240" w:lineRule="auto"/>
        <w:rPr>
          <w:rFonts w:cs="Times New Roman"/>
          <w:b/>
          <w:szCs w:val="24"/>
          <w:u w:val="single"/>
        </w:rPr>
      </w:pPr>
    </w:p>
    <w:p w:rsidR="00E46872" w:rsidRDefault="00E46872"/>
    <w:sectPr w:rsidR="00E468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C6"/>
    <w:rsid w:val="004447C6"/>
    <w:rsid w:val="006E1EA8"/>
    <w:rsid w:val="007B558D"/>
    <w:rsid w:val="00877E48"/>
    <w:rsid w:val="00A7546E"/>
    <w:rsid w:val="00AF52C3"/>
    <w:rsid w:val="00E4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1AE38D-5B32-4114-A812-A447BE76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447C6"/>
    <w:pPr>
      <w:spacing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  <w:lang w:eastAsia="en-US"/>
    </w:rPr>
  </w:style>
  <w:style w:type="table" w:customStyle="1" w:styleId="Estilo1">
    <w:name w:val="Estilo1"/>
    <w:basedOn w:val="TableNormal"/>
    <w:uiPriority w:val="99"/>
    <w:rsid w:val="004447C6"/>
    <w:pPr>
      <w:spacing w:after="0" w:line="240" w:lineRule="auto"/>
    </w:pPr>
    <w:rPr>
      <w:rFonts w:cs="Arial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2</cp:revision>
  <dcterms:created xsi:type="dcterms:W3CDTF">2021-03-12T11:47:00Z</dcterms:created>
  <dcterms:modified xsi:type="dcterms:W3CDTF">2021-03-12T11:47:00Z</dcterms:modified>
</cp:coreProperties>
</file>