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C6" w:rsidRPr="00280EF4" w:rsidRDefault="001919C6" w:rsidP="001919C6">
      <w:pPr>
        <w:spacing w:line="480" w:lineRule="auto"/>
        <w:jc w:val="both"/>
        <w:rPr>
          <w:rFonts w:ascii="Arial" w:hAnsi="Arial" w:cs="Arial"/>
        </w:rPr>
      </w:pPr>
      <w:r w:rsidRPr="00280EF4">
        <w:rPr>
          <w:rFonts w:ascii="Arial" w:hAnsi="Arial" w:cs="Arial"/>
          <w:b/>
          <w:bCs/>
        </w:rPr>
        <w:t>SUPPLEMENTAL FIGURE LEGENDS</w:t>
      </w:r>
    </w:p>
    <w:p w:rsidR="001919C6" w:rsidRPr="00280EF4" w:rsidRDefault="001919C6" w:rsidP="001919C6">
      <w:pPr>
        <w:spacing w:line="480" w:lineRule="auto"/>
        <w:jc w:val="both"/>
        <w:rPr>
          <w:rFonts w:ascii="Arial" w:hAnsi="Arial" w:cs="Arial"/>
        </w:rPr>
      </w:pPr>
    </w:p>
    <w:p w:rsidR="001919C6" w:rsidRPr="00280EF4" w:rsidRDefault="001919C6" w:rsidP="001919C6">
      <w:pPr>
        <w:spacing w:line="480" w:lineRule="auto"/>
        <w:jc w:val="both"/>
        <w:rPr>
          <w:rFonts w:ascii="Arial" w:hAnsi="Arial" w:cs="Arial"/>
        </w:rPr>
      </w:pPr>
      <w:r w:rsidRPr="00280EF4">
        <w:rPr>
          <w:rFonts w:ascii="Arial" w:hAnsi="Arial" w:cs="Arial"/>
          <w:b/>
          <w:bCs/>
        </w:rPr>
        <w:t>SUPPLEMENTAL FIGURE 1</w:t>
      </w:r>
      <w:r w:rsidRPr="00280EF4">
        <w:rPr>
          <w:rFonts w:ascii="Arial" w:hAnsi="Arial" w:cs="Arial"/>
        </w:rPr>
        <w:t xml:space="preserve"> – Doxycycline (Dox, 1 mg/mL) inducible expression of the GSH1 encoding gene (</w:t>
      </w:r>
      <w:r w:rsidRPr="00280EF4">
        <w:rPr>
          <w:rFonts w:ascii="Arial" w:hAnsi="Arial" w:cs="Arial"/>
          <w:i/>
          <w:iCs/>
        </w:rPr>
        <w:t>Tb927.10.12370</w:t>
      </w:r>
      <w:r w:rsidRPr="00280EF4">
        <w:rPr>
          <w:rFonts w:ascii="Arial" w:hAnsi="Arial" w:cs="Arial"/>
        </w:rPr>
        <w:t xml:space="preserve">) as measured by </w:t>
      </w:r>
      <w:proofErr w:type="spellStart"/>
      <w:r w:rsidRPr="00280EF4">
        <w:rPr>
          <w:rFonts w:ascii="Arial" w:hAnsi="Arial" w:cs="Arial"/>
        </w:rPr>
        <w:t>qRT</w:t>
      </w:r>
      <w:proofErr w:type="spellEnd"/>
      <w:r w:rsidRPr="00280EF4">
        <w:rPr>
          <w:rFonts w:ascii="Arial" w:hAnsi="Arial" w:cs="Arial"/>
        </w:rPr>
        <w:t xml:space="preserve">-PCR. Biological triplicate samples were grown with and without (Dox) for 24 hours before RNA extraction and cDNA synthesis using Superscript III. Standard </w:t>
      </w:r>
      <w:proofErr w:type="spellStart"/>
      <w:r w:rsidRPr="00280EF4">
        <w:rPr>
          <w:rFonts w:ascii="Arial" w:hAnsi="Arial" w:cs="Arial"/>
        </w:rPr>
        <w:t>iTaq</w:t>
      </w:r>
      <w:proofErr w:type="spellEnd"/>
      <w:r w:rsidRPr="00280EF4">
        <w:rPr>
          <w:rFonts w:ascii="Arial" w:hAnsi="Arial" w:cs="Arial"/>
        </w:rPr>
        <w:t xml:space="preserve"> SYBR qPCR using </w:t>
      </w:r>
      <w:r w:rsidRPr="00280EF4">
        <w:rPr>
          <w:rFonts w:ascii="Arial" w:hAnsi="Arial" w:cs="Arial"/>
          <w:i/>
          <w:iCs/>
        </w:rPr>
        <w:t>Tb927.10.12370</w:t>
      </w:r>
      <w:r w:rsidRPr="00280EF4">
        <w:rPr>
          <w:rFonts w:ascii="Arial" w:hAnsi="Arial" w:cs="Arial"/>
        </w:rPr>
        <w:t xml:space="preserve"> forward and reverse </w:t>
      </w:r>
      <w:proofErr w:type="spellStart"/>
      <w:r w:rsidRPr="00280EF4">
        <w:rPr>
          <w:rFonts w:ascii="Arial" w:hAnsi="Arial" w:cs="Arial"/>
        </w:rPr>
        <w:t>oligos</w:t>
      </w:r>
      <w:proofErr w:type="spellEnd"/>
      <w:r w:rsidRPr="00280EF4">
        <w:rPr>
          <w:rFonts w:ascii="Arial" w:hAnsi="Arial" w:cs="Arial"/>
        </w:rPr>
        <w:t xml:space="preserve"> was conducted and fold change determined using </w:t>
      </w:r>
      <w:proofErr w:type="spellStart"/>
      <w:r w:rsidRPr="00280EF4">
        <w:rPr>
          <w:rFonts w:ascii="Arial" w:hAnsi="Arial" w:cs="Arial"/>
        </w:rPr>
        <w:t>ddCt</w:t>
      </w:r>
      <w:proofErr w:type="spellEnd"/>
      <w:r w:rsidRPr="00280EF4">
        <w:rPr>
          <w:rFonts w:ascii="Arial" w:hAnsi="Arial" w:cs="Arial"/>
        </w:rPr>
        <w:t xml:space="preserve"> method based on URA3 internal control. Blue dots correspond with GSH1 overexpressing cell line treated with dox compared to no dox (</w:t>
      </w:r>
      <w:proofErr w:type="spellStart"/>
      <w:r w:rsidRPr="00280EF4">
        <w:rPr>
          <w:rFonts w:ascii="Arial" w:hAnsi="Arial" w:cs="Arial"/>
        </w:rPr>
        <w:t>uninduced</w:t>
      </w:r>
      <w:proofErr w:type="spellEnd"/>
      <w:r w:rsidRPr="00280EF4">
        <w:rPr>
          <w:rFonts w:ascii="Arial" w:hAnsi="Arial" w:cs="Arial"/>
        </w:rPr>
        <w:t xml:space="preserve">) condition. Red dots correspond with GSH1 overexpressing cell line treated with dox compared with SM cells expressing endogenous GSH1.   </w:t>
      </w:r>
    </w:p>
    <w:p w:rsidR="001919C6" w:rsidRPr="00280EF4" w:rsidRDefault="001919C6" w:rsidP="001919C6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1919C6" w:rsidRPr="00280EF4" w:rsidRDefault="001919C6" w:rsidP="001919C6">
      <w:pPr>
        <w:spacing w:line="480" w:lineRule="auto"/>
        <w:jc w:val="both"/>
        <w:rPr>
          <w:rFonts w:ascii="Arial" w:hAnsi="Arial" w:cs="Arial"/>
          <w:noProof/>
        </w:rPr>
      </w:pPr>
      <w:r w:rsidRPr="00280EF4">
        <w:rPr>
          <w:rFonts w:ascii="Arial" w:hAnsi="Arial" w:cs="Arial"/>
          <w:b/>
          <w:bCs/>
        </w:rPr>
        <w:t xml:space="preserve">SUPPLEMENTAL FIGURE 2 – </w:t>
      </w:r>
      <w:r w:rsidRPr="00280EF4">
        <w:rPr>
          <w:rFonts w:ascii="Arial" w:hAnsi="Arial" w:cs="Arial"/>
        </w:rPr>
        <w:t>Sample</w:t>
      </w:r>
      <w:r w:rsidRPr="00280EF4">
        <w:rPr>
          <w:rFonts w:ascii="Arial" w:hAnsi="Arial" w:cs="Arial"/>
          <w:b/>
          <w:bCs/>
        </w:rPr>
        <w:t xml:space="preserve"> </w:t>
      </w:r>
      <w:r w:rsidRPr="00280EF4">
        <w:rPr>
          <w:rFonts w:ascii="Arial" w:hAnsi="Arial" w:cs="Arial"/>
          <w:noProof/>
        </w:rPr>
        <w:t xml:space="preserve">immunofluorescence microscopy panels shown for each of the conditions tested and used for nuclei and kinetoplast counts per cells depicted graphically in Figure 2D. </w:t>
      </w:r>
    </w:p>
    <w:p w:rsidR="001919C6" w:rsidRPr="00280EF4" w:rsidRDefault="001919C6" w:rsidP="001919C6">
      <w:pPr>
        <w:spacing w:line="480" w:lineRule="auto"/>
        <w:jc w:val="both"/>
        <w:rPr>
          <w:rFonts w:ascii="Arial" w:hAnsi="Arial" w:cs="Arial"/>
          <w:noProof/>
        </w:rPr>
      </w:pPr>
    </w:p>
    <w:p w:rsidR="001919C6" w:rsidRPr="00280EF4" w:rsidRDefault="001919C6" w:rsidP="001919C6">
      <w:pPr>
        <w:spacing w:line="480" w:lineRule="auto"/>
        <w:jc w:val="both"/>
        <w:rPr>
          <w:rFonts w:ascii="Arial" w:hAnsi="Arial" w:cs="Arial"/>
        </w:rPr>
      </w:pPr>
      <w:r w:rsidRPr="00280EF4">
        <w:rPr>
          <w:rFonts w:ascii="Arial" w:hAnsi="Arial" w:cs="Arial"/>
          <w:b/>
          <w:bCs/>
        </w:rPr>
        <w:t xml:space="preserve">SUPPLEMENTAL FIGURE 3 – </w:t>
      </w:r>
      <w:proofErr w:type="spellStart"/>
      <w:r w:rsidRPr="00280EF4">
        <w:rPr>
          <w:rFonts w:ascii="Arial" w:hAnsi="Arial" w:cs="Arial"/>
        </w:rPr>
        <w:t>BrdU</w:t>
      </w:r>
      <w:proofErr w:type="spellEnd"/>
      <w:r w:rsidRPr="00280EF4">
        <w:rPr>
          <w:rFonts w:ascii="Arial" w:hAnsi="Arial" w:cs="Arial"/>
        </w:rPr>
        <w:t xml:space="preserve"> incorporation assay during </w:t>
      </w:r>
      <w:proofErr w:type="spellStart"/>
      <w:r w:rsidRPr="00280EF4">
        <w:rPr>
          <w:rFonts w:ascii="Arial" w:hAnsi="Arial" w:cs="Arial"/>
        </w:rPr>
        <w:t>melarsoprol</w:t>
      </w:r>
      <w:proofErr w:type="spellEnd"/>
      <w:r w:rsidRPr="00280EF4">
        <w:rPr>
          <w:rFonts w:ascii="Arial" w:hAnsi="Arial" w:cs="Arial"/>
        </w:rPr>
        <w:t xml:space="preserve"> treatment (35 </w:t>
      </w:r>
      <w:proofErr w:type="spellStart"/>
      <w:r w:rsidRPr="00280EF4">
        <w:rPr>
          <w:rFonts w:ascii="Arial" w:hAnsi="Arial" w:cs="Arial"/>
        </w:rPr>
        <w:t>nM</w:t>
      </w:r>
      <w:proofErr w:type="spellEnd"/>
      <w:r w:rsidRPr="00280EF4">
        <w:rPr>
          <w:rFonts w:ascii="Arial" w:hAnsi="Arial" w:cs="Arial"/>
        </w:rPr>
        <w:t xml:space="preserve">) at 6 and 12 hours in parental (SM) cells and during GSH1 overexpression. Untreated controls for both cell lines are also shown. </w:t>
      </w:r>
    </w:p>
    <w:p w:rsidR="00F1764B" w:rsidRDefault="00F1764B">
      <w:bookmarkStart w:id="0" w:name="_GoBack"/>
      <w:bookmarkEnd w:id="0"/>
    </w:p>
    <w:sectPr w:rsidR="00F17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C6"/>
    <w:rsid w:val="001919C6"/>
    <w:rsid w:val="002C31EC"/>
    <w:rsid w:val="002E01EA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DDAF0-434B-4997-8EA8-A61244DA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9C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2021-02-10T09:32:00Z</dcterms:created>
  <dcterms:modified xsi:type="dcterms:W3CDTF">2021-02-10T09:33:00Z</dcterms:modified>
</cp:coreProperties>
</file>