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55" w:rsidRPr="00E6425B" w:rsidRDefault="00D76A55" w:rsidP="00D76A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425B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Fig. 1</w:t>
      </w:r>
      <w:r w:rsidRPr="00E6425B">
        <w:rPr>
          <w:rFonts w:ascii="Times New Roman" w:hAnsi="Times New Roman" w:cs="Times New Roman"/>
          <w:sz w:val="24"/>
          <w:szCs w:val="24"/>
          <w:lang w:val="en-GB"/>
        </w:rPr>
        <w:t>. Normal probability plot of Pearson residuals with a simulated envelope from the GLM QP regression.</w:t>
      </w:r>
    </w:p>
    <w:p w:rsidR="00F1764B" w:rsidRDefault="00D76A55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5400040" cy="385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5_Supplementary_Fig_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64B" w:rsidSect="00D76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55"/>
    <w:rsid w:val="002C31EC"/>
    <w:rsid w:val="002E01EA"/>
    <w:rsid w:val="00D76A55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DE4A7-10D3-43B9-8245-4711F807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55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2020-11-25T17:27:00Z</dcterms:created>
  <dcterms:modified xsi:type="dcterms:W3CDTF">2020-11-25T17:28:00Z</dcterms:modified>
</cp:coreProperties>
</file>