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8D" w:rsidRPr="003D71A3" w:rsidRDefault="00936A8D" w:rsidP="00936A8D">
      <w:pPr>
        <w:pStyle w:val="Titulek"/>
        <w:keepNext/>
        <w:rPr>
          <w:i w:val="0"/>
          <w:iCs w:val="0"/>
          <w:color w:val="auto"/>
          <w:sz w:val="22"/>
          <w:szCs w:val="22"/>
          <w:lang w:val="en-GB"/>
        </w:rPr>
      </w:pPr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Biochemistry results in chickens during pre-infection and post-infection bloodwork </w:t>
      </w:r>
      <w:r w:rsidRPr="003D71A3">
        <w:rPr>
          <w:i w:val="0"/>
          <w:color w:val="auto"/>
          <w:sz w:val="22"/>
          <w:szCs w:val="22"/>
          <w:lang w:val="en-GB"/>
        </w:rPr>
        <w:t>compared to reference intervals</w:t>
      </w:r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. Pre = pre-infection values; Post = post-infection values). AST – aspartate aminotransferase, K+ – </w:t>
      </w:r>
      <w:proofErr w:type="spellStart"/>
      <w:r w:rsidRPr="003D71A3">
        <w:rPr>
          <w:i w:val="0"/>
          <w:iCs w:val="0"/>
          <w:color w:val="auto"/>
          <w:sz w:val="22"/>
          <w:szCs w:val="22"/>
          <w:lang w:val="en-GB"/>
        </w:rPr>
        <w:t>kalium</w:t>
      </w:r>
      <w:proofErr w:type="spellEnd"/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, Na+ </w:t>
      </w:r>
      <w:r w:rsidRPr="003D71A3">
        <w:rPr>
          <w:rFonts w:eastAsia="Times New Roman"/>
          <w:sz w:val="16"/>
          <w:szCs w:val="16"/>
        </w:rPr>
        <w:t xml:space="preserve">– </w:t>
      </w:r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 </w:t>
      </w:r>
      <w:proofErr w:type="spellStart"/>
      <w:r w:rsidRPr="003D71A3">
        <w:rPr>
          <w:i w:val="0"/>
          <w:iCs w:val="0"/>
          <w:color w:val="auto"/>
          <w:sz w:val="22"/>
          <w:szCs w:val="22"/>
          <w:lang w:val="en-GB"/>
        </w:rPr>
        <w:t>natrium</w:t>
      </w:r>
      <w:proofErr w:type="spellEnd"/>
      <w:r w:rsidRPr="003D71A3">
        <w:rPr>
          <w:i w:val="0"/>
          <w:iCs w:val="0"/>
          <w:color w:val="auto"/>
          <w:sz w:val="22"/>
          <w:szCs w:val="22"/>
          <w:lang w:val="en-GB"/>
        </w:rPr>
        <w:t>. Values above and below the reference range are marked by dark or light grey background, respectively.</w:t>
      </w:r>
    </w:p>
    <w:tbl>
      <w:tblPr>
        <w:tblW w:w="146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1"/>
        <w:gridCol w:w="466"/>
        <w:gridCol w:w="5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5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567"/>
        <w:gridCol w:w="709"/>
      </w:tblGrid>
      <w:tr w:rsidR="00936A8D" w:rsidRPr="00ED0706" w:rsidTr="00B00DB8">
        <w:trPr>
          <w:trHeight w:val="375"/>
        </w:trPr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AST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Creatine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 xml:space="preserve"> kinase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Uric Acid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Glucose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Calcium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Phosphorus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Total Protein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Albumin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Globulins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K+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Na+</w:t>
            </w:r>
          </w:p>
        </w:tc>
      </w:tr>
      <w:tr w:rsidR="00936A8D" w:rsidRPr="00ED0706" w:rsidTr="00B00DB8">
        <w:trPr>
          <w:trHeight w:val="7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(µ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kat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(µ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kat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(µ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(g/L)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(g/L)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(g/L)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Low dose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152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145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141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High dose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146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146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Snail fed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133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133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133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Control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138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143</w:t>
            </w:r>
          </w:p>
        </w:tc>
      </w:tr>
      <w:tr w:rsidR="00936A8D" w:rsidRPr="00ED0706" w:rsidTr="00B00DB8">
        <w:trPr>
          <w:trHeight w:val="300"/>
        </w:trPr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142</w:t>
            </w:r>
          </w:p>
        </w:tc>
      </w:tr>
      <w:tr w:rsidR="00936A8D" w:rsidRPr="00ED0706" w:rsidTr="00B00DB8">
        <w:trPr>
          <w:trHeight w:val="315"/>
        </w:trPr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Reference range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1.17– 3.67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1.7– 8.52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149– 483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12.63– 16.69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1.20– 1.73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2– 2.5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33– 55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13– 28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15– 41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3– 7.31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A8D" w:rsidRPr="003D71A3" w:rsidRDefault="00936A8D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131– 171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</w:tr>
    </w:tbl>
    <w:p w:rsidR="00936A8D" w:rsidRDefault="00936A8D" w:rsidP="00936A8D"/>
    <w:p w:rsidR="004B2277" w:rsidRDefault="004B2277" w:rsidP="00936A8D"/>
    <w:p w:rsidR="004B2277" w:rsidRDefault="004B2277" w:rsidP="00936A8D"/>
    <w:p w:rsidR="004B2277" w:rsidRPr="0026055A" w:rsidRDefault="004B2277" w:rsidP="00936A8D">
      <w:pPr>
        <w:rPr>
          <w:color w:val="FF0000"/>
        </w:rPr>
      </w:pPr>
    </w:p>
    <w:p w:rsidR="00936A8D" w:rsidRPr="005A18DB" w:rsidRDefault="00936A8D" w:rsidP="004B2277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Cs w:val="24"/>
        </w:rPr>
      </w:pPr>
      <w:r w:rsidRPr="005A18DB">
        <w:rPr>
          <w:vertAlign w:val="superscript"/>
        </w:rPr>
        <w:t>1</w:t>
      </w:r>
      <w:r w:rsidR="00EB4E5C" w:rsidRPr="005A18DB">
        <w:rPr>
          <w:b/>
          <w:bCs/>
          <w:noProof/>
          <w:szCs w:val="24"/>
        </w:rPr>
        <w:t xml:space="preserve"> </w:t>
      </w:r>
      <w:r w:rsidR="00EB4E5C" w:rsidRPr="005A18DB">
        <w:rPr>
          <w:b/>
          <w:bCs/>
          <w:noProof/>
          <w:sz w:val="18"/>
          <w:szCs w:val="18"/>
        </w:rPr>
        <w:t xml:space="preserve">Crespo, R, and Shivaprasad, HL </w:t>
      </w:r>
      <w:r w:rsidR="00EB4E5C" w:rsidRPr="005A18DB">
        <w:rPr>
          <w:bCs/>
          <w:noProof/>
          <w:sz w:val="18"/>
          <w:szCs w:val="18"/>
        </w:rPr>
        <w:t>(2014).</w:t>
      </w:r>
      <w:r w:rsidR="00EB4E5C" w:rsidRPr="005A18DB">
        <w:rPr>
          <w:noProof/>
          <w:sz w:val="18"/>
          <w:szCs w:val="18"/>
        </w:rPr>
        <w:t xml:space="preserve"> Interpretation of laboratory results and values. In </w:t>
      </w:r>
      <w:r w:rsidR="00EB4E5C" w:rsidRPr="005A18DB">
        <w:rPr>
          <w:i/>
          <w:iCs/>
          <w:noProof/>
          <w:sz w:val="18"/>
          <w:szCs w:val="18"/>
        </w:rPr>
        <w:t>Backyard Poultry Medicine and Surgery: A Guide for Veterinary Practitioners</w:t>
      </w:r>
      <w:r w:rsidR="00EB4E5C" w:rsidRPr="005A18DB">
        <w:rPr>
          <w:noProof/>
          <w:sz w:val="18"/>
          <w:szCs w:val="18"/>
        </w:rPr>
        <w:t xml:space="preserve"> (ed. C. B. Greenacre &amp; T. Y. Morishita), pp. 283–296. Oxford, UK: John Wiley &amp; Sons.</w:t>
      </w:r>
    </w:p>
    <w:p w:rsidR="00A21A31" w:rsidRPr="00B425DD" w:rsidRDefault="00936A8D" w:rsidP="00B425D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Cs w:val="24"/>
        </w:rPr>
      </w:pPr>
      <w:r w:rsidRPr="005A18DB">
        <w:rPr>
          <w:sz w:val="18"/>
          <w:szCs w:val="18"/>
        </w:rPr>
        <w:t xml:space="preserve"> </w:t>
      </w:r>
      <w:r w:rsidRPr="005A18DB">
        <w:rPr>
          <w:sz w:val="18"/>
          <w:szCs w:val="18"/>
          <w:vertAlign w:val="superscript"/>
        </w:rPr>
        <w:t>2</w:t>
      </w:r>
      <w:r w:rsidR="00A525C5" w:rsidRPr="005A18DB">
        <w:rPr>
          <w:b/>
          <w:bCs/>
          <w:noProof/>
          <w:szCs w:val="24"/>
        </w:rPr>
        <w:t xml:space="preserve"> </w:t>
      </w:r>
      <w:r w:rsidR="00A525C5" w:rsidRPr="005A18DB">
        <w:rPr>
          <w:b/>
          <w:bCs/>
          <w:noProof/>
          <w:sz w:val="18"/>
          <w:szCs w:val="18"/>
        </w:rPr>
        <w:t>Campbell, T</w:t>
      </w:r>
      <w:r w:rsidR="00A525C5" w:rsidRPr="005A18DB">
        <w:rPr>
          <w:noProof/>
          <w:sz w:val="18"/>
          <w:szCs w:val="18"/>
        </w:rPr>
        <w:t xml:space="preserve"> (2012). Clinical Chemistry of Birds. In </w:t>
      </w:r>
      <w:r w:rsidR="00A525C5" w:rsidRPr="005A18DB">
        <w:rPr>
          <w:i/>
          <w:iCs/>
          <w:noProof/>
          <w:sz w:val="18"/>
          <w:szCs w:val="18"/>
        </w:rPr>
        <w:t>Veterinary Hematology and Clinical Chemistry</w:t>
      </w:r>
      <w:r w:rsidR="00A525C5" w:rsidRPr="005A18DB">
        <w:rPr>
          <w:noProof/>
          <w:sz w:val="18"/>
          <w:szCs w:val="18"/>
        </w:rPr>
        <w:t xml:space="preserve"> (ed. M. A. Thrall, G. Weiser, R. Allison, &amp; T. C.), pp. 582–598. Oxford, UK: John Wiley &amp; Sons.</w:t>
      </w:r>
      <w:bookmarkStart w:id="0" w:name="_GoBack"/>
      <w:bookmarkEnd w:id="0"/>
    </w:p>
    <w:sectPr w:rsidR="00A21A31" w:rsidRPr="00B425DD" w:rsidSect="00E20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E"/>
    <w:rsid w:val="00084D67"/>
    <w:rsid w:val="0026055A"/>
    <w:rsid w:val="004B2277"/>
    <w:rsid w:val="005A18DB"/>
    <w:rsid w:val="00936A8D"/>
    <w:rsid w:val="00A21A31"/>
    <w:rsid w:val="00A525C5"/>
    <w:rsid w:val="00B425DD"/>
    <w:rsid w:val="00E20F7E"/>
    <w:rsid w:val="00E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DE7F"/>
  <w15:chartTrackingRefBased/>
  <w15:docId w15:val="{77FDCEF0-EA94-4358-86CD-C162382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A8D"/>
    <w:rPr>
      <w:rFonts w:ascii="Calibri" w:eastAsia="Calibri" w:hAnsi="Calibri" w:cs="Calibri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36A8D"/>
    <w:pPr>
      <w:spacing w:after="200" w:line="240" w:lineRule="auto"/>
    </w:pPr>
    <w:rPr>
      <w:i/>
      <w:iCs/>
      <w:color w:val="44546A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barborafeckova.vet@gmail.com</dc:creator>
  <cp:keywords/>
  <dc:description/>
  <cp:lastModifiedBy>barborafeckova.vet@gmail.com</cp:lastModifiedBy>
  <cp:revision>8</cp:revision>
  <dcterms:created xsi:type="dcterms:W3CDTF">2020-11-02T12:06:00Z</dcterms:created>
  <dcterms:modified xsi:type="dcterms:W3CDTF">2020-11-02T12:10:00Z</dcterms:modified>
</cp:coreProperties>
</file>