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0F38F" w14:textId="1A00AF12" w:rsidR="002B1E30" w:rsidRDefault="002B1E30"/>
    <w:tbl>
      <w:tblPr>
        <w:tblStyle w:val="TableGrid"/>
        <w:tblW w:w="45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4603"/>
      </w:tblGrid>
      <w:tr w:rsidR="002B1E30" w14:paraId="1E7A2ED0" w14:textId="77777777" w:rsidTr="00E72B4A">
        <w:tc>
          <w:tcPr>
            <w:tcW w:w="5000" w:type="pct"/>
            <w:gridSpan w:val="2"/>
            <w:tcBorders>
              <w:bottom w:val="single" w:sz="4" w:space="0" w:color="auto"/>
            </w:tcBorders>
          </w:tcPr>
          <w:p w14:paraId="69E55852" w14:textId="4CDC8BD0" w:rsidR="002B1E30" w:rsidRPr="00575F10" w:rsidRDefault="002B1E30" w:rsidP="00E72B4A">
            <w:r>
              <w:t xml:space="preserve">Supplementary Table 1. The top portion of the table presents the mapping statistics for individual each </w:t>
            </w:r>
            <w:r>
              <w:rPr>
                <w:i/>
              </w:rPr>
              <w:t xml:space="preserve">Parascaris </w:t>
            </w:r>
            <w:r>
              <w:t xml:space="preserve">spp. sample to the </w:t>
            </w:r>
            <w:r>
              <w:rPr>
                <w:i/>
              </w:rPr>
              <w:t xml:space="preserve">Parascaris univalens </w:t>
            </w:r>
            <w:r>
              <w:t xml:space="preserve">reference genome (Wang et al., 2017) generated in Part </w:t>
            </w:r>
            <w:r w:rsidR="00F75C60">
              <w:t>2</w:t>
            </w:r>
            <w:r>
              <w:t xml:space="preserve"> of this study. </w:t>
            </w:r>
          </w:p>
        </w:tc>
      </w:tr>
      <w:tr w:rsidR="002B1E30" w14:paraId="72A2FF4A" w14:textId="77777777" w:rsidTr="00E72B4A">
        <w:tc>
          <w:tcPr>
            <w:tcW w:w="5000" w:type="pct"/>
            <w:gridSpan w:val="2"/>
            <w:tcBorders>
              <w:top w:val="single" w:sz="4" w:space="0" w:color="auto"/>
            </w:tcBorders>
          </w:tcPr>
          <w:p w14:paraId="5062A00D" w14:textId="77777777" w:rsidR="002B1E30" w:rsidRDefault="002B1E30" w:rsidP="00E72B4A">
            <w:pPr>
              <w:jc w:val="center"/>
            </w:pPr>
            <w:r>
              <w:t>Mapping statistics</w:t>
            </w:r>
          </w:p>
        </w:tc>
      </w:tr>
      <w:tr w:rsidR="002B1E30" w14:paraId="4F62AD2E" w14:textId="77777777" w:rsidTr="00E72B4A">
        <w:tc>
          <w:tcPr>
            <w:tcW w:w="2320" w:type="pct"/>
            <w:tcBorders>
              <w:bottom w:val="single" w:sz="4" w:space="0" w:color="auto"/>
            </w:tcBorders>
          </w:tcPr>
          <w:p w14:paraId="7228C1A6" w14:textId="77777777" w:rsidR="002B1E30" w:rsidRDefault="002B1E30" w:rsidP="00E72B4A">
            <w:r>
              <w:t>Sample</w:t>
            </w:r>
          </w:p>
        </w:tc>
        <w:tc>
          <w:tcPr>
            <w:tcW w:w="2680" w:type="pct"/>
            <w:tcBorders>
              <w:bottom w:val="single" w:sz="4" w:space="0" w:color="auto"/>
            </w:tcBorders>
          </w:tcPr>
          <w:p w14:paraId="209A029B" w14:textId="77777777" w:rsidR="002B1E30" w:rsidRDefault="002B1E30" w:rsidP="00E72B4A">
            <w:r>
              <w:t>Uniquely Mapped Reads (%)</w:t>
            </w:r>
          </w:p>
        </w:tc>
      </w:tr>
      <w:tr w:rsidR="002B1E30" w14:paraId="1A511921" w14:textId="77777777" w:rsidTr="00E72B4A">
        <w:tc>
          <w:tcPr>
            <w:tcW w:w="2320" w:type="pct"/>
            <w:tcBorders>
              <w:top w:val="single" w:sz="4" w:space="0" w:color="auto"/>
            </w:tcBorders>
          </w:tcPr>
          <w:p w14:paraId="179A9262" w14:textId="77777777" w:rsidR="002B1E30" w:rsidRPr="005915A0" w:rsidRDefault="002B1E30" w:rsidP="00E72B4A">
            <w:r>
              <w:rPr>
                <w:i/>
              </w:rPr>
              <w:t xml:space="preserve">In vivo </w:t>
            </w:r>
            <w:r>
              <w:t>control, Female</w:t>
            </w:r>
          </w:p>
        </w:tc>
        <w:tc>
          <w:tcPr>
            <w:tcW w:w="2680" w:type="pct"/>
            <w:tcBorders>
              <w:top w:val="single" w:sz="4" w:space="0" w:color="auto"/>
            </w:tcBorders>
          </w:tcPr>
          <w:p w14:paraId="1FEE76D2" w14:textId="77777777" w:rsidR="002B1E30" w:rsidRDefault="002B1E30" w:rsidP="00E72B4A">
            <w:r>
              <w:t>72.73</w:t>
            </w:r>
          </w:p>
        </w:tc>
      </w:tr>
      <w:tr w:rsidR="002B1E30" w14:paraId="0A0BC600" w14:textId="77777777" w:rsidTr="00E72B4A">
        <w:tc>
          <w:tcPr>
            <w:tcW w:w="2320" w:type="pct"/>
          </w:tcPr>
          <w:p w14:paraId="343DBB5D" w14:textId="77777777" w:rsidR="002B1E30" w:rsidRPr="005915A0" w:rsidRDefault="002B1E30" w:rsidP="00E72B4A">
            <w:r>
              <w:rPr>
                <w:i/>
              </w:rPr>
              <w:t>In vivo</w:t>
            </w:r>
            <w:r>
              <w:t xml:space="preserve"> control, Male</w:t>
            </w:r>
          </w:p>
        </w:tc>
        <w:tc>
          <w:tcPr>
            <w:tcW w:w="2680" w:type="pct"/>
          </w:tcPr>
          <w:p w14:paraId="3F49B75A" w14:textId="77777777" w:rsidR="002B1E30" w:rsidRDefault="002B1E30" w:rsidP="00E72B4A">
            <w:r>
              <w:t>76.65</w:t>
            </w:r>
          </w:p>
        </w:tc>
      </w:tr>
      <w:tr w:rsidR="002B1E30" w14:paraId="681E1C0D" w14:textId="77777777" w:rsidTr="00E72B4A">
        <w:tc>
          <w:tcPr>
            <w:tcW w:w="2320" w:type="pct"/>
          </w:tcPr>
          <w:p w14:paraId="00B79A5D" w14:textId="77777777" w:rsidR="002B1E30" w:rsidRDefault="002B1E30" w:rsidP="00E72B4A">
            <w:r>
              <w:t xml:space="preserve">Ivermectin (1 </w:t>
            </w:r>
            <w:r>
              <w:rPr>
                <w:rFonts w:cstheme="minorHAnsi"/>
              </w:rPr>
              <w:t>µ</w:t>
            </w:r>
            <w:r>
              <w:t>g/mL), Female</w:t>
            </w:r>
          </w:p>
        </w:tc>
        <w:tc>
          <w:tcPr>
            <w:tcW w:w="2680" w:type="pct"/>
          </w:tcPr>
          <w:p w14:paraId="1EA98348" w14:textId="77777777" w:rsidR="002B1E30" w:rsidRDefault="002B1E30" w:rsidP="00E72B4A">
            <w:r>
              <w:t>76.06</w:t>
            </w:r>
          </w:p>
        </w:tc>
      </w:tr>
      <w:tr w:rsidR="002B1E30" w14:paraId="5E2524FD" w14:textId="77777777" w:rsidTr="00E72B4A">
        <w:tc>
          <w:tcPr>
            <w:tcW w:w="2320" w:type="pct"/>
          </w:tcPr>
          <w:p w14:paraId="6626FB38" w14:textId="77777777" w:rsidR="002B1E30" w:rsidRDefault="002B1E30" w:rsidP="00E72B4A">
            <w:r>
              <w:t xml:space="preserve">Ivermectin (1 </w:t>
            </w:r>
            <w:r>
              <w:rPr>
                <w:rFonts w:cstheme="minorHAnsi"/>
              </w:rPr>
              <w:t>µ</w:t>
            </w:r>
            <w:r>
              <w:t>g/mL), Male</w:t>
            </w:r>
          </w:p>
        </w:tc>
        <w:tc>
          <w:tcPr>
            <w:tcW w:w="2680" w:type="pct"/>
          </w:tcPr>
          <w:p w14:paraId="0080896F" w14:textId="77777777" w:rsidR="002B1E30" w:rsidRDefault="002B1E30" w:rsidP="00E72B4A">
            <w:r>
              <w:t>68.03</w:t>
            </w:r>
          </w:p>
        </w:tc>
      </w:tr>
      <w:tr w:rsidR="002B1E30" w14:paraId="1F105165" w14:textId="77777777" w:rsidTr="00E72B4A">
        <w:tc>
          <w:tcPr>
            <w:tcW w:w="2320" w:type="pct"/>
          </w:tcPr>
          <w:p w14:paraId="5208EA8E" w14:textId="77777777" w:rsidR="002B1E30" w:rsidRDefault="002B1E30" w:rsidP="00E72B4A">
            <w:r>
              <w:t>Ivermectin control, Female</w:t>
            </w:r>
          </w:p>
        </w:tc>
        <w:tc>
          <w:tcPr>
            <w:tcW w:w="2680" w:type="pct"/>
          </w:tcPr>
          <w:p w14:paraId="3B1B3D6D" w14:textId="77777777" w:rsidR="002B1E30" w:rsidRDefault="002B1E30" w:rsidP="00E72B4A">
            <w:r>
              <w:t>71.94</w:t>
            </w:r>
          </w:p>
        </w:tc>
      </w:tr>
      <w:tr w:rsidR="002B1E30" w14:paraId="24E102BB" w14:textId="77777777" w:rsidTr="00E72B4A">
        <w:tc>
          <w:tcPr>
            <w:tcW w:w="2320" w:type="pct"/>
          </w:tcPr>
          <w:p w14:paraId="500F5E84" w14:textId="77777777" w:rsidR="002B1E30" w:rsidRDefault="002B1E30" w:rsidP="00E72B4A">
            <w:r>
              <w:t>Ivermectin control, Male</w:t>
            </w:r>
          </w:p>
        </w:tc>
        <w:tc>
          <w:tcPr>
            <w:tcW w:w="2680" w:type="pct"/>
          </w:tcPr>
          <w:p w14:paraId="78A9CB16" w14:textId="77777777" w:rsidR="002B1E30" w:rsidRDefault="002B1E30" w:rsidP="00E72B4A">
            <w:r>
              <w:t>62.65</w:t>
            </w:r>
          </w:p>
        </w:tc>
      </w:tr>
      <w:tr w:rsidR="002B1E30" w14:paraId="5964F072" w14:textId="77777777" w:rsidTr="00E72B4A">
        <w:tc>
          <w:tcPr>
            <w:tcW w:w="2320" w:type="pct"/>
          </w:tcPr>
          <w:p w14:paraId="67327D99" w14:textId="77777777" w:rsidR="002B1E30" w:rsidRDefault="002B1E30" w:rsidP="00E72B4A">
            <w:r>
              <w:t xml:space="preserve">Oxibendazole (10 </w:t>
            </w:r>
            <w:r>
              <w:rPr>
                <w:rFonts w:cstheme="minorHAnsi"/>
              </w:rPr>
              <w:t>µ</w:t>
            </w:r>
            <w:r>
              <w:t>g/mL), Female</w:t>
            </w:r>
          </w:p>
        </w:tc>
        <w:tc>
          <w:tcPr>
            <w:tcW w:w="2680" w:type="pct"/>
          </w:tcPr>
          <w:p w14:paraId="1709433B" w14:textId="77777777" w:rsidR="002B1E30" w:rsidRDefault="002B1E30" w:rsidP="00E72B4A">
            <w:r>
              <w:t>77.67</w:t>
            </w:r>
          </w:p>
        </w:tc>
      </w:tr>
      <w:tr w:rsidR="002B1E30" w14:paraId="0483747E" w14:textId="77777777" w:rsidTr="00E72B4A">
        <w:tc>
          <w:tcPr>
            <w:tcW w:w="2320" w:type="pct"/>
          </w:tcPr>
          <w:p w14:paraId="1069203B" w14:textId="77777777" w:rsidR="002B1E30" w:rsidRDefault="002B1E30" w:rsidP="00E72B4A">
            <w:r>
              <w:t xml:space="preserve">Oxibendazole (10 </w:t>
            </w:r>
            <w:r>
              <w:rPr>
                <w:rFonts w:cstheme="minorHAnsi"/>
              </w:rPr>
              <w:t>µ</w:t>
            </w:r>
            <w:r>
              <w:t>g/mL), Male</w:t>
            </w:r>
          </w:p>
        </w:tc>
        <w:tc>
          <w:tcPr>
            <w:tcW w:w="2680" w:type="pct"/>
          </w:tcPr>
          <w:p w14:paraId="2C06309B" w14:textId="77777777" w:rsidR="002B1E30" w:rsidRDefault="002B1E30" w:rsidP="00E72B4A">
            <w:r>
              <w:t>73.94</w:t>
            </w:r>
          </w:p>
        </w:tc>
      </w:tr>
      <w:tr w:rsidR="002B1E30" w14:paraId="2E0105F7" w14:textId="77777777" w:rsidTr="00E72B4A">
        <w:tc>
          <w:tcPr>
            <w:tcW w:w="2320" w:type="pct"/>
          </w:tcPr>
          <w:p w14:paraId="4218B281" w14:textId="77777777" w:rsidR="002B1E30" w:rsidRDefault="002B1E30" w:rsidP="00E72B4A">
            <w:r>
              <w:t>Oxibendazole control, Female</w:t>
            </w:r>
          </w:p>
        </w:tc>
        <w:tc>
          <w:tcPr>
            <w:tcW w:w="2680" w:type="pct"/>
          </w:tcPr>
          <w:p w14:paraId="4884E990" w14:textId="77777777" w:rsidR="002B1E30" w:rsidRDefault="002B1E30" w:rsidP="00E72B4A">
            <w:r>
              <w:t>43.02</w:t>
            </w:r>
          </w:p>
        </w:tc>
      </w:tr>
      <w:tr w:rsidR="002B1E30" w14:paraId="6BD6EFBF" w14:textId="77777777" w:rsidTr="00E72B4A">
        <w:tc>
          <w:tcPr>
            <w:tcW w:w="2320" w:type="pct"/>
            <w:tcBorders>
              <w:bottom w:val="single" w:sz="4" w:space="0" w:color="auto"/>
            </w:tcBorders>
          </w:tcPr>
          <w:p w14:paraId="784EA799" w14:textId="77777777" w:rsidR="002B1E30" w:rsidRDefault="002B1E30" w:rsidP="00E72B4A">
            <w:r>
              <w:t>Oxibendazole control, Male</w:t>
            </w:r>
          </w:p>
        </w:tc>
        <w:tc>
          <w:tcPr>
            <w:tcW w:w="2680" w:type="pct"/>
            <w:tcBorders>
              <w:bottom w:val="single" w:sz="4" w:space="0" w:color="auto"/>
            </w:tcBorders>
          </w:tcPr>
          <w:p w14:paraId="7C8094BC" w14:textId="77777777" w:rsidR="002B1E30" w:rsidRDefault="002B1E30" w:rsidP="00E72B4A">
            <w:r>
              <w:t>71.80</w:t>
            </w:r>
          </w:p>
        </w:tc>
      </w:tr>
    </w:tbl>
    <w:p w14:paraId="753F5654" w14:textId="77777777" w:rsidR="002B1E30" w:rsidRDefault="002B1E30" w:rsidP="002B1E30">
      <w:pPr>
        <w:spacing w:after="0" w:line="240" w:lineRule="auto"/>
        <w:rPr>
          <w:b/>
          <w:sz w:val="24"/>
          <w:szCs w:val="24"/>
          <w:u w:val="single"/>
        </w:rPr>
      </w:pPr>
    </w:p>
    <w:p w14:paraId="3C26DAA0" w14:textId="77777777" w:rsidR="002B1E30" w:rsidRDefault="002B1E30" w:rsidP="002B1E30">
      <w:pPr>
        <w:spacing w:after="0" w:line="240" w:lineRule="auto"/>
        <w:rPr>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B1E30" w14:paraId="2E221DA9" w14:textId="77777777" w:rsidTr="00E72B4A">
        <w:tc>
          <w:tcPr>
            <w:tcW w:w="9350" w:type="dxa"/>
            <w:gridSpan w:val="3"/>
          </w:tcPr>
          <w:p w14:paraId="6570A977" w14:textId="403B3446" w:rsidR="002B1E30" w:rsidRPr="00B55235" w:rsidRDefault="002B1E30" w:rsidP="00E72B4A">
            <w:r w:rsidRPr="00B55235">
              <w:t>Supplementary Table</w:t>
            </w:r>
            <w:r>
              <w:t xml:space="preserve"> </w:t>
            </w:r>
            <w:r w:rsidR="00A303E2">
              <w:t>2</w:t>
            </w:r>
            <w:r>
              <w:t>. C</w:t>
            </w:r>
            <w:r w:rsidRPr="00B55235">
              <w:t>oncentrations and RIN scores</w:t>
            </w:r>
            <w:r>
              <w:t xml:space="preserve"> for samples used in RNA-seq analysis </w:t>
            </w:r>
            <w:r w:rsidRPr="00B55235">
              <w:t>analyzed by the Agilent Bioanalyzer (</w:t>
            </w:r>
            <w:r w:rsidRPr="00B55235">
              <w:rPr>
                <w:rFonts w:cstheme="minorHAnsi"/>
              </w:rPr>
              <w:t>Agilent, Santa Clara, CA, USA) at the University of Kentucky Genomics Core Lab</w:t>
            </w:r>
            <w:r>
              <w:rPr>
                <w:rFonts w:cstheme="minorHAnsi"/>
              </w:rPr>
              <w:t xml:space="preserve">. </w:t>
            </w:r>
          </w:p>
        </w:tc>
      </w:tr>
      <w:tr w:rsidR="002B1E30" w14:paraId="0BE87E80" w14:textId="77777777" w:rsidTr="00E72B4A">
        <w:tc>
          <w:tcPr>
            <w:tcW w:w="3116" w:type="dxa"/>
            <w:tcBorders>
              <w:top w:val="single" w:sz="4" w:space="0" w:color="auto"/>
              <w:bottom w:val="single" w:sz="4" w:space="0" w:color="auto"/>
            </w:tcBorders>
          </w:tcPr>
          <w:p w14:paraId="6DD8B7A8" w14:textId="77777777" w:rsidR="002B1E30" w:rsidRDefault="002B1E30" w:rsidP="00E72B4A">
            <w:r>
              <w:t>Sample ID</w:t>
            </w:r>
          </w:p>
        </w:tc>
        <w:tc>
          <w:tcPr>
            <w:tcW w:w="3117" w:type="dxa"/>
            <w:tcBorders>
              <w:top w:val="single" w:sz="4" w:space="0" w:color="auto"/>
              <w:bottom w:val="single" w:sz="4" w:space="0" w:color="auto"/>
            </w:tcBorders>
          </w:tcPr>
          <w:p w14:paraId="2E0A8B03" w14:textId="77777777" w:rsidR="002B1E30" w:rsidRDefault="002B1E30" w:rsidP="00E72B4A">
            <w:r>
              <w:t>Concentration Average (ng/</w:t>
            </w:r>
            <w:proofErr w:type="spellStart"/>
            <w:r>
              <w:rPr>
                <w:rFonts w:cstheme="minorHAnsi"/>
              </w:rPr>
              <w:t>μ</w:t>
            </w:r>
            <w:r>
              <w:t>l</w:t>
            </w:r>
            <w:proofErr w:type="spellEnd"/>
            <w:r>
              <w:t>)</w:t>
            </w:r>
          </w:p>
        </w:tc>
        <w:tc>
          <w:tcPr>
            <w:tcW w:w="3117" w:type="dxa"/>
            <w:tcBorders>
              <w:top w:val="single" w:sz="4" w:space="0" w:color="auto"/>
              <w:bottom w:val="single" w:sz="4" w:space="0" w:color="auto"/>
            </w:tcBorders>
          </w:tcPr>
          <w:p w14:paraId="6583C9FB" w14:textId="77777777" w:rsidR="002B1E30" w:rsidRDefault="002B1E30" w:rsidP="00E72B4A">
            <w:r>
              <w:t>Average RIN</w:t>
            </w:r>
          </w:p>
        </w:tc>
      </w:tr>
      <w:tr w:rsidR="002B1E30" w14:paraId="51897C84" w14:textId="77777777" w:rsidTr="00E72B4A">
        <w:tc>
          <w:tcPr>
            <w:tcW w:w="3116" w:type="dxa"/>
            <w:tcBorders>
              <w:top w:val="single" w:sz="4" w:space="0" w:color="auto"/>
            </w:tcBorders>
          </w:tcPr>
          <w:p w14:paraId="71499F95" w14:textId="77777777" w:rsidR="002B1E30" w:rsidRDefault="002B1E30" w:rsidP="00E72B4A">
            <w:r w:rsidRPr="00584878">
              <w:rPr>
                <w:i/>
              </w:rPr>
              <w:t>In vivo</w:t>
            </w:r>
            <w:r>
              <w:t xml:space="preserve"> Male</w:t>
            </w:r>
          </w:p>
        </w:tc>
        <w:tc>
          <w:tcPr>
            <w:tcW w:w="3117" w:type="dxa"/>
            <w:tcBorders>
              <w:top w:val="single" w:sz="4" w:space="0" w:color="auto"/>
            </w:tcBorders>
          </w:tcPr>
          <w:p w14:paraId="307C01FA" w14:textId="77777777" w:rsidR="002B1E30" w:rsidRDefault="002B1E30" w:rsidP="00E72B4A">
            <w:r>
              <w:t>432</w:t>
            </w:r>
          </w:p>
        </w:tc>
        <w:tc>
          <w:tcPr>
            <w:tcW w:w="3117" w:type="dxa"/>
            <w:tcBorders>
              <w:top w:val="single" w:sz="4" w:space="0" w:color="auto"/>
            </w:tcBorders>
          </w:tcPr>
          <w:p w14:paraId="2064AE90" w14:textId="77777777" w:rsidR="002B1E30" w:rsidRDefault="002B1E30" w:rsidP="00E72B4A">
            <w:r>
              <w:t>9.75</w:t>
            </w:r>
          </w:p>
        </w:tc>
      </w:tr>
      <w:tr w:rsidR="002B1E30" w14:paraId="20C1F957" w14:textId="77777777" w:rsidTr="00E72B4A">
        <w:tc>
          <w:tcPr>
            <w:tcW w:w="3116" w:type="dxa"/>
          </w:tcPr>
          <w:p w14:paraId="227AA241" w14:textId="77777777" w:rsidR="002B1E30" w:rsidRDefault="002B1E30" w:rsidP="00E72B4A">
            <w:r w:rsidRPr="00584878">
              <w:rPr>
                <w:i/>
              </w:rPr>
              <w:t>In vivo</w:t>
            </w:r>
            <w:r>
              <w:t xml:space="preserve"> Female</w:t>
            </w:r>
          </w:p>
        </w:tc>
        <w:tc>
          <w:tcPr>
            <w:tcW w:w="3117" w:type="dxa"/>
          </w:tcPr>
          <w:p w14:paraId="55AF6A55" w14:textId="77777777" w:rsidR="002B1E30" w:rsidRDefault="002B1E30" w:rsidP="00E72B4A">
            <w:r>
              <w:t>1105</w:t>
            </w:r>
          </w:p>
        </w:tc>
        <w:tc>
          <w:tcPr>
            <w:tcW w:w="3117" w:type="dxa"/>
          </w:tcPr>
          <w:p w14:paraId="458F2D19" w14:textId="77777777" w:rsidR="002B1E30" w:rsidRDefault="002B1E30" w:rsidP="00E72B4A">
            <w:r>
              <w:t>9.75</w:t>
            </w:r>
          </w:p>
        </w:tc>
      </w:tr>
      <w:tr w:rsidR="002B1E30" w14:paraId="4AB40DFA" w14:textId="77777777" w:rsidTr="00E72B4A">
        <w:tc>
          <w:tcPr>
            <w:tcW w:w="3116" w:type="dxa"/>
          </w:tcPr>
          <w:p w14:paraId="4C874F9A" w14:textId="77777777" w:rsidR="002B1E30" w:rsidRDefault="002B1E30" w:rsidP="00E72B4A">
            <w:r>
              <w:t>OBZ (10) Female</w:t>
            </w:r>
          </w:p>
        </w:tc>
        <w:tc>
          <w:tcPr>
            <w:tcW w:w="3117" w:type="dxa"/>
          </w:tcPr>
          <w:p w14:paraId="7E05AE58" w14:textId="77777777" w:rsidR="002B1E30" w:rsidRDefault="002B1E30" w:rsidP="00E72B4A">
            <w:r>
              <w:t>459</w:t>
            </w:r>
          </w:p>
        </w:tc>
        <w:tc>
          <w:tcPr>
            <w:tcW w:w="3117" w:type="dxa"/>
          </w:tcPr>
          <w:p w14:paraId="3AFE5949" w14:textId="77777777" w:rsidR="002B1E30" w:rsidRDefault="002B1E30" w:rsidP="00E72B4A">
            <w:r>
              <w:t>9.8</w:t>
            </w:r>
          </w:p>
        </w:tc>
      </w:tr>
      <w:tr w:rsidR="002B1E30" w14:paraId="4DBF9F12" w14:textId="77777777" w:rsidTr="00E72B4A">
        <w:tc>
          <w:tcPr>
            <w:tcW w:w="3116" w:type="dxa"/>
          </w:tcPr>
          <w:p w14:paraId="7888FC18" w14:textId="77777777" w:rsidR="002B1E30" w:rsidRDefault="002B1E30" w:rsidP="00E72B4A">
            <w:r>
              <w:t>OBZ Control Female</w:t>
            </w:r>
          </w:p>
        </w:tc>
        <w:tc>
          <w:tcPr>
            <w:tcW w:w="3117" w:type="dxa"/>
          </w:tcPr>
          <w:p w14:paraId="3A3C217A" w14:textId="77777777" w:rsidR="002B1E30" w:rsidRDefault="002B1E30" w:rsidP="00E72B4A">
            <w:r>
              <w:t>583</w:t>
            </w:r>
          </w:p>
        </w:tc>
        <w:tc>
          <w:tcPr>
            <w:tcW w:w="3117" w:type="dxa"/>
          </w:tcPr>
          <w:p w14:paraId="2FDD096E" w14:textId="77777777" w:rsidR="002B1E30" w:rsidRDefault="002B1E30" w:rsidP="00E72B4A">
            <w:r>
              <w:t>9.75</w:t>
            </w:r>
          </w:p>
        </w:tc>
      </w:tr>
      <w:tr w:rsidR="002B1E30" w14:paraId="22FA1F19" w14:textId="77777777" w:rsidTr="00E72B4A">
        <w:tc>
          <w:tcPr>
            <w:tcW w:w="3116" w:type="dxa"/>
          </w:tcPr>
          <w:p w14:paraId="4B4654C6" w14:textId="77777777" w:rsidR="002B1E30" w:rsidRDefault="002B1E30" w:rsidP="00E72B4A">
            <w:r>
              <w:t>IVM (1) Female</w:t>
            </w:r>
          </w:p>
        </w:tc>
        <w:tc>
          <w:tcPr>
            <w:tcW w:w="3117" w:type="dxa"/>
          </w:tcPr>
          <w:p w14:paraId="642F0499" w14:textId="77777777" w:rsidR="002B1E30" w:rsidRDefault="002B1E30" w:rsidP="00E72B4A">
            <w:r>
              <w:t>440.5</w:t>
            </w:r>
          </w:p>
        </w:tc>
        <w:tc>
          <w:tcPr>
            <w:tcW w:w="3117" w:type="dxa"/>
          </w:tcPr>
          <w:p w14:paraId="7AD04529" w14:textId="77777777" w:rsidR="002B1E30" w:rsidRDefault="002B1E30" w:rsidP="00E72B4A">
            <w:r>
              <w:t>9.8</w:t>
            </w:r>
          </w:p>
        </w:tc>
      </w:tr>
      <w:tr w:rsidR="002B1E30" w14:paraId="0F220192" w14:textId="77777777" w:rsidTr="00E72B4A">
        <w:tc>
          <w:tcPr>
            <w:tcW w:w="3116" w:type="dxa"/>
          </w:tcPr>
          <w:p w14:paraId="7087B674" w14:textId="77777777" w:rsidR="002B1E30" w:rsidRDefault="002B1E30" w:rsidP="00E72B4A">
            <w:r>
              <w:t>IVM Control Female</w:t>
            </w:r>
          </w:p>
        </w:tc>
        <w:tc>
          <w:tcPr>
            <w:tcW w:w="3117" w:type="dxa"/>
          </w:tcPr>
          <w:p w14:paraId="216F7F12" w14:textId="77777777" w:rsidR="002B1E30" w:rsidRDefault="002B1E30" w:rsidP="00E72B4A">
            <w:r>
              <w:t>531.5</w:t>
            </w:r>
          </w:p>
        </w:tc>
        <w:tc>
          <w:tcPr>
            <w:tcW w:w="3117" w:type="dxa"/>
          </w:tcPr>
          <w:p w14:paraId="4D6AA3FD" w14:textId="77777777" w:rsidR="002B1E30" w:rsidRDefault="002B1E30" w:rsidP="00E72B4A">
            <w:r>
              <w:t>10</w:t>
            </w:r>
          </w:p>
        </w:tc>
      </w:tr>
      <w:tr w:rsidR="002B1E30" w14:paraId="3A21D407" w14:textId="77777777" w:rsidTr="00E72B4A">
        <w:tc>
          <w:tcPr>
            <w:tcW w:w="3116" w:type="dxa"/>
          </w:tcPr>
          <w:p w14:paraId="26A2FDA8" w14:textId="77777777" w:rsidR="002B1E30" w:rsidRDefault="002B1E30" w:rsidP="00E72B4A">
            <w:r>
              <w:t>OBZ (10) Male</w:t>
            </w:r>
          </w:p>
        </w:tc>
        <w:tc>
          <w:tcPr>
            <w:tcW w:w="3117" w:type="dxa"/>
          </w:tcPr>
          <w:p w14:paraId="55E9D1AC" w14:textId="77777777" w:rsidR="002B1E30" w:rsidRDefault="002B1E30" w:rsidP="00E72B4A">
            <w:r>
              <w:t>328.5</w:t>
            </w:r>
          </w:p>
        </w:tc>
        <w:tc>
          <w:tcPr>
            <w:tcW w:w="3117" w:type="dxa"/>
          </w:tcPr>
          <w:p w14:paraId="061DA3CE" w14:textId="77777777" w:rsidR="002B1E30" w:rsidRDefault="002B1E30" w:rsidP="00E72B4A">
            <w:r>
              <w:t>9.5</w:t>
            </w:r>
          </w:p>
        </w:tc>
      </w:tr>
      <w:tr w:rsidR="002B1E30" w14:paraId="33C126C7" w14:textId="77777777" w:rsidTr="00E72B4A">
        <w:tc>
          <w:tcPr>
            <w:tcW w:w="3116" w:type="dxa"/>
            <w:tcBorders>
              <w:bottom w:val="single" w:sz="4" w:space="0" w:color="FFFFFF" w:themeColor="background1"/>
            </w:tcBorders>
          </w:tcPr>
          <w:p w14:paraId="3ECFE13E" w14:textId="77777777" w:rsidR="002B1E30" w:rsidRDefault="002B1E30" w:rsidP="00E72B4A">
            <w:r>
              <w:t>OBZ Control Male</w:t>
            </w:r>
          </w:p>
        </w:tc>
        <w:tc>
          <w:tcPr>
            <w:tcW w:w="3117" w:type="dxa"/>
          </w:tcPr>
          <w:p w14:paraId="4800D30D" w14:textId="77777777" w:rsidR="002B1E30" w:rsidRDefault="002B1E30" w:rsidP="00E72B4A">
            <w:r>
              <w:t>366</w:t>
            </w:r>
          </w:p>
        </w:tc>
        <w:tc>
          <w:tcPr>
            <w:tcW w:w="3117" w:type="dxa"/>
          </w:tcPr>
          <w:p w14:paraId="62AD7728" w14:textId="77777777" w:rsidR="002B1E30" w:rsidRDefault="002B1E30" w:rsidP="00E72B4A">
            <w:r>
              <w:t>9.35</w:t>
            </w:r>
          </w:p>
        </w:tc>
      </w:tr>
      <w:tr w:rsidR="002B1E30" w14:paraId="47DA3CD3" w14:textId="77777777" w:rsidTr="00E72B4A">
        <w:tc>
          <w:tcPr>
            <w:tcW w:w="3116" w:type="dxa"/>
            <w:tcBorders>
              <w:top w:val="single" w:sz="4" w:space="0" w:color="FFFFFF" w:themeColor="background1"/>
            </w:tcBorders>
          </w:tcPr>
          <w:p w14:paraId="13F973B1" w14:textId="77777777" w:rsidR="002B1E30" w:rsidRDefault="002B1E30" w:rsidP="00E72B4A">
            <w:r>
              <w:t>IVM (1) Male</w:t>
            </w:r>
          </w:p>
        </w:tc>
        <w:tc>
          <w:tcPr>
            <w:tcW w:w="3117" w:type="dxa"/>
          </w:tcPr>
          <w:p w14:paraId="63D80725" w14:textId="77777777" w:rsidR="002B1E30" w:rsidRDefault="002B1E30" w:rsidP="00E72B4A">
            <w:r>
              <w:t>487</w:t>
            </w:r>
          </w:p>
        </w:tc>
        <w:tc>
          <w:tcPr>
            <w:tcW w:w="3117" w:type="dxa"/>
          </w:tcPr>
          <w:p w14:paraId="7196F8F8" w14:textId="77777777" w:rsidR="002B1E30" w:rsidRDefault="002B1E30" w:rsidP="00E72B4A">
            <w:r>
              <w:t>9.35</w:t>
            </w:r>
          </w:p>
        </w:tc>
      </w:tr>
      <w:tr w:rsidR="002B1E30" w14:paraId="4C6C3937" w14:textId="77777777" w:rsidTr="00E72B4A">
        <w:tc>
          <w:tcPr>
            <w:tcW w:w="3116" w:type="dxa"/>
            <w:tcBorders>
              <w:bottom w:val="single" w:sz="4" w:space="0" w:color="auto"/>
            </w:tcBorders>
          </w:tcPr>
          <w:p w14:paraId="1A5C58E0" w14:textId="77777777" w:rsidR="002B1E30" w:rsidRDefault="002B1E30" w:rsidP="00E72B4A">
            <w:r>
              <w:t>IVM Control Male</w:t>
            </w:r>
          </w:p>
        </w:tc>
        <w:tc>
          <w:tcPr>
            <w:tcW w:w="3117" w:type="dxa"/>
            <w:tcBorders>
              <w:bottom w:val="single" w:sz="4" w:space="0" w:color="auto"/>
            </w:tcBorders>
          </w:tcPr>
          <w:p w14:paraId="63CA4444" w14:textId="77777777" w:rsidR="002B1E30" w:rsidRDefault="002B1E30" w:rsidP="00E72B4A">
            <w:r>
              <w:t>574.5</w:t>
            </w:r>
          </w:p>
        </w:tc>
        <w:tc>
          <w:tcPr>
            <w:tcW w:w="3117" w:type="dxa"/>
            <w:tcBorders>
              <w:bottom w:val="single" w:sz="4" w:space="0" w:color="auto"/>
            </w:tcBorders>
          </w:tcPr>
          <w:p w14:paraId="61A9DC10" w14:textId="77777777" w:rsidR="002B1E30" w:rsidRDefault="002B1E30" w:rsidP="00E72B4A">
            <w:r>
              <w:t>9.45</w:t>
            </w:r>
          </w:p>
        </w:tc>
      </w:tr>
      <w:tr w:rsidR="002B1E30" w14:paraId="7F5EFC34" w14:textId="77777777" w:rsidTr="00E72B4A">
        <w:tc>
          <w:tcPr>
            <w:tcW w:w="9350" w:type="dxa"/>
            <w:gridSpan w:val="3"/>
            <w:tcBorders>
              <w:top w:val="single" w:sz="4" w:space="0" w:color="auto"/>
              <w:bottom w:val="single" w:sz="4" w:space="0" w:color="auto"/>
            </w:tcBorders>
          </w:tcPr>
          <w:p w14:paraId="6EDBBFEE" w14:textId="77777777" w:rsidR="002B1E30" w:rsidRPr="00584878" w:rsidRDefault="002B1E30" w:rsidP="00E72B4A">
            <w:pPr>
              <w:rPr>
                <w:i/>
              </w:rPr>
            </w:pPr>
            <w:r>
              <w:rPr>
                <w:i/>
              </w:rPr>
              <w:t>Abbreviations: IVM, ivermectin; OBZ, oxibendazole; RIN, RNA integrity number</w:t>
            </w:r>
          </w:p>
        </w:tc>
      </w:tr>
    </w:tbl>
    <w:p w14:paraId="7EE2FF7F" w14:textId="1B7BE143" w:rsidR="002B1E30" w:rsidRPr="002B1E30" w:rsidRDefault="002B1E30" w:rsidP="002B1E30">
      <w:pPr>
        <w:spacing w:after="0" w:line="240" w:lineRule="auto"/>
        <w:rPr>
          <w:b/>
          <w:sz w:val="24"/>
          <w:szCs w:val="24"/>
          <w:u w:val="single"/>
        </w:rPr>
      </w:pPr>
    </w:p>
    <w:p w14:paraId="3B4D908E" w14:textId="77777777" w:rsidR="002B1E30" w:rsidRPr="002B1E30" w:rsidRDefault="002B1E30" w:rsidP="002B1E30">
      <w:pPr>
        <w:rPr>
          <w:b/>
        </w:rPr>
      </w:pPr>
      <w:r w:rsidRPr="002B1E30">
        <w:rPr>
          <w:b/>
        </w:rPr>
        <w:t>Materials and Methods Supplementary Information</w:t>
      </w:r>
    </w:p>
    <w:p w14:paraId="29AF69C9" w14:textId="77777777" w:rsidR="002B1E30" w:rsidRPr="00E032B7" w:rsidRDefault="002B1E30" w:rsidP="002B1E30">
      <w:pPr>
        <w:spacing w:line="240" w:lineRule="auto"/>
        <w:rPr>
          <w:rFonts w:cstheme="minorHAnsi"/>
          <w:i/>
          <w:sz w:val="24"/>
          <w:szCs w:val="24"/>
        </w:rPr>
      </w:pPr>
      <w:r w:rsidRPr="00E032B7">
        <w:rPr>
          <w:rFonts w:cstheme="minorHAnsi"/>
          <w:i/>
          <w:sz w:val="24"/>
          <w:szCs w:val="24"/>
        </w:rPr>
        <w:t>2.2.1 Collection of Parascaris spp.</w:t>
      </w:r>
    </w:p>
    <w:p w14:paraId="497A0176" w14:textId="149842C8" w:rsidR="002B1E30" w:rsidRDefault="002B1E30" w:rsidP="002B1E30">
      <w:pPr>
        <w:spacing w:line="240" w:lineRule="auto"/>
        <w:rPr>
          <w:rFonts w:cstheme="minorHAnsi"/>
          <w:sz w:val="24"/>
          <w:szCs w:val="24"/>
        </w:rPr>
      </w:pPr>
      <w:r w:rsidRPr="00E032B7">
        <w:rPr>
          <w:rFonts w:cstheme="minorHAnsi"/>
          <w:sz w:val="24"/>
          <w:szCs w:val="24"/>
        </w:rPr>
        <w:tab/>
        <w:t>Collection of live worm specimens at necropsy occurred as previously described (Scare et al.</w:t>
      </w:r>
      <w:r>
        <w:rPr>
          <w:rFonts w:cstheme="minorHAnsi"/>
          <w:sz w:val="24"/>
          <w:szCs w:val="24"/>
        </w:rPr>
        <w:t>,</w:t>
      </w:r>
      <w:r w:rsidRPr="00E032B7">
        <w:rPr>
          <w:rFonts w:cstheme="minorHAnsi"/>
          <w:sz w:val="24"/>
          <w:szCs w:val="24"/>
        </w:rPr>
        <w:t xml:space="preserve"> 2018). Briefly, all worms were milked out of the small intestine </w:t>
      </w:r>
      <w:r>
        <w:rPr>
          <w:rFonts w:cstheme="minorHAnsi"/>
          <w:sz w:val="24"/>
          <w:szCs w:val="24"/>
        </w:rPr>
        <w:t>onto a mesh sieve, rinsed with room temperature (RT)</w:t>
      </w:r>
      <w:r w:rsidRPr="00E032B7">
        <w:rPr>
          <w:rFonts w:cstheme="minorHAnsi"/>
          <w:sz w:val="24"/>
          <w:szCs w:val="24"/>
        </w:rPr>
        <w:t xml:space="preserve"> tap water, and placed in a container of RT RPMI-1640. The container was placed in a water bath maintained at 37˚C for transport to the laboratory. Worms were classified as adult or L</w:t>
      </w:r>
      <w:r w:rsidRPr="00E032B7">
        <w:rPr>
          <w:rFonts w:cstheme="minorHAnsi"/>
          <w:sz w:val="24"/>
          <w:szCs w:val="24"/>
          <w:vertAlign w:val="subscript"/>
        </w:rPr>
        <w:t>4</w:t>
      </w:r>
      <w:r w:rsidRPr="00262636">
        <w:rPr>
          <w:rFonts w:cstheme="minorHAnsi"/>
          <w:sz w:val="24"/>
          <w:szCs w:val="24"/>
        </w:rPr>
        <w:t>,</w:t>
      </w:r>
      <w:r w:rsidRPr="00E032B7">
        <w:rPr>
          <w:rFonts w:cstheme="minorHAnsi"/>
          <w:sz w:val="24"/>
          <w:szCs w:val="24"/>
        </w:rPr>
        <w:t xml:space="preserve"> and adult worms were further characterized by sex as described by Scare et al. (2018). </w:t>
      </w:r>
    </w:p>
    <w:p w14:paraId="3046A1B6" w14:textId="77777777" w:rsidR="009E45FC" w:rsidRDefault="009E45FC" w:rsidP="002B1E30">
      <w:pPr>
        <w:spacing w:line="240" w:lineRule="auto"/>
        <w:rPr>
          <w:rFonts w:cstheme="minorHAnsi"/>
          <w:sz w:val="24"/>
          <w:szCs w:val="24"/>
        </w:rPr>
      </w:pPr>
    </w:p>
    <w:p w14:paraId="373CF40D" w14:textId="77777777" w:rsidR="002B1E30" w:rsidRDefault="002B1E30" w:rsidP="002B1E30">
      <w:pPr>
        <w:spacing w:line="240" w:lineRule="auto"/>
        <w:rPr>
          <w:rFonts w:cstheme="minorHAnsi"/>
          <w:i/>
          <w:sz w:val="24"/>
          <w:szCs w:val="24"/>
        </w:rPr>
      </w:pPr>
      <w:r w:rsidRPr="00CB2259">
        <w:rPr>
          <w:rFonts w:cstheme="minorHAnsi"/>
          <w:i/>
          <w:sz w:val="24"/>
          <w:szCs w:val="24"/>
        </w:rPr>
        <w:lastRenderedPageBreak/>
        <w:t>2.6.</w:t>
      </w:r>
      <w:r>
        <w:rPr>
          <w:rFonts w:cstheme="minorHAnsi"/>
          <w:i/>
          <w:sz w:val="24"/>
          <w:szCs w:val="24"/>
        </w:rPr>
        <w:t>2</w:t>
      </w:r>
      <w:r w:rsidRPr="00CB2259">
        <w:rPr>
          <w:rFonts w:cstheme="minorHAnsi"/>
          <w:i/>
          <w:sz w:val="24"/>
          <w:szCs w:val="24"/>
        </w:rPr>
        <w:t xml:space="preserve"> RNA-seq analysis</w:t>
      </w:r>
    </w:p>
    <w:p w14:paraId="386B5A89" w14:textId="77777777" w:rsidR="002B1E30" w:rsidRDefault="002B1E30" w:rsidP="00E949AD">
      <w:pPr>
        <w:spacing w:line="240" w:lineRule="auto"/>
        <w:ind w:firstLine="720"/>
        <w:rPr>
          <w:rFonts w:cstheme="minorHAnsi"/>
          <w:sz w:val="24"/>
          <w:szCs w:val="24"/>
        </w:rPr>
      </w:pPr>
      <w:r w:rsidRPr="00F346C5">
        <w:rPr>
          <w:rFonts w:cstheme="minorHAnsi"/>
          <w:sz w:val="24"/>
          <w:szCs w:val="24"/>
        </w:rPr>
        <w:t xml:space="preserve">Adaptor trimming and quality control were performed using </w:t>
      </w:r>
      <w:proofErr w:type="spellStart"/>
      <w:r w:rsidRPr="00F346C5">
        <w:rPr>
          <w:rFonts w:cstheme="minorHAnsi"/>
          <w:sz w:val="24"/>
          <w:szCs w:val="24"/>
        </w:rPr>
        <w:t>TrimGalore</w:t>
      </w:r>
      <w:proofErr w:type="spellEnd"/>
      <w:r w:rsidRPr="00F346C5">
        <w:rPr>
          <w:rFonts w:cstheme="minorHAnsi"/>
          <w:sz w:val="24"/>
          <w:szCs w:val="24"/>
        </w:rPr>
        <w:t xml:space="preserve"> Version 0.4.4 (</w:t>
      </w:r>
      <w:proofErr w:type="spellStart"/>
      <w:r w:rsidRPr="00F346C5">
        <w:rPr>
          <w:rFonts w:cstheme="minorHAnsi"/>
          <w:sz w:val="24"/>
          <w:szCs w:val="24"/>
        </w:rPr>
        <w:t>Babraham</w:t>
      </w:r>
      <w:proofErr w:type="spellEnd"/>
      <w:r w:rsidRPr="00F346C5">
        <w:rPr>
          <w:rFonts w:cstheme="minorHAnsi"/>
          <w:sz w:val="24"/>
          <w:szCs w:val="24"/>
        </w:rPr>
        <w:t xml:space="preserve"> Bioinformatics) and reads were subsequently aligned to the </w:t>
      </w:r>
      <w:r w:rsidRPr="00236964">
        <w:rPr>
          <w:rFonts w:cstheme="minorHAnsi"/>
          <w:i/>
          <w:sz w:val="24"/>
          <w:szCs w:val="24"/>
        </w:rPr>
        <w:t>Parascaris</w:t>
      </w:r>
      <w:r>
        <w:rPr>
          <w:rFonts w:cstheme="minorHAnsi"/>
          <w:sz w:val="24"/>
          <w:szCs w:val="24"/>
        </w:rPr>
        <w:t xml:space="preserve"> </w:t>
      </w:r>
      <w:r w:rsidRPr="00236964">
        <w:rPr>
          <w:rFonts w:cstheme="minorHAnsi"/>
          <w:i/>
          <w:sz w:val="24"/>
          <w:szCs w:val="24"/>
        </w:rPr>
        <w:t>univalens</w:t>
      </w:r>
      <w:r>
        <w:rPr>
          <w:rFonts w:cstheme="minorHAnsi"/>
          <w:sz w:val="24"/>
          <w:szCs w:val="24"/>
        </w:rPr>
        <w:t xml:space="preserve"> </w:t>
      </w:r>
      <w:r w:rsidRPr="00F346C5">
        <w:rPr>
          <w:rFonts w:cstheme="minorHAnsi"/>
          <w:sz w:val="24"/>
          <w:szCs w:val="24"/>
        </w:rPr>
        <w:t>reference genome</w:t>
      </w:r>
      <w:r>
        <w:rPr>
          <w:rFonts w:cstheme="minorHAnsi"/>
          <w:sz w:val="24"/>
          <w:szCs w:val="24"/>
        </w:rPr>
        <w:t xml:space="preserve"> (Wang et al., 2017)</w:t>
      </w:r>
      <w:r w:rsidRPr="00F346C5">
        <w:rPr>
          <w:rFonts w:cstheme="minorHAnsi"/>
          <w:sz w:val="24"/>
          <w:szCs w:val="24"/>
        </w:rPr>
        <w:t xml:space="preserve"> using STA</w:t>
      </w:r>
      <w:r>
        <w:rPr>
          <w:rFonts w:cstheme="minorHAnsi"/>
          <w:sz w:val="24"/>
          <w:szCs w:val="24"/>
        </w:rPr>
        <w:t>R Version 2.5b (</w:t>
      </w:r>
      <w:proofErr w:type="spellStart"/>
      <w:r>
        <w:rPr>
          <w:rFonts w:cstheme="minorHAnsi"/>
          <w:sz w:val="24"/>
          <w:szCs w:val="24"/>
        </w:rPr>
        <w:t>Dobin</w:t>
      </w:r>
      <w:proofErr w:type="spellEnd"/>
      <w:r>
        <w:rPr>
          <w:rFonts w:cstheme="minorHAnsi"/>
          <w:sz w:val="24"/>
          <w:szCs w:val="24"/>
        </w:rPr>
        <w:t xml:space="preserve"> et al., 2013)</w:t>
      </w:r>
      <w:r w:rsidRPr="00F346C5">
        <w:rPr>
          <w:rFonts w:cstheme="minorHAnsi"/>
          <w:sz w:val="24"/>
          <w:szCs w:val="24"/>
        </w:rPr>
        <w:t>.</w:t>
      </w:r>
      <w:r>
        <w:rPr>
          <w:rFonts w:cstheme="minorHAnsi"/>
          <w:sz w:val="24"/>
          <w:szCs w:val="24"/>
        </w:rPr>
        <w:t xml:space="preserve"> </w:t>
      </w:r>
      <w:r w:rsidRPr="00F346C5">
        <w:rPr>
          <w:rFonts w:cstheme="minorHAnsi"/>
          <w:sz w:val="24"/>
          <w:szCs w:val="24"/>
        </w:rPr>
        <w:t xml:space="preserve">Reads were annotated to the </w:t>
      </w:r>
      <w:r w:rsidRPr="00236964">
        <w:rPr>
          <w:rFonts w:cstheme="minorHAnsi"/>
          <w:i/>
          <w:sz w:val="24"/>
          <w:szCs w:val="24"/>
        </w:rPr>
        <w:t>Parascaris</w:t>
      </w:r>
      <w:r>
        <w:rPr>
          <w:rFonts w:cstheme="minorHAnsi"/>
          <w:sz w:val="24"/>
          <w:szCs w:val="24"/>
        </w:rPr>
        <w:t xml:space="preserve"> </w:t>
      </w:r>
      <w:r w:rsidRPr="00F346C5">
        <w:rPr>
          <w:rFonts w:cstheme="minorHAnsi"/>
          <w:sz w:val="24"/>
          <w:szCs w:val="24"/>
        </w:rPr>
        <w:t>reference transcriptome</w:t>
      </w:r>
      <w:r>
        <w:rPr>
          <w:rFonts w:cstheme="minorHAnsi"/>
          <w:sz w:val="24"/>
          <w:szCs w:val="24"/>
        </w:rPr>
        <w:t xml:space="preserve"> (Wang et al., 2017)</w:t>
      </w:r>
      <w:r w:rsidRPr="00F346C5">
        <w:rPr>
          <w:rFonts w:cstheme="minorHAnsi"/>
          <w:sz w:val="24"/>
          <w:szCs w:val="24"/>
        </w:rPr>
        <w:t xml:space="preserve"> using Cufflinks (Release 2.</w:t>
      </w:r>
      <w:r w:rsidRPr="00350D92">
        <w:rPr>
          <w:rFonts w:cstheme="minorHAnsi"/>
          <w:sz w:val="24"/>
          <w:szCs w:val="24"/>
        </w:rPr>
        <w:t>2.1) (</w:t>
      </w:r>
      <w:proofErr w:type="spellStart"/>
      <w:r w:rsidRPr="00350D92">
        <w:rPr>
          <w:rFonts w:cstheme="minorHAnsi"/>
          <w:sz w:val="24"/>
          <w:szCs w:val="24"/>
        </w:rPr>
        <w:t>Trapnell</w:t>
      </w:r>
      <w:proofErr w:type="spellEnd"/>
      <w:r w:rsidRPr="00350D92">
        <w:rPr>
          <w:rFonts w:cstheme="minorHAnsi"/>
          <w:sz w:val="24"/>
          <w:szCs w:val="24"/>
        </w:rPr>
        <w:t xml:space="preserve"> et al.,</w:t>
      </w:r>
      <w:r>
        <w:rPr>
          <w:rFonts w:cstheme="minorHAnsi"/>
          <w:sz w:val="24"/>
          <w:szCs w:val="24"/>
        </w:rPr>
        <w:t xml:space="preserve"> 2012)</w:t>
      </w:r>
      <w:r w:rsidRPr="00F346C5">
        <w:rPr>
          <w:rFonts w:cstheme="minorHAnsi"/>
          <w:sz w:val="24"/>
          <w:szCs w:val="24"/>
        </w:rPr>
        <w:t xml:space="preserve">. </w:t>
      </w:r>
      <w:r w:rsidRPr="00E032B7">
        <w:rPr>
          <w:rFonts w:cstheme="minorHAnsi"/>
          <w:sz w:val="24"/>
          <w:szCs w:val="24"/>
        </w:rPr>
        <w:t xml:space="preserve">The parasite sources used to develop the genome and transcriptome </w:t>
      </w:r>
      <w:r>
        <w:rPr>
          <w:rFonts w:cstheme="minorHAnsi"/>
          <w:sz w:val="24"/>
          <w:szCs w:val="24"/>
        </w:rPr>
        <w:t xml:space="preserve">by Wang et al. (2017) </w:t>
      </w:r>
      <w:r w:rsidRPr="00E032B7">
        <w:rPr>
          <w:rFonts w:cstheme="minorHAnsi"/>
          <w:sz w:val="24"/>
          <w:szCs w:val="24"/>
        </w:rPr>
        <w:t xml:space="preserve">were obtained from the same drug naïve </w:t>
      </w:r>
      <w:r w:rsidRPr="00E032B7">
        <w:rPr>
          <w:rFonts w:cstheme="minorHAnsi"/>
          <w:i/>
          <w:sz w:val="24"/>
          <w:szCs w:val="24"/>
        </w:rPr>
        <w:t xml:space="preserve">Parascaris </w:t>
      </w:r>
      <w:r w:rsidRPr="00E032B7">
        <w:rPr>
          <w:rFonts w:cstheme="minorHAnsi"/>
          <w:sz w:val="24"/>
          <w:szCs w:val="24"/>
        </w:rPr>
        <w:t xml:space="preserve">spp. population used in the current study (section 2.2). </w:t>
      </w:r>
      <w:r w:rsidRPr="00F346C5">
        <w:rPr>
          <w:rFonts w:cstheme="minorHAnsi"/>
          <w:sz w:val="24"/>
          <w:szCs w:val="24"/>
        </w:rPr>
        <w:t>Read counts were normalized as fragments per kilobase of exon per million mapped reads (FPKM) and differential gene expression analysis was performed on normalized read counts</w:t>
      </w:r>
      <w:r>
        <w:rPr>
          <w:rFonts w:cstheme="minorHAnsi"/>
          <w:sz w:val="24"/>
          <w:szCs w:val="24"/>
        </w:rPr>
        <w:t>.</w:t>
      </w:r>
      <w:r w:rsidRPr="0015714B">
        <w:rPr>
          <w:rFonts w:cstheme="minorHAnsi"/>
          <w:sz w:val="24"/>
          <w:szCs w:val="24"/>
        </w:rPr>
        <w:t xml:space="preserve"> </w:t>
      </w:r>
    </w:p>
    <w:p w14:paraId="6BEC13D2" w14:textId="77777777" w:rsidR="002B1E30" w:rsidRPr="00E032B7" w:rsidRDefault="002B1E30" w:rsidP="002B1E30">
      <w:pPr>
        <w:spacing w:line="240" w:lineRule="auto"/>
        <w:rPr>
          <w:rFonts w:cstheme="minorHAnsi"/>
          <w:i/>
          <w:sz w:val="24"/>
          <w:szCs w:val="24"/>
        </w:rPr>
      </w:pPr>
      <w:r w:rsidRPr="00E032B7">
        <w:rPr>
          <w:rFonts w:cstheme="minorHAnsi"/>
          <w:i/>
          <w:sz w:val="24"/>
          <w:szCs w:val="24"/>
        </w:rPr>
        <w:t>2.8 Statistical analyses</w:t>
      </w:r>
    </w:p>
    <w:p w14:paraId="5AC158E5" w14:textId="77777777" w:rsidR="002B1E30" w:rsidRPr="00E032B7" w:rsidRDefault="002B1E30" w:rsidP="002B1E30">
      <w:pPr>
        <w:spacing w:line="240" w:lineRule="auto"/>
        <w:rPr>
          <w:rFonts w:cstheme="minorHAnsi"/>
          <w:i/>
          <w:sz w:val="24"/>
          <w:szCs w:val="24"/>
        </w:rPr>
      </w:pPr>
      <w:r w:rsidRPr="00E032B7">
        <w:rPr>
          <w:rFonts w:cstheme="minorHAnsi"/>
          <w:i/>
          <w:sz w:val="24"/>
          <w:szCs w:val="24"/>
        </w:rPr>
        <w:t xml:space="preserve">2.8.1 Part 1: Initial assessment of parasite responses to </w:t>
      </w:r>
      <w:r w:rsidRPr="0037626E">
        <w:rPr>
          <w:rFonts w:cstheme="minorHAnsi"/>
          <w:sz w:val="24"/>
          <w:szCs w:val="24"/>
        </w:rPr>
        <w:t>in vitro</w:t>
      </w:r>
      <w:r w:rsidRPr="00E032B7">
        <w:rPr>
          <w:rFonts w:cstheme="minorHAnsi"/>
          <w:i/>
          <w:sz w:val="24"/>
          <w:szCs w:val="24"/>
        </w:rPr>
        <w:t xml:space="preserve"> drug exposure</w:t>
      </w:r>
    </w:p>
    <w:p w14:paraId="467C41E7" w14:textId="77777777" w:rsidR="002B1E30" w:rsidRDefault="002B1E30" w:rsidP="002B1E30">
      <w:pPr>
        <w:spacing w:line="240" w:lineRule="auto"/>
        <w:ind w:firstLine="720"/>
        <w:rPr>
          <w:rFonts w:cstheme="minorHAnsi"/>
          <w:sz w:val="24"/>
          <w:szCs w:val="24"/>
        </w:rPr>
      </w:pPr>
      <w:r>
        <w:rPr>
          <w:rFonts w:cstheme="minorHAnsi"/>
          <w:sz w:val="24"/>
          <w:szCs w:val="24"/>
        </w:rPr>
        <w:t xml:space="preserve">Two mixed model analyses with repeated measures over time were performed where ‘percent viability’ was the response variable. The first analysis examined the differences between worm stage (adult or immature) and between adult males and females. The covariates examined were ‘time’, ‘stage/sex’, and the interaction term of ‘time’*‘stage/sex’. The variable ‘drug’ was kept as a random effect. The second analysis examined the effects of drugs (IVM or OBZ) at each concentration (0.1, 1, or 10 </w:t>
      </w:r>
      <w:proofErr w:type="spellStart"/>
      <w:r>
        <w:rPr>
          <w:rFonts w:cstheme="minorHAnsi"/>
          <w:sz w:val="24"/>
          <w:szCs w:val="24"/>
        </w:rPr>
        <w:t>μg</w:t>
      </w:r>
      <w:proofErr w:type="spellEnd"/>
      <w:r>
        <w:rPr>
          <w:rFonts w:cstheme="minorHAnsi"/>
          <w:sz w:val="24"/>
          <w:szCs w:val="24"/>
        </w:rPr>
        <w:t>/mL), and RPMI-1640 and DMSO (10%) controls for all worms over time. The covariates examined were ‘time’, ‘drug/concentration’, and the interaction term of ‘time’*‘drug/concentration’. The variable ‘stage/sex’ was kept as a random effect.</w:t>
      </w:r>
      <w:bookmarkStart w:id="0" w:name="_GoBack"/>
      <w:bookmarkEnd w:id="0"/>
    </w:p>
    <w:sectPr w:rsidR="002B1E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A27A2" w14:textId="77777777" w:rsidR="004D14F4" w:rsidRDefault="004D14F4" w:rsidP="002B1E30">
      <w:pPr>
        <w:spacing w:after="0" w:line="240" w:lineRule="auto"/>
      </w:pPr>
      <w:r>
        <w:separator/>
      </w:r>
    </w:p>
  </w:endnote>
  <w:endnote w:type="continuationSeparator" w:id="0">
    <w:p w14:paraId="186A0932" w14:textId="77777777" w:rsidR="004D14F4" w:rsidRDefault="004D14F4" w:rsidP="002B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DBE0D" w14:textId="77777777" w:rsidR="004D14F4" w:rsidRDefault="004D14F4" w:rsidP="002B1E30">
      <w:pPr>
        <w:spacing w:after="0" w:line="240" w:lineRule="auto"/>
      </w:pPr>
      <w:r>
        <w:separator/>
      </w:r>
    </w:p>
  </w:footnote>
  <w:footnote w:type="continuationSeparator" w:id="0">
    <w:p w14:paraId="61964C52" w14:textId="77777777" w:rsidR="004D14F4" w:rsidRDefault="004D14F4" w:rsidP="002B1E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30"/>
    <w:rsid w:val="00103870"/>
    <w:rsid w:val="00197320"/>
    <w:rsid w:val="00210CA2"/>
    <w:rsid w:val="00244686"/>
    <w:rsid w:val="002B1E30"/>
    <w:rsid w:val="004D14F4"/>
    <w:rsid w:val="006C7BA5"/>
    <w:rsid w:val="006F7715"/>
    <w:rsid w:val="008307AD"/>
    <w:rsid w:val="00833402"/>
    <w:rsid w:val="009E45FC"/>
    <w:rsid w:val="00A303E2"/>
    <w:rsid w:val="00D12E33"/>
    <w:rsid w:val="00E949AD"/>
    <w:rsid w:val="00F16E0A"/>
    <w:rsid w:val="00F7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A4E1"/>
  <w15:chartTrackingRefBased/>
  <w15:docId w15:val="{D273AD83-F9A8-4C2E-B8BC-CA651699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E30"/>
    <w:rPr>
      <w:rFonts w:ascii="Segoe UI" w:hAnsi="Segoe UI" w:cs="Segoe UI"/>
      <w:sz w:val="18"/>
      <w:szCs w:val="18"/>
    </w:rPr>
  </w:style>
  <w:style w:type="paragraph" w:styleId="Header">
    <w:name w:val="header"/>
    <w:basedOn w:val="Normal"/>
    <w:link w:val="HeaderChar"/>
    <w:uiPriority w:val="99"/>
    <w:unhideWhenUsed/>
    <w:rsid w:val="002B1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E30"/>
  </w:style>
  <w:style w:type="paragraph" w:styleId="Footer">
    <w:name w:val="footer"/>
    <w:basedOn w:val="Normal"/>
    <w:link w:val="FooterChar"/>
    <w:uiPriority w:val="99"/>
    <w:unhideWhenUsed/>
    <w:rsid w:val="002B1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E30"/>
  </w:style>
  <w:style w:type="paragraph" w:customStyle="1" w:styleId="3vff3xh4yd">
    <w:name w:val="_3vff3xh4yd"/>
    <w:basedOn w:val="Normal"/>
    <w:rsid w:val="002B1E3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B1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Scare Kenealy</dc:creator>
  <cp:keywords/>
  <dc:description/>
  <cp:lastModifiedBy>Jessica Scare Kenealy</cp:lastModifiedBy>
  <cp:revision>9</cp:revision>
  <dcterms:created xsi:type="dcterms:W3CDTF">2019-11-15T21:18:00Z</dcterms:created>
  <dcterms:modified xsi:type="dcterms:W3CDTF">2020-01-08T19:14:00Z</dcterms:modified>
</cp:coreProperties>
</file>