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70" w:rsidRPr="007E0470" w:rsidRDefault="00B9341A" w:rsidP="00B9341A">
      <w:pPr>
        <w:spacing w:line="480" w:lineRule="auto"/>
        <w:rPr>
          <w:rFonts w:asciiTheme="majorBidi" w:eastAsia="MS Mincho" w:hAnsiTheme="majorBidi" w:cstheme="majorBidi"/>
          <w:b/>
          <w:bCs/>
          <w:color w:val="000000"/>
          <w:sz w:val="24"/>
          <w:szCs w:val="24"/>
          <w:shd w:val="clear" w:color="auto" w:fill="FFFFFF"/>
          <w:lang w:eastAsia="ja-JP" w:bidi="ar-SA"/>
        </w:rPr>
      </w:pPr>
      <w:r>
        <w:rPr>
          <w:rFonts w:asciiTheme="majorBidi" w:eastAsia="MS Mincho" w:hAnsiTheme="majorBidi" w:cstheme="majorBidi"/>
          <w:b/>
          <w:bCs/>
          <w:color w:val="000000"/>
          <w:sz w:val="24"/>
          <w:szCs w:val="24"/>
          <w:shd w:val="clear" w:color="auto" w:fill="FFFFFF"/>
          <w:lang w:eastAsia="ja-JP" w:bidi="ar-SA"/>
        </w:rPr>
        <w:t>Electronic Supplementary Material</w:t>
      </w:r>
    </w:p>
    <w:p w:rsidR="007E0470" w:rsidRPr="00BA0322" w:rsidRDefault="00533AC9" w:rsidP="007E047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color w:val="000000"/>
          <w:sz w:val="24"/>
          <w:szCs w:val="24"/>
          <w:shd w:val="clear" w:color="auto" w:fill="FFFFFF"/>
          <w:lang w:eastAsia="ja-JP" w:bidi="ar-SA"/>
        </w:rPr>
        <w:t>Flea infestation, social contact, and stress in a gregarious</w:t>
      </w:r>
      <w:r w:rsidRPr="00BA0322">
        <w:rPr>
          <w:rFonts w:asciiTheme="majorBidi" w:eastAsia="MS Mincho" w:hAnsiTheme="majorBidi" w:cstheme="majorBidi"/>
          <w:color w:val="000000"/>
          <w:sz w:val="24"/>
          <w:szCs w:val="24"/>
          <w:shd w:val="clear" w:color="auto" w:fill="FFFFFF"/>
          <w:lang w:eastAsia="ja-JP" w:bidi="ar-SA"/>
        </w:rPr>
        <w:t xml:space="preserve"> rodent</w:t>
      </w:r>
      <w:r>
        <w:rPr>
          <w:rFonts w:asciiTheme="majorBidi" w:eastAsia="MS Mincho" w:hAnsiTheme="majorBidi" w:cstheme="majorBidi"/>
          <w:color w:val="000000"/>
          <w:sz w:val="24"/>
          <w:szCs w:val="24"/>
          <w:shd w:val="clear" w:color="auto" w:fill="FFFFFF"/>
          <w:lang w:eastAsia="ja-JP" w:bidi="ar-SA"/>
        </w:rPr>
        <w:t xml:space="preserve"> species: minimizing the potential parasitic costs of group-living</w:t>
      </w:r>
    </w:p>
    <w:p w:rsidR="007E0470" w:rsidRPr="00BA0322" w:rsidRDefault="007E0470" w:rsidP="007E0470">
      <w:pPr>
        <w:spacing w:line="480" w:lineRule="auto"/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</w:pPr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 xml:space="preserve">Elizabeth M. Warburton, Irina S. </w:t>
      </w:r>
      <w:proofErr w:type="spellStart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>Kh</w:t>
      </w:r>
      <w:bookmarkStart w:id="0" w:name="_GoBack"/>
      <w:bookmarkEnd w:id="0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>okhlova</w:t>
      </w:r>
      <w:proofErr w:type="spellEnd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 xml:space="preserve">, Rupert Palme, Elena N. </w:t>
      </w:r>
      <w:proofErr w:type="spellStart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>Surkova</w:t>
      </w:r>
      <w:proofErr w:type="spellEnd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 xml:space="preserve">, Luther van der </w:t>
      </w:r>
      <w:proofErr w:type="spellStart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>Mescht</w:t>
      </w:r>
      <w:proofErr w:type="spellEnd"/>
      <w:r w:rsidRPr="00BA0322">
        <w:rPr>
          <w:rFonts w:asciiTheme="majorBidi" w:eastAsia="Times New Roman" w:hAnsiTheme="majorBidi" w:cstheme="majorBidi"/>
          <w:bCs/>
          <w:sz w:val="24"/>
          <w:szCs w:val="24"/>
          <w:lang w:val="en-GB" w:eastAsia="en-GB" w:bidi="ar-SA"/>
        </w:rPr>
        <w:t>, and Boris R. Krasnov</w:t>
      </w:r>
    </w:p>
    <w:p w:rsidR="007E0470" w:rsidRDefault="007E0470" w:rsidP="007E0470">
      <w:pPr>
        <w:spacing w:line="480" w:lineRule="auto"/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</w:pPr>
      <w:r w:rsidRPr="00BA0322"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  <w:t xml:space="preserve">Corresponding author: </w:t>
      </w:r>
      <w:r w:rsidR="002624C7" w:rsidRPr="002624C7"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  <w:t>warburte@post.bgu.ac.il</w:t>
      </w:r>
    </w:p>
    <w:p w:rsidR="002624C7" w:rsidRDefault="002624C7" w:rsidP="002624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  <w:t xml:space="preserve">Table S1. Mean score of aggressive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  <w:t>behaviors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  <w:t xml:space="preserve"> for female </w:t>
      </w:r>
      <w:proofErr w:type="spellStart"/>
      <w:r w:rsidRPr="002624C7">
        <w:rPr>
          <w:rFonts w:asciiTheme="majorBidi" w:hAnsiTheme="majorBidi" w:cstheme="majorBidi"/>
          <w:i/>
          <w:iCs/>
          <w:sz w:val="24"/>
          <w:szCs w:val="24"/>
        </w:rPr>
        <w:t>Acomys</w:t>
      </w:r>
      <w:proofErr w:type="spellEnd"/>
      <w:r w:rsidRPr="002624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624C7">
        <w:rPr>
          <w:rFonts w:asciiTheme="majorBidi" w:hAnsiTheme="majorBidi" w:cstheme="majorBidi"/>
          <w:i/>
          <w:iCs/>
          <w:sz w:val="24"/>
          <w:szCs w:val="24"/>
        </w:rPr>
        <w:t>cahirinus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housed in pairs used to determine if individuals should be considered the dominant or submissive member of the pair.</w:t>
      </w:r>
      <w:r w:rsidRPr="00262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Standard error of the mean (SEM) is included.</w:t>
      </w:r>
    </w:p>
    <w:p w:rsidR="002624C7" w:rsidRPr="002624C7" w:rsidRDefault="002624C7" w:rsidP="002624C7">
      <w:pPr>
        <w:rPr>
          <w:rFonts w:asciiTheme="majorBidi" w:eastAsia="Times New Roman" w:hAnsiTheme="majorBidi" w:cstheme="majorBidi"/>
          <w:sz w:val="24"/>
          <w:szCs w:val="24"/>
          <w:lang w:val="en-GB"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24C7" w:rsidTr="00C40986"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Individual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Mean Score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</w:t>
            </w:r>
          </w:p>
        </w:tc>
      </w:tr>
      <w:tr w:rsidR="002624C7" w:rsidTr="00C40986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Dominant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33.83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10.82</w:t>
            </w:r>
          </w:p>
        </w:tc>
      </w:tr>
      <w:tr w:rsidR="002624C7" w:rsidTr="00C40986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Submissive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C7" w:rsidRDefault="002624C7" w:rsidP="00C40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6.05</w:t>
            </w:r>
          </w:p>
        </w:tc>
      </w:tr>
    </w:tbl>
    <w:p w:rsidR="002624C7" w:rsidRDefault="002624C7" w:rsidP="00533AC9">
      <w:pPr>
        <w:rPr>
          <w:rFonts w:asciiTheme="majorBidi" w:hAnsiTheme="majorBidi" w:cstheme="majorBidi"/>
          <w:sz w:val="24"/>
          <w:szCs w:val="24"/>
        </w:rPr>
      </w:pPr>
    </w:p>
    <w:p w:rsidR="006625F1" w:rsidRDefault="00B9341A" w:rsidP="00533A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 </w:t>
      </w:r>
      <w:r w:rsidR="00533AC9">
        <w:rPr>
          <w:rFonts w:asciiTheme="majorBidi" w:hAnsiTheme="majorBidi" w:cstheme="majorBidi"/>
          <w:sz w:val="24"/>
          <w:szCs w:val="24"/>
        </w:rPr>
        <w:t>S</w:t>
      </w:r>
      <w:r w:rsidR="002624C7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2624C7">
        <w:rPr>
          <w:rFonts w:asciiTheme="majorBidi" w:hAnsiTheme="majorBidi" w:cstheme="majorBidi"/>
          <w:sz w:val="24"/>
          <w:szCs w:val="24"/>
        </w:rPr>
        <w:t xml:space="preserve">Number of female </w:t>
      </w:r>
      <w:proofErr w:type="spellStart"/>
      <w:r w:rsidR="002624C7" w:rsidRPr="002624C7">
        <w:rPr>
          <w:rFonts w:asciiTheme="majorBidi" w:hAnsiTheme="majorBidi" w:cstheme="majorBidi"/>
          <w:i/>
          <w:iCs/>
          <w:sz w:val="24"/>
          <w:szCs w:val="24"/>
        </w:rPr>
        <w:t>Acomys</w:t>
      </w:r>
      <w:proofErr w:type="spellEnd"/>
      <w:r w:rsidR="002624C7" w:rsidRPr="002624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624C7" w:rsidRPr="002624C7">
        <w:rPr>
          <w:rFonts w:asciiTheme="majorBidi" w:hAnsiTheme="majorBidi" w:cstheme="majorBidi"/>
          <w:i/>
          <w:iCs/>
          <w:sz w:val="24"/>
          <w:szCs w:val="24"/>
        </w:rPr>
        <w:t>cahirinus</w:t>
      </w:r>
      <w:proofErr w:type="spellEnd"/>
      <w:r w:rsidR="00235A6F">
        <w:rPr>
          <w:rFonts w:asciiTheme="majorBidi" w:hAnsiTheme="majorBidi" w:cstheme="majorBidi"/>
          <w:sz w:val="24"/>
          <w:szCs w:val="24"/>
        </w:rPr>
        <w:t xml:space="preserve"> in each group that </w:t>
      </w:r>
      <w:r>
        <w:rPr>
          <w:rFonts w:asciiTheme="majorBidi" w:hAnsiTheme="majorBidi" w:cstheme="majorBidi"/>
          <w:sz w:val="24"/>
          <w:szCs w:val="24"/>
        </w:rPr>
        <w:t xml:space="preserve">did and did not </w:t>
      </w:r>
      <w:r w:rsidR="00235A6F">
        <w:rPr>
          <w:rFonts w:asciiTheme="majorBidi" w:hAnsiTheme="majorBidi" w:cstheme="majorBidi"/>
          <w:sz w:val="24"/>
          <w:szCs w:val="24"/>
        </w:rPr>
        <w:t>give birth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35A6F" w:rsidRDefault="00235A6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5A6F" w:rsidTr="00B9341A"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235A6F" w:rsidRDefault="00B9341A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  <w:r w:rsidR="00235A6F">
              <w:rPr>
                <w:rFonts w:asciiTheme="majorBidi" w:hAnsiTheme="majorBidi" w:cstheme="majorBidi"/>
                <w:sz w:val="24"/>
                <w:szCs w:val="24"/>
              </w:rPr>
              <w:t xml:space="preserve"> that gave birth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235A6F" w:rsidRDefault="00B9341A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  <w:r w:rsidR="00235A6F">
              <w:rPr>
                <w:rFonts w:asciiTheme="majorBidi" w:hAnsiTheme="majorBidi" w:cstheme="majorBidi"/>
                <w:sz w:val="24"/>
                <w:szCs w:val="24"/>
              </w:rPr>
              <w:t xml:space="preserve"> that did not give birth</w:t>
            </w:r>
          </w:p>
        </w:tc>
      </w:tr>
      <w:tr w:rsidR="00235A6F" w:rsidTr="00B9341A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5A6F" w:rsidTr="00B9341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35A6F" w:rsidTr="00B9341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35A6F" w:rsidTr="00B9341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5A6F" w:rsidTr="00B9341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35A6F" w:rsidTr="00B9341A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A6F" w:rsidRDefault="00235A6F" w:rsidP="00B9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235A6F" w:rsidRDefault="00235A6F">
      <w:pPr>
        <w:rPr>
          <w:rFonts w:asciiTheme="majorBidi" w:hAnsiTheme="majorBidi" w:cstheme="majorBidi"/>
          <w:sz w:val="24"/>
          <w:szCs w:val="24"/>
        </w:rPr>
      </w:pPr>
    </w:p>
    <w:p w:rsidR="003A6BED" w:rsidRDefault="002624C7" w:rsidP="00533A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S3</w:t>
      </w:r>
      <w:r w:rsidR="003A6BED">
        <w:rPr>
          <w:rFonts w:asciiTheme="majorBidi" w:hAnsiTheme="majorBidi" w:cstheme="majorBidi"/>
          <w:sz w:val="24"/>
          <w:szCs w:val="24"/>
        </w:rPr>
        <w:t>. Mean baseline (T</w:t>
      </w:r>
      <w:r w:rsidR="003A6BED" w:rsidRPr="003A6BED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3A6BED">
        <w:rPr>
          <w:rFonts w:asciiTheme="majorBidi" w:hAnsiTheme="majorBidi" w:cstheme="majorBidi"/>
          <w:sz w:val="24"/>
          <w:szCs w:val="24"/>
        </w:rPr>
        <w:t>) fecal glucocorticoid metabolite (FGMC) concentrations at for females that gave birth and females that did not give birth. Standard error of the mean (SEM) is included.</w:t>
      </w:r>
    </w:p>
    <w:p w:rsidR="003A6BED" w:rsidRDefault="003A6BED" w:rsidP="0058553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6BED" w:rsidTr="00A26204"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3A6BED" w:rsidRDefault="003A6BED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3A6BED" w:rsidRDefault="003A6BED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FGMC at T</w:t>
            </w:r>
            <w:r w:rsidRPr="003A6BE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3A6BED" w:rsidRDefault="003A6BED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</w:t>
            </w:r>
          </w:p>
        </w:tc>
      </w:tr>
      <w:tr w:rsidR="003A6BED" w:rsidTr="00A26204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ED" w:rsidRDefault="003A6BED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Females that gave birth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ED" w:rsidRDefault="003A6BED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111.97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ED" w:rsidRDefault="00BB6390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9.40</w:t>
            </w:r>
          </w:p>
        </w:tc>
      </w:tr>
      <w:tr w:rsidR="003A6BED" w:rsidTr="00A26204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D" w:rsidRDefault="003A6BED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Females that did not give birth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D" w:rsidRDefault="00BB6390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107.99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D" w:rsidRDefault="00BB6390" w:rsidP="00A262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11.85</w:t>
            </w:r>
          </w:p>
        </w:tc>
      </w:tr>
    </w:tbl>
    <w:p w:rsidR="00A379F3" w:rsidRDefault="00A379F3" w:rsidP="00585530">
      <w:pPr>
        <w:rPr>
          <w:rFonts w:asciiTheme="majorBidi" w:hAnsiTheme="majorBidi" w:cstheme="majorBidi"/>
          <w:sz w:val="24"/>
          <w:szCs w:val="24"/>
        </w:rPr>
      </w:pPr>
    </w:p>
    <w:p w:rsidR="00A379F3" w:rsidRDefault="00A379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F6B90" w:rsidRDefault="009018C2" w:rsidP="00A379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4460875"/>
            <wp:effectExtent l="0" t="0" r="0" b="0"/>
            <wp:docPr id="3" name="Picture 3" descr="G:\Postdoc\Acomys\Parasitology Submission\Suppl 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stdoc\Acomys\Parasitology Submission\Suppl Fig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90" w:rsidRDefault="003F6B90" w:rsidP="00A379F3">
      <w:pPr>
        <w:rPr>
          <w:rFonts w:asciiTheme="majorBidi" w:hAnsiTheme="majorBidi" w:cstheme="majorBidi"/>
          <w:sz w:val="24"/>
          <w:szCs w:val="24"/>
        </w:rPr>
      </w:pPr>
    </w:p>
    <w:p w:rsidR="003F6B90" w:rsidRPr="003F6B90" w:rsidRDefault="003F6B90" w:rsidP="003F6B90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Fig.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S1. A conceptual diagram outlining steps during the experimental period before parturition takes place. After baseline measurements, females are placed into paired (P) or solitary (S) treatments. Fleas are then added to </w:t>
      </w:r>
      <w:proofErr w:type="gramStart"/>
      <w:r>
        <w:rPr>
          <w:rFonts w:asciiTheme="majorBidi" w:hAnsiTheme="majorBidi" w:cstheme="majorBidi"/>
          <w:sz w:val="24"/>
          <w:szCs w:val="24"/>
        </w:rPr>
        <w:t>infested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(I) treatment groups wh</w:t>
      </w:r>
      <w:r w:rsidR="009018C2">
        <w:rPr>
          <w:rFonts w:asciiTheme="majorBidi" w:hAnsiTheme="majorBidi" w:cstheme="majorBidi"/>
          <w:sz w:val="24"/>
          <w:szCs w:val="24"/>
        </w:rPr>
        <w:t>ile control (C)</w:t>
      </w:r>
      <w:r>
        <w:rPr>
          <w:rFonts w:asciiTheme="majorBidi" w:hAnsiTheme="majorBidi" w:cstheme="majorBidi"/>
          <w:sz w:val="24"/>
          <w:szCs w:val="24"/>
        </w:rPr>
        <w:t xml:space="preserve"> groups remain flea-free. A male is added to each cage for two weeks to allow for successful copulation and then separated from females. Finally, females in paired treatments are isolated into separate cages denot</w:t>
      </w:r>
      <w:r w:rsidR="009018C2">
        <w:rPr>
          <w:rFonts w:asciiTheme="majorBidi" w:hAnsiTheme="majorBidi" w:cstheme="majorBidi"/>
          <w:sz w:val="24"/>
          <w:szCs w:val="24"/>
        </w:rPr>
        <w:t>ing whether they are dominant (1) or submissive (2</w:t>
      </w:r>
      <w:r>
        <w:rPr>
          <w:rFonts w:asciiTheme="majorBidi" w:hAnsiTheme="majorBidi" w:cstheme="majorBidi"/>
          <w:sz w:val="24"/>
          <w:szCs w:val="24"/>
        </w:rPr>
        <w:t>) shortly before they give birth.</w:t>
      </w:r>
      <w:r w:rsidR="009018C2">
        <w:rPr>
          <w:rFonts w:asciiTheme="majorBidi" w:hAnsiTheme="majorBidi" w:cstheme="majorBidi"/>
          <w:sz w:val="24"/>
          <w:szCs w:val="24"/>
        </w:rPr>
        <w:t xml:space="preserve"> Females in solitary treatment groups have no dominance ranking (0).</w:t>
      </w:r>
    </w:p>
    <w:sectPr w:rsidR="003F6B90" w:rsidRPr="003F6B90" w:rsidSect="00F7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6F"/>
    <w:rsid w:val="00224000"/>
    <w:rsid w:val="00235A6F"/>
    <w:rsid w:val="002624C7"/>
    <w:rsid w:val="0038522E"/>
    <w:rsid w:val="003A6BED"/>
    <w:rsid w:val="003F6B90"/>
    <w:rsid w:val="00533AC9"/>
    <w:rsid w:val="00585530"/>
    <w:rsid w:val="007E0470"/>
    <w:rsid w:val="008174EC"/>
    <w:rsid w:val="009018C2"/>
    <w:rsid w:val="00A379F3"/>
    <w:rsid w:val="00B9341A"/>
    <w:rsid w:val="00BB6390"/>
    <w:rsid w:val="00C23400"/>
    <w:rsid w:val="00D42269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9C0D-CFB1-47EA-B5AD-20CD44B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2019-08-07T09:07:00Z</dcterms:created>
  <dcterms:modified xsi:type="dcterms:W3CDTF">2019-08-07T09:07:00Z</dcterms:modified>
</cp:coreProperties>
</file>