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CFD9" w14:textId="77777777" w:rsidR="00536925" w:rsidRPr="00536925" w:rsidRDefault="00536925" w:rsidP="0053692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925">
        <w:rPr>
          <w:rFonts w:ascii="Times New Roman" w:eastAsia="Times New Roman" w:hAnsi="Times New Roman" w:cs="Times New Roman"/>
          <w:sz w:val="24"/>
          <w:szCs w:val="24"/>
        </w:rPr>
        <w:t>Supplementary material. The primers used for</w:t>
      </w:r>
      <w:r w:rsidRPr="00536925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536925">
        <w:rPr>
          <w:rFonts w:ascii="Times New Roman" w:eastAsia="Times New Roman" w:hAnsi="Times New Roman" w:cs="Times New Roman"/>
          <w:sz w:val="24"/>
          <w:szCs w:val="24"/>
        </w:rPr>
        <w:t>real time RT-PCR for each gene</w:t>
      </w:r>
    </w:p>
    <w:tbl>
      <w:tblPr>
        <w:tblStyle w:val="TableGrid1"/>
        <w:tblW w:w="8949" w:type="dxa"/>
        <w:tblInd w:w="-31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101"/>
        <w:gridCol w:w="1843"/>
      </w:tblGrid>
      <w:tr w:rsidR="00536925" w:rsidRPr="00536925" w14:paraId="24A1A467" w14:textId="77777777" w:rsidTr="00536925">
        <w:tc>
          <w:tcPr>
            <w:tcW w:w="1005" w:type="dxa"/>
            <w:tcBorders>
              <w:left w:val="nil"/>
              <w:bottom w:val="single" w:sz="4" w:space="0" w:color="000000"/>
              <w:right w:val="nil"/>
            </w:tcBorders>
          </w:tcPr>
          <w:p w14:paraId="43C95C9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6101" w:type="dxa"/>
            <w:tcBorders>
              <w:left w:val="nil"/>
              <w:bottom w:val="single" w:sz="4" w:space="0" w:color="000000"/>
              <w:right w:val="nil"/>
            </w:tcBorders>
          </w:tcPr>
          <w:p w14:paraId="1EF320B9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 xml:space="preserve">Primer Sequence 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14:paraId="703B0E54" w14:textId="133F57F2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3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rence</w:t>
            </w:r>
          </w:p>
        </w:tc>
      </w:tr>
      <w:tr w:rsidR="00536925" w:rsidRPr="00536925" w14:paraId="6812F6F5" w14:textId="77777777" w:rsidTr="00536925">
        <w:tc>
          <w:tcPr>
            <w:tcW w:w="1005" w:type="dxa"/>
            <w:vMerge w:val="restart"/>
            <w:tcBorders>
              <w:bottom w:val="nil"/>
              <w:right w:val="nil"/>
            </w:tcBorders>
          </w:tcPr>
          <w:p w14:paraId="682CCEDE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eastAsia="SymbolMT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6101" w:type="dxa"/>
            <w:tcBorders>
              <w:left w:val="nil"/>
              <w:bottom w:val="nil"/>
              <w:right w:val="nil"/>
            </w:tcBorders>
          </w:tcPr>
          <w:p w14:paraId="1A09177B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S: 5′-AAGTCCCTCACCCTCCCAAAAG-3′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</w:tcBorders>
          </w:tcPr>
          <w:p w14:paraId="69D694A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Peinnequin</w:t>
            </w:r>
            <w:proofErr w:type="spellEnd"/>
            <w:r w:rsidRPr="00536925">
              <w:rPr>
                <w:rFonts w:ascii="Times New Roman" w:hAnsi="Times New Roman" w:cs="Times New Roman"/>
                <w:sz w:val="24"/>
                <w:szCs w:val="24"/>
              </w:rPr>
              <w:t xml:space="preserve"> et al., 2004</w:t>
            </w:r>
          </w:p>
        </w:tc>
      </w:tr>
      <w:tr w:rsidR="00536925" w:rsidRPr="00536925" w14:paraId="25240096" w14:textId="77777777" w:rsidTr="00536925">
        <w:tc>
          <w:tcPr>
            <w:tcW w:w="1005" w:type="dxa"/>
            <w:vMerge/>
            <w:tcBorders>
              <w:top w:val="nil"/>
              <w:bottom w:val="nil"/>
              <w:right w:val="nil"/>
            </w:tcBorders>
          </w:tcPr>
          <w:p w14:paraId="3A98F8BC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198B1512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AS: 5′-AAGCAATGCTGTCACCTTCCC-3′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07B4260A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124B56CB" w14:textId="77777777" w:rsidTr="00536925">
        <w:tc>
          <w:tcPr>
            <w:tcW w:w="1005" w:type="dxa"/>
            <w:vMerge w:val="restart"/>
            <w:tcBorders>
              <w:top w:val="nil"/>
              <w:bottom w:val="nil"/>
              <w:right w:val="nil"/>
            </w:tcBorders>
          </w:tcPr>
          <w:p w14:paraId="713741B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6FE2329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S: 5′-AAATGGGCTCCCTCTCATCAGTTC-3′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53BCEFE0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5E410B80" w14:textId="77777777" w:rsidTr="00536925">
        <w:tc>
          <w:tcPr>
            <w:tcW w:w="1005" w:type="dxa"/>
            <w:vMerge/>
            <w:tcBorders>
              <w:top w:val="nil"/>
              <w:bottom w:val="nil"/>
              <w:right w:val="nil"/>
            </w:tcBorders>
          </w:tcPr>
          <w:p w14:paraId="6F4D6B3B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0817AD33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AS: 5′-TCTGCTTGGTGGTTTGCTACGAC-3′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0F5C2D43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35670C12" w14:textId="77777777" w:rsidTr="00536925">
        <w:tc>
          <w:tcPr>
            <w:tcW w:w="1005" w:type="dxa"/>
            <w:vMerge w:val="restart"/>
            <w:tcBorders>
              <w:top w:val="nil"/>
              <w:bottom w:val="nil"/>
              <w:right w:val="nil"/>
            </w:tcBorders>
          </w:tcPr>
          <w:p w14:paraId="00631521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 xml:space="preserve">IL-6 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742E4E7A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S: 5′-TCCTACCCCAACTTCCAATGCTC-3′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2F85A711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7E5A489B" w14:textId="77777777" w:rsidTr="00536925">
        <w:tc>
          <w:tcPr>
            <w:tcW w:w="1005" w:type="dxa"/>
            <w:vMerge/>
            <w:tcBorders>
              <w:top w:val="nil"/>
              <w:bottom w:val="nil"/>
              <w:right w:val="nil"/>
            </w:tcBorders>
          </w:tcPr>
          <w:p w14:paraId="4D46E0A9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3325903B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AS: 5′- TTGGATGGTCTTGGTCCTTAGCC-3′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431B034C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18A89970" w14:textId="77777777" w:rsidTr="00536925">
        <w:tc>
          <w:tcPr>
            <w:tcW w:w="1005" w:type="dxa"/>
            <w:vMerge w:val="restart"/>
            <w:tcBorders>
              <w:top w:val="nil"/>
              <w:bottom w:val="nil"/>
              <w:right w:val="nil"/>
            </w:tcBorders>
          </w:tcPr>
          <w:p w14:paraId="68A065E1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IL-8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6C716771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S: 5′-CATTAATATTTAACGATGTGGATGCGTTTCA-3′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14:paraId="559A39C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Tong et al., 2008</w:t>
            </w:r>
          </w:p>
        </w:tc>
      </w:tr>
      <w:tr w:rsidR="00536925" w:rsidRPr="00536925" w14:paraId="6901C36D" w14:textId="77777777" w:rsidTr="00536925">
        <w:tc>
          <w:tcPr>
            <w:tcW w:w="1005" w:type="dxa"/>
            <w:vMerge/>
            <w:tcBorders>
              <w:top w:val="nil"/>
              <w:bottom w:val="nil"/>
              <w:right w:val="nil"/>
            </w:tcBorders>
          </w:tcPr>
          <w:p w14:paraId="17130BFF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50BFF2DA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AS: 5′-GCCTACCATCTTTAAACTGCACAAT-3′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6ED47E64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5" w:rsidRPr="00536925" w14:paraId="37DF405C" w14:textId="77777777" w:rsidTr="00536925">
        <w:tc>
          <w:tcPr>
            <w:tcW w:w="1005" w:type="dxa"/>
            <w:vMerge w:val="restart"/>
            <w:tcBorders>
              <w:top w:val="nil"/>
              <w:right w:val="nil"/>
            </w:tcBorders>
          </w:tcPr>
          <w:p w14:paraId="03B32B9B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iNOS</w:t>
            </w:r>
            <w:proofErr w:type="spellEnd"/>
            <w:r w:rsidRPr="0053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0B9C8838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S: 5′-TGG TCC AAC CTG CAG GTC TT -3′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14:paraId="0F227495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Long et al., 2003</w:t>
            </w:r>
          </w:p>
        </w:tc>
      </w:tr>
      <w:tr w:rsidR="00536925" w:rsidRPr="00536925" w14:paraId="7CFB4E73" w14:textId="77777777" w:rsidTr="00536925">
        <w:tc>
          <w:tcPr>
            <w:tcW w:w="1005" w:type="dxa"/>
            <w:vMerge/>
            <w:tcBorders>
              <w:right w:val="nil"/>
            </w:tcBorders>
          </w:tcPr>
          <w:p w14:paraId="0AB4E729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left w:val="nil"/>
              <w:right w:val="nil"/>
            </w:tcBorders>
          </w:tcPr>
          <w:p w14:paraId="5914CC49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5">
              <w:rPr>
                <w:rFonts w:ascii="Times New Roman" w:hAnsi="Times New Roman" w:cs="Times New Roman"/>
                <w:sz w:val="24"/>
                <w:szCs w:val="24"/>
              </w:rPr>
              <w:t>AS: 5′-CAG TAA TGG CCG ACC TGA TGT-3′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14:paraId="0DEDF5CC" w14:textId="77777777" w:rsidR="00536925" w:rsidRPr="00536925" w:rsidRDefault="00536925" w:rsidP="0053692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7253E" w14:textId="77777777" w:rsidR="00536925" w:rsidRDefault="00536925" w:rsidP="00536925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25">
        <w:rPr>
          <w:rFonts w:ascii="Times New Roman" w:eastAsia="Times New Roman" w:hAnsi="Times New Roman" w:cs="Times New Roman"/>
          <w:sz w:val="24"/>
          <w:szCs w:val="24"/>
        </w:rPr>
        <w:t>S, sense; AS, anti-sense</w:t>
      </w:r>
    </w:p>
    <w:p w14:paraId="32775226" w14:textId="77777777" w:rsidR="00A17149" w:rsidRDefault="00A17149" w:rsidP="00536925">
      <w:p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A2A74" w14:textId="77777777" w:rsidR="00A17149" w:rsidRP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a42dc7d3.B" w:hAnsi="AdvOTa42dc7d3.B" w:cs="AdvOTa42dc7d3.B"/>
          <w:b/>
          <w:color w:val="000000" w:themeColor="text1"/>
          <w:sz w:val="19"/>
          <w:szCs w:val="19"/>
          <w:lang w:val="en-IN"/>
        </w:rPr>
      </w:pPr>
      <w:r w:rsidRPr="00A17149">
        <w:rPr>
          <w:rFonts w:ascii="AdvOTa42dc7d3.B" w:hAnsi="AdvOTa42dc7d3.B" w:cs="AdvOTa42dc7d3.B"/>
          <w:b/>
          <w:color w:val="000000" w:themeColor="text1"/>
          <w:sz w:val="19"/>
          <w:szCs w:val="19"/>
          <w:lang w:val="en-IN"/>
        </w:rPr>
        <w:t>References</w:t>
      </w:r>
    </w:p>
    <w:p w14:paraId="30662BA9" w14:textId="77777777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a42dc7d3.B" w:hAnsi="AdvOTa42dc7d3.B" w:cs="AdvOTa42dc7d3.B"/>
          <w:color w:val="387B2E"/>
          <w:sz w:val="19"/>
          <w:szCs w:val="19"/>
          <w:lang w:val="en-IN"/>
        </w:rPr>
      </w:pPr>
    </w:p>
    <w:p w14:paraId="2697563F" w14:textId="36CB4D6D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lang w:val="en-IN"/>
        </w:rPr>
      </w:pPr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Long JP, Tong HH, Shannon PA and </w:t>
      </w:r>
      <w:proofErr w:type="spellStart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DeMaria</w:t>
      </w:r>
      <w:proofErr w:type="spellEnd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 TF</w:t>
      </w:r>
      <w:r>
        <w:rPr>
          <w:rFonts w:ascii="AdvOTb65e897d.B" w:hAnsi="AdvOTb65e897d.B" w:cs="AdvOTb65e897d.B"/>
          <w:sz w:val="16"/>
          <w:szCs w:val="16"/>
          <w:lang w:val="en-IN"/>
        </w:rPr>
        <w:t xml:space="preserve">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(2003) Differential expression </w:t>
      </w:r>
      <w:r>
        <w:rPr>
          <w:rFonts w:ascii="AdvOT1ef757c0" w:hAnsi="AdvOT1ef757c0" w:cs="AdvOT1ef757c0"/>
          <w:sz w:val="16"/>
          <w:szCs w:val="16"/>
          <w:lang w:val="en-IN"/>
        </w:rPr>
        <w:t>of cytokine genes and inducible nitric ox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ide synthase induced by opacity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phenotype variants of </w:t>
      </w:r>
      <w:r>
        <w:rPr>
          <w:rFonts w:ascii="AdvOT7d6df7ab.I" w:hAnsi="AdvOT7d6df7ab.I" w:cs="AdvOT7d6df7ab.I"/>
          <w:sz w:val="16"/>
          <w:szCs w:val="16"/>
          <w:lang w:val="en-IN"/>
        </w:rPr>
        <w:t xml:space="preserve">Streptococcus pneumoniae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during acute Otitis </w:t>
      </w:r>
      <w:r>
        <w:rPr>
          <w:rFonts w:ascii="AdvOT1ef757c0" w:hAnsi="AdvOT1ef757c0" w:cs="AdvOT1ef757c0"/>
          <w:sz w:val="16"/>
          <w:szCs w:val="16"/>
          <w:lang w:val="en-IN"/>
        </w:rPr>
        <w:t>media in the rat</w:t>
      </w:r>
      <w:r w:rsidRPr="00A17149">
        <w:rPr>
          <w:rFonts w:ascii="AdvOT1ef757c0" w:hAnsi="AdvOT1ef757c0" w:cs="AdvOT1ef757c0"/>
          <w:i/>
          <w:sz w:val="16"/>
          <w:szCs w:val="16"/>
          <w:lang w:val="en-IN"/>
        </w:rPr>
        <w:t xml:space="preserve">. </w:t>
      </w:r>
      <w:r w:rsidRPr="00A17149">
        <w:rPr>
          <w:rFonts w:ascii="AdvOT7d6df7ab.I" w:hAnsi="AdvOT7d6df7ab.I" w:cs="AdvOT7d6df7ab.I"/>
          <w:i/>
          <w:sz w:val="16"/>
          <w:szCs w:val="16"/>
          <w:lang w:val="en-IN"/>
        </w:rPr>
        <w:t>Infection and Immunity</w:t>
      </w:r>
      <w:r>
        <w:rPr>
          <w:rFonts w:ascii="AdvOT7d6df7ab.I" w:hAnsi="AdvOT7d6df7ab.I" w:cs="AdvOT7d6df7ab.I"/>
          <w:sz w:val="16"/>
          <w:szCs w:val="16"/>
          <w:lang w:val="en-IN"/>
        </w:rPr>
        <w:t xml:space="preserve"> </w:t>
      </w:r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71</w:t>
      </w:r>
      <w:r>
        <w:rPr>
          <w:rFonts w:ascii="AdvOT1ef757c0" w:hAnsi="AdvOT1ef757c0" w:cs="AdvOT1ef757c0"/>
          <w:sz w:val="16"/>
          <w:szCs w:val="16"/>
          <w:lang w:val="en-IN"/>
        </w:rPr>
        <w:t>, 5531</w:t>
      </w:r>
      <w:r>
        <w:rPr>
          <w:rFonts w:ascii="AdvOT1ef757c0+20" w:hAnsi="AdvOT1ef757c0+20" w:cs="AdvOT1ef757c0+20"/>
          <w:sz w:val="16"/>
          <w:szCs w:val="16"/>
          <w:lang w:val="en-IN"/>
        </w:rPr>
        <w:t>–</w:t>
      </w:r>
      <w:r>
        <w:rPr>
          <w:rFonts w:ascii="AdvOT1ef757c0" w:hAnsi="AdvOT1ef757c0" w:cs="AdvOT1ef757c0"/>
          <w:sz w:val="16"/>
          <w:szCs w:val="16"/>
          <w:lang w:val="en-IN"/>
        </w:rPr>
        <w:t>5540.</w:t>
      </w:r>
    </w:p>
    <w:p w14:paraId="4C0115C2" w14:textId="77777777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lang w:val="en-IN"/>
        </w:rPr>
      </w:pPr>
    </w:p>
    <w:p w14:paraId="4245A256" w14:textId="77777777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lang w:val="en-IN"/>
        </w:rPr>
      </w:pPr>
      <w:proofErr w:type="spellStart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Peinnequin</w:t>
      </w:r>
      <w:proofErr w:type="spellEnd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 A, </w:t>
      </w:r>
      <w:proofErr w:type="spellStart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Mouret</w:t>
      </w:r>
      <w:proofErr w:type="spellEnd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 C, </w:t>
      </w:r>
      <w:proofErr w:type="spellStart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Birot</w:t>
      </w:r>
      <w:proofErr w:type="spellEnd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 O, </w:t>
      </w:r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 xml:space="preserve">Alonso A, Mathieu J, </w:t>
      </w:r>
      <w:proofErr w:type="spellStart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>Clarençon</w:t>
      </w:r>
      <w:proofErr w:type="spellEnd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 xml:space="preserve"> D, </w:t>
      </w:r>
      <w:proofErr w:type="spellStart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>Agay</w:t>
      </w:r>
      <w:proofErr w:type="spellEnd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 xml:space="preserve"> D, </w:t>
      </w:r>
      <w:proofErr w:type="spellStart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>Chancerelle</w:t>
      </w:r>
      <w:proofErr w:type="spellEnd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 xml:space="preserve"> Y and </w:t>
      </w:r>
      <w:proofErr w:type="spellStart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>Multon</w:t>
      </w:r>
      <w:proofErr w:type="spellEnd"/>
      <w:r w:rsidRPr="00A17149">
        <w:rPr>
          <w:rFonts w:ascii="Tahoma" w:hAnsi="Tahoma" w:cs="Tahoma"/>
          <w:b/>
          <w:color w:val="000000"/>
          <w:sz w:val="16"/>
          <w:szCs w:val="16"/>
          <w:lang w:val="en-IN"/>
        </w:rPr>
        <w:t xml:space="preserve"> E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(2004) </w:t>
      </w:r>
    </w:p>
    <w:p w14:paraId="5D93D28F" w14:textId="0C9F0D66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lang w:val="en-IN"/>
        </w:rPr>
      </w:pPr>
      <w:r>
        <w:rPr>
          <w:rFonts w:ascii="AdvOT1ef757c0" w:hAnsi="AdvOT1ef757c0" w:cs="AdvOT1ef757c0"/>
          <w:sz w:val="16"/>
          <w:szCs w:val="16"/>
          <w:lang w:val="en-IN"/>
        </w:rPr>
        <w:t xml:space="preserve">Rat pro-inflammatory cytokine </w:t>
      </w:r>
      <w:r>
        <w:rPr>
          <w:rFonts w:ascii="AdvOT1ef757c0" w:hAnsi="AdvOT1ef757c0" w:cs="AdvOT1ef757c0"/>
          <w:sz w:val="16"/>
          <w:szCs w:val="16"/>
          <w:lang w:val="en-IN"/>
        </w:rPr>
        <w:t>and cytokine related mRNA quantif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ication by real-time polymerase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chain reaction using SYBR green. </w:t>
      </w:r>
      <w:r w:rsidRPr="00A17149">
        <w:rPr>
          <w:rFonts w:ascii="AdvOT7d6df7ab.I" w:hAnsi="AdvOT7d6df7ab.I" w:cs="AdvOT7d6df7ab.I"/>
          <w:i/>
          <w:sz w:val="16"/>
          <w:szCs w:val="16"/>
          <w:lang w:val="en-IN"/>
        </w:rPr>
        <w:t>BMC Immunology</w:t>
      </w:r>
      <w:r>
        <w:rPr>
          <w:rFonts w:ascii="AdvOT7d6df7ab.I" w:hAnsi="AdvOT7d6df7ab.I" w:cs="AdvOT7d6df7ab.I"/>
          <w:sz w:val="16"/>
          <w:szCs w:val="16"/>
          <w:lang w:val="en-IN"/>
        </w:rPr>
        <w:t xml:space="preserve"> </w:t>
      </w:r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5</w:t>
      </w:r>
      <w:r>
        <w:rPr>
          <w:rFonts w:ascii="AdvOT1ef757c0" w:hAnsi="AdvOT1ef757c0" w:cs="AdvOT1ef757c0"/>
          <w:sz w:val="16"/>
          <w:szCs w:val="16"/>
          <w:lang w:val="en-IN"/>
        </w:rPr>
        <w:t>, 3.</w:t>
      </w:r>
    </w:p>
    <w:p w14:paraId="13818FF8" w14:textId="77777777" w:rsid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lang w:val="en-IN"/>
        </w:rPr>
      </w:pPr>
    </w:p>
    <w:p w14:paraId="6C7CCDDF" w14:textId="25449D73" w:rsidR="00A17149" w:rsidRPr="00A17149" w:rsidRDefault="00A17149" w:rsidP="00A17149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  <w:rtl/>
          <w:lang w:val="en-IN"/>
        </w:rPr>
      </w:pPr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Tong HH, Chen Y, Liu X and </w:t>
      </w:r>
      <w:proofErr w:type="spellStart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DeMaria</w:t>
      </w:r>
      <w:proofErr w:type="spellEnd"/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 xml:space="preserve"> TF</w:t>
      </w:r>
      <w:r>
        <w:rPr>
          <w:rFonts w:ascii="AdvOTb65e897d.B" w:hAnsi="AdvOTb65e897d.B" w:cs="AdvOTb65e897d.B"/>
          <w:sz w:val="16"/>
          <w:szCs w:val="16"/>
          <w:lang w:val="en-IN"/>
        </w:rPr>
        <w:t xml:space="preserve"> </w:t>
      </w:r>
      <w:r>
        <w:rPr>
          <w:rFonts w:ascii="AdvOT1ef757c0" w:hAnsi="AdvOT1ef757c0" w:cs="AdvOT1ef757c0"/>
          <w:sz w:val="16"/>
          <w:szCs w:val="16"/>
          <w:lang w:val="en-IN"/>
        </w:rPr>
        <w:t>(2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008) Differential expression of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cytokine genes and </w:t>
      </w:r>
      <w:proofErr w:type="spellStart"/>
      <w:r>
        <w:rPr>
          <w:rFonts w:ascii="AdvOT1ef757c0" w:hAnsi="AdvOT1ef757c0" w:cs="AdvOT1ef757c0"/>
          <w:sz w:val="16"/>
          <w:szCs w:val="16"/>
          <w:lang w:val="en-IN"/>
        </w:rPr>
        <w:t>iNOS</w:t>
      </w:r>
      <w:proofErr w:type="spellEnd"/>
      <w:r>
        <w:rPr>
          <w:rFonts w:ascii="AdvOT1ef757c0" w:hAnsi="AdvOT1ef757c0" w:cs="AdvOT1ef757c0"/>
          <w:sz w:val="16"/>
          <w:szCs w:val="16"/>
          <w:lang w:val="en-IN"/>
        </w:rPr>
        <w:t xml:space="preserve"> induced by non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viable </w:t>
      </w:r>
      <w:proofErr w:type="spellStart"/>
      <w:r>
        <w:rPr>
          <w:rFonts w:ascii="AdvOT1ef757c0" w:hAnsi="AdvOT1ef757c0" w:cs="AdvOT1ef757c0"/>
          <w:sz w:val="16"/>
          <w:szCs w:val="16"/>
          <w:lang w:val="en-IN"/>
        </w:rPr>
        <w:t>NTHi</w:t>
      </w:r>
      <w:proofErr w:type="spellEnd"/>
      <w:r>
        <w:rPr>
          <w:rFonts w:ascii="AdvOT1ef757c0" w:hAnsi="AdvOT1ef757c0" w:cs="AdvOT1ef757c0"/>
          <w:sz w:val="16"/>
          <w:szCs w:val="16"/>
          <w:lang w:val="en-IN"/>
        </w:rPr>
        <w:t xml:space="preserve"> bacteria or its LOS 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mutants in the rat model of otitis media. </w:t>
      </w:r>
      <w:r w:rsidRPr="00A17149">
        <w:rPr>
          <w:rFonts w:ascii="AdvOT7d6df7ab.I" w:hAnsi="AdvOT7d6df7ab.I" w:cs="AdvOT7d6df7ab.I"/>
          <w:i/>
          <w:sz w:val="16"/>
          <w:szCs w:val="16"/>
          <w:lang w:val="en-IN"/>
        </w:rPr>
        <w:t>International Journal of</w:t>
      </w:r>
      <w:r>
        <w:rPr>
          <w:rFonts w:ascii="AdvOT1ef757c0" w:hAnsi="AdvOT1ef757c0" w:cs="AdvOT1ef757c0"/>
          <w:sz w:val="16"/>
          <w:szCs w:val="16"/>
          <w:lang w:val="en-IN"/>
        </w:rPr>
        <w:t xml:space="preserve"> </w:t>
      </w:r>
      <w:proofErr w:type="spellStart"/>
      <w:r w:rsidRPr="00A17149">
        <w:rPr>
          <w:rFonts w:ascii="AdvOT7d6df7ab.I" w:hAnsi="AdvOT7d6df7ab.I" w:cs="AdvOT7d6df7ab.I"/>
          <w:i/>
          <w:sz w:val="16"/>
          <w:szCs w:val="16"/>
          <w:lang w:val="en-IN"/>
        </w:rPr>
        <w:t>Pediatric</w:t>
      </w:r>
      <w:proofErr w:type="spellEnd"/>
      <w:r w:rsidRPr="00A17149">
        <w:rPr>
          <w:rFonts w:ascii="AdvOT7d6df7ab.I" w:hAnsi="AdvOT7d6df7ab.I" w:cs="AdvOT7d6df7ab.I"/>
          <w:i/>
          <w:sz w:val="16"/>
          <w:szCs w:val="16"/>
          <w:lang w:val="en-IN"/>
        </w:rPr>
        <w:t xml:space="preserve"> Otorhinolaryngology</w:t>
      </w:r>
      <w:r>
        <w:rPr>
          <w:rFonts w:ascii="AdvOT7d6df7ab.I" w:hAnsi="AdvOT7d6df7ab.I" w:cs="AdvOT7d6df7ab.I"/>
          <w:sz w:val="16"/>
          <w:szCs w:val="16"/>
          <w:lang w:val="en-IN"/>
        </w:rPr>
        <w:t xml:space="preserve"> </w:t>
      </w:r>
      <w:r w:rsidRPr="00A17149">
        <w:rPr>
          <w:rFonts w:ascii="AdvOTb65e897d.B" w:hAnsi="AdvOTb65e897d.B" w:cs="AdvOTb65e897d.B"/>
          <w:b/>
          <w:sz w:val="16"/>
          <w:szCs w:val="16"/>
          <w:lang w:val="en-IN"/>
        </w:rPr>
        <w:t>72</w:t>
      </w:r>
      <w:r>
        <w:rPr>
          <w:rFonts w:ascii="AdvOT1ef757c0" w:hAnsi="AdvOT1ef757c0" w:cs="AdvOT1ef757c0"/>
          <w:sz w:val="16"/>
          <w:szCs w:val="16"/>
          <w:lang w:val="en-IN"/>
        </w:rPr>
        <w:t>, 1183</w:t>
      </w:r>
      <w:r>
        <w:rPr>
          <w:rFonts w:ascii="AdvOT1ef757c0+20" w:hAnsi="AdvOT1ef757c0+20" w:cs="AdvOT1ef757c0+20"/>
          <w:sz w:val="16"/>
          <w:szCs w:val="16"/>
          <w:lang w:val="en-IN"/>
        </w:rPr>
        <w:t>–</w:t>
      </w:r>
      <w:r>
        <w:rPr>
          <w:rFonts w:ascii="AdvOT1ef757c0" w:hAnsi="AdvOT1ef757c0" w:cs="AdvOT1ef757c0"/>
          <w:sz w:val="16"/>
          <w:szCs w:val="16"/>
          <w:lang w:val="en-IN"/>
        </w:rPr>
        <w:t>1191.</w:t>
      </w:r>
    </w:p>
    <w:p w14:paraId="0C5841C6" w14:textId="77777777" w:rsidR="003440D5" w:rsidRDefault="003440D5">
      <w:bookmarkStart w:id="0" w:name="_GoBack"/>
      <w:bookmarkEnd w:id="0"/>
    </w:p>
    <w:sectPr w:rsidR="003440D5" w:rsidSect="002D53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a42dc7d3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d6df7ab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f757c0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5"/>
    <w:rsid w:val="002D5311"/>
    <w:rsid w:val="003440D5"/>
    <w:rsid w:val="00536925"/>
    <w:rsid w:val="009836A9"/>
    <w:rsid w:val="00996AA9"/>
    <w:rsid w:val="009D0AC8"/>
    <w:rsid w:val="00A17149"/>
    <w:rsid w:val="00CA5C0A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656F"/>
  <w15:chartTrackingRefBased/>
  <w15:docId w15:val="{579F1267-4F87-4CC1-835F-66A4E03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692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3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LOGIDASAN P.</cp:lastModifiedBy>
  <cp:revision>2</cp:revision>
  <dcterms:created xsi:type="dcterms:W3CDTF">2019-05-08T15:37:00Z</dcterms:created>
  <dcterms:modified xsi:type="dcterms:W3CDTF">2019-05-29T03:16:00Z</dcterms:modified>
</cp:coreProperties>
</file>