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0F" w:rsidRPr="00944424" w:rsidRDefault="0056180F" w:rsidP="001F1C3C">
      <w:pPr>
        <w:spacing w:before="100" w:beforeAutospacing="1" w:after="100" w:afterAutospacing="1"/>
        <w:ind w:left="993" w:hanging="993"/>
        <w:rPr>
          <w:lang w:val="en-US"/>
        </w:rPr>
      </w:pPr>
      <w:r w:rsidRPr="001F1C3C">
        <w:rPr>
          <w:b/>
          <w:lang w:val="en-US"/>
        </w:rPr>
        <w:t xml:space="preserve">Table </w:t>
      </w:r>
      <w:r w:rsidR="00E10D21" w:rsidRPr="001F1C3C">
        <w:rPr>
          <w:b/>
          <w:lang w:val="en-US"/>
        </w:rPr>
        <w:t>S1</w:t>
      </w:r>
      <w:r w:rsidRPr="001F1C3C">
        <w:rPr>
          <w:b/>
          <w:lang w:val="en-US"/>
        </w:rPr>
        <w:t>.</w:t>
      </w:r>
      <w:r w:rsidRPr="00944424">
        <w:rPr>
          <w:lang w:val="en-US"/>
        </w:rPr>
        <w:t xml:space="preserve"> </w:t>
      </w:r>
      <w:r w:rsidR="00584569">
        <w:rPr>
          <w:lang w:val="en-US"/>
        </w:rPr>
        <w:t>Regression coefficient, standard error for regression coefficient, standardiz</w:t>
      </w:r>
      <w:r w:rsidR="00E31BDA">
        <w:rPr>
          <w:lang w:val="en-US"/>
        </w:rPr>
        <w:t xml:space="preserve">ed regression coefficient as </w:t>
      </w:r>
      <w:r w:rsidR="00584569">
        <w:rPr>
          <w:lang w:val="en-US"/>
        </w:rPr>
        <w:t>effect size index</w:t>
      </w:r>
      <w:r w:rsidR="000751F1">
        <w:rPr>
          <w:lang w:val="en-US"/>
        </w:rPr>
        <w:t xml:space="preserve"> (Z-value)</w:t>
      </w:r>
      <w:r w:rsidR="00584569">
        <w:rPr>
          <w:lang w:val="en-US"/>
        </w:rPr>
        <w:t xml:space="preserve">, and </w:t>
      </w:r>
      <w:r w:rsidR="000751F1">
        <w:rPr>
          <w:lang w:val="en-US"/>
        </w:rPr>
        <w:t>the</w:t>
      </w:r>
      <w:r w:rsidR="00584569">
        <w:rPr>
          <w:lang w:val="en-US"/>
        </w:rPr>
        <w:t xml:space="preserve"> P-value, </w:t>
      </w:r>
      <w:r w:rsidR="000751F1">
        <w:rPr>
          <w:lang w:val="en-US"/>
        </w:rPr>
        <w:t xml:space="preserve">corresponding </w:t>
      </w:r>
      <w:r w:rsidR="003A4D1F">
        <w:rPr>
          <w:lang w:val="en-US"/>
        </w:rPr>
        <w:t xml:space="preserve">to </w:t>
      </w:r>
      <w:r w:rsidR="000751F1">
        <w:rPr>
          <w:lang w:val="en-US"/>
        </w:rPr>
        <w:t>each predictor</w:t>
      </w:r>
      <w:r w:rsidR="00584569">
        <w:rPr>
          <w:lang w:val="en-US"/>
        </w:rPr>
        <w:t xml:space="preserve"> included in the most </w:t>
      </w:r>
      <w:r w:rsidR="00584569" w:rsidRPr="00944424">
        <w:rPr>
          <w:lang w:val="en-US"/>
        </w:rPr>
        <w:t>plausible models explaining the variation on bat and bat</w:t>
      </w:r>
      <w:r w:rsidR="00584569">
        <w:rPr>
          <w:lang w:val="en-US"/>
        </w:rPr>
        <w:t xml:space="preserve"> </w:t>
      </w:r>
      <w:r w:rsidR="00584569" w:rsidRPr="00944424">
        <w:rPr>
          <w:lang w:val="en-US"/>
        </w:rPr>
        <w:t>fly assemblages, as well as on</w:t>
      </w:r>
      <w:r w:rsidR="00584569">
        <w:rPr>
          <w:lang w:val="en-US"/>
        </w:rPr>
        <w:t xml:space="preserve"> the interaction network.</w:t>
      </w:r>
      <w:r w:rsidRPr="00944424">
        <w:rPr>
          <w:lang w:val="en-US"/>
        </w:rPr>
        <w:t xml:space="preserve"> </w:t>
      </w:r>
    </w:p>
    <w:tbl>
      <w:tblPr>
        <w:tblStyle w:val="Tablaconcuadrcula"/>
        <w:tblW w:w="14269" w:type="dxa"/>
        <w:tblLayout w:type="fixed"/>
        <w:tblLook w:val="04A0" w:firstRow="1" w:lastRow="0" w:firstColumn="1" w:lastColumn="0" w:noHBand="0" w:noVBand="1"/>
      </w:tblPr>
      <w:tblGrid>
        <w:gridCol w:w="1987"/>
        <w:gridCol w:w="2268"/>
        <w:gridCol w:w="5245"/>
        <w:gridCol w:w="1275"/>
        <w:gridCol w:w="1276"/>
        <w:gridCol w:w="1276"/>
        <w:gridCol w:w="942"/>
      </w:tblGrid>
      <w:tr w:rsidR="000D7F40" w:rsidRPr="00263889" w:rsidTr="000D7F40">
        <w:trPr>
          <w:trHeight w:val="582"/>
        </w:trPr>
        <w:tc>
          <w:tcPr>
            <w:tcW w:w="1987" w:type="dxa"/>
            <w:shd w:val="clear" w:color="auto" w:fill="auto"/>
          </w:tcPr>
          <w:p w:rsidR="00263889" w:rsidRPr="00263889" w:rsidRDefault="00263889" w:rsidP="00215034">
            <w:pPr>
              <w:spacing w:line="480" w:lineRule="auto"/>
              <w:rPr>
                <w:b/>
                <w:sz w:val="20"/>
                <w:szCs w:val="20"/>
                <w:lang w:val="en-US"/>
              </w:rPr>
            </w:pPr>
            <w:r w:rsidRPr="00263889">
              <w:rPr>
                <w:b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2268" w:type="dxa"/>
            <w:shd w:val="clear" w:color="auto" w:fill="auto"/>
          </w:tcPr>
          <w:p w:rsidR="00263889" w:rsidRPr="00263889" w:rsidRDefault="00263889" w:rsidP="00215034">
            <w:pPr>
              <w:spacing w:line="480" w:lineRule="auto"/>
              <w:rPr>
                <w:b/>
                <w:sz w:val="20"/>
                <w:szCs w:val="20"/>
                <w:lang w:val="en-US"/>
              </w:rPr>
            </w:pPr>
            <w:r w:rsidRPr="00263889">
              <w:rPr>
                <w:b/>
                <w:sz w:val="20"/>
                <w:szCs w:val="20"/>
                <w:lang w:val="en-US"/>
              </w:rPr>
              <w:t>Group-level predictors</w:t>
            </w:r>
          </w:p>
        </w:tc>
        <w:tc>
          <w:tcPr>
            <w:tcW w:w="5245" w:type="dxa"/>
            <w:shd w:val="clear" w:color="auto" w:fill="auto"/>
          </w:tcPr>
          <w:p w:rsidR="00263889" w:rsidRPr="00263889" w:rsidRDefault="00263889" w:rsidP="00474FAB">
            <w:pPr>
              <w:spacing w:line="48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Coefficient (standard error)</w:t>
            </w:r>
          </w:p>
        </w:tc>
        <w:tc>
          <w:tcPr>
            <w:tcW w:w="4769" w:type="dxa"/>
            <w:gridSpan w:val="4"/>
            <w:shd w:val="clear" w:color="auto" w:fill="auto"/>
          </w:tcPr>
          <w:p w:rsidR="00263889" w:rsidRPr="00263889" w:rsidRDefault="00263889" w:rsidP="00474FAB">
            <w:pPr>
              <w:spacing w:line="480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63889">
              <w:rPr>
                <w:b/>
                <w:i/>
                <w:sz w:val="20"/>
                <w:szCs w:val="20"/>
                <w:lang w:val="en-US"/>
              </w:rPr>
              <w:t>Z</w:t>
            </w:r>
            <w:r w:rsidR="00E451CD">
              <w:rPr>
                <w:b/>
                <w:i/>
                <w:sz w:val="20"/>
                <w:szCs w:val="20"/>
                <w:lang w:val="en-US"/>
              </w:rPr>
              <w:t>-</w:t>
            </w:r>
            <w:r w:rsidR="00474FAB">
              <w:rPr>
                <w:b/>
                <w:i/>
                <w:sz w:val="20"/>
                <w:szCs w:val="20"/>
                <w:lang w:val="en-US"/>
              </w:rPr>
              <w:t>value;</w:t>
            </w:r>
            <w:r w:rsidRPr="00263889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E451CD">
              <w:rPr>
                <w:b/>
                <w:i/>
                <w:sz w:val="20"/>
                <w:szCs w:val="20"/>
                <w:lang w:val="en-US"/>
              </w:rPr>
              <w:t>P-</w:t>
            </w:r>
            <w:r w:rsidRPr="00263889">
              <w:rPr>
                <w:b/>
                <w:i/>
                <w:sz w:val="20"/>
                <w:szCs w:val="20"/>
                <w:lang w:val="en-US"/>
              </w:rPr>
              <w:t>value</w:t>
            </w:r>
          </w:p>
        </w:tc>
      </w:tr>
      <w:tr w:rsidR="000D7F40" w:rsidRPr="00263889" w:rsidTr="000D7F40">
        <w:trPr>
          <w:trHeight w:val="283"/>
        </w:trPr>
        <w:tc>
          <w:tcPr>
            <w:tcW w:w="1987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b/>
                <w:i/>
                <w:sz w:val="20"/>
                <w:szCs w:val="20"/>
                <w:lang w:val="en-US"/>
              </w:rPr>
            </w:pPr>
            <w:r w:rsidRPr="00263889">
              <w:rPr>
                <w:b/>
                <w:i/>
                <w:sz w:val="20"/>
                <w:szCs w:val="20"/>
                <w:lang w:val="en-US"/>
              </w:rPr>
              <w:t>Bat assemblage</w:t>
            </w:r>
          </w:p>
        </w:tc>
        <w:tc>
          <w:tcPr>
            <w:tcW w:w="2268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56180F" w:rsidRPr="00263889" w:rsidRDefault="00263889" w:rsidP="00392BD4">
            <w:pPr>
              <w:spacing w:line="48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63889">
              <w:rPr>
                <w:b/>
                <w:sz w:val="20"/>
                <w:szCs w:val="20"/>
                <w:lang w:val="en-US"/>
              </w:rPr>
              <w:t>Pred. 1</w:t>
            </w:r>
          </w:p>
        </w:tc>
        <w:tc>
          <w:tcPr>
            <w:tcW w:w="1276" w:type="dxa"/>
            <w:shd w:val="clear" w:color="auto" w:fill="auto"/>
          </w:tcPr>
          <w:p w:rsidR="0056180F" w:rsidRPr="00263889" w:rsidRDefault="00263889" w:rsidP="00392BD4">
            <w:pPr>
              <w:spacing w:line="48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63889">
              <w:rPr>
                <w:b/>
                <w:sz w:val="20"/>
                <w:szCs w:val="20"/>
                <w:lang w:val="en-US"/>
              </w:rPr>
              <w:t>Pred. 2</w:t>
            </w:r>
          </w:p>
        </w:tc>
        <w:tc>
          <w:tcPr>
            <w:tcW w:w="1276" w:type="dxa"/>
            <w:shd w:val="clear" w:color="auto" w:fill="auto"/>
          </w:tcPr>
          <w:p w:rsidR="0056180F" w:rsidRPr="00263889" w:rsidRDefault="00263889" w:rsidP="00392BD4">
            <w:pPr>
              <w:spacing w:line="48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63889">
              <w:rPr>
                <w:b/>
                <w:sz w:val="20"/>
                <w:szCs w:val="20"/>
                <w:lang w:val="en-US"/>
              </w:rPr>
              <w:t>Pred. 3</w:t>
            </w:r>
          </w:p>
        </w:tc>
        <w:tc>
          <w:tcPr>
            <w:tcW w:w="942" w:type="dxa"/>
            <w:shd w:val="clear" w:color="auto" w:fill="auto"/>
          </w:tcPr>
          <w:p w:rsidR="0056180F" w:rsidRPr="00263889" w:rsidRDefault="00263889" w:rsidP="00392BD4">
            <w:pPr>
              <w:spacing w:line="48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63889">
              <w:rPr>
                <w:b/>
                <w:sz w:val="20"/>
                <w:szCs w:val="20"/>
                <w:lang w:val="en-US"/>
              </w:rPr>
              <w:t>Pred. 4</w:t>
            </w:r>
          </w:p>
        </w:tc>
      </w:tr>
      <w:tr w:rsidR="000D7F40" w:rsidRPr="00263889" w:rsidTr="000D7F40">
        <w:trPr>
          <w:trHeight w:val="525"/>
        </w:trPr>
        <w:tc>
          <w:tcPr>
            <w:tcW w:w="1987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 xml:space="preserve">   Ab</w:t>
            </w:r>
          </w:p>
        </w:tc>
        <w:tc>
          <w:tcPr>
            <w:tcW w:w="2268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 xml:space="preserve">Vegetation structure </w:t>
            </w:r>
          </w:p>
        </w:tc>
        <w:tc>
          <w:tcPr>
            <w:tcW w:w="5245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0.07</w:t>
            </w:r>
            <w:r w:rsidR="00474FAB">
              <w:rPr>
                <w:sz w:val="20"/>
                <w:szCs w:val="20"/>
                <w:lang w:val="en-US"/>
              </w:rPr>
              <w:t xml:space="preserve"> (0.02)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  <w:r w:rsidRPr="00263889">
              <w:rPr>
                <w:b/>
                <w:sz w:val="20"/>
                <w:szCs w:val="20"/>
                <w:lang w:val="en-US"/>
              </w:rPr>
              <w:t>MDS</w:t>
            </w:r>
            <w:r w:rsidRPr="00263889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Pr="00263889">
              <w:rPr>
                <w:sz w:val="20"/>
                <w:szCs w:val="20"/>
                <w:lang w:val="en-US"/>
              </w:rPr>
              <w:t xml:space="preserve"> – 0.18</w:t>
            </w:r>
            <w:r w:rsidR="00474FAB">
              <w:rPr>
                <w:sz w:val="20"/>
                <w:szCs w:val="20"/>
                <w:lang w:val="en-US"/>
              </w:rPr>
              <w:t xml:space="preserve"> (0.03) </w:t>
            </w:r>
            <w:r w:rsidRPr="00263889">
              <w:rPr>
                <w:b/>
                <w:sz w:val="20"/>
                <w:szCs w:val="20"/>
                <w:lang w:val="en-US"/>
              </w:rPr>
              <w:t>MDS</w:t>
            </w:r>
            <w:r w:rsidRPr="00263889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6180F" w:rsidRPr="000D7F40" w:rsidRDefault="00474FAB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 xml:space="preserve">4.20; </w:t>
            </w:r>
            <w:r w:rsidR="000D7F40" w:rsidRPr="000D7F40">
              <w:rPr>
                <w:sz w:val="18"/>
                <w:szCs w:val="20"/>
                <w:lang w:val="en-US"/>
              </w:rPr>
              <w:t>&lt;</w:t>
            </w:r>
            <w:r w:rsidR="003452EA" w:rsidRPr="000D7F40">
              <w:rPr>
                <w:sz w:val="18"/>
                <w:szCs w:val="20"/>
                <w:lang w:val="en-US"/>
              </w:rPr>
              <w:t>0</w:t>
            </w:r>
            <w:r w:rsidR="000D7F40" w:rsidRPr="000D7F40">
              <w:rPr>
                <w:sz w:val="18"/>
                <w:szCs w:val="20"/>
                <w:lang w:val="en-US"/>
              </w:rPr>
              <w:t>.001</w:t>
            </w:r>
          </w:p>
        </w:tc>
        <w:tc>
          <w:tcPr>
            <w:tcW w:w="1276" w:type="dxa"/>
            <w:shd w:val="clear" w:color="auto" w:fill="auto"/>
          </w:tcPr>
          <w:p w:rsidR="0056180F" w:rsidRPr="000D7F40" w:rsidRDefault="007B67AA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 xml:space="preserve">– </w:t>
            </w:r>
            <w:r w:rsidR="003452EA" w:rsidRPr="000D7F40">
              <w:rPr>
                <w:sz w:val="18"/>
                <w:szCs w:val="20"/>
                <w:lang w:val="en-US"/>
              </w:rPr>
              <w:t xml:space="preserve">5.90; </w:t>
            </w:r>
            <w:r w:rsidR="000D7F40" w:rsidRPr="000D7F40">
              <w:rPr>
                <w:sz w:val="18"/>
                <w:szCs w:val="20"/>
                <w:lang w:val="en-US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263889" w:rsidTr="000D7F40">
        <w:trPr>
          <w:trHeight w:val="296"/>
        </w:trPr>
        <w:tc>
          <w:tcPr>
            <w:tcW w:w="1987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Landscape</w:t>
            </w:r>
            <w:r w:rsidRPr="00263889">
              <w:rPr>
                <w:sz w:val="20"/>
                <w:szCs w:val="20"/>
                <w:vertAlign w:val="subscript"/>
                <w:lang w:val="en-US"/>
              </w:rPr>
              <w:t>500</w:t>
            </w:r>
          </w:p>
        </w:tc>
        <w:tc>
          <w:tcPr>
            <w:tcW w:w="5245" w:type="dxa"/>
            <w:shd w:val="clear" w:color="auto" w:fill="auto"/>
          </w:tcPr>
          <w:p w:rsidR="0056180F" w:rsidRPr="00263889" w:rsidRDefault="0056180F" w:rsidP="00215034">
            <w:pPr>
              <w:tabs>
                <w:tab w:val="center" w:pos="1741"/>
              </w:tabs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– 0.19</w:t>
            </w:r>
            <w:r w:rsidR="004525EA">
              <w:rPr>
                <w:sz w:val="20"/>
                <w:szCs w:val="20"/>
                <w:lang w:val="en-US"/>
              </w:rPr>
              <w:t xml:space="preserve"> (0.04)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889">
              <w:rPr>
                <w:b/>
                <w:sz w:val="20"/>
                <w:szCs w:val="20"/>
                <w:lang w:val="en-US"/>
              </w:rPr>
              <w:t>DF</w:t>
            </w:r>
            <w:r w:rsidRPr="00263889">
              <w:rPr>
                <w:b/>
                <w:sz w:val="20"/>
                <w:szCs w:val="20"/>
                <w:vertAlign w:val="subscript"/>
                <w:lang w:val="en-US"/>
              </w:rPr>
              <w:t>meff</w:t>
            </w:r>
            <w:proofErr w:type="spellEnd"/>
            <w:r w:rsidRPr="00263889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6180F" w:rsidRPr="000D7F40" w:rsidRDefault="004525EA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 xml:space="preserve">– 4.54; </w:t>
            </w:r>
            <w:r w:rsidR="000D7F40" w:rsidRPr="000D7F40">
              <w:rPr>
                <w:sz w:val="18"/>
                <w:szCs w:val="20"/>
                <w:lang w:val="en-US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4525EA" w:rsidTr="000D7F40">
        <w:trPr>
          <w:trHeight w:val="283"/>
        </w:trPr>
        <w:tc>
          <w:tcPr>
            <w:tcW w:w="1987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56180F" w:rsidRPr="00263889" w:rsidRDefault="0056180F" w:rsidP="00215034">
            <w:pPr>
              <w:tabs>
                <w:tab w:val="center" w:pos="1741"/>
              </w:tabs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– 0.18</w:t>
            </w:r>
            <w:r w:rsidR="004525EA">
              <w:rPr>
                <w:sz w:val="20"/>
                <w:szCs w:val="20"/>
                <w:lang w:val="en-US"/>
              </w:rPr>
              <w:t xml:space="preserve"> (0.04)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  <w:r w:rsidRPr="00263889">
              <w:rPr>
                <w:b/>
                <w:sz w:val="20"/>
                <w:szCs w:val="20"/>
                <w:lang w:val="en-US"/>
              </w:rPr>
              <w:t>DF</w:t>
            </w:r>
            <w:r w:rsidRPr="00263889">
              <w:rPr>
                <w:b/>
                <w:sz w:val="20"/>
                <w:szCs w:val="20"/>
                <w:vertAlign w:val="subscript"/>
                <w:lang w:val="en-US"/>
              </w:rPr>
              <w:t>LP</w:t>
            </w:r>
            <w:r w:rsidRPr="00263889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6180F" w:rsidRPr="000D7F40" w:rsidRDefault="004525EA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 xml:space="preserve">– 4.61; </w:t>
            </w:r>
            <w:r w:rsidR="000D7F40" w:rsidRPr="000D7F40">
              <w:rPr>
                <w:sz w:val="18"/>
                <w:szCs w:val="20"/>
                <w:lang w:val="en-US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4525EA" w:rsidTr="000D7F40">
        <w:trPr>
          <w:trHeight w:val="582"/>
        </w:trPr>
        <w:tc>
          <w:tcPr>
            <w:tcW w:w="1987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Landscape</w:t>
            </w:r>
            <w:r w:rsidRPr="00263889">
              <w:rPr>
                <w:sz w:val="20"/>
                <w:szCs w:val="20"/>
                <w:vertAlign w:val="subscript"/>
                <w:lang w:val="en-US"/>
              </w:rPr>
              <w:t>1500</w:t>
            </w:r>
          </w:p>
        </w:tc>
        <w:tc>
          <w:tcPr>
            <w:tcW w:w="5245" w:type="dxa"/>
            <w:shd w:val="clear" w:color="auto" w:fill="auto"/>
          </w:tcPr>
          <w:p w:rsidR="0056180F" w:rsidRPr="00263889" w:rsidRDefault="0056180F" w:rsidP="00215034">
            <w:pPr>
              <w:tabs>
                <w:tab w:val="center" w:pos="1741"/>
              </w:tabs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– 0.69</w:t>
            </w:r>
            <w:r w:rsidR="00A70C56">
              <w:rPr>
                <w:sz w:val="20"/>
                <w:szCs w:val="20"/>
                <w:lang w:val="en-US"/>
              </w:rPr>
              <w:t xml:space="preserve"> (0.14)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  <w:r w:rsidRPr="00263889">
              <w:rPr>
                <w:b/>
                <w:sz w:val="20"/>
                <w:szCs w:val="20"/>
                <w:lang w:val="en-US"/>
              </w:rPr>
              <w:t>DF</w:t>
            </w:r>
            <w:r w:rsidRPr="00263889">
              <w:rPr>
                <w:b/>
                <w:sz w:val="20"/>
                <w:szCs w:val="20"/>
                <w:vertAlign w:val="subscript"/>
                <w:lang w:val="en-US"/>
              </w:rPr>
              <w:t>LP</w:t>
            </w:r>
            <w:r w:rsidRPr="00263889">
              <w:rPr>
                <w:sz w:val="20"/>
                <w:szCs w:val="20"/>
                <w:lang w:val="en-US"/>
              </w:rPr>
              <w:t xml:space="preserve"> + 0.60</w:t>
            </w:r>
            <w:r w:rsidR="00A70C56">
              <w:rPr>
                <w:sz w:val="20"/>
                <w:szCs w:val="20"/>
                <w:lang w:val="en-US"/>
              </w:rPr>
              <w:t xml:space="preserve"> (0.14)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889">
              <w:rPr>
                <w:b/>
                <w:sz w:val="20"/>
                <w:szCs w:val="20"/>
                <w:lang w:val="en-US"/>
              </w:rPr>
              <w:t>DF</w:t>
            </w:r>
            <w:r w:rsidRPr="00263889">
              <w:rPr>
                <w:b/>
                <w:sz w:val="20"/>
                <w:szCs w:val="20"/>
                <w:vertAlign w:val="subscript"/>
                <w:lang w:val="en-US"/>
              </w:rPr>
              <w:t>meff</w:t>
            </w:r>
            <w:proofErr w:type="spellEnd"/>
            <w:r w:rsidRPr="00263889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263889">
              <w:rPr>
                <w:sz w:val="20"/>
                <w:szCs w:val="20"/>
                <w:lang w:val="en-US"/>
              </w:rPr>
              <w:t>+ 0.24</w:t>
            </w:r>
            <w:r w:rsidR="00A70C56">
              <w:rPr>
                <w:sz w:val="20"/>
                <w:szCs w:val="20"/>
                <w:lang w:val="en-US"/>
              </w:rPr>
              <w:t xml:space="preserve"> (0.05)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889">
              <w:rPr>
                <w:b/>
                <w:sz w:val="20"/>
                <w:szCs w:val="20"/>
                <w:lang w:val="en-US"/>
              </w:rPr>
              <w:t>RFm</w:t>
            </w:r>
            <w:r w:rsidRPr="00263889">
              <w:rPr>
                <w:b/>
                <w:sz w:val="20"/>
                <w:szCs w:val="20"/>
                <w:vertAlign w:val="subscript"/>
                <w:lang w:val="en-US"/>
              </w:rPr>
              <w:t>eff</w:t>
            </w:r>
            <w:proofErr w:type="spellEnd"/>
            <w:r w:rsidRPr="00263889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6180F" w:rsidRPr="000D7F40" w:rsidRDefault="00A70C56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 xml:space="preserve">– 5.03; </w:t>
            </w:r>
            <w:r w:rsidR="000D7F40" w:rsidRPr="000D7F40">
              <w:rPr>
                <w:sz w:val="18"/>
                <w:szCs w:val="20"/>
                <w:lang w:val="en-US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56180F" w:rsidRPr="000D7F40" w:rsidRDefault="00A70C56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 xml:space="preserve">4.29; </w:t>
            </w:r>
            <w:r w:rsidR="000D7F40" w:rsidRPr="000D7F40">
              <w:rPr>
                <w:sz w:val="18"/>
                <w:szCs w:val="20"/>
                <w:lang w:val="en-US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56180F" w:rsidRPr="000D7F40" w:rsidRDefault="00A70C56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 xml:space="preserve">4.59; </w:t>
            </w:r>
            <w:r w:rsidR="000D7F40" w:rsidRPr="000D7F40">
              <w:rPr>
                <w:sz w:val="18"/>
                <w:szCs w:val="20"/>
                <w:lang w:val="en-US"/>
              </w:rPr>
              <w:t>&lt;0.001</w:t>
            </w:r>
          </w:p>
        </w:tc>
        <w:tc>
          <w:tcPr>
            <w:tcW w:w="942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A70C56" w:rsidTr="000D7F40">
        <w:trPr>
          <w:trHeight w:val="623"/>
        </w:trPr>
        <w:tc>
          <w:tcPr>
            <w:tcW w:w="1987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Landscape</w:t>
            </w:r>
            <w:r w:rsidRPr="00263889">
              <w:rPr>
                <w:sz w:val="20"/>
                <w:szCs w:val="20"/>
                <w:vertAlign w:val="subscript"/>
                <w:lang w:val="en-US"/>
              </w:rPr>
              <w:t>2500</w:t>
            </w:r>
          </w:p>
        </w:tc>
        <w:tc>
          <w:tcPr>
            <w:tcW w:w="5245" w:type="dxa"/>
            <w:shd w:val="clear" w:color="auto" w:fill="auto"/>
          </w:tcPr>
          <w:p w:rsidR="0056180F" w:rsidRPr="00263889" w:rsidRDefault="0056180F" w:rsidP="00215034">
            <w:pPr>
              <w:tabs>
                <w:tab w:val="center" w:pos="1741"/>
              </w:tabs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– 0.17</w:t>
            </w:r>
            <w:r w:rsidR="009C19B6">
              <w:rPr>
                <w:sz w:val="20"/>
                <w:szCs w:val="20"/>
                <w:lang w:val="en-US"/>
              </w:rPr>
              <w:t xml:space="preserve"> (0.04)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889">
              <w:rPr>
                <w:b/>
                <w:sz w:val="20"/>
                <w:szCs w:val="20"/>
                <w:lang w:val="en-US"/>
              </w:rPr>
              <w:t>DF</w:t>
            </w:r>
            <w:r w:rsidRPr="00263889">
              <w:rPr>
                <w:b/>
                <w:sz w:val="20"/>
                <w:szCs w:val="20"/>
                <w:vertAlign w:val="subscript"/>
                <w:lang w:val="en-US"/>
              </w:rPr>
              <w:t>meff</w:t>
            </w:r>
            <w:proofErr w:type="spellEnd"/>
            <w:r w:rsidRPr="00263889">
              <w:rPr>
                <w:sz w:val="20"/>
                <w:szCs w:val="20"/>
                <w:lang w:val="en-US"/>
              </w:rPr>
              <w:t xml:space="preserve"> – 0.48</w:t>
            </w:r>
            <w:r w:rsidR="009C19B6">
              <w:rPr>
                <w:sz w:val="20"/>
                <w:szCs w:val="20"/>
                <w:lang w:val="en-US"/>
              </w:rPr>
              <w:t xml:space="preserve"> (0.09)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  <w:r w:rsidRPr="00263889">
              <w:rPr>
                <w:b/>
                <w:sz w:val="20"/>
                <w:szCs w:val="20"/>
                <w:lang w:val="en-US"/>
              </w:rPr>
              <w:t>RF</w:t>
            </w:r>
            <w:r w:rsidRPr="00263889">
              <w:rPr>
                <w:b/>
                <w:sz w:val="20"/>
                <w:szCs w:val="20"/>
                <w:vertAlign w:val="subscript"/>
                <w:lang w:val="en-US"/>
              </w:rPr>
              <w:t>LP</w:t>
            </w:r>
            <w:r w:rsidRPr="00263889">
              <w:rPr>
                <w:sz w:val="20"/>
                <w:szCs w:val="20"/>
                <w:lang w:val="en-US"/>
              </w:rPr>
              <w:t xml:space="preserve"> + 0.50</w:t>
            </w:r>
            <w:r w:rsidR="009C19B6">
              <w:rPr>
                <w:sz w:val="20"/>
                <w:szCs w:val="20"/>
                <w:lang w:val="en-US"/>
              </w:rPr>
              <w:t xml:space="preserve"> (0.08)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889">
              <w:rPr>
                <w:b/>
                <w:sz w:val="20"/>
                <w:szCs w:val="20"/>
                <w:lang w:val="en-US"/>
              </w:rPr>
              <w:t>RFm</w:t>
            </w:r>
            <w:r w:rsidRPr="00263889">
              <w:rPr>
                <w:b/>
                <w:sz w:val="20"/>
                <w:szCs w:val="20"/>
                <w:vertAlign w:val="subscript"/>
                <w:lang w:val="en-US"/>
              </w:rPr>
              <w:t>eff</w:t>
            </w:r>
            <w:proofErr w:type="spellEnd"/>
            <w:r w:rsidRPr="0026388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6180F" w:rsidRPr="000D7F40" w:rsidRDefault="00A06212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 xml:space="preserve">– 4.05; </w:t>
            </w:r>
            <w:r w:rsidR="000D7F40" w:rsidRPr="000D7F40">
              <w:rPr>
                <w:sz w:val="18"/>
                <w:szCs w:val="20"/>
                <w:lang w:val="en-US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56180F" w:rsidRPr="000D7F40" w:rsidRDefault="00A06212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 xml:space="preserve">– 5.70; </w:t>
            </w:r>
            <w:r w:rsidR="000D7F40" w:rsidRPr="000D7F40">
              <w:rPr>
                <w:sz w:val="18"/>
                <w:szCs w:val="20"/>
                <w:lang w:val="en-US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56180F" w:rsidRPr="000D7F40" w:rsidRDefault="00A06212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 xml:space="preserve">– 5.97; </w:t>
            </w:r>
            <w:r w:rsidR="000D7F40" w:rsidRPr="000D7F40">
              <w:rPr>
                <w:sz w:val="18"/>
                <w:szCs w:val="20"/>
                <w:lang w:val="en-US"/>
              </w:rPr>
              <w:t>&lt;0.001</w:t>
            </w:r>
          </w:p>
        </w:tc>
        <w:tc>
          <w:tcPr>
            <w:tcW w:w="942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A70C56" w:rsidTr="000D7F40">
        <w:trPr>
          <w:trHeight w:val="568"/>
        </w:trPr>
        <w:tc>
          <w:tcPr>
            <w:tcW w:w="1987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56180F" w:rsidRPr="00263889" w:rsidRDefault="0056180F" w:rsidP="00215034">
            <w:pPr>
              <w:tabs>
                <w:tab w:val="center" w:pos="1741"/>
              </w:tabs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0.30</w:t>
            </w:r>
            <w:r w:rsidR="00A06212">
              <w:rPr>
                <w:sz w:val="20"/>
                <w:szCs w:val="20"/>
                <w:lang w:val="en-US"/>
              </w:rPr>
              <w:t xml:space="preserve"> (0.09)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  <w:r w:rsidRPr="00263889">
              <w:rPr>
                <w:b/>
                <w:sz w:val="20"/>
                <w:szCs w:val="20"/>
                <w:lang w:val="en-US"/>
              </w:rPr>
              <w:t>DF</w:t>
            </w:r>
            <w:r w:rsidRPr="00263889">
              <w:rPr>
                <w:b/>
                <w:sz w:val="20"/>
                <w:szCs w:val="20"/>
                <w:vertAlign w:val="subscript"/>
                <w:lang w:val="en-US"/>
              </w:rPr>
              <w:t>LP</w:t>
            </w:r>
            <w:r w:rsidRPr="00263889">
              <w:rPr>
                <w:sz w:val="20"/>
                <w:szCs w:val="20"/>
                <w:lang w:val="en-US"/>
              </w:rPr>
              <w:t xml:space="preserve"> – 0.45</w:t>
            </w:r>
            <w:r w:rsidR="00A06212">
              <w:rPr>
                <w:sz w:val="20"/>
                <w:szCs w:val="20"/>
                <w:lang w:val="en-US"/>
              </w:rPr>
              <w:t xml:space="preserve"> (0.10)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889">
              <w:rPr>
                <w:b/>
                <w:sz w:val="20"/>
                <w:szCs w:val="20"/>
                <w:lang w:val="en-US"/>
              </w:rPr>
              <w:t>DF</w:t>
            </w:r>
            <w:r w:rsidRPr="00263889">
              <w:rPr>
                <w:b/>
                <w:sz w:val="20"/>
                <w:szCs w:val="20"/>
                <w:vertAlign w:val="subscript"/>
                <w:lang w:val="en-US"/>
              </w:rPr>
              <w:t>meff</w:t>
            </w:r>
            <w:proofErr w:type="spellEnd"/>
            <w:r w:rsidRPr="00263889">
              <w:rPr>
                <w:sz w:val="20"/>
                <w:szCs w:val="20"/>
                <w:lang w:val="en-US"/>
              </w:rPr>
              <w:t xml:space="preserve"> – 0.65</w:t>
            </w:r>
            <w:r w:rsidR="00A06212">
              <w:rPr>
                <w:sz w:val="20"/>
                <w:szCs w:val="20"/>
                <w:lang w:val="en-US"/>
              </w:rPr>
              <w:t xml:space="preserve"> (0.10)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  <w:r w:rsidRPr="00263889">
              <w:rPr>
                <w:b/>
                <w:sz w:val="20"/>
                <w:szCs w:val="20"/>
                <w:lang w:val="en-US"/>
              </w:rPr>
              <w:t>RF</w:t>
            </w:r>
            <w:r w:rsidRPr="00263889">
              <w:rPr>
                <w:b/>
                <w:sz w:val="20"/>
                <w:szCs w:val="20"/>
                <w:vertAlign w:val="subscript"/>
                <w:lang w:val="en-US"/>
              </w:rPr>
              <w:t>LP</w:t>
            </w:r>
            <w:r w:rsidRPr="00263889">
              <w:rPr>
                <w:sz w:val="20"/>
                <w:szCs w:val="20"/>
                <w:lang w:val="en-US"/>
              </w:rPr>
              <w:t xml:space="preserve"> + 0.57</w:t>
            </w:r>
            <w:r w:rsidR="00A06212">
              <w:rPr>
                <w:sz w:val="20"/>
                <w:szCs w:val="20"/>
                <w:lang w:val="en-US"/>
              </w:rPr>
              <w:t xml:space="preserve"> (0.09)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889">
              <w:rPr>
                <w:b/>
                <w:sz w:val="20"/>
                <w:szCs w:val="20"/>
                <w:lang w:val="en-US"/>
              </w:rPr>
              <w:t>RF</w:t>
            </w:r>
            <w:r w:rsidRPr="00263889">
              <w:rPr>
                <w:b/>
                <w:sz w:val="20"/>
                <w:szCs w:val="20"/>
                <w:vertAlign w:val="subscript"/>
                <w:lang w:val="en-US"/>
              </w:rPr>
              <w:t>meff</w:t>
            </w:r>
            <w:proofErr w:type="spellEnd"/>
            <w:r w:rsidRPr="0026388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6180F" w:rsidRPr="000D7F40" w:rsidRDefault="00212AAE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 xml:space="preserve">3.30; </w:t>
            </w:r>
            <w:r w:rsidR="000D7F40" w:rsidRPr="000D7F40">
              <w:rPr>
                <w:sz w:val="18"/>
                <w:szCs w:val="20"/>
                <w:lang w:val="en-US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56180F" w:rsidRPr="000D7F40" w:rsidRDefault="00212AAE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 xml:space="preserve">– 4.60; </w:t>
            </w:r>
            <w:r w:rsidR="000D7F40" w:rsidRPr="000D7F40">
              <w:rPr>
                <w:sz w:val="18"/>
                <w:szCs w:val="20"/>
                <w:lang w:val="en-US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56180F" w:rsidRPr="000D7F40" w:rsidRDefault="00DD1F7E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 xml:space="preserve">– 6.54; </w:t>
            </w:r>
            <w:r w:rsidR="000D7F40" w:rsidRPr="000D7F40">
              <w:rPr>
                <w:sz w:val="18"/>
                <w:szCs w:val="20"/>
                <w:lang w:val="en-US"/>
              </w:rPr>
              <w:t>&lt;0.001</w:t>
            </w:r>
          </w:p>
        </w:tc>
        <w:tc>
          <w:tcPr>
            <w:tcW w:w="942" w:type="dxa"/>
            <w:shd w:val="clear" w:color="auto" w:fill="auto"/>
          </w:tcPr>
          <w:p w:rsidR="0056180F" w:rsidRPr="000D7F40" w:rsidRDefault="00DD1F7E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 xml:space="preserve">6.51; </w:t>
            </w:r>
            <w:r w:rsidR="000D7F40" w:rsidRPr="000D7F40">
              <w:rPr>
                <w:sz w:val="18"/>
                <w:szCs w:val="20"/>
                <w:lang w:val="en-US"/>
              </w:rPr>
              <w:t>&lt;0.001</w:t>
            </w:r>
          </w:p>
        </w:tc>
      </w:tr>
      <w:tr w:rsidR="000D7F40" w:rsidRPr="00A06212" w:rsidTr="000D7F40">
        <w:trPr>
          <w:trHeight w:val="296"/>
        </w:trPr>
        <w:tc>
          <w:tcPr>
            <w:tcW w:w="1987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 xml:space="preserve">   1/D</w:t>
            </w:r>
          </w:p>
        </w:tc>
        <w:tc>
          <w:tcPr>
            <w:tcW w:w="2268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Vegetation structure</w:t>
            </w:r>
          </w:p>
        </w:tc>
        <w:tc>
          <w:tcPr>
            <w:tcW w:w="5245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0.03</w:t>
            </w:r>
            <w:r w:rsidR="00065697">
              <w:rPr>
                <w:sz w:val="20"/>
                <w:szCs w:val="20"/>
                <w:lang w:val="en-US"/>
              </w:rPr>
              <w:t xml:space="preserve"> (0.01) </w:t>
            </w:r>
            <w:r w:rsidRPr="00263889">
              <w:rPr>
                <w:sz w:val="20"/>
                <w:szCs w:val="20"/>
                <w:lang w:val="en-US"/>
              </w:rPr>
              <w:t>MDS</w:t>
            </w:r>
            <w:r w:rsidRPr="00263889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6180F" w:rsidRPr="000D7F40" w:rsidRDefault="00065697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>2.13; 0.06</w:t>
            </w: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212AAE" w:rsidTr="000D7F40">
        <w:trPr>
          <w:trHeight w:val="283"/>
        </w:trPr>
        <w:tc>
          <w:tcPr>
            <w:tcW w:w="1987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b/>
                <w:i/>
                <w:sz w:val="20"/>
                <w:szCs w:val="20"/>
                <w:lang w:val="en-US"/>
              </w:rPr>
            </w:pPr>
            <w:r w:rsidRPr="00263889">
              <w:rPr>
                <w:b/>
                <w:i/>
                <w:sz w:val="20"/>
                <w:szCs w:val="20"/>
                <w:lang w:val="en-US"/>
              </w:rPr>
              <w:t>Fly assemblage</w:t>
            </w:r>
          </w:p>
        </w:tc>
        <w:tc>
          <w:tcPr>
            <w:tcW w:w="2268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212AAE" w:rsidTr="000D7F40">
        <w:trPr>
          <w:trHeight w:val="302"/>
        </w:trPr>
        <w:tc>
          <w:tcPr>
            <w:tcW w:w="1987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 xml:space="preserve">   S</w:t>
            </w:r>
          </w:p>
        </w:tc>
        <w:tc>
          <w:tcPr>
            <w:tcW w:w="2268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Bat community structure</w:t>
            </w:r>
          </w:p>
        </w:tc>
        <w:tc>
          <w:tcPr>
            <w:tcW w:w="5245" w:type="dxa"/>
            <w:shd w:val="clear" w:color="auto" w:fill="auto"/>
          </w:tcPr>
          <w:p w:rsidR="0056180F" w:rsidRPr="00263889" w:rsidRDefault="0056180F" w:rsidP="00215034">
            <w:pPr>
              <w:tabs>
                <w:tab w:val="left" w:pos="952"/>
              </w:tabs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0.15</w:t>
            </w:r>
            <w:r w:rsidR="00170524">
              <w:rPr>
                <w:sz w:val="20"/>
                <w:szCs w:val="20"/>
                <w:lang w:val="en-US"/>
              </w:rPr>
              <w:t xml:space="preserve"> (0.08)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889">
              <w:rPr>
                <w:sz w:val="20"/>
                <w:szCs w:val="20"/>
                <w:lang w:val="en-US"/>
              </w:rPr>
              <w:t>Bat</w:t>
            </w:r>
            <w:r w:rsidRPr="00263889">
              <w:rPr>
                <w:sz w:val="20"/>
                <w:szCs w:val="20"/>
                <w:vertAlign w:val="subscript"/>
                <w:lang w:val="en-US"/>
              </w:rPr>
              <w:t>S</w:t>
            </w:r>
            <w:proofErr w:type="spellEnd"/>
            <w:r w:rsidRPr="00263889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56180F" w:rsidRPr="000D7F40" w:rsidRDefault="0017052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>1.89; 0.06</w:t>
            </w: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263889" w:rsidTr="000D7F40">
        <w:trPr>
          <w:trHeight w:val="283"/>
        </w:trPr>
        <w:tc>
          <w:tcPr>
            <w:tcW w:w="1987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 xml:space="preserve">   1/D</w:t>
            </w:r>
          </w:p>
        </w:tc>
        <w:tc>
          <w:tcPr>
            <w:tcW w:w="2268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Bat community structure</w:t>
            </w:r>
          </w:p>
        </w:tc>
        <w:tc>
          <w:tcPr>
            <w:tcW w:w="5245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– 0.04</w:t>
            </w:r>
            <w:r w:rsidR="007B67AA">
              <w:rPr>
                <w:sz w:val="20"/>
                <w:szCs w:val="20"/>
                <w:lang w:val="en-US"/>
              </w:rPr>
              <w:t xml:space="preserve"> (0.01)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  <w:r w:rsidRPr="00263889">
              <w:rPr>
                <w:b/>
                <w:sz w:val="20"/>
                <w:szCs w:val="20"/>
                <w:lang w:val="en-US"/>
              </w:rPr>
              <w:t>Bat</w:t>
            </w:r>
            <w:r w:rsidRPr="00263889">
              <w:rPr>
                <w:b/>
                <w:sz w:val="20"/>
                <w:szCs w:val="20"/>
                <w:vertAlign w:val="subscript"/>
                <w:lang w:val="en-US"/>
              </w:rPr>
              <w:t>1/D</w:t>
            </w:r>
            <w:r w:rsidRPr="00263889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6180F" w:rsidRPr="000D7F40" w:rsidRDefault="007B67AA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>– 2.95; 0.02</w:t>
            </w: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7B67AA" w:rsidTr="000D7F40">
        <w:trPr>
          <w:trHeight w:val="296"/>
        </w:trPr>
        <w:tc>
          <w:tcPr>
            <w:tcW w:w="1987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263889">
              <w:rPr>
                <w:sz w:val="20"/>
                <w:szCs w:val="20"/>
                <w:lang w:val="en-US"/>
              </w:rPr>
              <w:t>e</w:t>
            </w:r>
            <w:r w:rsidRPr="00263889">
              <w:rPr>
                <w:sz w:val="20"/>
                <w:szCs w:val="20"/>
                <w:vertAlign w:val="superscript"/>
                <w:lang w:val="en-US"/>
              </w:rPr>
              <w:t>H</w:t>
            </w:r>
            <w:proofErr w:type="spellEnd"/>
            <w:r w:rsidRPr="00263889">
              <w:rPr>
                <w:sz w:val="20"/>
                <w:szCs w:val="20"/>
                <w:vertAlign w:val="superscript"/>
                <w:lang w:val="en-US"/>
              </w:rPr>
              <w:t>’</w:t>
            </w:r>
          </w:p>
        </w:tc>
        <w:tc>
          <w:tcPr>
            <w:tcW w:w="2268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Bat community structure</w:t>
            </w:r>
          </w:p>
        </w:tc>
        <w:tc>
          <w:tcPr>
            <w:tcW w:w="5245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– 0.04</w:t>
            </w:r>
            <w:r w:rsidR="007B67AA">
              <w:rPr>
                <w:sz w:val="20"/>
                <w:szCs w:val="20"/>
                <w:lang w:val="en-US"/>
              </w:rPr>
              <w:t xml:space="preserve"> (0.01)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  <w:r w:rsidRPr="00263889">
              <w:rPr>
                <w:b/>
                <w:sz w:val="20"/>
                <w:szCs w:val="20"/>
                <w:lang w:val="en-US"/>
              </w:rPr>
              <w:t>Bat</w:t>
            </w:r>
            <w:r w:rsidRPr="00263889">
              <w:rPr>
                <w:b/>
                <w:sz w:val="20"/>
                <w:szCs w:val="20"/>
                <w:vertAlign w:val="subscript"/>
                <w:lang w:val="en-US"/>
              </w:rPr>
              <w:t>1/D</w:t>
            </w:r>
            <w:r w:rsidRPr="00263889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6180F" w:rsidRPr="000D7F40" w:rsidRDefault="007B67AA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>– 3.17; 0.01</w:t>
            </w: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7B67AA" w:rsidTr="000D7F40">
        <w:trPr>
          <w:trHeight w:val="582"/>
        </w:trPr>
        <w:tc>
          <w:tcPr>
            <w:tcW w:w="1987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b/>
                <w:i/>
                <w:sz w:val="20"/>
                <w:szCs w:val="20"/>
                <w:lang w:val="en-US"/>
              </w:rPr>
            </w:pPr>
            <w:r w:rsidRPr="00263889">
              <w:rPr>
                <w:b/>
                <w:i/>
                <w:sz w:val="20"/>
                <w:szCs w:val="20"/>
                <w:lang w:val="en-US"/>
              </w:rPr>
              <w:t>Host- bat fly network</w:t>
            </w:r>
          </w:p>
        </w:tc>
        <w:tc>
          <w:tcPr>
            <w:tcW w:w="2268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7B67AA" w:rsidTr="000D7F40">
        <w:trPr>
          <w:trHeight w:val="283"/>
        </w:trPr>
        <w:tc>
          <w:tcPr>
            <w:tcW w:w="1987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i/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lastRenderedPageBreak/>
              <w:t xml:space="preserve">   </w:t>
            </w:r>
            <w:r w:rsidRPr="00263889">
              <w:rPr>
                <w:i/>
                <w:sz w:val="20"/>
                <w:szCs w:val="20"/>
                <w:lang w:val="en-US"/>
              </w:rPr>
              <w:t>H</w:t>
            </w:r>
            <w:r w:rsidRPr="00263889"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  <w:r w:rsidRPr="00263889">
              <w:rPr>
                <w:i/>
                <w:sz w:val="20"/>
                <w:szCs w:val="20"/>
                <w:lang w:val="en-US"/>
              </w:rPr>
              <w:t>’</w:t>
            </w:r>
          </w:p>
        </w:tc>
        <w:tc>
          <w:tcPr>
            <w:tcW w:w="2268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Landscape</w:t>
            </w:r>
            <w:r w:rsidRPr="00263889">
              <w:rPr>
                <w:sz w:val="20"/>
                <w:szCs w:val="20"/>
                <w:vertAlign w:val="subscript"/>
                <w:lang w:val="en-US"/>
              </w:rPr>
              <w:t>500</w:t>
            </w:r>
          </w:p>
        </w:tc>
        <w:tc>
          <w:tcPr>
            <w:tcW w:w="5245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0.10</w:t>
            </w:r>
            <w:r w:rsidR="00C048F1">
              <w:rPr>
                <w:sz w:val="20"/>
                <w:szCs w:val="20"/>
                <w:lang w:val="en-US"/>
              </w:rPr>
              <w:t xml:space="preserve"> (0.04)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  <w:r w:rsidRPr="00263889">
              <w:rPr>
                <w:b/>
                <w:sz w:val="20"/>
                <w:szCs w:val="20"/>
                <w:lang w:val="en-US"/>
              </w:rPr>
              <w:t>DF</w:t>
            </w:r>
            <w:r w:rsidRPr="00263889">
              <w:rPr>
                <w:b/>
                <w:sz w:val="20"/>
                <w:szCs w:val="20"/>
                <w:vertAlign w:val="subscript"/>
                <w:lang w:val="en-US"/>
              </w:rPr>
              <w:t>LP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6180F" w:rsidRPr="000D7F40" w:rsidRDefault="008A797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>2.54; 0.04</w:t>
            </w: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7B67AA" w:rsidTr="000D7F40">
        <w:trPr>
          <w:trHeight w:val="283"/>
        </w:trPr>
        <w:tc>
          <w:tcPr>
            <w:tcW w:w="1987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Landscape</w:t>
            </w:r>
            <w:r w:rsidRPr="00263889">
              <w:rPr>
                <w:sz w:val="20"/>
                <w:szCs w:val="20"/>
                <w:vertAlign w:val="subscript"/>
                <w:lang w:val="en-US"/>
              </w:rPr>
              <w:t>1500</w:t>
            </w:r>
          </w:p>
        </w:tc>
        <w:tc>
          <w:tcPr>
            <w:tcW w:w="5245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0.09</w:t>
            </w:r>
            <w:r w:rsidR="00975CCD">
              <w:rPr>
                <w:sz w:val="20"/>
                <w:szCs w:val="20"/>
                <w:lang w:val="en-US"/>
              </w:rPr>
              <w:t xml:space="preserve"> (0.04)</w:t>
            </w:r>
            <w:r w:rsidRPr="00263889">
              <w:rPr>
                <w:sz w:val="20"/>
                <w:szCs w:val="20"/>
                <w:lang w:val="en-US"/>
              </w:rPr>
              <w:t xml:space="preserve"> DF</w:t>
            </w:r>
            <w:r w:rsidRPr="00263889">
              <w:rPr>
                <w:sz w:val="20"/>
                <w:szCs w:val="20"/>
                <w:vertAlign w:val="subscript"/>
                <w:lang w:val="en-US"/>
              </w:rPr>
              <w:t>LP</w:t>
            </w:r>
          </w:p>
        </w:tc>
        <w:tc>
          <w:tcPr>
            <w:tcW w:w="1275" w:type="dxa"/>
            <w:shd w:val="clear" w:color="auto" w:fill="auto"/>
          </w:tcPr>
          <w:p w:rsidR="0056180F" w:rsidRPr="000D7F40" w:rsidRDefault="00975CCD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>2.25; 0.06</w:t>
            </w: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7B67AA" w:rsidTr="000D7F40">
        <w:trPr>
          <w:trHeight w:val="283"/>
        </w:trPr>
        <w:tc>
          <w:tcPr>
            <w:tcW w:w="1987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0.09</w:t>
            </w:r>
            <w:r w:rsidR="00975CCD">
              <w:rPr>
                <w:sz w:val="20"/>
                <w:szCs w:val="20"/>
                <w:lang w:val="en-US"/>
              </w:rPr>
              <w:t xml:space="preserve"> (0.04)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889">
              <w:rPr>
                <w:sz w:val="20"/>
                <w:szCs w:val="20"/>
                <w:lang w:val="en-US"/>
              </w:rPr>
              <w:t>DF</w:t>
            </w:r>
            <w:r w:rsidRPr="00263889">
              <w:rPr>
                <w:sz w:val="20"/>
                <w:szCs w:val="20"/>
                <w:vertAlign w:val="subscript"/>
                <w:lang w:val="en-US"/>
              </w:rPr>
              <w:t>meff</w:t>
            </w:r>
            <w:proofErr w:type="spellEnd"/>
            <w:r w:rsidRPr="0026388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6180F" w:rsidRPr="000D7F40" w:rsidRDefault="00975CCD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>2.20; 0.06</w:t>
            </w: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263889" w:rsidTr="000D7F40">
        <w:trPr>
          <w:trHeight w:val="296"/>
        </w:trPr>
        <w:tc>
          <w:tcPr>
            <w:tcW w:w="1987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Landscape</w:t>
            </w:r>
            <w:r w:rsidRPr="00263889">
              <w:rPr>
                <w:sz w:val="20"/>
                <w:szCs w:val="20"/>
                <w:vertAlign w:val="subscript"/>
                <w:lang w:val="en-US"/>
              </w:rPr>
              <w:t>2500</w:t>
            </w:r>
          </w:p>
        </w:tc>
        <w:tc>
          <w:tcPr>
            <w:tcW w:w="5245" w:type="dxa"/>
            <w:shd w:val="clear" w:color="auto" w:fill="auto"/>
          </w:tcPr>
          <w:p w:rsidR="0056180F" w:rsidRPr="00263889" w:rsidRDefault="0056180F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0.11</w:t>
            </w:r>
            <w:r w:rsidR="00F019F2">
              <w:rPr>
                <w:sz w:val="20"/>
                <w:szCs w:val="20"/>
                <w:lang w:val="en-US"/>
              </w:rPr>
              <w:t xml:space="preserve"> (0.04)</w:t>
            </w:r>
            <w:r w:rsidRPr="002638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889">
              <w:rPr>
                <w:b/>
                <w:sz w:val="20"/>
                <w:szCs w:val="20"/>
                <w:lang w:val="en-US"/>
              </w:rPr>
              <w:t>DF</w:t>
            </w:r>
            <w:r w:rsidRPr="00263889">
              <w:rPr>
                <w:b/>
                <w:sz w:val="20"/>
                <w:szCs w:val="20"/>
                <w:vertAlign w:val="subscript"/>
                <w:lang w:val="en-US"/>
              </w:rPr>
              <w:t>meff</w:t>
            </w:r>
            <w:proofErr w:type="spellEnd"/>
            <w:r w:rsidRPr="00263889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6180F" w:rsidRPr="000D7F40" w:rsidRDefault="00F019F2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>2.66; 0.03</w:t>
            </w: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56180F" w:rsidRPr="000D7F40" w:rsidRDefault="0056180F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263889" w:rsidTr="000D7F40">
        <w:trPr>
          <w:trHeight w:val="296"/>
        </w:trPr>
        <w:tc>
          <w:tcPr>
            <w:tcW w:w="1987" w:type="dxa"/>
            <w:shd w:val="clear" w:color="auto" w:fill="auto"/>
          </w:tcPr>
          <w:p w:rsidR="00397A29" w:rsidRPr="00397A29" w:rsidRDefault="00397A29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397A29">
              <w:rPr>
                <w:b/>
                <w:i/>
                <w:sz w:val="20"/>
                <w:szCs w:val="20"/>
                <w:lang w:val="en-US"/>
              </w:rPr>
              <w:t>Parasitic infection</w:t>
            </w:r>
          </w:p>
        </w:tc>
        <w:tc>
          <w:tcPr>
            <w:tcW w:w="2268" w:type="dxa"/>
            <w:shd w:val="clear" w:color="auto" w:fill="auto"/>
          </w:tcPr>
          <w:p w:rsidR="00397A29" w:rsidRPr="00263889" w:rsidRDefault="00397A29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397A29" w:rsidRPr="00263889" w:rsidRDefault="00397A29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397A29" w:rsidRPr="000D7F40" w:rsidRDefault="00397A29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97A29" w:rsidRPr="000D7F40" w:rsidRDefault="00397A29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97A29" w:rsidRPr="000D7F40" w:rsidRDefault="00397A29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397A29" w:rsidRPr="000D7F40" w:rsidRDefault="00397A29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9B08AC" w:rsidTr="000D7F40">
        <w:trPr>
          <w:trHeight w:val="296"/>
        </w:trPr>
        <w:tc>
          <w:tcPr>
            <w:tcW w:w="1987" w:type="dxa"/>
            <w:shd w:val="clear" w:color="auto" w:fill="auto"/>
          </w:tcPr>
          <w:p w:rsidR="000842F4" w:rsidRPr="00397A29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397A29">
              <w:rPr>
                <w:sz w:val="20"/>
                <w:szCs w:val="20"/>
                <w:lang w:val="en-US"/>
              </w:rPr>
              <w:t xml:space="preserve">   Prevalence</w:t>
            </w:r>
          </w:p>
        </w:tc>
        <w:tc>
          <w:tcPr>
            <w:tcW w:w="2268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0842F4">
              <w:rPr>
                <w:sz w:val="20"/>
                <w:szCs w:val="20"/>
                <w:lang w:val="en-US"/>
              </w:rPr>
              <w:t>Bat community structure</w:t>
            </w:r>
          </w:p>
        </w:tc>
        <w:tc>
          <w:tcPr>
            <w:tcW w:w="5245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0842F4">
              <w:rPr>
                <w:sz w:val="20"/>
                <w:szCs w:val="20"/>
                <w:lang w:val="en-US"/>
              </w:rPr>
              <w:t>– 0.13</w:t>
            </w:r>
            <w:r w:rsidR="009B08AC">
              <w:rPr>
                <w:sz w:val="20"/>
                <w:szCs w:val="20"/>
                <w:lang w:val="en-US"/>
              </w:rPr>
              <w:t xml:space="preserve"> (0.05)</w:t>
            </w:r>
            <w:r w:rsidRPr="000842F4">
              <w:rPr>
                <w:b/>
                <w:sz w:val="20"/>
                <w:szCs w:val="20"/>
                <w:lang w:val="en-US"/>
              </w:rPr>
              <w:t xml:space="preserve"> Bat</w:t>
            </w:r>
            <w:r w:rsidRPr="000842F4">
              <w:rPr>
                <w:b/>
                <w:sz w:val="20"/>
                <w:szCs w:val="20"/>
                <w:vertAlign w:val="subscript"/>
                <w:lang w:val="en-US"/>
              </w:rPr>
              <w:t>1/D</w:t>
            </w:r>
          </w:p>
        </w:tc>
        <w:tc>
          <w:tcPr>
            <w:tcW w:w="1275" w:type="dxa"/>
            <w:shd w:val="clear" w:color="auto" w:fill="auto"/>
          </w:tcPr>
          <w:p w:rsidR="000842F4" w:rsidRPr="000D7F40" w:rsidRDefault="009B08AC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>– 2.45; 0.01</w:t>
            </w: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9B08AC" w:rsidTr="000D7F40">
        <w:trPr>
          <w:trHeight w:val="296"/>
        </w:trPr>
        <w:tc>
          <w:tcPr>
            <w:tcW w:w="1987" w:type="dxa"/>
            <w:shd w:val="clear" w:color="auto" w:fill="auto"/>
          </w:tcPr>
          <w:p w:rsidR="000842F4" w:rsidRPr="00397A29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0842F4">
              <w:rPr>
                <w:sz w:val="20"/>
                <w:szCs w:val="20"/>
                <w:lang w:val="en-US"/>
              </w:rPr>
              <w:t>Vegetation structure</w:t>
            </w:r>
          </w:p>
        </w:tc>
        <w:tc>
          <w:tcPr>
            <w:tcW w:w="5245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0842F4">
              <w:rPr>
                <w:sz w:val="20"/>
                <w:szCs w:val="20"/>
                <w:lang w:val="en-US"/>
              </w:rPr>
              <w:t>0.10</w:t>
            </w:r>
            <w:r w:rsidR="00E547EE">
              <w:rPr>
                <w:sz w:val="20"/>
                <w:szCs w:val="20"/>
                <w:lang w:val="en-US"/>
              </w:rPr>
              <w:t xml:space="preserve"> (0.04)</w:t>
            </w:r>
            <w:r w:rsidRPr="000842F4">
              <w:rPr>
                <w:sz w:val="20"/>
                <w:szCs w:val="20"/>
                <w:lang w:val="en-US"/>
              </w:rPr>
              <w:t xml:space="preserve"> </w:t>
            </w:r>
            <w:r w:rsidRPr="000842F4">
              <w:rPr>
                <w:b/>
                <w:sz w:val="20"/>
                <w:szCs w:val="20"/>
                <w:lang w:val="en-US"/>
              </w:rPr>
              <w:t>MDS</w:t>
            </w:r>
            <w:r w:rsidRPr="000842F4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Pr="000842F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842F4" w:rsidRPr="000D7F40" w:rsidRDefault="00E547EE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 xml:space="preserve">2.82; </w:t>
            </w:r>
            <w:r w:rsidR="000D7F40" w:rsidRPr="000D7F40">
              <w:rPr>
                <w:sz w:val="18"/>
                <w:szCs w:val="20"/>
                <w:lang w:val="en-US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9B08AC" w:rsidTr="000D7F40">
        <w:trPr>
          <w:trHeight w:val="296"/>
        </w:trPr>
        <w:tc>
          <w:tcPr>
            <w:tcW w:w="1987" w:type="dxa"/>
            <w:shd w:val="clear" w:color="auto" w:fill="auto"/>
          </w:tcPr>
          <w:p w:rsidR="000842F4" w:rsidRPr="00397A29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0842F4">
              <w:rPr>
                <w:sz w:val="20"/>
                <w:szCs w:val="20"/>
                <w:lang w:val="en-US"/>
              </w:rPr>
              <w:t>Landscape</w:t>
            </w:r>
            <w:r w:rsidRPr="000842F4">
              <w:rPr>
                <w:sz w:val="20"/>
                <w:szCs w:val="20"/>
                <w:vertAlign w:val="subscript"/>
                <w:lang w:val="en-US"/>
              </w:rPr>
              <w:t>500</w:t>
            </w:r>
          </w:p>
        </w:tc>
        <w:tc>
          <w:tcPr>
            <w:tcW w:w="5245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0842F4">
              <w:rPr>
                <w:sz w:val="20"/>
                <w:szCs w:val="20"/>
                <w:lang w:val="en-US"/>
              </w:rPr>
              <w:t>0.18</w:t>
            </w:r>
            <w:r w:rsidR="00E547EE">
              <w:rPr>
                <w:sz w:val="20"/>
                <w:szCs w:val="20"/>
                <w:lang w:val="en-US"/>
              </w:rPr>
              <w:t xml:space="preserve"> (0.07)</w:t>
            </w:r>
            <w:r w:rsidRPr="000842F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42F4">
              <w:rPr>
                <w:b/>
                <w:sz w:val="20"/>
                <w:szCs w:val="20"/>
                <w:lang w:val="en-US"/>
              </w:rPr>
              <w:t>RF</w:t>
            </w:r>
            <w:r w:rsidRPr="000842F4">
              <w:rPr>
                <w:b/>
                <w:sz w:val="20"/>
                <w:szCs w:val="20"/>
                <w:vertAlign w:val="subscript"/>
                <w:lang w:val="en-US"/>
              </w:rPr>
              <w:t>meff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842F4" w:rsidRPr="000D7F40" w:rsidRDefault="00E547EE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>2.68; 0.01</w:t>
            </w: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9B08AC" w:rsidTr="000D7F40">
        <w:trPr>
          <w:trHeight w:val="296"/>
        </w:trPr>
        <w:tc>
          <w:tcPr>
            <w:tcW w:w="1987" w:type="dxa"/>
            <w:shd w:val="clear" w:color="auto" w:fill="auto"/>
          </w:tcPr>
          <w:p w:rsidR="000842F4" w:rsidRPr="00397A29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0842F4">
              <w:rPr>
                <w:sz w:val="20"/>
                <w:szCs w:val="20"/>
                <w:lang w:val="en-US"/>
              </w:rPr>
              <w:t>0.17</w:t>
            </w:r>
            <w:r w:rsidR="00E547EE">
              <w:rPr>
                <w:sz w:val="20"/>
                <w:szCs w:val="20"/>
                <w:lang w:val="en-US"/>
              </w:rPr>
              <w:t xml:space="preserve"> (0.07)</w:t>
            </w:r>
            <w:r w:rsidRPr="000842F4">
              <w:rPr>
                <w:b/>
                <w:sz w:val="20"/>
                <w:szCs w:val="20"/>
                <w:lang w:val="en-US"/>
              </w:rPr>
              <w:t xml:space="preserve"> RF</w:t>
            </w:r>
            <w:r w:rsidRPr="000842F4">
              <w:rPr>
                <w:b/>
                <w:sz w:val="20"/>
                <w:szCs w:val="20"/>
                <w:vertAlign w:val="subscript"/>
                <w:lang w:val="en-US"/>
              </w:rPr>
              <w:t>LP</w:t>
            </w:r>
          </w:p>
        </w:tc>
        <w:tc>
          <w:tcPr>
            <w:tcW w:w="1275" w:type="dxa"/>
            <w:shd w:val="clear" w:color="auto" w:fill="auto"/>
          </w:tcPr>
          <w:p w:rsidR="000842F4" w:rsidRPr="000D7F40" w:rsidRDefault="00E547EE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>2.32; 0.02</w:t>
            </w: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9B08AC" w:rsidTr="000D7F40">
        <w:trPr>
          <w:trHeight w:val="296"/>
        </w:trPr>
        <w:tc>
          <w:tcPr>
            <w:tcW w:w="1987" w:type="dxa"/>
            <w:shd w:val="clear" w:color="auto" w:fill="auto"/>
          </w:tcPr>
          <w:p w:rsidR="000842F4" w:rsidRPr="00397A29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0842F4">
              <w:rPr>
                <w:sz w:val="20"/>
                <w:szCs w:val="20"/>
                <w:lang w:val="en-US"/>
              </w:rPr>
              <w:t>Landscape</w:t>
            </w:r>
            <w:r w:rsidRPr="000842F4">
              <w:rPr>
                <w:sz w:val="20"/>
                <w:szCs w:val="20"/>
                <w:vertAlign w:val="subscript"/>
                <w:lang w:val="en-US"/>
              </w:rPr>
              <w:t>1500</w:t>
            </w:r>
          </w:p>
        </w:tc>
        <w:tc>
          <w:tcPr>
            <w:tcW w:w="5245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0842F4">
              <w:rPr>
                <w:sz w:val="20"/>
                <w:szCs w:val="20"/>
                <w:lang w:val="en-US"/>
              </w:rPr>
              <w:t>0.18</w:t>
            </w:r>
            <w:r w:rsidR="00F76717">
              <w:rPr>
                <w:sz w:val="20"/>
                <w:szCs w:val="20"/>
                <w:lang w:val="en-US"/>
              </w:rPr>
              <w:t xml:space="preserve"> (0.07)</w:t>
            </w:r>
            <w:r w:rsidRPr="000842F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42F4">
              <w:rPr>
                <w:b/>
                <w:sz w:val="20"/>
                <w:szCs w:val="20"/>
                <w:lang w:val="en-US"/>
              </w:rPr>
              <w:t>RF</w:t>
            </w:r>
            <w:r w:rsidRPr="000842F4">
              <w:rPr>
                <w:b/>
                <w:sz w:val="20"/>
                <w:szCs w:val="20"/>
                <w:vertAlign w:val="subscript"/>
                <w:lang w:val="en-US"/>
              </w:rPr>
              <w:t>meff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842F4" w:rsidRPr="000D7F40" w:rsidRDefault="00F76717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>2.77; 0.01</w:t>
            </w: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263889" w:rsidTr="000D7F40">
        <w:trPr>
          <w:trHeight w:val="296"/>
        </w:trPr>
        <w:tc>
          <w:tcPr>
            <w:tcW w:w="1987" w:type="dxa"/>
            <w:shd w:val="clear" w:color="auto" w:fill="auto"/>
          </w:tcPr>
          <w:p w:rsidR="000842F4" w:rsidRPr="00397A29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0842F4">
              <w:rPr>
                <w:sz w:val="20"/>
                <w:szCs w:val="20"/>
                <w:lang w:val="en-US"/>
              </w:rPr>
              <w:t>0.20</w:t>
            </w:r>
            <w:r w:rsidR="00CD0990">
              <w:rPr>
                <w:sz w:val="20"/>
                <w:szCs w:val="20"/>
                <w:lang w:val="en-US"/>
              </w:rPr>
              <w:t xml:space="preserve"> (0.08)</w:t>
            </w:r>
            <w:r w:rsidRPr="000842F4">
              <w:rPr>
                <w:sz w:val="20"/>
                <w:szCs w:val="20"/>
                <w:lang w:val="en-US"/>
              </w:rPr>
              <w:t xml:space="preserve"> </w:t>
            </w:r>
            <w:r w:rsidRPr="000842F4">
              <w:rPr>
                <w:b/>
                <w:sz w:val="20"/>
                <w:szCs w:val="20"/>
                <w:lang w:val="en-US"/>
              </w:rPr>
              <w:t>RF</w:t>
            </w:r>
            <w:r w:rsidRPr="000842F4">
              <w:rPr>
                <w:b/>
                <w:sz w:val="20"/>
                <w:szCs w:val="20"/>
                <w:vertAlign w:val="subscript"/>
                <w:lang w:val="en-US"/>
              </w:rPr>
              <w:t>LP</w:t>
            </w:r>
          </w:p>
        </w:tc>
        <w:tc>
          <w:tcPr>
            <w:tcW w:w="1275" w:type="dxa"/>
            <w:shd w:val="clear" w:color="auto" w:fill="auto"/>
          </w:tcPr>
          <w:p w:rsidR="000842F4" w:rsidRPr="000D7F40" w:rsidRDefault="00CD0990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>2.59; 0.01</w:t>
            </w: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263889" w:rsidTr="000D7F40">
        <w:trPr>
          <w:trHeight w:val="296"/>
        </w:trPr>
        <w:tc>
          <w:tcPr>
            <w:tcW w:w="1987" w:type="dxa"/>
            <w:shd w:val="clear" w:color="auto" w:fill="auto"/>
          </w:tcPr>
          <w:p w:rsidR="000842F4" w:rsidRPr="00397A29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0842F4">
              <w:rPr>
                <w:sz w:val="20"/>
                <w:szCs w:val="20"/>
                <w:lang w:val="en-US"/>
              </w:rPr>
              <w:t>Landscape</w:t>
            </w:r>
            <w:r w:rsidRPr="000842F4">
              <w:rPr>
                <w:sz w:val="20"/>
                <w:szCs w:val="20"/>
                <w:vertAlign w:val="subscript"/>
                <w:lang w:val="en-US"/>
              </w:rPr>
              <w:t>2500</w:t>
            </w:r>
          </w:p>
        </w:tc>
        <w:tc>
          <w:tcPr>
            <w:tcW w:w="5245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0842F4">
              <w:rPr>
                <w:sz w:val="20"/>
                <w:szCs w:val="20"/>
                <w:lang w:val="en-US"/>
              </w:rPr>
              <w:t>0.20</w:t>
            </w:r>
            <w:r w:rsidR="004807EA">
              <w:rPr>
                <w:sz w:val="20"/>
                <w:szCs w:val="20"/>
                <w:lang w:val="en-US"/>
              </w:rPr>
              <w:t xml:space="preserve"> (0.07)</w:t>
            </w:r>
            <w:r w:rsidRPr="000842F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42F4">
              <w:rPr>
                <w:b/>
                <w:sz w:val="20"/>
                <w:szCs w:val="20"/>
                <w:lang w:val="en-US"/>
              </w:rPr>
              <w:t>RF</w:t>
            </w:r>
            <w:r w:rsidRPr="000842F4">
              <w:rPr>
                <w:b/>
                <w:sz w:val="20"/>
                <w:szCs w:val="20"/>
                <w:vertAlign w:val="subscript"/>
                <w:lang w:val="en-US"/>
              </w:rPr>
              <w:t>meff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842F4" w:rsidRPr="000D7F40" w:rsidRDefault="004807EA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>2.75; 0.01</w:t>
            </w: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263889" w:rsidTr="000D7F40">
        <w:trPr>
          <w:trHeight w:val="296"/>
        </w:trPr>
        <w:tc>
          <w:tcPr>
            <w:tcW w:w="1987" w:type="dxa"/>
            <w:shd w:val="clear" w:color="auto" w:fill="auto"/>
          </w:tcPr>
          <w:p w:rsidR="000842F4" w:rsidRPr="00397A29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0842F4">
              <w:rPr>
                <w:sz w:val="20"/>
                <w:szCs w:val="20"/>
                <w:lang w:val="en-US"/>
              </w:rPr>
              <w:t>0.17</w:t>
            </w:r>
            <w:r w:rsidR="002A5EBE">
              <w:rPr>
                <w:sz w:val="20"/>
                <w:szCs w:val="20"/>
                <w:lang w:val="en-US"/>
              </w:rPr>
              <w:t xml:space="preserve"> (0.07)</w:t>
            </w:r>
            <w:r w:rsidRPr="000842F4">
              <w:rPr>
                <w:sz w:val="20"/>
                <w:szCs w:val="20"/>
                <w:lang w:val="en-US"/>
              </w:rPr>
              <w:t xml:space="preserve"> </w:t>
            </w:r>
            <w:r w:rsidRPr="000842F4">
              <w:rPr>
                <w:b/>
                <w:sz w:val="20"/>
                <w:szCs w:val="20"/>
                <w:lang w:val="en-US"/>
              </w:rPr>
              <w:t>RF</w:t>
            </w:r>
            <w:r w:rsidRPr="000842F4">
              <w:rPr>
                <w:b/>
                <w:sz w:val="20"/>
                <w:szCs w:val="20"/>
                <w:vertAlign w:val="subscript"/>
                <w:lang w:val="en-US"/>
              </w:rPr>
              <w:t>LP</w:t>
            </w:r>
          </w:p>
        </w:tc>
        <w:tc>
          <w:tcPr>
            <w:tcW w:w="1275" w:type="dxa"/>
            <w:shd w:val="clear" w:color="auto" w:fill="auto"/>
          </w:tcPr>
          <w:p w:rsidR="000842F4" w:rsidRPr="000D7F40" w:rsidRDefault="002A5EBE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>2.33; 0.02</w:t>
            </w: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D631C5" w:rsidTr="000D7F40">
        <w:trPr>
          <w:trHeight w:val="296"/>
        </w:trPr>
        <w:tc>
          <w:tcPr>
            <w:tcW w:w="1987" w:type="dxa"/>
            <w:shd w:val="clear" w:color="auto" w:fill="auto"/>
          </w:tcPr>
          <w:p w:rsidR="000842F4" w:rsidRPr="00397A29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397A29">
              <w:rPr>
                <w:sz w:val="20"/>
                <w:szCs w:val="20"/>
                <w:lang w:val="en-US"/>
              </w:rPr>
              <w:t xml:space="preserve">   Intensity</w:t>
            </w:r>
          </w:p>
        </w:tc>
        <w:tc>
          <w:tcPr>
            <w:tcW w:w="2268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0842F4">
              <w:rPr>
                <w:sz w:val="20"/>
                <w:szCs w:val="20"/>
                <w:lang w:val="en-US"/>
              </w:rPr>
              <w:t>Landscape</w:t>
            </w:r>
            <w:r w:rsidRPr="000842F4">
              <w:rPr>
                <w:sz w:val="20"/>
                <w:szCs w:val="20"/>
                <w:vertAlign w:val="subscript"/>
                <w:lang w:val="en-US"/>
              </w:rPr>
              <w:t>1500</w:t>
            </w:r>
          </w:p>
        </w:tc>
        <w:tc>
          <w:tcPr>
            <w:tcW w:w="5245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0842F4">
              <w:rPr>
                <w:sz w:val="20"/>
                <w:szCs w:val="20"/>
                <w:lang w:val="en-US"/>
              </w:rPr>
              <w:t>0.14</w:t>
            </w:r>
            <w:r w:rsidR="00D631C5">
              <w:rPr>
                <w:sz w:val="20"/>
                <w:szCs w:val="20"/>
                <w:lang w:val="en-US"/>
              </w:rPr>
              <w:t xml:space="preserve"> (0.07)</w:t>
            </w:r>
            <w:r w:rsidRPr="000842F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31C5">
              <w:rPr>
                <w:b/>
                <w:sz w:val="20"/>
                <w:szCs w:val="20"/>
                <w:lang w:val="en-US"/>
              </w:rPr>
              <w:t>DF</w:t>
            </w:r>
            <w:r w:rsidRPr="00D631C5">
              <w:rPr>
                <w:b/>
                <w:sz w:val="20"/>
                <w:szCs w:val="20"/>
                <w:vertAlign w:val="subscript"/>
                <w:lang w:val="en-US"/>
              </w:rPr>
              <w:t>meff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842F4" w:rsidRPr="000D7F40" w:rsidRDefault="00D631C5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>2.04; 0.04</w:t>
            </w: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  <w:tr w:rsidR="000D7F40" w:rsidRPr="00D631C5" w:rsidTr="000D7F40">
        <w:trPr>
          <w:trHeight w:val="296"/>
        </w:trPr>
        <w:tc>
          <w:tcPr>
            <w:tcW w:w="1987" w:type="dxa"/>
            <w:shd w:val="clear" w:color="auto" w:fill="auto"/>
          </w:tcPr>
          <w:p w:rsidR="000842F4" w:rsidRPr="00397A29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42F4" w:rsidRPr="000842F4" w:rsidRDefault="000842F4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0842F4">
              <w:rPr>
                <w:sz w:val="20"/>
                <w:szCs w:val="20"/>
                <w:lang w:val="en-US"/>
              </w:rPr>
              <w:t>0.14</w:t>
            </w:r>
            <w:r w:rsidR="00D631C5">
              <w:rPr>
                <w:sz w:val="20"/>
                <w:szCs w:val="20"/>
                <w:lang w:val="en-US"/>
              </w:rPr>
              <w:t xml:space="preserve"> (0.07)</w:t>
            </w:r>
            <w:r w:rsidRPr="000842F4">
              <w:rPr>
                <w:sz w:val="20"/>
                <w:szCs w:val="20"/>
                <w:lang w:val="en-US"/>
              </w:rPr>
              <w:t xml:space="preserve"> </w:t>
            </w:r>
            <w:r w:rsidRPr="00D631C5">
              <w:rPr>
                <w:sz w:val="20"/>
                <w:szCs w:val="20"/>
                <w:lang w:val="en-US"/>
              </w:rPr>
              <w:t>DF</w:t>
            </w:r>
            <w:r w:rsidRPr="00D631C5">
              <w:rPr>
                <w:sz w:val="20"/>
                <w:szCs w:val="20"/>
                <w:vertAlign w:val="subscript"/>
                <w:lang w:val="en-US"/>
              </w:rPr>
              <w:t>LP</w:t>
            </w:r>
          </w:p>
        </w:tc>
        <w:tc>
          <w:tcPr>
            <w:tcW w:w="1275" w:type="dxa"/>
            <w:shd w:val="clear" w:color="auto" w:fill="auto"/>
          </w:tcPr>
          <w:p w:rsidR="000842F4" w:rsidRPr="000D7F40" w:rsidRDefault="00D631C5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  <w:r w:rsidRPr="000D7F40">
              <w:rPr>
                <w:sz w:val="18"/>
                <w:szCs w:val="20"/>
                <w:lang w:val="en-US"/>
              </w:rPr>
              <w:t>1.90; 0.06</w:t>
            </w: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0842F4" w:rsidRPr="000D7F40" w:rsidRDefault="000842F4" w:rsidP="000D7F40">
            <w:pPr>
              <w:spacing w:line="480" w:lineRule="auto"/>
              <w:rPr>
                <w:sz w:val="18"/>
                <w:szCs w:val="20"/>
                <w:lang w:val="en-US"/>
              </w:rPr>
            </w:pPr>
          </w:p>
        </w:tc>
      </w:tr>
    </w:tbl>
    <w:p w:rsidR="0048132D" w:rsidRDefault="0048132D" w:rsidP="0056180F">
      <w:pPr>
        <w:rPr>
          <w:lang w:val="en-US"/>
        </w:rPr>
      </w:pPr>
    </w:p>
    <w:p w:rsidR="00706467" w:rsidRPr="00684320" w:rsidRDefault="0056180F" w:rsidP="0056180F">
      <w:pPr>
        <w:rPr>
          <w:color w:val="FF0000"/>
          <w:sz w:val="20"/>
          <w:szCs w:val="20"/>
          <w:lang w:val="en-US"/>
        </w:rPr>
      </w:pPr>
      <w:r w:rsidRPr="00C54686">
        <w:rPr>
          <w:sz w:val="20"/>
          <w:szCs w:val="20"/>
          <w:lang w:val="en-US"/>
        </w:rPr>
        <w:t xml:space="preserve">Response variables: bat abundance (Ab) and diversity (1/D, Simpson diversity index); bat fly assemblage richness (S), and diversity (1/D and </w:t>
      </w:r>
      <w:proofErr w:type="spellStart"/>
      <w:r w:rsidRPr="00C54686">
        <w:rPr>
          <w:sz w:val="20"/>
          <w:szCs w:val="20"/>
          <w:lang w:val="en-US"/>
        </w:rPr>
        <w:t>e</w:t>
      </w:r>
      <w:r w:rsidRPr="00C54686">
        <w:rPr>
          <w:sz w:val="20"/>
          <w:szCs w:val="20"/>
          <w:vertAlign w:val="superscript"/>
          <w:lang w:val="en-US"/>
        </w:rPr>
        <w:t>H</w:t>
      </w:r>
      <w:proofErr w:type="spellEnd"/>
      <w:r w:rsidRPr="00C54686">
        <w:rPr>
          <w:sz w:val="20"/>
          <w:szCs w:val="20"/>
          <w:vertAlign w:val="superscript"/>
          <w:lang w:val="en-US"/>
        </w:rPr>
        <w:t>’</w:t>
      </w:r>
      <w:r w:rsidRPr="00C54686">
        <w:rPr>
          <w:sz w:val="20"/>
          <w:szCs w:val="20"/>
          <w:lang w:val="en-US"/>
        </w:rPr>
        <w:t xml:space="preserve">, Shannon </w:t>
      </w:r>
      <w:r w:rsidRPr="00A32EC0">
        <w:rPr>
          <w:sz w:val="20"/>
          <w:szCs w:val="20"/>
          <w:lang w:val="en-US"/>
        </w:rPr>
        <w:t>diversity index); the level of specialization of the host-bat fly network</w:t>
      </w:r>
      <w:r w:rsidR="0060554C" w:rsidRPr="00A32EC0">
        <w:rPr>
          <w:sz w:val="20"/>
          <w:szCs w:val="20"/>
          <w:lang w:val="en-US"/>
        </w:rPr>
        <w:t xml:space="preserve"> </w:t>
      </w:r>
      <w:r w:rsidR="0060554C" w:rsidRPr="00A32EC0">
        <w:rPr>
          <w:sz w:val="20"/>
          <w:szCs w:val="20"/>
          <w:lang w:val="en-US"/>
        </w:rPr>
        <w:t>(</w:t>
      </w:r>
      <w:r w:rsidR="0060554C" w:rsidRPr="00A32EC0">
        <w:rPr>
          <w:i/>
          <w:sz w:val="20"/>
          <w:szCs w:val="20"/>
          <w:lang w:val="en-US"/>
        </w:rPr>
        <w:t>H</w:t>
      </w:r>
      <w:r w:rsidR="0060554C" w:rsidRPr="00A32EC0">
        <w:rPr>
          <w:i/>
          <w:sz w:val="20"/>
          <w:szCs w:val="20"/>
          <w:vertAlign w:val="subscript"/>
          <w:lang w:val="en-US"/>
        </w:rPr>
        <w:t>2</w:t>
      </w:r>
      <w:r w:rsidR="0060554C" w:rsidRPr="00A32EC0">
        <w:rPr>
          <w:rFonts w:ascii="Helvetica" w:eastAsia="Helvetica" w:hAnsi="Helvetica" w:cs="Helvetica"/>
          <w:i/>
          <w:sz w:val="20"/>
          <w:szCs w:val="20"/>
          <w:lang w:val="en-US"/>
        </w:rPr>
        <w:t>’</w:t>
      </w:r>
      <w:r w:rsidR="0060554C" w:rsidRPr="00A32EC0">
        <w:rPr>
          <w:sz w:val="20"/>
          <w:szCs w:val="20"/>
          <w:lang w:val="en-US"/>
        </w:rPr>
        <w:t>, specialization index)</w:t>
      </w:r>
      <w:r w:rsidR="001752E9" w:rsidRPr="00A32EC0">
        <w:rPr>
          <w:sz w:val="20"/>
          <w:szCs w:val="20"/>
          <w:lang w:val="en-US"/>
        </w:rPr>
        <w:t>;</w:t>
      </w:r>
      <w:r w:rsidR="00260BE7" w:rsidRPr="00A32EC0">
        <w:rPr>
          <w:sz w:val="20"/>
          <w:szCs w:val="20"/>
          <w:lang w:val="en-US"/>
        </w:rPr>
        <w:t xml:space="preserve"> and the prevalence and intensity of fly infestation</w:t>
      </w:r>
      <w:r w:rsidRPr="00A32EC0">
        <w:rPr>
          <w:sz w:val="20"/>
          <w:szCs w:val="20"/>
          <w:lang w:val="en-US"/>
        </w:rPr>
        <w:t xml:space="preserve">. The </w:t>
      </w:r>
      <w:r w:rsidR="003A4D1F" w:rsidRPr="00A32EC0">
        <w:rPr>
          <w:sz w:val="20"/>
          <w:szCs w:val="20"/>
          <w:lang w:val="en-US"/>
        </w:rPr>
        <w:t xml:space="preserve">explanatory </w:t>
      </w:r>
      <w:r w:rsidR="001752E9" w:rsidRPr="00A32EC0">
        <w:rPr>
          <w:sz w:val="20"/>
          <w:szCs w:val="20"/>
          <w:lang w:val="en-US"/>
        </w:rPr>
        <w:t>variables</w:t>
      </w:r>
      <w:r w:rsidRPr="00A32EC0">
        <w:rPr>
          <w:sz w:val="20"/>
          <w:szCs w:val="20"/>
          <w:lang w:val="en-US"/>
        </w:rPr>
        <w:t xml:space="preserve"> </w:t>
      </w:r>
      <w:r w:rsidR="00C54686" w:rsidRPr="00A32EC0">
        <w:rPr>
          <w:sz w:val="20"/>
          <w:szCs w:val="20"/>
          <w:lang w:val="en-US"/>
        </w:rPr>
        <w:t>corresponding</w:t>
      </w:r>
      <w:r w:rsidRPr="00A32EC0">
        <w:rPr>
          <w:sz w:val="20"/>
          <w:szCs w:val="20"/>
          <w:lang w:val="en-US"/>
        </w:rPr>
        <w:t xml:space="preserve"> </w:t>
      </w:r>
      <w:r w:rsidR="001752E9" w:rsidRPr="00A32EC0">
        <w:rPr>
          <w:sz w:val="20"/>
          <w:szCs w:val="20"/>
          <w:lang w:val="en-US"/>
        </w:rPr>
        <w:t xml:space="preserve">to </w:t>
      </w:r>
      <w:r w:rsidRPr="00A32EC0">
        <w:rPr>
          <w:sz w:val="20"/>
          <w:szCs w:val="20"/>
          <w:lang w:val="en-US"/>
        </w:rPr>
        <w:t xml:space="preserve">the different groups of predictors (group-level predictors) are: 1) </w:t>
      </w:r>
      <w:r w:rsidR="00F6642D" w:rsidRPr="00A32EC0">
        <w:rPr>
          <w:sz w:val="20"/>
          <w:szCs w:val="20"/>
          <w:lang w:val="en-US"/>
        </w:rPr>
        <w:t>r</w:t>
      </w:r>
      <w:r w:rsidR="002E5453" w:rsidRPr="00A32EC0">
        <w:rPr>
          <w:sz w:val="20"/>
          <w:szCs w:val="20"/>
          <w:lang w:val="en-US"/>
        </w:rPr>
        <w:t>egarding the vegetation structure</w:t>
      </w:r>
      <w:r w:rsidRPr="00A32EC0">
        <w:rPr>
          <w:sz w:val="20"/>
          <w:szCs w:val="20"/>
          <w:lang w:val="en-US"/>
        </w:rPr>
        <w:t>, the scores of the first and second ordination axes (MDS</w:t>
      </w:r>
      <w:r w:rsidRPr="00A32EC0">
        <w:rPr>
          <w:sz w:val="20"/>
          <w:szCs w:val="20"/>
          <w:vertAlign w:val="subscript"/>
          <w:lang w:val="en-US"/>
        </w:rPr>
        <w:t>1</w:t>
      </w:r>
      <w:r w:rsidRPr="00A32EC0">
        <w:rPr>
          <w:sz w:val="20"/>
          <w:szCs w:val="20"/>
          <w:lang w:val="en-US"/>
        </w:rPr>
        <w:t xml:space="preserve"> and MDS</w:t>
      </w:r>
      <w:r w:rsidRPr="00A32EC0">
        <w:rPr>
          <w:sz w:val="20"/>
          <w:szCs w:val="20"/>
          <w:vertAlign w:val="subscript"/>
          <w:lang w:val="en-US"/>
        </w:rPr>
        <w:t>2</w:t>
      </w:r>
      <w:r w:rsidRPr="00A32EC0">
        <w:rPr>
          <w:sz w:val="20"/>
          <w:szCs w:val="20"/>
          <w:lang w:val="en-US"/>
        </w:rPr>
        <w:t>)</w:t>
      </w:r>
      <w:r w:rsidR="001752E9" w:rsidRPr="00A32EC0">
        <w:rPr>
          <w:sz w:val="20"/>
          <w:szCs w:val="20"/>
          <w:lang w:val="en-US"/>
        </w:rPr>
        <w:t>, that</w:t>
      </w:r>
      <w:r w:rsidRPr="00A32EC0">
        <w:rPr>
          <w:sz w:val="20"/>
          <w:szCs w:val="20"/>
          <w:lang w:val="en-US"/>
        </w:rPr>
        <w:t xml:space="preserve"> r</w:t>
      </w:r>
      <w:r w:rsidR="001752E9" w:rsidRPr="00A32EC0">
        <w:rPr>
          <w:sz w:val="20"/>
          <w:szCs w:val="20"/>
          <w:lang w:val="en-US"/>
        </w:rPr>
        <w:t>eflect</w:t>
      </w:r>
      <w:r w:rsidRPr="00A32EC0">
        <w:rPr>
          <w:sz w:val="20"/>
          <w:szCs w:val="20"/>
          <w:lang w:val="en-US"/>
        </w:rPr>
        <w:t xml:space="preserve"> plant assemblage’s dissimilarities in vegetation structural complexity; 2) </w:t>
      </w:r>
      <w:r w:rsidR="00F6642D" w:rsidRPr="00A32EC0">
        <w:rPr>
          <w:sz w:val="20"/>
          <w:szCs w:val="20"/>
          <w:lang w:val="en-US"/>
        </w:rPr>
        <w:t xml:space="preserve">regarding the landscapes attributes, </w:t>
      </w:r>
      <w:r w:rsidRPr="00A32EC0">
        <w:rPr>
          <w:sz w:val="20"/>
          <w:szCs w:val="20"/>
          <w:lang w:val="en-US"/>
        </w:rPr>
        <w:t>the landscape proportion (</w:t>
      </w:r>
      <w:r w:rsidRPr="00A32EC0">
        <w:rPr>
          <w:sz w:val="20"/>
          <w:szCs w:val="20"/>
          <w:vertAlign w:val="subscript"/>
          <w:lang w:val="en-US"/>
        </w:rPr>
        <w:t>LP</w:t>
      </w:r>
      <w:r w:rsidRPr="00A32EC0">
        <w:rPr>
          <w:sz w:val="20"/>
          <w:szCs w:val="20"/>
          <w:lang w:val="en-US"/>
        </w:rPr>
        <w:t>) and degree of fragmentation (</w:t>
      </w:r>
      <w:proofErr w:type="spellStart"/>
      <w:r w:rsidRPr="00A32EC0">
        <w:rPr>
          <w:sz w:val="20"/>
          <w:szCs w:val="20"/>
          <w:vertAlign w:val="subscript"/>
          <w:lang w:val="en-US"/>
        </w:rPr>
        <w:t>meff</w:t>
      </w:r>
      <w:proofErr w:type="spellEnd"/>
      <w:r w:rsidRPr="00A32EC0">
        <w:rPr>
          <w:sz w:val="20"/>
          <w:szCs w:val="20"/>
          <w:lang w:val="en-US"/>
        </w:rPr>
        <w:t xml:space="preserve">) regarding the tropical dry forest (DF) and riparian forest (RF), at the 500, 1500, and 2500 m focal scales; and 3) </w:t>
      </w:r>
      <w:r w:rsidR="00F6642D" w:rsidRPr="00A32EC0">
        <w:rPr>
          <w:sz w:val="20"/>
          <w:szCs w:val="20"/>
          <w:lang w:val="en-US"/>
        </w:rPr>
        <w:t>regarding the bat community structure</w:t>
      </w:r>
      <w:r w:rsidRPr="00A32EC0">
        <w:rPr>
          <w:sz w:val="20"/>
          <w:szCs w:val="20"/>
          <w:lang w:val="en-US"/>
        </w:rPr>
        <w:t>, bat assemblage richness (</w:t>
      </w:r>
      <w:proofErr w:type="spellStart"/>
      <w:r w:rsidRPr="00A32EC0">
        <w:rPr>
          <w:sz w:val="20"/>
          <w:szCs w:val="20"/>
          <w:lang w:val="en-US"/>
        </w:rPr>
        <w:t>Bat</w:t>
      </w:r>
      <w:r w:rsidRPr="00A32EC0">
        <w:rPr>
          <w:sz w:val="20"/>
          <w:szCs w:val="20"/>
          <w:vertAlign w:val="subscript"/>
          <w:lang w:val="en-US"/>
        </w:rPr>
        <w:t>S</w:t>
      </w:r>
      <w:proofErr w:type="spellEnd"/>
      <w:r w:rsidRPr="00A32EC0">
        <w:rPr>
          <w:sz w:val="20"/>
          <w:szCs w:val="20"/>
          <w:lang w:val="en-US"/>
        </w:rPr>
        <w:t>) and diversity (Bat</w:t>
      </w:r>
      <w:r w:rsidRPr="00A32EC0">
        <w:rPr>
          <w:sz w:val="20"/>
          <w:szCs w:val="20"/>
          <w:vertAlign w:val="subscript"/>
          <w:lang w:val="en-US"/>
        </w:rPr>
        <w:t>1/D</w:t>
      </w:r>
      <w:r w:rsidRPr="00A32EC0">
        <w:rPr>
          <w:sz w:val="20"/>
          <w:szCs w:val="20"/>
          <w:lang w:val="en-US"/>
        </w:rPr>
        <w:t>). Predictors showing a significant (P &lt; 0.05) relationship with the response variable are shown in bold. The null model was the most plausible model in all cases for the following parameters: bat assemblage’s richness (S) and diversity (</w:t>
      </w:r>
      <w:proofErr w:type="spellStart"/>
      <w:r w:rsidRPr="00A32EC0">
        <w:rPr>
          <w:sz w:val="20"/>
          <w:szCs w:val="20"/>
          <w:lang w:val="en-US"/>
        </w:rPr>
        <w:t>e</w:t>
      </w:r>
      <w:r w:rsidRPr="00A32EC0">
        <w:rPr>
          <w:sz w:val="20"/>
          <w:szCs w:val="20"/>
          <w:vertAlign w:val="superscript"/>
          <w:lang w:val="en-US"/>
        </w:rPr>
        <w:t>H</w:t>
      </w:r>
      <w:proofErr w:type="spellEnd"/>
      <w:r w:rsidRPr="00A32EC0">
        <w:rPr>
          <w:sz w:val="20"/>
          <w:szCs w:val="20"/>
          <w:vertAlign w:val="superscript"/>
          <w:lang w:val="en-US"/>
        </w:rPr>
        <w:t>’</w:t>
      </w:r>
      <w:r w:rsidRPr="00A32EC0">
        <w:rPr>
          <w:sz w:val="20"/>
          <w:szCs w:val="20"/>
          <w:lang w:val="en-US"/>
        </w:rPr>
        <w:t>),</w:t>
      </w:r>
      <w:r w:rsidR="00507985" w:rsidRPr="00A32EC0">
        <w:rPr>
          <w:sz w:val="20"/>
          <w:szCs w:val="20"/>
          <w:lang w:val="en-US"/>
        </w:rPr>
        <w:t xml:space="preserve"> and</w:t>
      </w:r>
      <w:r w:rsidRPr="00A32EC0">
        <w:rPr>
          <w:sz w:val="20"/>
          <w:szCs w:val="20"/>
          <w:lang w:val="en-US"/>
        </w:rPr>
        <w:t xml:space="preserve"> fly </w:t>
      </w:r>
      <w:r w:rsidRPr="00A32EC0">
        <w:rPr>
          <w:color w:val="000000" w:themeColor="text1"/>
          <w:sz w:val="20"/>
          <w:szCs w:val="20"/>
          <w:lang w:val="en-US"/>
        </w:rPr>
        <w:t>assemblage abundance (Ab).</w:t>
      </w:r>
      <w:r w:rsidR="00F809E6" w:rsidRPr="00A32EC0">
        <w:rPr>
          <w:color w:val="000000" w:themeColor="text1"/>
          <w:sz w:val="20"/>
          <w:szCs w:val="20"/>
          <w:lang w:val="en-US"/>
        </w:rPr>
        <w:t xml:space="preserve"> </w:t>
      </w:r>
      <w:r w:rsidR="006C25B9" w:rsidRPr="00A32EC0">
        <w:rPr>
          <w:sz w:val="20"/>
          <w:szCs w:val="20"/>
          <w:lang w:val="en-US"/>
        </w:rPr>
        <w:t>The standardized regression coefficient</w:t>
      </w:r>
      <w:r w:rsidR="00706467" w:rsidRPr="00A32EC0">
        <w:rPr>
          <w:sz w:val="20"/>
          <w:szCs w:val="20"/>
          <w:lang w:val="en-US"/>
        </w:rPr>
        <w:t xml:space="preserve"> (Z-value)</w:t>
      </w:r>
      <w:r w:rsidR="002A1948" w:rsidRPr="00A32EC0">
        <w:rPr>
          <w:sz w:val="20"/>
          <w:szCs w:val="20"/>
          <w:lang w:val="en-US"/>
        </w:rPr>
        <w:t xml:space="preserve"> is calculated by dividing the regression coefficient by its standard error</w:t>
      </w:r>
      <w:r w:rsidR="00486B8D" w:rsidRPr="00A32EC0">
        <w:rPr>
          <w:sz w:val="20"/>
          <w:szCs w:val="20"/>
          <w:lang w:val="en-US"/>
        </w:rPr>
        <w:t>, and can be considered a m</w:t>
      </w:r>
      <w:r w:rsidR="002A1948" w:rsidRPr="00A32EC0">
        <w:rPr>
          <w:sz w:val="20"/>
          <w:szCs w:val="20"/>
          <w:lang w:val="en-US"/>
        </w:rPr>
        <w:t xml:space="preserve">easure </w:t>
      </w:r>
      <w:r w:rsidR="00486B8D" w:rsidRPr="00A32EC0">
        <w:rPr>
          <w:sz w:val="20"/>
          <w:szCs w:val="20"/>
          <w:lang w:val="en-US"/>
        </w:rPr>
        <w:t xml:space="preserve">of </w:t>
      </w:r>
      <w:r w:rsidR="002A1948" w:rsidRPr="00A32EC0">
        <w:rPr>
          <w:sz w:val="20"/>
          <w:szCs w:val="20"/>
          <w:lang w:val="en-US"/>
        </w:rPr>
        <w:t xml:space="preserve">the association between </w:t>
      </w:r>
      <w:r w:rsidR="00486B8D" w:rsidRPr="00A32EC0">
        <w:rPr>
          <w:sz w:val="20"/>
          <w:szCs w:val="20"/>
          <w:lang w:val="en-US"/>
        </w:rPr>
        <w:t xml:space="preserve">the </w:t>
      </w:r>
      <w:r w:rsidR="002A1948" w:rsidRPr="00A32EC0">
        <w:rPr>
          <w:sz w:val="20"/>
          <w:szCs w:val="20"/>
          <w:lang w:val="en-US"/>
        </w:rPr>
        <w:t xml:space="preserve">response </w:t>
      </w:r>
      <w:r w:rsidR="00486B8D" w:rsidRPr="00A32EC0">
        <w:rPr>
          <w:sz w:val="20"/>
          <w:szCs w:val="20"/>
          <w:lang w:val="en-US"/>
        </w:rPr>
        <w:t>and explanatory variables</w:t>
      </w:r>
      <w:r w:rsidR="000F0B45" w:rsidRPr="00A32EC0">
        <w:rPr>
          <w:sz w:val="20"/>
          <w:szCs w:val="20"/>
          <w:lang w:val="en-US"/>
        </w:rPr>
        <w:t xml:space="preserve"> </w:t>
      </w:r>
      <w:r w:rsidR="000F0B45" w:rsidRPr="00A32EC0">
        <w:rPr>
          <w:sz w:val="20"/>
          <w:szCs w:val="20"/>
          <w:lang w:val="en-US"/>
        </w:rPr>
        <w:t>(predictors)</w:t>
      </w:r>
      <w:r w:rsidR="00486B8D" w:rsidRPr="00A32EC0">
        <w:rPr>
          <w:sz w:val="20"/>
          <w:szCs w:val="20"/>
          <w:lang w:val="en-US"/>
        </w:rPr>
        <w:t xml:space="preserve">. </w:t>
      </w:r>
      <w:r w:rsidR="00E81284" w:rsidRPr="00A32EC0">
        <w:rPr>
          <w:sz w:val="20"/>
          <w:szCs w:val="20"/>
          <w:lang w:val="en-US"/>
        </w:rPr>
        <w:t xml:space="preserve">This </w:t>
      </w:r>
      <w:r w:rsidR="00E81284" w:rsidRPr="00684320">
        <w:rPr>
          <w:sz w:val="20"/>
          <w:szCs w:val="20"/>
          <w:lang w:val="en-US"/>
        </w:rPr>
        <w:t xml:space="preserve">standardized coefficient </w:t>
      </w:r>
      <w:r w:rsidR="00945F64" w:rsidRPr="00684320">
        <w:rPr>
          <w:sz w:val="20"/>
          <w:szCs w:val="20"/>
          <w:lang w:val="en-US"/>
        </w:rPr>
        <w:t>indicates</w:t>
      </w:r>
      <w:r w:rsidR="00E81284" w:rsidRPr="00684320">
        <w:rPr>
          <w:sz w:val="20"/>
          <w:szCs w:val="20"/>
          <w:lang w:val="en-US"/>
        </w:rPr>
        <w:t xml:space="preserve"> how many standard deviations the response variable will change per </w:t>
      </w:r>
      <w:r w:rsidR="00945F64" w:rsidRPr="00684320">
        <w:rPr>
          <w:sz w:val="20"/>
          <w:szCs w:val="20"/>
          <w:lang w:val="en-US"/>
        </w:rPr>
        <w:t>every</w:t>
      </w:r>
      <w:r w:rsidR="00E81284" w:rsidRPr="00684320">
        <w:rPr>
          <w:sz w:val="20"/>
          <w:szCs w:val="20"/>
          <w:lang w:val="en-US"/>
        </w:rPr>
        <w:t xml:space="preserve"> standard deviation increase in the explanatory variable</w:t>
      </w:r>
      <w:r w:rsidR="00706467" w:rsidRPr="00684320">
        <w:rPr>
          <w:sz w:val="20"/>
          <w:szCs w:val="20"/>
          <w:lang w:val="en-US"/>
        </w:rPr>
        <w:t>, and can be</w:t>
      </w:r>
      <w:r w:rsidR="003A4D1F" w:rsidRPr="00684320">
        <w:rPr>
          <w:sz w:val="20"/>
          <w:szCs w:val="20"/>
          <w:lang w:val="en-US"/>
        </w:rPr>
        <w:t xml:space="preserve"> used as an effect size estimation</w:t>
      </w:r>
      <w:r w:rsidR="00706467" w:rsidRPr="00684320">
        <w:rPr>
          <w:sz w:val="20"/>
          <w:szCs w:val="20"/>
          <w:lang w:val="en-US"/>
        </w:rPr>
        <w:t xml:space="preserve"> (</w:t>
      </w:r>
      <w:proofErr w:type="spellStart"/>
      <w:r w:rsidR="00706467" w:rsidRPr="00684320">
        <w:rPr>
          <w:sz w:val="20"/>
          <w:szCs w:val="20"/>
          <w:lang w:val="en-US"/>
        </w:rPr>
        <w:t>Nieminen</w:t>
      </w:r>
      <w:proofErr w:type="spellEnd"/>
      <w:r w:rsidR="00706467" w:rsidRPr="00684320">
        <w:rPr>
          <w:sz w:val="20"/>
          <w:szCs w:val="20"/>
          <w:lang w:val="en-US"/>
        </w:rPr>
        <w:t xml:space="preserve"> et al. 2013). Z-value</w:t>
      </w:r>
      <w:r w:rsidR="00945F64" w:rsidRPr="00684320">
        <w:rPr>
          <w:sz w:val="20"/>
          <w:szCs w:val="20"/>
          <w:lang w:val="en-US"/>
        </w:rPr>
        <w:t>s</w:t>
      </w:r>
      <w:r w:rsidR="00706467" w:rsidRPr="00684320">
        <w:rPr>
          <w:sz w:val="20"/>
          <w:szCs w:val="20"/>
          <w:lang w:val="en-US"/>
        </w:rPr>
        <w:t xml:space="preserve"> higher than 1.96</w:t>
      </w:r>
      <w:r w:rsidR="00F809E6" w:rsidRPr="00684320">
        <w:rPr>
          <w:sz w:val="20"/>
          <w:szCs w:val="20"/>
          <w:lang w:val="en-US"/>
        </w:rPr>
        <w:t xml:space="preserve"> or lower than – 1.96</w:t>
      </w:r>
      <w:r w:rsidR="00706467" w:rsidRPr="00684320">
        <w:rPr>
          <w:sz w:val="20"/>
          <w:szCs w:val="20"/>
          <w:lang w:val="en-US"/>
        </w:rPr>
        <w:t xml:space="preserve"> indicate </w:t>
      </w:r>
      <w:r w:rsidR="00F809E6" w:rsidRPr="00684320">
        <w:rPr>
          <w:sz w:val="20"/>
          <w:szCs w:val="20"/>
          <w:lang w:val="en-US"/>
        </w:rPr>
        <w:t xml:space="preserve">a strong relationship among variables. </w:t>
      </w:r>
    </w:p>
    <w:p w:rsidR="006C25B9" w:rsidRPr="00684320" w:rsidRDefault="006C25B9" w:rsidP="0056180F">
      <w:pPr>
        <w:rPr>
          <w:sz w:val="20"/>
          <w:szCs w:val="20"/>
          <w:lang w:val="en-US"/>
        </w:rPr>
      </w:pPr>
    </w:p>
    <w:p w:rsidR="001C1430" w:rsidRPr="00684320" w:rsidRDefault="002A3330" w:rsidP="00FC1B57">
      <w:pPr>
        <w:pStyle w:val="p1"/>
        <w:rPr>
          <w:rFonts w:ascii="Times New Roman" w:hAnsi="Times New Roman"/>
          <w:b/>
          <w:sz w:val="24"/>
          <w:szCs w:val="24"/>
        </w:rPr>
      </w:pPr>
      <w:r w:rsidRPr="00684320">
        <w:rPr>
          <w:rFonts w:ascii="Times New Roman" w:hAnsi="Times New Roman"/>
          <w:b/>
          <w:sz w:val="24"/>
          <w:szCs w:val="24"/>
        </w:rPr>
        <w:t>Reference</w:t>
      </w:r>
    </w:p>
    <w:p w:rsidR="002A3330" w:rsidRPr="00E8247D" w:rsidRDefault="00736680" w:rsidP="00E824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en-US"/>
        </w:rPr>
      </w:pPr>
      <w:proofErr w:type="spellStart"/>
      <w:r w:rsidRPr="00684320">
        <w:rPr>
          <w:b/>
        </w:rPr>
        <w:t>Nieminen</w:t>
      </w:r>
      <w:proofErr w:type="spellEnd"/>
      <w:r w:rsidR="00E22B85" w:rsidRPr="00684320">
        <w:rPr>
          <w:b/>
        </w:rPr>
        <w:t xml:space="preserve"> P., </w:t>
      </w:r>
      <w:proofErr w:type="spellStart"/>
      <w:r w:rsidR="00E22B85" w:rsidRPr="00684320">
        <w:rPr>
          <w:b/>
        </w:rPr>
        <w:t>Lehtiniemi</w:t>
      </w:r>
      <w:proofErr w:type="spellEnd"/>
      <w:r w:rsidR="00E22B85" w:rsidRPr="00684320">
        <w:rPr>
          <w:b/>
        </w:rPr>
        <w:t xml:space="preserve"> H., </w:t>
      </w:r>
      <w:proofErr w:type="spellStart"/>
      <w:r w:rsidR="00E22B85" w:rsidRPr="00684320">
        <w:rPr>
          <w:b/>
        </w:rPr>
        <w:t>Vähäkangas</w:t>
      </w:r>
      <w:proofErr w:type="spellEnd"/>
      <w:r w:rsidR="00E22B85" w:rsidRPr="00684320">
        <w:rPr>
          <w:b/>
        </w:rPr>
        <w:t xml:space="preserve"> K., </w:t>
      </w:r>
      <w:proofErr w:type="spellStart"/>
      <w:r w:rsidR="00E22B85" w:rsidRPr="00684320">
        <w:rPr>
          <w:b/>
        </w:rPr>
        <w:t>Huusko</w:t>
      </w:r>
      <w:proofErr w:type="spellEnd"/>
      <w:r w:rsidR="00E22B85" w:rsidRPr="00684320">
        <w:rPr>
          <w:b/>
        </w:rPr>
        <w:t xml:space="preserve"> A., </w:t>
      </w:r>
      <w:proofErr w:type="spellStart"/>
      <w:r w:rsidR="00E22B85" w:rsidRPr="00684320">
        <w:rPr>
          <w:b/>
        </w:rPr>
        <w:t>Rautio</w:t>
      </w:r>
      <w:proofErr w:type="spellEnd"/>
      <w:r w:rsidR="00E22B85" w:rsidRPr="00684320">
        <w:rPr>
          <w:b/>
        </w:rPr>
        <w:t xml:space="preserve"> A.</w:t>
      </w:r>
      <w:r w:rsidR="00E22B85" w:rsidRPr="00684320">
        <w:t xml:space="preserve"> (2013). </w:t>
      </w:r>
      <w:proofErr w:type="spellStart"/>
      <w:r w:rsidR="00E22B85" w:rsidRPr="00684320">
        <w:rPr>
          <w:lang w:val="en-US"/>
        </w:rPr>
        <w:t>Standardised</w:t>
      </w:r>
      <w:proofErr w:type="spellEnd"/>
      <w:r w:rsidR="00E22B85" w:rsidRPr="00684320">
        <w:rPr>
          <w:lang w:val="en-US"/>
        </w:rPr>
        <w:t xml:space="preserve"> regression coefficient as an effect size in </w:t>
      </w:r>
      <w:proofErr w:type="spellStart"/>
      <w:r w:rsidR="00E22B85" w:rsidRPr="00684320">
        <w:rPr>
          <w:lang w:val="en-US"/>
        </w:rPr>
        <w:t>summarising</w:t>
      </w:r>
      <w:proofErr w:type="spellEnd"/>
      <w:r w:rsidR="00E22B85" w:rsidRPr="00684320">
        <w:rPr>
          <w:lang w:val="en-US"/>
        </w:rPr>
        <w:t xml:space="preserve"> findings in epidemiological studies. </w:t>
      </w:r>
      <w:r w:rsidR="00E22B85" w:rsidRPr="00684320">
        <w:rPr>
          <w:i/>
          <w:lang w:val="en-US"/>
        </w:rPr>
        <w:t>Epidemiology Biostatistics and Public Health</w:t>
      </w:r>
      <w:r w:rsidR="00E22B85" w:rsidRPr="00684320">
        <w:rPr>
          <w:lang w:val="en-US"/>
        </w:rPr>
        <w:t xml:space="preserve"> </w:t>
      </w:r>
      <w:r w:rsidR="00E22B85" w:rsidRPr="00684320">
        <w:rPr>
          <w:b/>
          <w:lang w:val="en-US"/>
        </w:rPr>
        <w:t xml:space="preserve">10 </w:t>
      </w:r>
      <w:r w:rsidR="00E22B85" w:rsidRPr="00684320">
        <w:rPr>
          <w:lang w:val="en-US"/>
        </w:rPr>
        <w:t xml:space="preserve">(4): e8854. </w:t>
      </w:r>
      <w:proofErr w:type="spellStart"/>
      <w:r w:rsidR="00E22B85" w:rsidRPr="00684320">
        <w:rPr>
          <w:lang w:val="en-US"/>
        </w:rPr>
        <w:t>doi</w:t>
      </w:r>
      <w:proofErr w:type="spellEnd"/>
      <w:r w:rsidR="00E22B85" w:rsidRPr="00684320">
        <w:rPr>
          <w:lang w:val="en-US"/>
        </w:rPr>
        <w:t xml:space="preserve">: </w:t>
      </w:r>
      <w:r w:rsidR="007E70F8" w:rsidRPr="00684320">
        <w:rPr>
          <w:lang w:val="en-US"/>
        </w:rPr>
        <w:t>10.2427/8854.</w:t>
      </w:r>
      <w:r w:rsidR="007E70F8" w:rsidRPr="00E8247D">
        <w:rPr>
          <w:rFonts w:ascii="Times" w:hAnsi="Times" w:cs="Times"/>
          <w:bCs/>
          <w:iCs/>
          <w:lang w:eastAsia="en-US"/>
        </w:rPr>
        <w:t xml:space="preserve"> </w:t>
      </w:r>
    </w:p>
    <w:p w:rsidR="00E8247D" w:rsidRPr="00E8247D" w:rsidRDefault="00E8247D" w:rsidP="001652D3">
      <w:pPr>
        <w:spacing w:after="200"/>
        <w:rPr>
          <w:rFonts w:ascii="Times" w:hAnsi="Times" w:cs="Times"/>
          <w:lang w:eastAsia="en-US"/>
        </w:rPr>
      </w:pPr>
    </w:p>
    <w:p w:rsidR="00E8247D" w:rsidRPr="0056180F" w:rsidRDefault="00E8247D">
      <w:pPr>
        <w:rPr>
          <w:lang w:val="en-US"/>
        </w:rPr>
      </w:pPr>
    </w:p>
    <w:sectPr w:rsidR="00E8247D" w:rsidRPr="0056180F" w:rsidSect="003B33BA">
      <w:pgSz w:w="15840" w:h="12240" w:orient="landscape"/>
      <w:pgMar w:top="1701" w:right="1418" w:bottom="1701" w:left="1418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F"/>
    <w:rsid w:val="00014FE9"/>
    <w:rsid w:val="00032DCB"/>
    <w:rsid w:val="000360AB"/>
    <w:rsid w:val="00065697"/>
    <w:rsid w:val="00067820"/>
    <w:rsid w:val="000751F1"/>
    <w:rsid w:val="000842F4"/>
    <w:rsid w:val="000C362B"/>
    <w:rsid w:val="000D7F40"/>
    <w:rsid w:val="000F0B45"/>
    <w:rsid w:val="001057C9"/>
    <w:rsid w:val="0011564E"/>
    <w:rsid w:val="001652D3"/>
    <w:rsid w:val="00170524"/>
    <w:rsid w:val="001752E9"/>
    <w:rsid w:val="001B7106"/>
    <w:rsid w:val="001C1430"/>
    <w:rsid w:val="001F1C3C"/>
    <w:rsid w:val="00212AAE"/>
    <w:rsid w:val="002342CC"/>
    <w:rsid w:val="00257649"/>
    <w:rsid w:val="00260BE7"/>
    <w:rsid w:val="00263889"/>
    <w:rsid w:val="00282AEF"/>
    <w:rsid w:val="00282FF2"/>
    <w:rsid w:val="00286510"/>
    <w:rsid w:val="002A0289"/>
    <w:rsid w:val="002A1948"/>
    <w:rsid w:val="002A3330"/>
    <w:rsid w:val="002A5EBE"/>
    <w:rsid w:val="002A6AB9"/>
    <w:rsid w:val="002E5453"/>
    <w:rsid w:val="003452EA"/>
    <w:rsid w:val="00392BD4"/>
    <w:rsid w:val="00397A29"/>
    <w:rsid w:val="003A4D1F"/>
    <w:rsid w:val="00434627"/>
    <w:rsid w:val="004525EA"/>
    <w:rsid w:val="00453DCA"/>
    <w:rsid w:val="00474FAB"/>
    <w:rsid w:val="004807EA"/>
    <w:rsid w:val="0048132D"/>
    <w:rsid w:val="00486465"/>
    <w:rsid w:val="00486B8D"/>
    <w:rsid w:val="004C4564"/>
    <w:rsid w:val="00507985"/>
    <w:rsid w:val="00526DEF"/>
    <w:rsid w:val="00532234"/>
    <w:rsid w:val="005454DA"/>
    <w:rsid w:val="00546879"/>
    <w:rsid w:val="0056180F"/>
    <w:rsid w:val="00584569"/>
    <w:rsid w:val="005E105C"/>
    <w:rsid w:val="0060554C"/>
    <w:rsid w:val="00653B11"/>
    <w:rsid w:val="00684320"/>
    <w:rsid w:val="006A7C56"/>
    <w:rsid w:val="006C25B9"/>
    <w:rsid w:val="00705EF4"/>
    <w:rsid w:val="00706467"/>
    <w:rsid w:val="00736680"/>
    <w:rsid w:val="00776F01"/>
    <w:rsid w:val="007B1E53"/>
    <w:rsid w:val="007B67AA"/>
    <w:rsid w:val="007E5109"/>
    <w:rsid w:val="007E70F8"/>
    <w:rsid w:val="007F11CB"/>
    <w:rsid w:val="007F2897"/>
    <w:rsid w:val="008A75DA"/>
    <w:rsid w:val="008A7974"/>
    <w:rsid w:val="00934C1B"/>
    <w:rsid w:val="00945F64"/>
    <w:rsid w:val="00947CB1"/>
    <w:rsid w:val="00975CCD"/>
    <w:rsid w:val="0098126E"/>
    <w:rsid w:val="009B08AC"/>
    <w:rsid w:val="009C19B6"/>
    <w:rsid w:val="009E3E67"/>
    <w:rsid w:val="00A06212"/>
    <w:rsid w:val="00A16E2A"/>
    <w:rsid w:val="00A3224F"/>
    <w:rsid w:val="00A32EC0"/>
    <w:rsid w:val="00A3468C"/>
    <w:rsid w:val="00A34EC8"/>
    <w:rsid w:val="00A42FEF"/>
    <w:rsid w:val="00A44E22"/>
    <w:rsid w:val="00A70C56"/>
    <w:rsid w:val="00A903EC"/>
    <w:rsid w:val="00AA39BA"/>
    <w:rsid w:val="00B7197B"/>
    <w:rsid w:val="00C048F1"/>
    <w:rsid w:val="00C05CD3"/>
    <w:rsid w:val="00C42D78"/>
    <w:rsid w:val="00C54686"/>
    <w:rsid w:val="00C64DB5"/>
    <w:rsid w:val="00CD0990"/>
    <w:rsid w:val="00CE2D7C"/>
    <w:rsid w:val="00D22402"/>
    <w:rsid w:val="00D631C5"/>
    <w:rsid w:val="00D900F3"/>
    <w:rsid w:val="00D912F2"/>
    <w:rsid w:val="00D96E64"/>
    <w:rsid w:val="00DD1F7E"/>
    <w:rsid w:val="00DE5E7B"/>
    <w:rsid w:val="00E10D21"/>
    <w:rsid w:val="00E12B9C"/>
    <w:rsid w:val="00E22B85"/>
    <w:rsid w:val="00E31BDA"/>
    <w:rsid w:val="00E31FF7"/>
    <w:rsid w:val="00E451CD"/>
    <w:rsid w:val="00E547EE"/>
    <w:rsid w:val="00E81284"/>
    <w:rsid w:val="00E8247D"/>
    <w:rsid w:val="00EC4B0A"/>
    <w:rsid w:val="00F019F2"/>
    <w:rsid w:val="00F575AB"/>
    <w:rsid w:val="00F61D80"/>
    <w:rsid w:val="00F6642D"/>
    <w:rsid w:val="00F66D66"/>
    <w:rsid w:val="00F76717"/>
    <w:rsid w:val="00F809E6"/>
    <w:rsid w:val="00F944A6"/>
    <w:rsid w:val="00FC1B57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2CF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180F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6180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56180F"/>
  </w:style>
  <w:style w:type="character" w:customStyle="1" w:styleId="TextocomentarioCar">
    <w:name w:val="Texto comentario Car"/>
    <w:basedOn w:val="Fuentedeprrafopredeter"/>
    <w:link w:val="Textocomentario"/>
    <w:uiPriority w:val="99"/>
    <w:rsid w:val="0056180F"/>
    <w:rPr>
      <w:rFonts w:ascii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561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80F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80F"/>
    <w:rPr>
      <w:rFonts w:ascii="Times New Roman" w:hAnsi="Times New Roman" w:cs="Times New Roman"/>
      <w:sz w:val="18"/>
      <w:szCs w:val="18"/>
      <w:lang w:eastAsia="es-ES_tradnl"/>
    </w:rPr>
  </w:style>
  <w:style w:type="character" w:styleId="Nmerodelnea">
    <w:name w:val="line number"/>
    <w:basedOn w:val="Fuentedeprrafopredeter"/>
    <w:uiPriority w:val="99"/>
    <w:semiHidden/>
    <w:unhideWhenUsed/>
    <w:rsid w:val="0056180F"/>
  </w:style>
  <w:style w:type="paragraph" w:customStyle="1" w:styleId="p1">
    <w:name w:val="p1"/>
    <w:basedOn w:val="Normal"/>
    <w:rsid w:val="00653B11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653B11"/>
    <w:pPr>
      <w:shd w:val="clear" w:color="auto" w:fill="FCFBF8"/>
    </w:pPr>
    <w:rPr>
      <w:rFonts w:ascii="Arial" w:hAnsi="Arial" w:cs="Arial"/>
      <w:color w:val="242729"/>
      <w:sz w:val="23"/>
      <w:szCs w:val="23"/>
    </w:rPr>
  </w:style>
  <w:style w:type="paragraph" w:customStyle="1" w:styleId="p3">
    <w:name w:val="p3"/>
    <w:basedOn w:val="Normal"/>
    <w:rsid w:val="00653B11"/>
    <w:pPr>
      <w:shd w:val="clear" w:color="auto" w:fill="FCFBF8"/>
    </w:pPr>
    <w:rPr>
      <w:rFonts w:ascii="Arial" w:hAnsi="Arial" w:cs="Arial"/>
      <w:color w:val="242729"/>
      <w:sz w:val="23"/>
      <w:szCs w:val="23"/>
    </w:rPr>
  </w:style>
  <w:style w:type="paragraph" w:customStyle="1" w:styleId="p4">
    <w:name w:val="p4"/>
    <w:basedOn w:val="Normal"/>
    <w:rsid w:val="00653B11"/>
    <w:rPr>
      <w:rFonts w:ascii="Helvetica" w:hAnsi="Helvetica"/>
      <w:color w:val="232323"/>
      <w:sz w:val="21"/>
      <w:szCs w:val="21"/>
    </w:rPr>
  </w:style>
  <w:style w:type="paragraph" w:customStyle="1" w:styleId="p5">
    <w:name w:val="p5"/>
    <w:basedOn w:val="Normal"/>
    <w:rsid w:val="00653B11"/>
    <w:rPr>
      <w:rFonts w:ascii="Helvetica" w:hAnsi="Helvetica"/>
      <w:color w:val="232323"/>
      <w:sz w:val="21"/>
      <w:szCs w:val="21"/>
    </w:rPr>
  </w:style>
  <w:style w:type="character" w:customStyle="1" w:styleId="s2">
    <w:name w:val="s2"/>
    <w:basedOn w:val="Fuentedeprrafopredeter"/>
    <w:rsid w:val="00653B11"/>
    <w:rPr>
      <w:rFonts w:ascii="Arial" w:hAnsi="Arial" w:cs="Arial" w:hint="default"/>
      <w:color w:val="242729"/>
      <w:sz w:val="23"/>
      <w:szCs w:val="23"/>
      <w:shd w:val="clear" w:color="auto" w:fill="FCFBF8"/>
    </w:rPr>
  </w:style>
  <w:style w:type="character" w:customStyle="1" w:styleId="s1">
    <w:name w:val="s1"/>
    <w:basedOn w:val="Fuentedeprrafopredeter"/>
    <w:rsid w:val="00653B11"/>
  </w:style>
  <w:style w:type="character" w:customStyle="1" w:styleId="apple-converted-space">
    <w:name w:val="apple-converted-space"/>
    <w:basedOn w:val="Fuentedeprrafopredeter"/>
    <w:rsid w:val="00653B11"/>
  </w:style>
  <w:style w:type="paragraph" w:styleId="Prrafodelista">
    <w:name w:val="List Paragraph"/>
    <w:basedOn w:val="Normal"/>
    <w:uiPriority w:val="34"/>
    <w:qFormat/>
    <w:rsid w:val="007B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628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Daniel Avila Cabadilla</dc:creator>
  <cp:keywords/>
  <dc:description/>
  <cp:lastModifiedBy>Mariana Yolotl Alvarez Añorve</cp:lastModifiedBy>
  <cp:revision>8</cp:revision>
  <dcterms:created xsi:type="dcterms:W3CDTF">2018-04-05T01:14:00Z</dcterms:created>
  <dcterms:modified xsi:type="dcterms:W3CDTF">2018-04-05T13:23:00Z</dcterms:modified>
</cp:coreProperties>
</file>