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860C0">
        <w:rPr>
          <w:rFonts w:ascii="Times New Roman" w:hAnsi="Times New Roman"/>
          <w:b/>
          <w:sz w:val="24"/>
          <w:szCs w:val="24"/>
          <w:lang w:val="en-GB"/>
        </w:rPr>
        <w:t>Supporting Information</w:t>
      </w:r>
    </w:p>
    <w:p w:rsidR="00B842C0" w:rsidRPr="007860C0" w:rsidRDefault="00B842C0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following Supporting Information is available for this article online:</w:t>
      </w:r>
    </w:p>
    <w:p w:rsidR="0068796B" w:rsidRPr="00681E35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  <w:r w:rsidRPr="00CD01C9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/>
        </w:rPr>
        <w:t>S1</w:t>
      </w:r>
      <w:r w:rsidRPr="00CD01C9">
        <w:rPr>
          <w:rFonts w:ascii="Times New Roman" w:hAnsi="Times New Roman"/>
          <w:b/>
          <w:sz w:val="24"/>
          <w:szCs w:val="24"/>
          <w:lang w:val="en-GB"/>
        </w:rPr>
        <w:t>.</w:t>
      </w:r>
      <w:r w:rsidRPr="00681E35">
        <w:rPr>
          <w:rFonts w:ascii="Times New Roman" w:hAnsi="Times New Roman"/>
          <w:sz w:val="24"/>
          <w:szCs w:val="24"/>
          <w:lang w:val="en-GB"/>
        </w:rPr>
        <w:t xml:space="preserve"> Results from Experiment 1 by </w:t>
      </w:r>
      <w:r>
        <w:rPr>
          <w:rFonts w:ascii="Times New Roman" w:hAnsi="Times New Roman"/>
          <w:sz w:val="24"/>
          <w:szCs w:val="24"/>
          <w:lang w:val="en-GB"/>
        </w:rPr>
        <w:t>diluted (Dilution 1 and 2)</w:t>
      </w:r>
      <w:r w:rsidRPr="00D01A44">
        <w:rPr>
          <w:rFonts w:ascii="Times New Roman" w:hAnsi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/>
          <w:sz w:val="24"/>
          <w:szCs w:val="24"/>
          <w:lang w:val="en-GB"/>
        </w:rPr>
        <w:t>undiluted treatment</w:t>
      </w:r>
      <w:r w:rsidRPr="00681E35">
        <w:rPr>
          <w:rFonts w:ascii="Times New Roman" w:hAnsi="Times New Roman"/>
          <w:sz w:val="24"/>
          <w:szCs w:val="24"/>
          <w:lang w:val="en-GB"/>
        </w:rPr>
        <w:t xml:space="preserve"> and day during the experiment when colonies were sampled. Results are: the number of </w:t>
      </w:r>
      <w:r w:rsidRPr="00CD01C9">
        <w:rPr>
          <w:rFonts w:ascii="Times New Roman" w:hAnsi="Times New Roman"/>
          <w:i/>
          <w:sz w:val="24"/>
          <w:szCs w:val="24"/>
          <w:lang w:val="en-GB"/>
        </w:rPr>
        <w:t>F</w:t>
      </w:r>
      <w:r>
        <w:rPr>
          <w:rFonts w:ascii="Times New Roman" w:hAnsi="Times New Roman"/>
          <w:i/>
          <w:sz w:val="24"/>
          <w:szCs w:val="24"/>
          <w:lang w:val="en-GB"/>
        </w:rPr>
        <w:t>redericella</w:t>
      </w:r>
      <w:r w:rsidRPr="00CD01C9">
        <w:rPr>
          <w:rFonts w:ascii="Times New Roman" w:hAnsi="Times New Roman"/>
          <w:i/>
          <w:sz w:val="24"/>
          <w:szCs w:val="24"/>
          <w:lang w:val="en-GB"/>
        </w:rPr>
        <w:t xml:space="preserve"> sultana</w:t>
      </w:r>
      <w:r w:rsidRPr="00681E35">
        <w:rPr>
          <w:rFonts w:ascii="Times New Roman" w:hAnsi="Times New Roman"/>
          <w:sz w:val="24"/>
          <w:szCs w:val="24"/>
          <w:lang w:val="en-GB"/>
        </w:rPr>
        <w:t xml:space="preserve"> colonies that were uninfected, covertly infected, overtly infected, dead, and that contained statoblasts and the number of </w:t>
      </w:r>
      <w:r w:rsidRPr="00CD01C9">
        <w:rPr>
          <w:rFonts w:ascii="Times New Roman" w:hAnsi="Times New Roman"/>
          <w:i/>
          <w:sz w:val="24"/>
          <w:szCs w:val="24"/>
          <w:lang w:val="en-GB"/>
        </w:rPr>
        <w:t xml:space="preserve">Tetracapsuloides bryosalmonae </w:t>
      </w:r>
      <w:r w:rsidRPr="00681E35">
        <w:rPr>
          <w:rFonts w:ascii="Times New Roman" w:hAnsi="Times New Roman"/>
          <w:sz w:val="24"/>
          <w:szCs w:val="24"/>
          <w:lang w:val="en-GB"/>
        </w:rPr>
        <w:t>sacs.</w:t>
      </w:r>
    </w:p>
    <w:p w:rsidR="0068796B" w:rsidRPr="00CD01C9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  <w:r w:rsidRPr="00CD01C9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/>
        </w:rPr>
        <w:t>S2</w:t>
      </w:r>
      <w:r w:rsidRPr="00CD01C9">
        <w:rPr>
          <w:rFonts w:ascii="Times New Roman" w:hAnsi="Times New Roman"/>
          <w:b/>
          <w:sz w:val="24"/>
          <w:szCs w:val="24"/>
          <w:lang w:val="en-GB"/>
        </w:rPr>
        <w:t>.</w:t>
      </w:r>
      <w:r w:rsidRPr="00681E35">
        <w:rPr>
          <w:rFonts w:ascii="Times New Roman" w:hAnsi="Times New Roman"/>
          <w:sz w:val="24"/>
          <w:szCs w:val="24"/>
          <w:lang w:val="en-GB"/>
        </w:rPr>
        <w:t xml:space="preserve"> Results from Experiment 2 (transplant experiment) by source and final treatments and day during the experiment when colonies were sampled. Results are: the number of </w:t>
      </w:r>
      <w:r w:rsidRPr="00CD01C9">
        <w:rPr>
          <w:rFonts w:ascii="Times New Roman" w:hAnsi="Times New Roman"/>
          <w:i/>
          <w:sz w:val="24"/>
          <w:szCs w:val="24"/>
          <w:lang w:val="en-GB"/>
        </w:rPr>
        <w:t>Fredericella sultana</w:t>
      </w:r>
      <w:r w:rsidRPr="00681E35">
        <w:rPr>
          <w:rFonts w:ascii="Times New Roman" w:hAnsi="Times New Roman"/>
          <w:sz w:val="24"/>
          <w:szCs w:val="24"/>
          <w:lang w:val="en-GB"/>
        </w:rPr>
        <w:t xml:space="preserve"> colonies that were uninfected, covertly infected, overtly infected, dead, and that contained statoblasts and the number of </w:t>
      </w:r>
      <w:r w:rsidRPr="00CD01C9">
        <w:rPr>
          <w:rFonts w:ascii="Times New Roman" w:hAnsi="Times New Roman"/>
          <w:i/>
          <w:sz w:val="24"/>
          <w:szCs w:val="24"/>
          <w:lang w:val="en-GB"/>
        </w:rPr>
        <w:t>Tetracapsuloides bryosalmonae</w:t>
      </w:r>
      <w:r w:rsidRPr="00681E35">
        <w:rPr>
          <w:rFonts w:ascii="Times New Roman" w:hAnsi="Times New Roman"/>
          <w:sz w:val="24"/>
          <w:szCs w:val="24"/>
          <w:lang w:val="en-GB"/>
        </w:rPr>
        <w:t xml:space="preserve"> sacs.</w:t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  <w:r w:rsidRPr="00AE4AC7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GB"/>
        </w:rPr>
        <w:t>S1</w:t>
      </w:r>
      <w:r w:rsidRPr="00D01A44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 xml:space="preserve">Frequencies of infected maternal colonies </w:t>
      </w:r>
      <w:r w:rsidR="00C96016">
        <w:rPr>
          <w:rFonts w:ascii="Times New Roman" w:hAnsi="Times New Roman"/>
          <w:sz w:val="24"/>
          <w:szCs w:val="24"/>
          <w:lang w:val="en-GB"/>
        </w:rPr>
        <w:t xml:space="preserve">according to the </w:t>
      </w:r>
      <w:r>
        <w:rPr>
          <w:rFonts w:ascii="Times New Roman" w:hAnsi="Times New Roman"/>
          <w:sz w:val="24"/>
          <w:szCs w:val="24"/>
          <w:lang w:val="en-GB"/>
        </w:rPr>
        <w:t xml:space="preserve">proportion of </w:t>
      </w:r>
      <w:r w:rsidR="00C96016">
        <w:rPr>
          <w:rFonts w:ascii="Times New Roman" w:hAnsi="Times New Roman"/>
          <w:sz w:val="24"/>
          <w:szCs w:val="24"/>
          <w:lang w:val="en-GB"/>
        </w:rPr>
        <w:t xml:space="preserve">statoblasts infected in their </w:t>
      </w:r>
      <w:r>
        <w:rPr>
          <w:rFonts w:ascii="Times New Roman" w:hAnsi="Times New Roman"/>
          <w:sz w:val="24"/>
          <w:szCs w:val="24"/>
          <w:lang w:val="en-GB"/>
        </w:rPr>
        <w:t>brood.</w:t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  <w:r w:rsidRPr="007860C0">
        <w:rPr>
          <w:rFonts w:ascii="Times New Roman" w:hAnsi="Times New Roman"/>
          <w:b/>
          <w:sz w:val="24"/>
          <w:szCs w:val="24"/>
          <w:lang w:val="en-GB"/>
        </w:rPr>
        <w:t xml:space="preserve">Appendix S1. </w:t>
      </w:r>
      <w:r>
        <w:rPr>
          <w:rFonts w:ascii="Times New Roman" w:hAnsi="Times New Roman"/>
          <w:sz w:val="24"/>
          <w:szCs w:val="24"/>
          <w:lang w:val="en-GB"/>
        </w:rPr>
        <w:t>M</w:t>
      </w:r>
      <w:r w:rsidRPr="007860C0">
        <w:rPr>
          <w:rFonts w:ascii="Times New Roman" w:hAnsi="Times New Roman"/>
          <w:sz w:val="24"/>
          <w:szCs w:val="24"/>
          <w:lang w:val="en-GB"/>
        </w:rPr>
        <w:t>ethods used to extract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c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hlorophyll-a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from water samples taken from each treatment</w:t>
      </w:r>
      <w:r w:rsidRPr="007860C0">
        <w:rPr>
          <w:rFonts w:ascii="Times New Roman" w:hAnsi="Times New Roman"/>
          <w:sz w:val="24"/>
          <w:szCs w:val="24"/>
          <w:lang w:val="en-GB"/>
        </w:rPr>
        <w:t>.</w:t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  <w:r w:rsidRPr="0048678D">
        <w:rPr>
          <w:rFonts w:ascii="Times New Roman" w:hAnsi="Times New Roman"/>
          <w:b/>
          <w:sz w:val="24"/>
          <w:szCs w:val="24"/>
          <w:lang w:val="en-GB"/>
        </w:rPr>
        <w:t>Appendix S2.</w:t>
      </w:r>
      <w:r>
        <w:rPr>
          <w:rFonts w:ascii="Times New Roman" w:hAnsi="Times New Roman"/>
          <w:sz w:val="24"/>
          <w:szCs w:val="24"/>
          <w:lang w:val="en-GB"/>
        </w:rPr>
        <w:t xml:space="preserve"> Methods used to detect</w:t>
      </w:r>
      <w:r w:rsidRPr="00F90AB3">
        <w:rPr>
          <w:rFonts w:ascii="Times New Roman" w:hAnsi="Times New Roman"/>
          <w:sz w:val="24"/>
          <w:szCs w:val="24"/>
          <w:lang w:val="en-GB"/>
        </w:rPr>
        <w:t xml:space="preserve"> covert infections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 w:rsidR="00C96016">
        <w:rPr>
          <w:rFonts w:ascii="Times New Roman" w:hAnsi="Times New Roman"/>
          <w:sz w:val="24"/>
          <w:szCs w:val="24"/>
          <w:lang w:val="en-GB"/>
        </w:rPr>
        <w:t xml:space="preserve"> to</w:t>
      </w:r>
      <w:r>
        <w:rPr>
          <w:rFonts w:ascii="Times New Roman" w:hAnsi="Times New Roman"/>
          <w:sz w:val="24"/>
          <w:szCs w:val="24"/>
          <w:lang w:val="en-GB"/>
        </w:rPr>
        <w:t xml:space="preserve"> estimate</w:t>
      </w:r>
      <w:r w:rsidRPr="00F90AB3">
        <w:rPr>
          <w:rFonts w:ascii="Times New Roman" w:hAnsi="Times New Roman"/>
          <w:sz w:val="24"/>
          <w:szCs w:val="24"/>
          <w:lang w:val="en-GB"/>
        </w:rPr>
        <w:t xml:space="preserve"> infection intensity semi-quantitatively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68796B" w:rsidRPr="006A4018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A4018">
        <w:rPr>
          <w:rFonts w:ascii="Times New Roman" w:hAnsi="Times New Roman"/>
          <w:b/>
          <w:sz w:val="24"/>
          <w:szCs w:val="24"/>
          <w:lang w:val="en-GB"/>
        </w:rPr>
        <w:lastRenderedPageBreak/>
        <w:t>Table S1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65"/>
        <w:gridCol w:w="1313"/>
        <w:gridCol w:w="1157"/>
        <w:gridCol w:w="1043"/>
        <w:gridCol w:w="1043"/>
        <w:gridCol w:w="1314"/>
        <w:gridCol w:w="1049"/>
      </w:tblGrid>
      <w:tr w:rsidR="0068796B" w:rsidRPr="008351D0" w:rsidTr="003734A9">
        <w:trPr>
          <w:trHeight w:val="434"/>
          <w:jc w:val="center"/>
        </w:trPr>
        <w:tc>
          <w:tcPr>
            <w:tcW w:w="643" w:type="pct"/>
            <w:vMerge w:val="restart"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Treatment</w:t>
            </w:r>
          </w:p>
        </w:tc>
        <w:tc>
          <w:tcPr>
            <w:tcW w:w="761" w:type="pct"/>
            <w:vMerge w:val="restart"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Day in study</w:t>
            </w:r>
          </w:p>
        </w:tc>
        <w:tc>
          <w:tcPr>
            <w:tcW w:w="3050" w:type="pct"/>
            <w:gridSpan w:val="5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Number of colonies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Number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of sacs</w:t>
            </w:r>
          </w:p>
        </w:tc>
      </w:tr>
      <w:tr w:rsidR="008351D0" w:rsidRPr="008351D0" w:rsidTr="008351D0">
        <w:trPr>
          <w:trHeight w:val="651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Uninfected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Covertly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infected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Overtly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infected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Dead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Containing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6"/>
                <w:lang w:val="en-GB" w:eastAsia="en-GB"/>
              </w:rPr>
              <w:t>Statoblasts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val="en-GB" w:eastAsia="en-GB"/>
              </w:rPr>
            </w:pP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 w:val="restart"/>
            <w:shd w:val="clear" w:color="auto" w:fill="auto"/>
            <w:noWrap/>
            <w:vAlign w:val="center"/>
            <w:hideMark/>
          </w:tcPr>
          <w:p w:rsidR="0068796B" w:rsidRPr="00C96016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C96016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Dilution 1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(27.3%)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6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(54.6%)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(18.2%)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5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5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(50.0%)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(20.0%)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(30.0%)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7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7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(30.0%)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7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(70.0%)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9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(30.0%)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6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(60.0%)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(10.0%)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(10.0%)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11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(100.0%)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(9.1%)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 w:val="restart"/>
            <w:shd w:val="clear" w:color="auto" w:fill="auto"/>
            <w:noWrap/>
            <w:vAlign w:val="center"/>
            <w:hideMark/>
          </w:tcPr>
          <w:p w:rsidR="0068796B" w:rsidRPr="00C96016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C96016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Dilution 2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(6.7%)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(73.3%)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(20.0%)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8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5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5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(50.0%)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(20.0%)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(30.0%)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4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7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(11.1%)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5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(55.6%)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(33.3%)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21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9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(18.2%)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5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(45.5%)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4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(36.4%)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(8.3%)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(9.1%)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17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11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8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(88.9%)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(11.1%)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(10.0%)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 w:val="restart"/>
            <w:shd w:val="clear" w:color="auto" w:fill="auto"/>
            <w:noWrap/>
            <w:vAlign w:val="center"/>
            <w:hideMark/>
          </w:tcPr>
          <w:p w:rsidR="0068796B" w:rsidRPr="00C96016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C96016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Undiluted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4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(36.4%)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7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(63.6%)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5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(22.2%)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7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(77.8%)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(11.1%)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7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(20.0%)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7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(70.0%)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(10.0%)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(10.0%)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2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9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(90.9%)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(9.1%)</w:t>
            </w: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3</w:t>
            </w:r>
          </w:p>
        </w:tc>
      </w:tr>
      <w:tr w:rsidR="008351D0" w:rsidRPr="008351D0" w:rsidTr="008351D0">
        <w:trPr>
          <w:trHeight w:val="340"/>
          <w:jc w:val="center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11</w:t>
            </w:r>
          </w:p>
        </w:tc>
        <w:tc>
          <w:tcPr>
            <w:tcW w:w="68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10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(100.0%)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2" w:type="pct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68796B" w:rsidRPr="003734A9" w:rsidRDefault="0068796B" w:rsidP="003734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</w:pPr>
            <w:r w:rsidRPr="003734A9">
              <w:rPr>
                <w:rFonts w:ascii="Times New Roman" w:hAnsi="Times New Roman"/>
                <w:color w:val="000000"/>
                <w:sz w:val="18"/>
                <w:szCs w:val="16"/>
                <w:lang w:val="en-GB" w:eastAsia="en-GB"/>
              </w:rPr>
              <w:t>0</w:t>
            </w:r>
          </w:p>
        </w:tc>
      </w:tr>
    </w:tbl>
    <w:p w:rsidR="0068796B" w:rsidRDefault="0068796B" w:rsidP="0068796B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A4018">
        <w:rPr>
          <w:rFonts w:ascii="Times New Roman" w:hAnsi="Times New Roman"/>
          <w:b/>
          <w:sz w:val="24"/>
          <w:szCs w:val="24"/>
          <w:lang w:val="en-GB"/>
        </w:rPr>
        <w:lastRenderedPageBreak/>
        <w:t>Table S2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956"/>
        <w:gridCol w:w="1136"/>
        <w:gridCol w:w="1016"/>
        <w:gridCol w:w="891"/>
        <w:gridCol w:w="801"/>
        <w:gridCol w:w="711"/>
        <w:gridCol w:w="1016"/>
        <w:gridCol w:w="806"/>
      </w:tblGrid>
      <w:tr w:rsidR="0068796B" w:rsidRPr="008A5ED4" w:rsidTr="003734A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Final</w:t>
            </w:r>
          </w:p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Treatment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Day in study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Number of colonies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Number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of sacs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Uninfected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Covertly</w:t>
            </w:r>
          </w:p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infected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Overtly</w:t>
            </w:r>
          </w:p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infected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Dead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Containing</w:t>
            </w:r>
          </w:p>
          <w:p w:rsidR="0068796B" w:rsidRPr="003734A9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37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GB" w:eastAsia="en-GB"/>
              </w:rPr>
              <w:t>Statoblasts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Dilution 1</w:t>
            </w:r>
          </w:p>
        </w:tc>
        <w:tc>
          <w:tcPr>
            <w:tcW w:w="0" w:type="auto"/>
            <w:vMerge w:val="restart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Dilution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(50.0%)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(50.0%)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(7.1%)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13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(65.0%)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(35.0%)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(0.2%)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Dilution 2</w:t>
            </w: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(30.0%)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(70.0%)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(0.1%)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(10.0%)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(22.2%)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(77.8%)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(0.2%)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Undiluted</w:t>
            </w: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(14.3%)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12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(85.7%)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(0.1%)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(14.3%)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(81.8%)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(18.2%)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(9.1%)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Dilution 1</w:t>
            </w:r>
          </w:p>
        </w:tc>
        <w:tc>
          <w:tcPr>
            <w:tcW w:w="0" w:type="auto"/>
            <w:vMerge w:val="restart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Undiluted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13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(100.0%)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(62.5%)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(37.5%)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Dilution 2</w:t>
            </w: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13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(86.7%)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(13.3%)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5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(85.7%)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(14.3%)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(0.1%)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Undiluted</w:t>
            </w: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(100.0%)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  <w:tr w:rsidR="0068796B" w:rsidRPr="00B26AAB" w:rsidTr="003734A9">
        <w:trPr>
          <w:trHeight w:val="51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0" w:type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(50.0%)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(50.0%)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  <w:t>0</w:t>
            </w:r>
          </w:p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796B" w:rsidRPr="008A5ED4" w:rsidRDefault="0068796B" w:rsidP="00541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8A5ED4">
              <w:rPr>
                <w:rFonts w:ascii="Times New Roman" w:hAnsi="Times New Roman"/>
                <w:sz w:val="18"/>
                <w:szCs w:val="18"/>
                <w:lang w:val="en-GB" w:eastAsia="en-GB"/>
              </w:rPr>
              <w:t>0</w:t>
            </w:r>
          </w:p>
        </w:tc>
      </w:tr>
    </w:tbl>
    <w:p w:rsidR="0068796B" w:rsidRDefault="0068796B" w:rsidP="0068796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  <w:r w:rsidR="00306714">
        <w:rPr>
          <w:rFonts w:ascii="Times New Roman" w:hAnsi="Times New Roman"/>
          <w:b/>
          <w:sz w:val="24"/>
          <w:szCs w:val="24"/>
          <w:lang w:val="en-GB"/>
        </w:rPr>
        <w:lastRenderedPageBreak/>
        <w:t>Figure S1</w:t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066B0142" wp14:editId="521BE6AA">
            <wp:extent cx="4239491" cy="2826327"/>
            <wp:effectExtent l="0" t="0" r="8890" b="0"/>
            <wp:docPr id="2" name="Picture 2" descr="C:\Users\fontesin\Dropbox\PhD\Data\SB transmission\Graphs\Mcol freq sb infec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esin\Dropbox\PhD\Data\SB transmission\Graphs\Mcol freq sb infec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55" cy="283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8796B" w:rsidRPr="006A4018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A4018">
        <w:rPr>
          <w:rFonts w:ascii="Times New Roman" w:hAnsi="Times New Roman"/>
          <w:b/>
          <w:sz w:val="24"/>
          <w:szCs w:val="24"/>
          <w:lang w:val="en-GB"/>
        </w:rPr>
        <w:lastRenderedPageBreak/>
        <w:t>Appendix S1</w:t>
      </w:r>
    </w:p>
    <w:p w:rsidR="0068796B" w:rsidRPr="006A4018" w:rsidRDefault="0068796B" w:rsidP="0068796B">
      <w:pPr>
        <w:spacing w:line="480" w:lineRule="auto"/>
        <w:rPr>
          <w:lang w:val="en-GB"/>
        </w:rPr>
      </w:pP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To estimate chlorophyll-a concentrations 3 x 2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L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 xml:space="preserve"> (V</w:t>
      </w:r>
      <w:r w:rsidRPr="004357A1">
        <w:rPr>
          <w:rFonts w:ascii="Times New Roman" w:hAnsi="Times New Roman"/>
          <w:bCs/>
          <w:sz w:val="24"/>
          <w:szCs w:val="24"/>
          <w:vertAlign w:val="subscript"/>
          <w:lang w:val="en-US" w:eastAsia="en-GB"/>
        </w:rPr>
        <w:t>sample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) water samples from each treatment and a control (deionised water) were collected at the end of the experiment with the exception of the undiluted treatment where 1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L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 xml:space="preserve"> replicates were collected. Each water sample was filtered through a Whatman</w:t>
      </w:r>
      <w:r w:rsidRPr="004357A1">
        <w:rPr>
          <w:rFonts w:ascii="Times New Roman" w:hAnsi="Times New Roman"/>
          <w:bCs/>
          <w:sz w:val="24"/>
          <w:szCs w:val="24"/>
          <w:vertAlign w:val="superscript"/>
          <w:lang w:val="en-US" w:eastAsia="en-GB"/>
        </w:rPr>
        <w:t>®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 xml:space="preserve"> glass microfiber filter, Grade GF/D (diameter 4.25cm), which was then preserved at -80</w:t>
      </w:r>
      <w:r w:rsidRPr="004357A1">
        <w:rPr>
          <w:rFonts w:ascii="Cambria Math" w:hAnsi="Cambria Math" w:cs="Cambria Math"/>
          <w:bCs/>
          <w:sz w:val="24"/>
          <w:szCs w:val="24"/>
          <w:lang w:val="en-US" w:eastAsia="en-GB"/>
        </w:rPr>
        <w:t>℃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 xml:space="preserve"> in a 50mL plastic tube wrapped in foil to exclude light. An ethanol extraction protocol was used on the frozen filters. Each filter was suspended in 20mL of 100% EtOH and boiled for 3sec in a water bath (at 78.5</w:t>
      </w:r>
      <w:r w:rsidRPr="004357A1">
        <w:rPr>
          <w:rFonts w:ascii="Cambria Math" w:hAnsi="Cambria Math" w:cs="Cambria Math"/>
          <w:bCs/>
          <w:sz w:val="24"/>
          <w:szCs w:val="24"/>
          <w:lang w:val="en-US" w:eastAsia="en-GB"/>
        </w:rPr>
        <w:t>℃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). The tubes were agitated and allowed to stand in the dark overnight at room temperature to extract the pigments. The next day 2.22mL of water was added to make a 90% EtOH solution, the filters were removed and the tubes were centrifuged for 7min at 3000rpm. The extract was decanted into 15mL plastic tubes and its volume measured (V</w:t>
      </w:r>
      <w:r w:rsidRPr="004357A1">
        <w:rPr>
          <w:rFonts w:ascii="Times New Roman" w:hAnsi="Times New Roman"/>
          <w:bCs/>
          <w:sz w:val="24"/>
          <w:szCs w:val="24"/>
          <w:vertAlign w:val="subscript"/>
          <w:lang w:val="en-US" w:eastAsia="en-GB"/>
        </w:rPr>
        <w:t>extract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). The pigment extract solution was pipetted into cuvettes with 10mm cell pathlength (d) and the absorbance was measured at wavelengths of 665nm (for chlorophyll-a; A</w:t>
      </w:r>
      <w:r w:rsidRPr="004357A1">
        <w:rPr>
          <w:rFonts w:ascii="Times New Roman" w:hAnsi="Times New Roman"/>
          <w:bCs/>
          <w:sz w:val="24"/>
          <w:szCs w:val="24"/>
          <w:vertAlign w:val="subscript"/>
          <w:lang w:val="en-US" w:eastAsia="en-GB"/>
        </w:rPr>
        <w:t>665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) and 750nm (to correct for background turbidity; A</w:t>
      </w:r>
      <w:r w:rsidRPr="004357A1">
        <w:rPr>
          <w:rFonts w:ascii="Times New Roman" w:hAnsi="Times New Roman"/>
          <w:bCs/>
          <w:sz w:val="24"/>
          <w:szCs w:val="24"/>
          <w:vertAlign w:val="subscript"/>
          <w:lang w:val="en-US" w:eastAsia="en-GB"/>
        </w:rPr>
        <w:t>750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) using a Shimadzu UV-1800 UV/Visible Scanning Spectrophotometer. Th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e undegraded chlorophyll-a (µg/L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) was calculated using the formula: [12.2*(A</w:t>
      </w:r>
      <w:r w:rsidRPr="004357A1">
        <w:rPr>
          <w:rFonts w:ascii="Times New Roman" w:hAnsi="Times New Roman"/>
          <w:bCs/>
          <w:sz w:val="24"/>
          <w:szCs w:val="24"/>
          <w:vertAlign w:val="subscript"/>
          <w:lang w:val="en-US" w:eastAsia="en-GB"/>
        </w:rPr>
        <w:t>665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-A</w:t>
      </w:r>
      <w:r w:rsidRPr="004357A1">
        <w:rPr>
          <w:rFonts w:ascii="Times New Roman" w:hAnsi="Times New Roman"/>
          <w:bCs/>
          <w:sz w:val="24"/>
          <w:szCs w:val="24"/>
          <w:vertAlign w:val="subscript"/>
          <w:lang w:val="en-US" w:eastAsia="en-GB"/>
        </w:rPr>
        <w:t>750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)*V</w:t>
      </w:r>
      <w:r w:rsidRPr="004357A1">
        <w:rPr>
          <w:rFonts w:ascii="Times New Roman" w:hAnsi="Times New Roman"/>
          <w:bCs/>
          <w:sz w:val="24"/>
          <w:szCs w:val="24"/>
          <w:vertAlign w:val="subscript"/>
          <w:lang w:val="en-US" w:eastAsia="en-GB"/>
        </w:rPr>
        <w:t>extract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>]/(d*V</w:t>
      </w:r>
      <w:r w:rsidRPr="004357A1">
        <w:rPr>
          <w:rFonts w:ascii="Times New Roman" w:hAnsi="Times New Roman"/>
          <w:bCs/>
          <w:sz w:val="24"/>
          <w:szCs w:val="24"/>
          <w:vertAlign w:val="subscript"/>
          <w:lang w:val="en-US" w:eastAsia="en-GB"/>
        </w:rPr>
        <w:t>sample</w:t>
      </w:r>
      <w:r w:rsidRPr="004357A1">
        <w:rPr>
          <w:rFonts w:ascii="Times New Roman" w:hAnsi="Times New Roman"/>
          <w:bCs/>
          <w:sz w:val="24"/>
          <w:szCs w:val="24"/>
          <w:lang w:val="en-US" w:eastAsia="en-GB"/>
        </w:rPr>
        <w:t xml:space="preserve">). </w:t>
      </w:r>
    </w:p>
    <w:p w:rsidR="0068796B" w:rsidRDefault="0068796B" w:rsidP="0068796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A4018">
        <w:rPr>
          <w:rFonts w:ascii="Times New Roman" w:hAnsi="Times New Roman"/>
          <w:b/>
          <w:sz w:val="24"/>
          <w:szCs w:val="24"/>
          <w:lang w:val="en-GB"/>
        </w:rPr>
        <w:lastRenderedPageBreak/>
        <w:t>Appendix S2</w:t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DNA was extracted from bryozoan samples (fragments, maternal colonies and statoblasts) using a 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hexadecyltrimethylammonium bromide (CTAB) protocol </w:t>
      </w:r>
      <w:r w:rsidRPr="009529E0">
        <w:rPr>
          <w:rFonts w:ascii="Times New Roman" w:hAnsi="Times New Roman"/>
          <w:noProof/>
          <w:sz w:val="24"/>
          <w:szCs w:val="24"/>
          <w:lang w:val="en-US" w:eastAsia="en-GB"/>
        </w:rPr>
        <w:t>(Tops &amp; Okamura 2003)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>. To detect covert infections we undertook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a PCR assay using primers diagnostic for </w:t>
      </w:r>
      <w:r w:rsidRPr="009529E0">
        <w:rPr>
          <w:rFonts w:ascii="Times New Roman" w:hAnsi="Times New Roman"/>
          <w:i/>
          <w:sz w:val="24"/>
          <w:szCs w:val="24"/>
          <w:lang w:val="en-GB" w:eastAsia="en-GB"/>
        </w:rPr>
        <w:t>T. bryosalmonae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18S rDNA 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[514F_new (5’-ATTCAGGTCCATTCGTGAGTAACAAGC-3’) and 776R (5’-GCTGATACACCCAATTAAGGGCAG-3’)] to produce an amplicon of 244bp using PCR cycling conditions as described in </w:t>
      </w:r>
      <w:r w:rsidRPr="009529E0">
        <w:rPr>
          <w:rFonts w:ascii="Times New Roman" w:hAnsi="Times New Roman"/>
          <w:noProof/>
          <w:sz w:val="24"/>
          <w:szCs w:val="24"/>
          <w:lang w:val="en-GB" w:eastAsia="en-GB"/>
        </w:rPr>
        <w:t>Hartikainen, Fontes and Okamura (2013)</w:t>
      </w:r>
      <w:hyperlink w:anchor="_ENREF_10" w:tooltip="Hartikainen, 2013 #151" w:history="1"/>
      <w:r w:rsidRPr="009529E0">
        <w:rPr>
          <w:rFonts w:ascii="Times New Roman" w:hAnsi="Times New Roman"/>
          <w:sz w:val="24"/>
          <w:szCs w:val="24"/>
          <w:lang w:val="en-GB" w:eastAsia="en-GB"/>
        </w:rPr>
        <w:t>. Each sample was subjected to two separate PCR reactions, which were analysed in parallel as described below. PCR products were run in a standardised fashion on 1.5% agarose electrophoretic gels, stained with GelRed</w:t>
      </w:r>
      <w:r w:rsidRPr="009529E0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TM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(250mL 1x TAE (Tris-acetate-EDTA), 3.3g agarose and 8</w:t>
      </w:r>
      <w:r>
        <w:rPr>
          <w:rFonts w:ascii="Times New Roman" w:hAnsi="Times New Roman"/>
          <w:sz w:val="24"/>
          <w:szCs w:val="24"/>
          <w:lang w:val="en-GB" w:eastAsia="en-GB"/>
        </w:rPr>
        <w:t>.3µL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GelRed</w:t>
      </w:r>
      <w:r w:rsidRPr="009529E0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TM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). </w:t>
      </w:r>
      <w:r>
        <w:rPr>
          <w:rFonts w:ascii="Times New Roman" w:hAnsi="Times New Roman"/>
          <w:sz w:val="24"/>
          <w:szCs w:val="24"/>
          <w:lang w:val="en-US" w:eastAsia="en-GB"/>
        </w:rPr>
        <w:t>3µL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of each 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>PCR product (V</w:t>
      </w:r>
      <w:r w:rsidRPr="009529E0">
        <w:rPr>
          <w:rFonts w:ascii="Times New Roman" w:hAnsi="Times New Roman"/>
          <w:sz w:val="24"/>
          <w:szCs w:val="24"/>
          <w:vertAlign w:val="subscript"/>
          <w:lang w:val="en-US" w:eastAsia="en-GB"/>
        </w:rPr>
        <w:t>product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>) and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GB"/>
        </w:rPr>
        <w:t>2.5µL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 of 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>B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>ioline HyperLadder™ I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>were loaded to gels, the latter being added to ev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>ery gel row. Gels were run in fresh 1x TAE at 100v in a large Fisherbrand</w:t>
      </w:r>
      <w:r w:rsidRPr="009529E0">
        <w:rPr>
          <w:rFonts w:ascii="Tahoma" w:hAnsi="Tahoma" w:cs="Tahoma"/>
          <w:sz w:val="24"/>
          <w:szCs w:val="24"/>
          <w:vertAlign w:val="superscript"/>
          <w:lang w:val="en-GB" w:eastAsia="en-GB"/>
        </w:rPr>
        <w:t>®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Horizontal Electrophoresis Apparatus Model HU13W for 45min and were visualised on a UVP EpiChemi</w:t>
      </w:r>
      <w:r w:rsidRPr="009529E0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TM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II Darkroom with a UVP UV transilluminator, always using the same settings. Infection intensity (ng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of amplified parasite DNA per 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>µ</w:t>
      </w:r>
      <w:r>
        <w:rPr>
          <w:rFonts w:ascii="Times New Roman" w:hAnsi="Times New Roman"/>
          <w:sz w:val="24"/>
          <w:szCs w:val="24"/>
          <w:lang w:val="en-GB" w:eastAsia="en-GB"/>
        </w:rPr>
        <w:t>L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) was characterised semi-quantitatively (see below) from gel images inferred from two separately-run PCR replicates. 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The maximum pixel intensity per gel band was 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measured 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using the 1D-Multi analysis tool in 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>AlphaEase</w:t>
      </w:r>
      <w:r w:rsidRPr="009529E0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®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>FC version 6.0.0 with a “rubber band” background subtraction method.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 The product’s molecular weight (MW) was then obtained by calibrating the average maximum pixel intensity of the band (I) 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>against the molecular weight of the 200bp ladder (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>MW</w:t>
      </w:r>
      <w:r w:rsidRPr="009529E0">
        <w:rPr>
          <w:rFonts w:ascii="Times New Roman" w:hAnsi="Times New Roman"/>
          <w:sz w:val="24"/>
          <w:szCs w:val="24"/>
          <w:vertAlign w:val="subscript"/>
          <w:lang w:val="en-US" w:eastAsia="en-GB"/>
        </w:rPr>
        <w:t>200bp band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) based on </w:t>
      </w:r>
      <w:r w:rsidRPr="00AD63F8">
        <w:rPr>
          <w:rFonts w:ascii="Times New Roman" w:hAnsi="Times New Roman"/>
          <w:sz w:val="24"/>
          <w:szCs w:val="24"/>
          <w:lang w:val="en-US" w:eastAsia="en-GB"/>
        </w:rPr>
        <w:t>10ng (in 2.5µL</w:t>
      </w:r>
      <w:r w:rsidRPr="00AD63F8">
        <w:rPr>
          <w:rFonts w:ascii="Times New Roman" w:hAnsi="Times New Roman"/>
          <w:sz w:val="24"/>
          <w:szCs w:val="24"/>
          <w:lang w:val="en-GB"/>
        </w:rPr>
        <w:t>).</w:t>
      </w:r>
      <w:r w:rsidRPr="00AD63F8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 w:rsidRPr="00AD63F8">
        <w:rPr>
          <w:rFonts w:ascii="Times New Roman" w:hAnsi="Times New Roman"/>
          <w:sz w:val="24"/>
          <w:szCs w:val="24"/>
          <w:lang w:val="en-GB" w:eastAsia="en-GB"/>
        </w:rPr>
        <w:t>The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following equation was then used to calculate the product’s molecular weight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: [(I </w:t>
      </w:r>
      <w:r w:rsidRPr="009529E0">
        <w:rPr>
          <w:rFonts w:ascii="Times New Roman" w:hAnsi="Times New Roman"/>
          <w:sz w:val="24"/>
          <w:szCs w:val="24"/>
          <w:vertAlign w:val="subscript"/>
          <w:lang w:val="en-US" w:eastAsia="en-GB"/>
        </w:rPr>
        <w:t>product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 x MW</w:t>
      </w:r>
      <w:r w:rsidRPr="009529E0">
        <w:rPr>
          <w:rFonts w:ascii="Times New Roman" w:hAnsi="Times New Roman"/>
          <w:sz w:val="24"/>
          <w:szCs w:val="24"/>
          <w:vertAlign w:val="subscript"/>
          <w:lang w:val="en-US" w:eastAsia="en-GB"/>
        </w:rPr>
        <w:t>200bp band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>)/I</w:t>
      </w:r>
      <w:r w:rsidRPr="009529E0">
        <w:rPr>
          <w:rFonts w:ascii="Times New Roman" w:hAnsi="Times New Roman"/>
          <w:sz w:val="24"/>
          <w:szCs w:val="24"/>
          <w:vertAlign w:val="subscript"/>
          <w:lang w:val="en-US" w:eastAsia="en-GB"/>
        </w:rPr>
        <w:t>200bp band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>]/V</w:t>
      </w:r>
      <w:r w:rsidRPr="009529E0">
        <w:rPr>
          <w:rFonts w:ascii="Times New Roman" w:hAnsi="Times New Roman"/>
          <w:sz w:val="24"/>
          <w:szCs w:val="24"/>
          <w:vertAlign w:val="subscript"/>
          <w:lang w:val="en-US" w:eastAsia="en-GB"/>
        </w:rPr>
        <w:t>product</w:t>
      </w:r>
      <w:r w:rsidRPr="009529E0">
        <w:rPr>
          <w:rFonts w:ascii="Times New Roman" w:hAnsi="Times New Roman"/>
          <w:sz w:val="24"/>
          <w:szCs w:val="24"/>
          <w:lang w:val="en-US" w:eastAsia="en-GB"/>
        </w:rPr>
        <w:t xml:space="preserve">. 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Values for the average parasite DNA concentration were transformed to natural logarithms to linearise the data. This method is based on that used in </w:t>
      </w:r>
      <w:r w:rsidRPr="009529E0">
        <w:rPr>
          <w:rFonts w:ascii="Times New Roman" w:hAnsi="Times New Roman"/>
          <w:noProof/>
          <w:sz w:val="24"/>
          <w:szCs w:val="24"/>
          <w:lang w:val="en-GB" w:eastAsia="en-GB"/>
        </w:rPr>
        <w:t>Neuhauser, Huber and Kirchmair (2009). We tested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 xml:space="preserve"> its efficiency by comparing the gel band 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lastRenderedPageBreak/>
        <w:t xml:space="preserve">intensity values of nine randomly selected covertly infected colonies with SYBRGreen qPCR quantification values (Fontes </w:t>
      </w:r>
      <w:r w:rsidRPr="009529E0">
        <w:rPr>
          <w:rFonts w:ascii="Times New Roman" w:hAnsi="Times New Roman"/>
          <w:i/>
          <w:sz w:val="24"/>
          <w:szCs w:val="24"/>
          <w:lang w:val="en-GB" w:eastAsia="en-GB"/>
        </w:rPr>
        <w:t>et al</w:t>
      </w:r>
      <w:r w:rsidRPr="009529E0">
        <w:rPr>
          <w:rFonts w:ascii="Times New Roman" w:hAnsi="Times New Roman"/>
          <w:sz w:val="24"/>
          <w:szCs w:val="24"/>
          <w:lang w:val="en-GB" w:eastAsia="en-GB"/>
        </w:rPr>
        <w:t>., submitted).</w:t>
      </w:r>
      <w:r w:rsidRPr="009529E0">
        <w:rPr>
          <w:rFonts w:ascii="Times New Roman" w:hAnsi="Times New Roman"/>
          <w:sz w:val="24"/>
          <w:szCs w:val="24"/>
          <w:lang w:val="en-GB"/>
        </w:rPr>
        <w:t xml:space="preserve"> There was a significant correlation between the quantification methods: MW in mol/L (by qPCR) = - 4.908e-07 + 2.024e-07 * MW in ng/</w:t>
      </w:r>
      <w:r>
        <w:rPr>
          <w:rFonts w:ascii="Times New Roman" w:hAnsi="Times New Roman"/>
          <w:sz w:val="24"/>
          <w:szCs w:val="24"/>
          <w:lang w:val="en-US" w:eastAsia="en-GB"/>
        </w:rPr>
        <w:t>µL</w:t>
      </w:r>
      <w:r w:rsidRPr="009529E0">
        <w:rPr>
          <w:rFonts w:ascii="Times New Roman" w:hAnsi="Times New Roman"/>
          <w:sz w:val="24"/>
          <w:szCs w:val="24"/>
          <w:lang w:val="en-GB"/>
        </w:rPr>
        <w:t xml:space="preserve"> (by gel intensity) (R</w:t>
      </w:r>
      <w:r w:rsidRPr="009529E0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9529E0">
        <w:rPr>
          <w:rFonts w:ascii="Times New Roman" w:hAnsi="Times New Roman"/>
          <w:sz w:val="24"/>
          <w:szCs w:val="24"/>
          <w:lang w:val="en-GB"/>
        </w:rPr>
        <w:t xml:space="preserve"> = 90.6%; correlation coefficient = 0.952; Analysis of Variance test: d.f. = 8, F = 67.66, P &lt; 0.001) (see Fig. S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9529E0">
        <w:rPr>
          <w:rFonts w:ascii="Times New Roman" w:hAnsi="Times New Roman"/>
          <w:sz w:val="24"/>
          <w:szCs w:val="24"/>
          <w:lang w:val="en-GB"/>
        </w:rPr>
        <w:t>). These results support the use of gel band intensity as an estimate of infection intensity.</w:t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6CEF9D" wp14:editId="55310412">
            <wp:simplePos x="0" y="0"/>
            <wp:positionH relativeFrom="margin">
              <wp:posOffset>718185</wp:posOffset>
            </wp:positionH>
            <wp:positionV relativeFrom="margin">
              <wp:posOffset>2303780</wp:posOffset>
            </wp:positionV>
            <wp:extent cx="4319905" cy="2854325"/>
            <wp:effectExtent l="0" t="0" r="4445" b="3175"/>
            <wp:wrapSquare wrapText="bothSides"/>
            <wp:docPr id="6" name="Picture 6" descr="C:\Users\fontesin\Dropbox\PhD\Publications\VERTICAL and STRESS\Figures and Table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ntesin\Dropbox\PhD\Publications\VERTICAL and STRESS\Figures and Tables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68796B" w:rsidRDefault="0068796B" w:rsidP="0068796B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E84B9C" w:rsidRDefault="0068796B" w:rsidP="003734A9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Figure S2. </w:t>
      </w:r>
      <w:r w:rsidRPr="007860C0">
        <w:rPr>
          <w:rFonts w:ascii="Times New Roman" w:hAnsi="Times New Roman"/>
          <w:sz w:val="24"/>
          <w:szCs w:val="24"/>
          <w:lang w:val="en-GB"/>
        </w:rPr>
        <w:t>Linear relationship between the mean values of two duplicate measures of infection intensity: molecular weight (MW) of the gel band intensity, followi</w:t>
      </w:r>
      <w:r>
        <w:rPr>
          <w:rFonts w:ascii="Times New Roman" w:hAnsi="Times New Roman"/>
          <w:sz w:val="24"/>
          <w:szCs w:val="24"/>
          <w:lang w:val="en-GB"/>
        </w:rPr>
        <w:t>ng standard PCR, and MW in mol/L</w:t>
      </w:r>
      <w:r w:rsidRPr="007860C0">
        <w:rPr>
          <w:rFonts w:ascii="Times New Roman" w:hAnsi="Times New Roman"/>
          <w:sz w:val="24"/>
          <w:szCs w:val="24"/>
          <w:lang w:val="en-GB"/>
        </w:rPr>
        <w:t xml:space="preserve"> quantified by qPCR. The regression equation is presented </w:t>
      </w:r>
      <w:r>
        <w:rPr>
          <w:rFonts w:ascii="Times New Roman" w:hAnsi="Times New Roman"/>
          <w:sz w:val="24"/>
          <w:szCs w:val="24"/>
          <w:lang w:val="en-GB"/>
        </w:rPr>
        <w:t>at the top of the graph.</w:t>
      </w:r>
    </w:p>
    <w:p w:rsidR="00D676D5" w:rsidRDefault="00D676D5" w:rsidP="003734A9">
      <w:p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D676D5" w:rsidRDefault="00D676D5" w:rsidP="00D676D5">
      <w:pPr>
        <w:pStyle w:val="EndNoteBibliography"/>
        <w:spacing w:after="0" w:line="480" w:lineRule="auto"/>
        <w:jc w:val="left"/>
        <w:rPr>
          <w:b/>
        </w:rPr>
      </w:pPr>
      <w:r>
        <w:rPr>
          <w:b/>
        </w:rPr>
        <w:t>References</w:t>
      </w:r>
    </w:p>
    <w:p w:rsidR="00D676D5" w:rsidRPr="007C0E00" w:rsidRDefault="00D676D5" w:rsidP="00D676D5">
      <w:pPr>
        <w:pStyle w:val="EndNoteBibliography"/>
        <w:spacing w:after="0" w:line="480" w:lineRule="auto"/>
        <w:jc w:val="left"/>
      </w:pPr>
      <w:r w:rsidRPr="00D676D5">
        <w:rPr>
          <w:b/>
          <w:lang w:val="en-GB"/>
        </w:rPr>
        <w:t xml:space="preserve">Hartikainen, H., Fontes, I. and Okamura, B. </w:t>
      </w:r>
      <w:r w:rsidRPr="00D676D5">
        <w:rPr>
          <w:lang w:val="en-GB"/>
        </w:rPr>
        <w:t xml:space="preserve">(2013). </w:t>
      </w:r>
      <w:r w:rsidRPr="007C0E00">
        <w:t xml:space="preserve">Parasitism and phenotypic change in colonial hosts. </w:t>
      </w:r>
      <w:r w:rsidRPr="007C0E00">
        <w:rPr>
          <w:i/>
        </w:rPr>
        <w:t>Parasitology</w:t>
      </w:r>
      <w:r w:rsidRPr="007C0E00">
        <w:t xml:space="preserve"> </w:t>
      </w:r>
      <w:r w:rsidRPr="007C0E00">
        <w:rPr>
          <w:b/>
        </w:rPr>
        <w:t>140</w:t>
      </w:r>
      <w:r w:rsidRPr="004E3958">
        <w:t>,</w:t>
      </w:r>
      <w:r w:rsidRPr="001B3831">
        <w:t xml:space="preserve"> </w:t>
      </w:r>
      <w:r w:rsidRPr="007C0E00">
        <w:t>1403-1412</w:t>
      </w:r>
      <w:r w:rsidRPr="00A33FDF">
        <w:t>. doi: 10.1017/S0031182013000899</w:t>
      </w:r>
      <w:r w:rsidRPr="007C0E00">
        <w:t>.</w:t>
      </w:r>
    </w:p>
    <w:p w:rsidR="00D676D5" w:rsidRDefault="00D676D5" w:rsidP="00D676D5">
      <w:pPr>
        <w:pStyle w:val="EndNoteBibliography"/>
        <w:spacing w:after="0" w:line="480" w:lineRule="auto"/>
        <w:jc w:val="left"/>
      </w:pPr>
      <w:r w:rsidRPr="00D676D5">
        <w:rPr>
          <w:b/>
          <w:lang w:val="en-GB"/>
        </w:rPr>
        <w:lastRenderedPageBreak/>
        <w:t>Neuhauser, S., Huber, L. and Kirchmair, M.</w:t>
      </w:r>
      <w:r w:rsidRPr="00D676D5">
        <w:rPr>
          <w:lang w:val="en-GB"/>
        </w:rPr>
        <w:t xml:space="preserve"> (2009). </w:t>
      </w:r>
      <w:r w:rsidRPr="007C0E00">
        <w:t xml:space="preserve">A DNA based method to detect the grapevine root-rotting fungus </w:t>
      </w:r>
      <w:r w:rsidRPr="007C0E00">
        <w:rPr>
          <w:i/>
        </w:rPr>
        <w:t>Roesleria subterranea</w:t>
      </w:r>
      <w:r w:rsidRPr="007C0E00">
        <w:t xml:space="preserve"> in soil and root samples. </w:t>
      </w:r>
      <w:r w:rsidRPr="00F25B6B">
        <w:rPr>
          <w:i/>
        </w:rPr>
        <w:t>Phytopathologia Mediterranea</w:t>
      </w:r>
      <w:r w:rsidRPr="00F25B6B">
        <w:t xml:space="preserve"> </w:t>
      </w:r>
      <w:r w:rsidRPr="00F25B6B">
        <w:rPr>
          <w:b/>
        </w:rPr>
        <w:t>48</w:t>
      </w:r>
      <w:r w:rsidRPr="00F25B6B">
        <w:t>, 59-72. doi: 10.14601/Phytopathol_Mediterr-2875.</w:t>
      </w:r>
    </w:p>
    <w:p w:rsidR="00D676D5" w:rsidRPr="005A3F1A" w:rsidRDefault="00D676D5" w:rsidP="005A3F1A">
      <w:pPr>
        <w:pStyle w:val="EndNoteBibliography"/>
        <w:spacing w:after="0" w:line="480" w:lineRule="auto"/>
        <w:jc w:val="left"/>
      </w:pPr>
      <w:r w:rsidRPr="004E3958">
        <w:rPr>
          <w:b/>
        </w:rPr>
        <w:t xml:space="preserve">Tops, S. </w:t>
      </w:r>
      <w:r>
        <w:rPr>
          <w:b/>
        </w:rPr>
        <w:t>and</w:t>
      </w:r>
      <w:r w:rsidRPr="004E3958">
        <w:rPr>
          <w:b/>
        </w:rPr>
        <w:t xml:space="preserve"> Okamura, B.</w:t>
      </w:r>
      <w:r w:rsidRPr="007C0E00">
        <w:t xml:space="preserve"> (2003</w:t>
      </w:r>
      <w:r>
        <w:t xml:space="preserve">). </w:t>
      </w:r>
      <w:r w:rsidRPr="007C0E00">
        <w:t>Infection of bryozoans by</w:t>
      </w:r>
      <w:r w:rsidRPr="007C0E00">
        <w:rPr>
          <w:i/>
        </w:rPr>
        <w:t xml:space="preserve"> Tetracapsuloides bryosalmonae </w:t>
      </w:r>
      <w:r w:rsidRPr="007C0E00">
        <w:t xml:space="preserve">at sites endemic for salmonid proliferative kidney disease. </w:t>
      </w:r>
      <w:r w:rsidRPr="007C0E00">
        <w:rPr>
          <w:i/>
        </w:rPr>
        <w:t>Diseases of Aquatic Organisms</w:t>
      </w:r>
      <w:r w:rsidRPr="007C0E00">
        <w:t xml:space="preserve"> </w:t>
      </w:r>
      <w:r w:rsidRPr="007C0E00">
        <w:rPr>
          <w:b/>
        </w:rPr>
        <w:t>57</w:t>
      </w:r>
      <w:r w:rsidRPr="004E3958">
        <w:t>,</w:t>
      </w:r>
      <w:r w:rsidRPr="001B3831">
        <w:t xml:space="preserve"> </w:t>
      </w:r>
      <w:r w:rsidRPr="007C0E00">
        <w:t>221-226</w:t>
      </w:r>
      <w:r w:rsidRPr="00E2302A">
        <w:t>. doi: 10.3354/dao057221</w:t>
      </w:r>
      <w:r w:rsidRPr="007C0E00">
        <w:t>.</w:t>
      </w:r>
      <w:bookmarkStart w:id="0" w:name="_GoBack"/>
      <w:bookmarkEnd w:id="0"/>
    </w:p>
    <w:sectPr w:rsidR="00D676D5" w:rsidRPr="005A3F1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ês Fontes">
    <w15:presenceInfo w15:providerId="Windows Live" w15:userId="7ce42485d00c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6B"/>
    <w:rsid w:val="002D1A05"/>
    <w:rsid w:val="00306714"/>
    <w:rsid w:val="003734A9"/>
    <w:rsid w:val="005A3F1A"/>
    <w:rsid w:val="0068796B"/>
    <w:rsid w:val="008351D0"/>
    <w:rsid w:val="009E42E4"/>
    <w:rsid w:val="00A84D32"/>
    <w:rsid w:val="00B842C0"/>
    <w:rsid w:val="00C54457"/>
    <w:rsid w:val="00C96016"/>
    <w:rsid w:val="00D676D5"/>
    <w:rsid w:val="00DA70D2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6B"/>
    <w:pPr>
      <w:spacing w:after="200" w:line="276" w:lineRule="auto"/>
    </w:pPr>
    <w:rPr>
      <w:rFonts w:ascii="Calibri" w:eastAsia="Times New Roman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6B"/>
    <w:rPr>
      <w:rFonts w:ascii="Tahoma" w:eastAsia="Times New Roman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C9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16"/>
    <w:rPr>
      <w:rFonts w:ascii="Calibri" w:eastAsia="Times New Roman" w:hAnsi="Calibri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16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customStyle="1" w:styleId="EndNoteBibliography">
    <w:name w:val="EndNote Bibliography"/>
    <w:basedOn w:val="Normal"/>
    <w:link w:val="EndNoteBibliographyChar"/>
    <w:rsid w:val="00D676D5"/>
    <w:pPr>
      <w:spacing w:line="360" w:lineRule="auto"/>
      <w:jc w:val="both"/>
    </w:pPr>
    <w:rPr>
      <w:rFonts w:ascii="Times New Roman" w:hAnsi="Times New Roman"/>
      <w:noProof/>
      <w:sz w:val="24"/>
      <w:lang w:val="en-US"/>
    </w:rPr>
  </w:style>
  <w:style w:type="character" w:customStyle="1" w:styleId="EndNoteBibliographyChar">
    <w:name w:val="EndNote Bibliography Char"/>
    <w:link w:val="EndNoteBibliography"/>
    <w:rsid w:val="00D676D5"/>
    <w:rPr>
      <w:rFonts w:ascii="Times New Roman" w:eastAsia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6B"/>
    <w:pPr>
      <w:spacing w:after="200" w:line="276" w:lineRule="auto"/>
    </w:pPr>
    <w:rPr>
      <w:rFonts w:ascii="Calibri" w:eastAsia="Times New Roman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6B"/>
    <w:rPr>
      <w:rFonts w:ascii="Tahoma" w:eastAsia="Times New Roman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C9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16"/>
    <w:rPr>
      <w:rFonts w:ascii="Calibri" w:eastAsia="Times New Roman" w:hAnsi="Calibri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16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customStyle="1" w:styleId="EndNoteBibliography">
    <w:name w:val="EndNote Bibliography"/>
    <w:basedOn w:val="Normal"/>
    <w:link w:val="EndNoteBibliographyChar"/>
    <w:rsid w:val="00D676D5"/>
    <w:pPr>
      <w:spacing w:line="360" w:lineRule="auto"/>
      <w:jc w:val="both"/>
    </w:pPr>
    <w:rPr>
      <w:rFonts w:ascii="Times New Roman" w:hAnsi="Times New Roman"/>
      <w:noProof/>
      <w:sz w:val="24"/>
      <w:lang w:val="en-US"/>
    </w:rPr>
  </w:style>
  <w:style w:type="character" w:customStyle="1" w:styleId="EndNoteBibliographyChar">
    <w:name w:val="EndNote Bibliography Char"/>
    <w:link w:val="EndNoteBibliography"/>
    <w:rsid w:val="00D676D5"/>
    <w:rPr>
      <w:rFonts w:ascii="Times New Roman" w:eastAsia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Fontes, Ines</dc:creator>
  <cp:lastModifiedBy>Fontes, Ines</cp:lastModifiedBy>
  <cp:revision>8</cp:revision>
  <dcterms:created xsi:type="dcterms:W3CDTF">2016-10-19T09:58:00Z</dcterms:created>
  <dcterms:modified xsi:type="dcterms:W3CDTF">2017-02-22T19:07:00Z</dcterms:modified>
</cp:coreProperties>
</file>