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0B88" w14:textId="77777777" w:rsidR="002A6A50" w:rsidRDefault="002A6A50" w:rsidP="002A6A5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</w:t>
      </w:r>
    </w:p>
    <w:p w14:paraId="0D6A07BF" w14:textId="77777777" w:rsidR="002A6A50" w:rsidRDefault="002A6A50" w:rsidP="002A6A50">
      <w:pPr>
        <w:contextualSpacing/>
        <w:rPr>
          <w:rFonts w:ascii="Times New Roman" w:hAnsi="Times New Roman" w:cs="Times New Roman"/>
          <w:b/>
        </w:rPr>
      </w:pPr>
    </w:p>
    <w:p w14:paraId="37B7EBBA" w14:textId="77777777" w:rsidR="002A6A50" w:rsidRDefault="002A6A50" w:rsidP="002A6A50">
      <w:pPr>
        <w:contextualSpacing/>
        <w:rPr>
          <w:rFonts w:ascii="Times New Roman" w:hAnsi="Times New Roman" w:cs="Times New Roman"/>
        </w:rPr>
      </w:pPr>
      <w:r w:rsidRPr="006532C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</w:rPr>
        <w:t>. Proportion of polychromatic erythrocytes (PE), and white blood cell differentials of yellow-breasted chats (</w:t>
      </w:r>
      <w:proofErr w:type="spellStart"/>
      <w:r w:rsidRPr="00CC0973">
        <w:rPr>
          <w:rFonts w:ascii="Times New Roman" w:hAnsi="Times New Roman" w:cs="Times New Roman"/>
          <w:i/>
        </w:rPr>
        <w:t>Icteria</w:t>
      </w:r>
      <w:proofErr w:type="spellEnd"/>
      <w:r w:rsidRPr="00CC0973">
        <w:rPr>
          <w:rFonts w:ascii="Times New Roman" w:hAnsi="Times New Roman" w:cs="Times New Roman"/>
          <w:i/>
        </w:rPr>
        <w:t xml:space="preserve"> </w:t>
      </w:r>
      <w:proofErr w:type="spellStart"/>
      <w:r w:rsidRPr="00CC0973">
        <w:rPr>
          <w:rFonts w:ascii="Times New Roman" w:hAnsi="Times New Roman" w:cs="Times New Roman"/>
          <w:i/>
        </w:rPr>
        <w:t>virens</w:t>
      </w:r>
      <w:proofErr w:type="spellEnd"/>
      <w:r>
        <w:rPr>
          <w:rFonts w:ascii="Times New Roman" w:hAnsi="Times New Roman" w:cs="Times New Roman"/>
        </w:rPr>
        <w:t>). Each row is a group of individual hosts, and each cell represents the mean and standard deviation (in parenthesis) for all individuals within the groups. Proportions were calculated based on cell counts over 10</w:t>
      </w:r>
      <w:r w:rsidRPr="000A1D4A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non-polychromatic erythrocytes. </w:t>
      </w:r>
    </w:p>
    <w:p w14:paraId="25DB1809" w14:textId="77777777" w:rsidR="00B468E8" w:rsidRDefault="00B468E8" w:rsidP="002A6A50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685"/>
        <w:gridCol w:w="1717"/>
        <w:gridCol w:w="1985"/>
      </w:tblGrid>
      <w:tr w:rsidR="00A27464" w14:paraId="59BF10D7" w14:textId="77777777" w:rsidTr="0060247A">
        <w:trPr>
          <w:trHeight w:val="4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676" w14:textId="77777777" w:rsidR="00A27464" w:rsidRDefault="00A27464" w:rsidP="00466DC5">
            <w:pPr>
              <w:spacing w:line="276" w:lineRule="auto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ADC" w14:textId="77777777" w:rsidR="00A27464" w:rsidRPr="0060247A" w:rsidRDefault="00A27464" w:rsidP="00466DC5">
            <w:pPr>
              <w:spacing w:line="276" w:lineRule="auto"/>
              <w:contextualSpacing/>
              <w:rPr>
                <w:b/>
              </w:rPr>
            </w:pPr>
            <w:r w:rsidRPr="0060247A">
              <w:rPr>
                <w:b/>
              </w:rPr>
              <w:t>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CA3" w14:textId="77777777" w:rsidR="00A27464" w:rsidRPr="0060247A" w:rsidRDefault="00A27464" w:rsidP="00466DC5">
            <w:pPr>
              <w:spacing w:line="276" w:lineRule="auto"/>
              <w:contextualSpacing/>
              <w:rPr>
                <w:b/>
              </w:rPr>
            </w:pPr>
            <w:r w:rsidRPr="0060247A">
              <w:rPr>
                <w:b/>
              </w:rPr>
              <w:t>Eosinophils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6A7" w14:textId="77777777" w:rsidR="00A27464" w:rsidRPr="0060247A" w:rsidRDefault="00A27464" w:rsidP="00466DC5">
            <w:pPr>
              <w:spacing w:line="276" w:lineRule="auto"/>
              <w:contextualSpacing/>
              <w:rPr>
                <w:b/>
              </w:rPr>
            </w:pPr>
            <w:r w:rsidRPr="0060247A">
              <w:rPr>
                <w:b/>
              </w:rPr>
              <w:t>Lymphocytes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B8D" w14:textId="77777777" w:rsidR="00A27464" w:rsidRPr="0060247A" w:rsidRDefault="00A27464" w:rsidP="00466DC5">
            <w:pPr>
              <w:spacing w:line="276" w:lineRule="auto"/>
              <w:contextualSpacing/>
              <w:rPr>
                <w:b/>
              </w:rPr>
            </w:pPr>
            <w:r w:rsidRPr="0060247A">
              <w:rPr>
                <w:b/>
              </w:rPr>
              <w:t>Thrombocytes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49C" w14:textId="54653244" w:rsidR="00A27464" w:rsidRPr="0060247A" w:rsidRDefault="00A27464" w:rsidP="00466DC5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60247A">
              <w:rPr>
                <w:b/>
              </w:rPr>
              <w:t>Haemosporidian</w:t>
            </w:r>
            <w:proofErr w:type="spellEnd"/>
          </w:p>
        </w:tc>
      </w:tr>
      <w:tr w:rsidR="00A27464" w14:paraId="18014BA6" w14:textId="77777777" w:rsidTr="006024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C7A" w14:textId="77777777" w:rsidR="00A27464" w:rsidRDefault="00A27464" w:rsidP="00466DC5">
            <w:pPr>
              <w:spacing w:line="276" w:lineRule="auto"/>
              <w:contextualSpacing/>
            </w:pPr>
            <w:r>
              <w:t>Uninfected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C07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0.02</w:t>
            </w:r>
          </w:p>
          <w:p w14:paraId="532C6BDD" w14:textId="77777777" w:rsidR="00A27464" w:rsidRDefault="00A27464" w:rsidP="00466DC5">
            <w:pPr>
              <w:spacing w:line="276" w:lineRule="auto"/>
              <w:contextualSpacing/>
              <w:jc w:val="center"/>
            </w:pPr>
            <w:r>
              <w:rPr>
                <w:rFonts w:eastAsia="Times New Roman"/>
                <w:color w:val="000000"/>
                <w:sz w:val="22"/>
              </w:rPr>
              <w:t>(0.00</w:t>
            </w:r>
            <w:r w:rsidRPr="002A6A50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686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0.001</w:t>
            </w:r>
          </w:p>
          <w:p w14:paraId="3B5CB955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5DF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0.005</w:t>
            </w:r>
          </w:p>
          <w:p w14:paraId="5639ED9A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E0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0.003</w:t>
            </w:r>
          </w:p>
          <w:p w14:paraId="18F68661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923" w14:textId="77777777" w:rsidR="00A27464" w:rsidRDefault="00A27464" w:rsidP="00466DC5">
            <w:pPr>
              <w:spacing w:line="276" w:lineRule="auto"/>
              <w:contextualSpacing/>
            </w:pPr>
          </w:p>
        </w:tc>
      </w:tr>
      <w:tr w:rsidR="00A27464" w14:paraId="64A6C580" w14:textId="77777777" w:rsidTr="006024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12C" w14:textId="77777777" w:rsidR="00A27464" w:rsidRDefault="00A27464" w:rsidP="00466DC5">
            <w:pPr>
              <w:spacing w:line="276" w:lineRule="auto"/>
              <w:contextualSpacing/>
            </w:pPr>
            <w:r>
              <w:t>Co-infected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B7F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0.065</w:t>
            </w:r>
          </w:p>
          <w:p w14:paraId="0F161EEA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070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0.0002 (0.0004)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2D4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0.004</w:t>
            </w:r>
          </w:p>
          <w:p w14:paraId="7A5F2632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B6F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0.001</w:t>
            </w:r>
          </w:p>
          <w:p w14:paraId="2779E120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C33" w14:textId="6CFFAFCB" w:rsidR="00A27464" w:rsidRDefault="00466DC5" w:rsidP="00466DC5">
            <w:pPr>
              <w:spacing w:line="276" w:lineRule="auto"/>
              <w:contextualSpacing/>
              <w:jc w:val="center"/>
            </w:pPr>
            <w:r>
              <w:t>0.001</w:t>
            </w:r>
          </w:p>
          <w:p w14:paraId="09BE4D43" w14:textId="16BFB8DE" w:rsidR="009D04C3" w:rsidRDefault="009D04C3" w:rsidP="00466DC5">
            <w:pPr>
              <w:spacing w:line="276" w:lineRule="auto"/>
              <w:contextualSpacing/>
              <w:jc w:val="center"/>
            </w:pPr>
            <w:r>
              <w:t>(</w:t>
            </w:r>
            <w:r w:rsidRPr="009D04C3">
              <w:t>0.001</w:t>
            </w:r>
            <w:r>
              <w:t>)</w:t>
            </w:r>
          </w:p>
        </w:tc>
      </w:tr>
      <w:tr w:rsidR="00A27464" w14:paraId="1509DA8B" w14:textId="77777777" w:rsidTr="006024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83F" w14:textId="77777777" w:rsidR="00A27464" w:rsidRDefault="00A27464" w:rsidP="00466DC5">
            <w:pPr>
              <w:spacing w:line="276" w:lineRule="auto"/>
              <w:contextualSpacing/>
            </w:pPr>
            <w:proofErr w:type="spellStart"/>
            <w:r>
              <w:t>Haemosporidian</w:t>
            </w:r>
            <w:proofErr w:type="spellEnd"/>
          </w:p>
          <w:p w14:paraId="5A8A768A" w14:textId="77777777" w:rsidR="00A27464" w:rsidRDefault="00A27464" w:rsidP="00466DC5">
            <w:pPr>
              <w:spacing w:line="276" w:lineRule="auto"/>
              <w:contextualSpacing/>
            </w:pPr>
            <w:r>
              <w:t>Infected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7D81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0.059</w:t>
            </w:r>
          </w:p>
          <w:p w14:paraId="4DC56A85" w14:textId="77777777" w:rsidR="00A27464" w:rsidRDefault="00A27464" w:rsidP="00466DC5">
            <w:pPr>
              <w:spacing w:line="276" w:lineRule="auto"/>
              <w:contextualSpacing/>
              <w:jc w:val="center"/>
            </w:pPr>
            <w:r>
              <w:rPr>
                <w:rFonts w:eastAsia="Times New Roman"/>
                <w:color w:val="000000"/>
                <w:sz w:val="22"/>
              </w:rPr>
              <w:t>(0.01</w:t>
            </w:r>
            <w:r w:rsidRPr="002A6A50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0C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0.0002 (0.0004)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122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0.005</w:t>
            </w:r>
          </w:p>
          <w:p w14:paraId="6E28E7D8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926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0.002</w:t>
            </w:r>
          </w:p>
          <w:p w14:paraId="4029FE10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(0.0007)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092" w14:textId="77777777" w:rsidR="00A27464" w:rsidRDefault="009D04C3" w:rsidP="00466DC5">
            <w:pPr>
              <w:spacing w:line="276" w:lineRule="auto"/>
              <w:contextualSpacing/>
              <w:jc w:val="center"/>
            </w:pPr>
            <w:r w:rsidRPr="009D04C3">
              <w:t>0.0007</w:t>
            </w:r>
          </w:p>
          <w:p w14:paraId="26047BB0" w14:textId="1A28AFD2" w:rsidR="009D04C3" w:rsidRDefault="009D04C3" w:rsidP="00466DC5">
            <w:pPr>
              <w:spacing w:line="276" w:lineRule="auto"/>
              <w:contextualSpacing/>
              <w:jc w:val="center"/>
            </w:pPr>
            <w:r>
              <w:t>(0.0009)</w:t>
            </w:r>
          </w:p>
        </w:tc>
      </w:tr>
      <w:tr w:rsidR="00A27464" w14:paraId="55BE8951" w14:textId="77777777" w:rsidTr="006024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48A" w14:textId="77777777" w:rsidR="00A27464" w:rsidRDefault="00A27464" w:rsidP="00466DC5">
            <w:pPr>
              <w:spacing w:line="276" w:lineRule="auto"/>
              <w:contextualSpacing/>
            </w:pPr>
            <w:r>
              <w:t xml:space="preserve">Trypanosome </w:t>
            </w:r>
          </w:p>
          <w:p w14:paraId="62ADA4E4" w14:textId="77777777" w:rsidR="00A27464" w:rsidRDefault="00A27464" w:rsidP="00466DC5">
            <w:pPr>
              <w:spacing w:line="276" w:lineRule="auto"/>
              <w:contextualSpacing/>
            </w:pPr>
            <w:r>
              <w:t>Infected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8F6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0.059 (0.007)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20F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0.001</w:t>
            </w:r>
          </w:p>
          <w:p w14:paraId="20D6F103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(0.001)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655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0.002</w:t>
            </w:r>
          </w:p>
          <w:p w14:paraId="2F736E58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(0.0006)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C5C" w14:textId="77777777" w:rsidR="00A27464" w:rsidRDefault="00A27464" w:rsidP="00466DC5">
            <w:pPr>
              <w:spacing w:line="276" w:lineRule="auto"/>
              <w:contextualSpacing/>
              <w:jc w:val="center"/>
              <w:rPr>
                <w:rFonts w:eastAsia="Times New Roman"/>
                <w:color w:val="000000"/>
                <w:sz w:val="22"/>
              </w:rPr>
            </w:pPr>
            <w:r w:rsidRPr="002A6A50">
              <w:rPr>
                <w:rFonts w:eastAsia="Times New Roman"/>
                <w:color w:val="000000"/>
                <w:sz w:val="22"/>
              </w:rPr>
              <w:t>0.005</w:t>
            </w:r>
          </w:p>
          <w:p w14:paraId="5C4A3FD2" w14:textId="77777777" w:rsidR="00A27464" w:rsidRDefault="00A27464" w:rsidP="00466DC5">
            <w:pPr>
              <w:spacing w:line="276" w:lineRule="auto"/>
              <w:contextualSpacing/>
              <w:jc w:val="center"/>
            </w:pPr>
            <w:r w:rsidRPr="002A6A50">
              <w:rPr>
                <w:rFonts w:eastAsia="Times New Roman"/>
                <w:color w:val="000000"/>
                <w:sz w:val="22"/>
              </w:rPr>
              <w:t>(0.005)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26F" w14:textId="77777777" w:rsidR="00A27464" w:rsidRDefault="00A27464" w:rsidP="00466DC5">
            <w:pPr>
              <w:spacing w:line="276" w:lineRule="auto"/>
              <w:contextualSpacing/>
            </w:pPr>
          </w:p>
        </w:tc>
      </w:tr>
    </w:tbl>
    <w:p w14:paraId="09A6BCB9" w14:textId="4DBE9C2E" w:rsidR="002A6A50" w:rsidRPr="000D4A9B" w:rsidRDefault="002A6A50" w:rsidP="002A6A50">
      <w:pPr>
        <w:contextualSpacing/>
        <w:rPr>
          <w:rFonts w:ascii="Times New Roman" w:hAnsi="Times New Roman" w:cs="Times New Roman"/>
        </w:rPr>
      </w:pPr>
      <w:r w:rsidRPr="000D4A9B">
        <w:rPr>
          <w:rFonts w:ascii="Times New Roman" w:hAnsi="Times New Roman" w:cs="Times New Roman"/>
        </w:rPr>
        <w:t xml:space="preserve">The average proportion of </w:t>
      </w:r>
      <w:proofErr w:type="spellStart"/>
      <w:r w:rsidRPr="000D4A9B">
        <w:rPr>
          <w:rFonts w:ascii="Times New Roman" w:hAnsi="Times New Roman" w:cs="Times New Roman"/>
        </w:rPr>
        <w:t>heterophils</w:t>
      </w:r>
      <w:proofErr w:type="spellEnd"/>
      <w:r w:rsidRPr="000D4A9B">
        <w:rPr>
          <w:rFonts w:ascii="Times New Roman" w:hAnsi="Times New Roman" w:cs="Times New Roman"/>
        </w:rPr>
        <w:t xml:space="preserve"> for uninfected individuals was 0.0004 (0.0005); monocytes were 0.0005 (0.0001) for trypanosome-infected birds. Basophil counts were zero as well as otherwise noted for </w:t>
      </w:r>
      <w:proofErr w:type="spellStart"/>
      <w:r w:rsidRPr="000D4A9B">
        <w:rPr>
          <w:rFonts w:ascii="Times New Roman" w:hAnsi="Times New Roman" w:cs="Times New Roman"/>
        </w:rPr>
        <w:t>heterophils</w:t>
      </w:r>
      <w:proofErr w:type="spellEnd"/>
      <w:r w:rsidRPr="000D4A9B">
        <w:rPr>
          <w:rFonts w:ascii="Times New Roman" w:hAnsi="Times New Roman" w:cs="Times New Roman"/>
        </w:rPr>
        <w:t xml:space="preserve"> and eosinophils. </w:t>
      </w:r>
      <w:r w:rsidR="009D04C3">
        <w:rPr>
          <w:rFonts w:ascii="Times New Roman" w:hAnsi="Times New Roman" w:cs="Times New Roman"/>
        </w:rPr>
        <w:t>Only one trypanosome parasite was observed on a slide of an</w:t>
      </w:r>
      <w:r w:rsidR="00E073AC">
        <w:rPr>
          <w:rFonts w:ascii="Times New Roman" w:hAnsi="Times New Roman" w:cs="Times New Roman"/>
        </w:rPr>
        <w:t xml:space="preserve"> individual that tested negative for </w:t>
      </w:r>
      <w:proofErr w:type="spellStart"/>
      <w:r w:rsidR="00E073AC">
        <w:rPr>
          <w:rFonts w:ascii="Times New Roman" w:hAnsi="Times New Roman" w:cs="Times New Roman"/>
        </w:rPr>
        <w:t>haemosporidian</w:t>
      </w:r>
      <w:proofErr w:type="spellEnd"/>
      <w:r w:rsidR="00E073AC">
        <w:rPr>
          <w:rFonts w:ascii="Times New Roman" w:hAnsi="Times New Roman" w:cs="Times New Roman"/>
        </w:rPr>
        <w:t xml:space="preserve"> parasites. </w:t>
      </w:r>
    </w:p>
    <w:p w14:paraId="5CA2C5F2" w14:textId="77777777" w:rsidR="00801338" w:rsidRDefault="00801338"/>
    <w:p w14:paraId="6B90AC5A" w14:textId="77777777" w:rsidR="00E873EF" w:rsidRDefault="00E873EF"/>
    <w:p w14:paraId="2830F7ED" w14:textId="77777777" w:rsidR="003F7AF7" w:rsidRDefault="003F7AF7">
      <w:pPr>
        <w:rPr>
          <w:rFonts w:ascii="Times New Roman" w:hAnsi="Times New Roman" w:cs="Times New Roman"/>
        </w:rPr>
      </w:pPr>
      <w:bookmarkStart w:id="0" w:name="_GoBack"/>
      <w:bookmarkEnd w:id="0"/>
      <w:r w:rsidRPr="006532C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</w:rPr>
        <w:t>.</w:t>
      </w:r>
      <w:r w:rsidR="00E873EF">
        <w:rPr>
          <w:rFonts w:ascii="Times New Roman" w:hAnsi="Times New Roman" w:cs="Times New Roman"/>
        </w:rPr>
        <w:t xml:space="preserve"> Post-hoc Tukey HSD test of comparisons of the proportion of polychromatic erythrocytes (PE) between the four groups of </w:t>
      </w:r>
      <w:proofErr w:type="spellStart"/>
      <w:r w:rsidR="00E873EF" w:rsidRPr="00E873EF">
        <w:rPr>
          <w:rFonts w:ascii="Times New Roman" w:hAnsi="Times New Roman" w:cs="Times New Roman"/>
          <w:i/>
        </w:rPr>
        <w:t>Icteria</w:t>
      </w:r>
      <w:proofErr w:type="spellEnd"/>
      <w:r w:rsidR="00E873EF" w:rsidRPr="00E873EF">
        <w:rPr>
          <w:rFonts w:ascii="Times New Roman" w:hAnsi="Times New Roman" w:cs="Times New Roman"/>
          <w:i/>
        </w:rPr>
        <w:t xml:space="preserve"> </w:t>
      </w:r>
      <w:proofErr w:type="spellStart"/>
      <w:r w:rsidR="00E873EF" w:rsidRPr="00E873EF">
        <w:rPr>
          <w:rFonts w:ascii="Times New Roman" w:hAnsi="Times New Roman" w:cs="Times New Roman"/>
          <w:i/>
        </w:rPr>
        <w:t>virens</w:t>
      </w:r>
      <w:proofErr w:type="spellEnd"/>
      <w:r w:rsidR="00E873EF">
        <w:rPr>
          <w:rFonts w:ascii="Times New Roman" w:hAnsi="Times New Roman" w:cs="Times New Roman"/>
        </w:rPr>
        <w:t xml:space="preserve"> blood films analyzed. </w:t>
      </w:r>
      <w:r w:rsidR="00CD1D66">
        <w:rPr>
          <w:rFonts w:ascii="Times New Roman" w:hAnsi="Times New Roman" w:cs="Times New Roman"/>
        </w:rPr>
        <w:t>Represented on the table are the average differences</w:t>
      </w:r>
      <w:r w:rsidR="00E873EF">
        <w:rPr>
          <w:rFonts w:ascii="Times New Roman" w:hAnsi="Times New Roman" w:cs="Times New Roman"/>
        </w:rPr>
        <w:t xml:space="preserve"> between the groups, the lower and upper confidence intervals (CI), as well as the P-values. Significant comparisons were highlighted in bold.</w:t>
      </w:r>
    </w:p>
    <w:p w14:paraId="79A4030E" w14:textId="77777777" w:rsidR="00E90434" w:rsidRDefault="00E9043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1840"/>
        <w:gridCol w:w="1009"/>
        <w:gridCol w:w="889"/>
        <w:gridCol w:w="876"/>
      </w:tblGrid>
      <w:tr w:rsidR="00E90434" w:rsidRPr="00E90434" w14:paraId="41208546" w14:textId="77777777" w:rsidTr="0060247A">
        <w:trPr>
          <w:trHeight w:val="300"/>
          <w:jc w:val="center"/>
        </w:trPr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6A0" w14:textId="77777777" w:rsidR="00E90434" w:rsidRPr="00E90434" w:rsidRDefault="00E90434" w:rsidP="00E904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964" w14:textId="77777777" w:rsidR="00E90434" w:rsidRPr="00E90434" w:rsidRDefault="00E90434" w:rsidP="00E90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b/>
                <w:color w:val="000000"/>
              </w:rPr>
              <w:t>Average Difference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7CD1" w14:textId="77777777" w:rsidR="00E90434" w:rsidRPr="00E90434" w:rsidRDefault="00E90434" w:rsidP="00E90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b/>
                <w:color w:val="000000"/>
              </w:rPr>
              <w:t>Lower CI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66AC" w14:textId="77777777" w:rsidR="00E90434" w:rsidRPr="00E90434" w:rsidRDefault="00E90434" w:rsidP="00E90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b/>
                <w:color w:val="000000"/>
              </w:rPr>
              <w:t>Upper CI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688" w14:textId="77777777" w:rsidR="00E90434" w:rsidRPr="00E90434" w:rsidRDefault="00E90434" w:rsidP="00E90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</w:p>
        </w:tc>
      </w:tr>
      <w:tr w:rsidR="00E90434" w:rsidRPr="00E90434" w14:paraId="7DF896F3" w14:textId="77777777" w:rsidTr="0060247A">
        <w:trPr>
          <w:trHeight w:val="300"/>
          <w:jc w:val="center"/>
        </w:trPr>
        <w:tc>
          <w:tcPr>
            <w:tcW w:w="4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E6A" w14:textId="77777777" w:rsidR="00E90434" w:rsidRPr="00E90434" w:rsidRDefault="00E90434" w:rsidP="00E904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Co-infected </w:t>
            </w:r>
            <w:r w:rsidRPr="00E90434">
              <w:rPr>
                <w:rFonts w:ascii="Times New Roman" w:eastAsia="Times New Roman" w:hAnsi="Times New Roman" w:cs="Times New Roman"/>
                <w:i/>
                <w:color w:val="000000"/>
              </w:rPr>
              <w:t>vs.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ninfected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622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715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D93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E70" w14:textId="77777777" w:rsidR="00E90434" w:rsidRPr="00E873EF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3EF">
              <w:rPr>
                <w:rFonts w:ascii="Times New Roman" w:eastAsia="Times New Roman" w:hAnsi="Times New Roman" w:cs="Times New Roman"/>
                <w:b/>
                <w:color w:val="000000"/>
              </w:rPr>
              <w:t>0.0005</w:t>
            </w:r>
          </w:p>
        </w:tc>
      </w:tr>
      <w:tr w:rsidR="00E90434" w:rsidRPr="00E90434" w14:paraId="3517B18E" w14:textId="77777777" w:rsidTr="0060247A">
        <w:trPr>
          <w:trHeight w:val="300"/>
          <w:jc w:val="center"/>
        </w:trPr>
        <w:tc>
          <w:tcPr>
            <w:tcW w:w="4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E76E" w14:textId="77777777" w:rsidR="00E90434" w:rsidRPr="00E90434" w:rsidRDefault="00E90434" w:rsidP="00E904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Plasmodium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 xml:space="preserve">infected </w:t>
            </w:r>
            <w:r w:rsidRPr="00E90434">
              <w:rPr>
                <w:rFonts w:ascii="Times New Roman" w:eastAsia="Times New Roman" w:hAnsi="Times New Roman" w:cs="Times New Roman"/>
                <w:i/>
                <w:color w:val="000000"/>
              </w:rPr>
              <w:t>vs.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ninfected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A3E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9D9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50E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128" w14:textId="77777777" w:rsidR="00E90434" w:rsidRPr="00E873EF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3EF">
              <w:rPr>
                <w:rFonts w:ascii="Times New Roman" w:eastAsia="Times New Roman" w:hAnsi="Times New Roman" w:cs="Times New Roman"/>
                <w:b/>
                <w:color w:val="000000"/>
              </w:rPr>
              <w:t>0.002</w:t>
            </w:r>
          </w:p>
        </w:tc>
      </w:tr>
      <w:tr w:rsidR="00E90434" w:rsidRPr="00E90434" w14:paraId="762044B0" w14:textId="77777777" w:rsidTr="0060247A">
        <w:trPr>
          <w:trHeight w:val="300"/>
          <w:jc w:val="center"/>
        </w:trPr>
        <w:tc>
          <w:tcPr>
            <w:tcW w:w="4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D00" w14:textId="77777777" w:rsidR="00E90434" w:rsidRPr="00E90434" w:rsidRDefault="00E90434" w:rsidP="00E904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Trypanosom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infected </w:t>
            </w:r>
            <w:r w:rsidRPr="00E90434">
              <w:rPr>
                <w:rFonts w:ascii="Times New Roman" w:eastAsia="Times New Roman" w:hAnsi="Times New Roman" w:cs="Times New Roman"/>
                <w:i/>
                <w:color w:val="000000"/>
              </w:rPr>
              <w:t>vs.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ninfected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FBA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DD89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7E0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4AC" w14:textId="77777777" w:rsidR="00E90434" w:rsidRPr="00E873EF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3EF">
              <w:rPr>
                <w:rFonts w:ascii="Times New Roman" w:eastAsia="Times New Roman" w:hAnsi="Times New Roman" w:cs="Times New Roman"/>
                <w:b/>
                <w:color w:val="000000"/>
              </w:rPr>
              <w:t>0.003</w:t>
            </w:r>
          </w:p>
        </w:tc>
      </w:tr>
      <w:tr w:rsidR="00E90434" w:rsidRPr="00E90434" w14:paraId="57A4615A" w14:textId="77777777" w:rsidTr="0060247A">
        <w:trPr>
          <w:trHeight w:val="300"/>
          <w:jc w:val="center"/>
        </w:trPr>
        <w:tc>
          <w:tcPr>
            <w:tcW w:w="4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1E08" w14:textId="77777777" w:rsidR="00E90434" w:rsidRPr="00E90434" w:rsidRDefault="00E90434" w:rsidP="00E904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Plasmodium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infected </w:t>
            </w:r>
            <w:r w:rsidRPr="00E90434">
              <w:rPr>
                <w:rFonts w:ascii="Times New Roman" w:eastAsia="Times New Roman" w:hAnsi="Times New Roman" w:cs="Times New Roman"/>
                <w:i/>
                <w:color w:val="000000"/>
              </w:rPr>
              <w:t>vs.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o-infected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9C2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-0.005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A95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4F6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900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E90434" w:rsidRPr="00E90434" w14:paraId="340C6F71" w14:textId="77777777" w:rsidTr="0060247A">
        <w:trPr>
          <w:trHeight w:val="300"/>
          <w:jc w:val="center"/>
        </w:trPr>
        <w:tc>
          <w:tcPr>
            <w:tcW w:w="4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70E" w14:textId="77777777" w:rsidR="00E90434" w:rsidRPr="00E90434" w:rsidRDefault="00E90434" w:rsidP="00E904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Trypanosom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infected </w:t>
            </w:r>
            <w:r w:rsidRPr="00E90434">
              <w:rPr>
                <w:rFonts w:ascii="Times New Roman" w:eastAsia="Times New Roman" w:hAnsi="Times New Roman" w:cs="Times New Roman"/>
                <w:i/>
                <w:color w:val="000000"/>
              </w:rPr>
              <w:t>vs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C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o-infected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A5C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-0.005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94E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ECF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AE3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E90434" w:rsidRPr="00E90434" w14:paraId="1E2D6F11" w14:textId="77777777" w:rsidTr="0060247A">
        <w:trPr>
          <w:trHeight w:val="300"/>
          <w:jc w:val="center"/>
        </w:trPr>
        <w:tc>
          <w:tcPr>
            <w:tcW w:w="4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7E2" w14:textId="77777777" w:rsidR="00E90434" w:rsidRPr="00E90434" w:rsidRDefault="00E90434" w:rsidP="00E904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Plasmodium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 xml:space="preserve">infected </w:t>
            </w:r>
            <w:r w:rsidRPr="00E90434">
              <w:rPr>
                <w:rFonts w:ascii="Times New Roman" w:eastAsia="Times New Roman" w:hAnsi="Times New Roman" w:cs="Times New Roman"/>
                <w:i/>
                <w:color w:val="000000"/>
              </w:rPr>
              <w:t>vs.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04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Trypanosoma</w:t>
            </w:r>
            <w:r w:rsidRPr="00E90434">
              <w:rPr>
                <w:rFonts w:ascii="Times New Roman" w:eastAsia="Times New Roman" w:hAnsi="Times New Roman" w:cs="Times New Roman"/>
                <w:color w:val="000000"/>
              </w:rPr>
              <w:t xml:space="preserve"> infected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E08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-0.0001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616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0EA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052" w14:textId="77777777" w:rsidR="00E90434" w:rsidRPr="00E90434" w:rsidRDefault="00E90434" w:rsidP="00E904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043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</w:tbl>
    <w:p w14:paraId="500A9845" w14:textId="77777777" w:rsidR="00E90434" w:rsidRDefault="00E90434"/>
    <w:sectPr w:rsidR="00E90434" w:rsidSect="0060247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50"/>
    <w:rsid w:val="001C515F"/>
    <w:rsid w:val="00293616"/>
    <w:rsid w:val="002A6A50"/>
    <w:rsid w:val="003F1470"/>
    <w:rsid w:val="003F7AF7"/>
    <w:rsid w:val="00466DC5"/>
    <w:rsid w:val="00525620"/>
    <w:rsid w:val="0060247A"/>
    <w:rsid w:val="00801338"/>
    <w:rsid w:val="009D04C3"/>
    <w:rsid w:val="00A27464"/>
    <w:rsid w:val="00B468E8"/>
    <w:rsid w:val="00CD1D66"/>
    <w:rsid w:val="00D456C3"/>
    <w:rsid w:val="00E073AC"/>
    <w:rsid w:val="00E67B37"/>
    <w:rsid w:val="00E873EF"/>
    <w:rsid w:val="00E9043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102CB"/>
  <w14:defaultImageDpi w14:val="300"/>
  <w15:docId w15:val="{FE18917D-1B5E-43AE-B2B9-302E581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50"/>
    <w:rPr>
      <w:rFonts w:ascii="Times New Roman" w:eastAsiaTheme="minorHAns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A6A50"/>
    <w:pPr>
      <w:spacing w:after="200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A50"/>
    <w:rPr>
      <w:rFonts w:ascii="Calibri" w:eastAsia="Calibri" w:hAnsi="Calibri" w:cs="Times New Roman"/>
      <w:sz w:val="20"/>
      <w:szCs w:val="20"/>
      <w:lang w:val="pt-BR"/>
    </w:rPr>
  </w:style>
  <w:style w:type="character" w:styleId="CommentReference">
    <w:name w:val="annotation reference"/>
    <w:uiPriority w:val="99"/>
    <w:semiHidden/>
    <w:unhideWhenUsed/>
    <w:rsid w:val="002A6A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Missouri-Saint Louis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Soares</dc:creator>
  <cp:keywords/>
  <dc:description/>
  <cp:lastModifiedBy>Editorial Assistant</cp:lastModifiedBy>
  <cp:revision>2</cp:revision>
  <dcterms:created xsi:type="dcterms:W3CDTF">2016-07-08T08:36:00Z</dcterms:created>
  <dcterms:modified xsi:type="dcterms:W3CDTF">2016-07-08T08:36:00Z</dcterms:modified>
</cp:coreProperties>
</file>