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56F" w:rsidRPr="00640C9D" w:rsidRDefault="00C1156F" w:rsidP="00C1156F">
      <w:pPr>
        <w:jc w:val="center"/>
        <w:rPr>
          <w:b/>
          <w:sz w:val="28"/>
          <w:szCs w:val="28"/>
          <w:u w:val="single"/>
          <w:lang w:val="en-US"/>
        </w:rPr>
      </w:pPr>
      <w:r w:rsidRPr="00640C9D">
        <w:rPr>
          <w:b/>
          <w:sz w:val="28"/>
          <w:szCs w:val="28"/>
          <w:u w:val="single"/>
          <w:lang w:val="en-US"/>
        </w:rPr>
        <w:t xml:space="preserve">Supplementary </w:t>
      </w:r>
      <w:r w:rsidR="00235855">
        <w:rPr>
          <w:b/>
          <w:sz w:val="28"/>
          <w:szCs w:val="28"/>
          <w:u w:val="single"/>
          <w:lang w:val="en-US"/>
        </w:rPr>
        <w:t>material</w:t>
      </w:r>
    </w:p>
    <w:p w:rsidR="00C1156F" w:rsidRDefault="00C1156F" w:rsidP="00C1156F">
      <w:pPr>
        <w:spacing w:line="360" w:lineRule="auto"/>
        <w:jc w:val="center"/>
        <w:rPr>
          <w:b/>
          <w:i/>
          <w:sz w:val="28"/>
          <w:szCs w:val="28"/>
          <w:lang w:val="en-US"/>
        </w:rPr>
      </w:pPr>
    </w:p>
    <w:p w:rsidR="00C1156F" w:rsidRDefault="00C1156F" w:rsidP="00C1156F">
      <w:pPr>
        <w:spacing w:line="360" w:lineRule="auto"/>
        <w:jc w:val="center"/>
        <w:rPr>
          <w:b/>
          <w:i/>
          <w:sz w:val="28"/>
          <w:szCs w:val="28"/>
          <w:lang w:val="en-US"/>
        </w:rPr>
      </w:pPr>
    </w:p>
    <w:p w:rsidR="002347EF" w:rsidRDefault="002347EF" w:rsidP="002347EF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347EF" w:rsidRPr="00525862" w:rsidRDefault="002347EF" w:rsidP="002347EF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525862">
        <w:rPr>
          <w:b/>
          <w:sz w:val="28"/>
          <w:szCs w:val="28"/>
          <w:lang w:val="en-US"/>
        </w:rPr>
        <w:t>TGF-</w:t>
      </w:r>
      <w:r>
        <w:rPr>
          <w:b/>
          <w:sz w:val="28"/>
          <w:szCs w:val="28"/>
          <w:lang w:val="en-US"/>
        </w:rPr>
        <w:t>β</w:t>
      </w:r>
      <w:r w:rsidRPr="00525862">
        <w:rPr>
          <w:b/>
          <w:sz w:val="28"/>
          <w:szCs w:val="28"/>
          <w:lang w:val="en-US"/>
        </w:rPr>
        <w:t xml:space="preserve"> receptor type II </w:t>
      </w:r>
      <w:proofErr w:type="spellStart"/>
      <w:r w:rsidRPr="00525862">
        <w:rPr>
          <w:b/>
          <w:sz w:val="28"/>
          <w:szCs w:val="28"/>
          <w:lang w:val="en-US"/>
        </w:rPr>
        <w:t>costamer</w:t>
      </w:r>
      <w:r>
        <w:rPr>
          <w:b/>
          <w:sz w:val="28"/>
          <w:szCs w:val="28"/>
          <w:lang w:val="en-US"/>
        </w:rPr>
        <w:t>ic</w:t>
      </w:r>
      <w:proofErr w:type="spellEnd"/>
      <w:r>
        <w:rPr>
          <w:b/>
          <w:sz w:val="28"/>
          <w:szCs w:val="28"/>
          <w:lang w:val="en-US"/>
        </w:rPr>
        <w:t xml:space="preserve"> localization in </w:t>
      </w:r>
      <w:r w:rsidRPr="00525862">
        <w:rPr>
          <w:b/>
          <w:sz w:val="28"/>
          <w:szCs w:val="28"/>
          <w:lang w:val="en-US"/>
        </w:rPr>
        <w:t xml:space="preserve">cardiomyocytes </w:t>
      </w:r>
      <w:r>
        <w:rPr>
          <w:b/>
          <w:sz w:val="28"/>
          <w:szCs w:val="28"/>
          <w:lang w:val="en-US"/>
        </w:rPr>
        <w:t xml:space="preserve">and host cell TGF-β response is disrupted by </w:t>
      </w:r>
      <w:r w:rsidRPr="00525862">
        <w:rPr>
          <w:b/>
          <w:i/>
          <w:sz w:val="28"/>
          <w:szCs w:val="28"/>
          <w:lang w:val="en-US"/>
        </w:rPr>
        <w:t>Trypanosoma cruzi</w:t>
      </w:r>
      <w:r w:rsidRPr="00525862">
        <w:rPr>
          <w:b/>
          <w:sz w:val="28"/>
          <w:szCs w:val="28"/>
          <w:lang w:val="en-US"/>
        </w:rPr>
        <w:t xml:space="preserve"> infection </w:t>
      </w:r>
    </w:p>
    <w:p w:rsidR="002347EF" w:rsidRDefault="002347EF" w:rsidP="002347EF">
      <w:pPr>
        <w:spacing w:line="480" w:lineRule="auto"/>
        <w:jc w:val="center"/>
        <w:rPr>
          <w:b/>
          <w:lang w:val="en-US"/>
        </w:rPr>
      </w:pPr>
    </w:p>
    <w:p w:rsidR="002347EF" w:rsidRDefault="00E24702" w:rsidP="002347EF">
      <w:pPr>
        <w:spacing w:line="480" w:lineRule="auto"/>
        <w:jc w:val="center"/>
        <w:rPr>
          <w:b/>
        </w:rPr>
      </w:pPr>
      <w:r>
        <w:rPr>
          <w:b/>
        </w:rPr>
        <w:t>Claudia Magalhães Calvet</w:t>
      </w:r>
      <w:r>
        <w:rPr>
          <w:b/>
          <w:vertAlign w:val="superscript"/>
        </w:rPr>
        <w:t xml:space="preserve"> 1*</w:t>
      </w:r>
      <w:r>
        <w:rPr>
          <w:b/>
        </w:rPr>
        <w:t xml:space="preserve">, </w:t>
      </w:r>
      <w:r w:rsidR="002347EF">
        <w:rPr>
          <w:b/>
        </w:rPr>
        <w:t xml:space="preserve">Tatiana Araújo </w:t>
      </w:r>
      <w:r w:rsidR="002347EF" w:rsidRPr="0007175D">
        <w:rPr>
          <w:b/>
        </w:rPr>
        <w:t>Silva</w:t>
      </w:r>
      <w:r w:rsidR="002347EF" w:rsidRPr="0007175D">
        <w:rPr>
          <w:b/>
          <w:vertAlign w:val="superscript"/>
        </w:rPr>
        <w:t>1</w:t>
      </w:r>
      <w:r w:rsidR="002347EF" w:rsidRPr="0007175D">
        <w:rPr>
          <w:b/>
        </w:rPr>
        <w:t>,</w:t>
      </w:r>
      <w:r w:rsidR="002347EF">
        <w:rPr>
          <w:b/>
        </w:rPr>
        <w:t xml:space="preserve"> Tatiana Galvão de Melo</w:t>
      </w:r>
      <w:r w:rsidR="002347EF" w:rsidRPr="00D56039">
        <w:rPr>
          <w:b/>
          <w:vertAlign w:val="superscript"/>
        </w:rPr>
        <w:t>1</w:t>
      </w:r>
      <w:r w:rsidR="002347EF">
        <w:rPr>
          <w:b/>
        </w:rPr>
        <w:t>,</w:t>
      </w:r>
      <w:r w:rsidR="002347EF" w:rsidRPr="0007175D">
        <w:rPr>
          <w:b/>
        </w:rPr>
        <w:t xml:space="preserve"> Tânia</w:t>
      </w:r>
      <w:r w:rsidR="002347EF">
        <w:rPr>
          <w:b/>
        </w:rPr>
        <w:t xml:space="preserve"> Cremonini </w:t>
      </w:r>
      <w:r w:rsidR="00235855">
        <w:rPr>
          <w:b/>
        </w:rPr>
        <w:t xml:space="preserve">de </w:t>
      </w:r>
      <w:r w:rsidR="002347EF">
        <w:rPr>
          <w:b/>
        </w:rPr>
        <w:t>Araújo-Jorge</w:t>
      </w:r>
      <w:r w:rsidR="002347EF">
        <w:rPr>
          <w:b/>
          <w:vertAlign w:val="superscript"/>
        </w:rPr>
        <w:t>2</w:t>
      </w:r>
      <w:r w:rsidR="002347EF">
        <w:rPr>
          <w:b/>
        </w:rPr>
        <w:t xml:space="preserve"> </w:t>
      </w:r>
      <w:r>
        <w:rPr>
          <w:b/>
        </w:rPr>
        <w:t xml:space="preserve">and </w:t>
      </w:r>
      <w:r w:rsidR="002347EF">
        <w:rPr>
          <w:b/>
        </w:rPr>
        <w:t>Mirian Claudia de Souza Pereira</w:t>
      </w:r>
      <w:r w:rsidR="002347EF">
        <w:rPr>
          <w:b/>
          <w:vertAlign w:val="superscript"/>
        </w:rPr>
        <w:t xml:space="preserve">1 </w:t>
      </w:r>
    </w:p>
    <w:p w:rsidR="002347EF" w:rsidRDefault="002347EF" w:rsidP="002347EF">
      <w:pPr>
        <w:spacing w:line="480" w:lineRule="auto"/>
        <w:jc w:val="center"/>
        <w:rPr>
          <w:b/>
          <w:sz w:val="28"/>
          <w:szCs w:val="28"/>
        </w:rPr>
      </w:pPr>
      <w:r>
        <w:rPr>
          <w:vertAlign w:val="superscript"/>
        </w:rPr>
        <w:t>1</w:t>
      </w:r>
      <w:r>
        <w:t xml:space="preserve">Laboratório de Ultra-estrutura Celular and </w:t>
      </w:r>
      <w:r w:rsidRPr="007F12B8">
        <w:rPr>
          <w:vertAlign w:val="superscript"/>
        </w:rPr>
        <w:t>2</w:t>
      </w:r>
      <w:r w:rsidRPr="007F12B8">
        <w:t xml:space="preserve">Laboratório </w:t>
      </w:r>
      <w:r w:rsidRPr="007F12B8">
        <w:rPr>
          <w:rStyle w:val="Strong"/>
          <w:b w:val="0"/>
        </w:rPr>
        <w:t>de Inovações em Terapias</w:t>
      </w:r>
      <w:r w:rsidRPr="00183400">
        <w:rPr>
          <w:rStyle w:val="Strong"/>
        </w:rPr>
        <w:t xml:space="preserve">, </w:t>
      </w:r>
      <w:r w:rsidRPr="007F12B8">
        <w:rPr>
          <w:rStyle w:val="Strong"/>
          <w:b w:val="0"/>
        </w:rPr>
        <w:t>Ensino e Bioprodutos</w:t>
      </w:r>
      <w:r>
        <w:t>, Instituto Oswaldo Cruz, FIOCRUZ, Rio de Janeiro, RJ, 21040-36</w:t>
      </w:r>
      <w:r w:rsidR="00235855">
        <w:t>0</w:t>
      </w:r>
      <w:r>
        <w:t>, Brazil</w:t>
      </w:r>
      <w:r>
        <w:rPr>
          <w:b/>
          <w:sz w:val="28"/>
          <w:szCs w:val="28"/>
        </w:rPr>
        <w:t xml:space="preserve"> </w:t>
      </w:r>
    </w:p>
    <w:p w:rsidR="002347EF" w:rsidRDefault="002347EF" w:rsidP="002347EF">
      <w:pPr>
        <w:spacing w:line="480" w:lineRule="auto"/>
        <w:jc w:val="both"/>
        <w:rPr>
          <w:b/>
          <w:sz w:val="28"/>
          <w:szCs w:val="28"/>
        </w:rPr>
      </w:pPr>
    </w:p>
    <w:p w:rsidR="002347EF" w:rsidRDefault="002347EF" w:rsidP="002347EF">
      <w:pPr>
        <w:spacing w:line="480" w:lineRule="auto"/>
        <w:jc w:val="both"/>
        <w:rPr>
          <w:b/>
          <w:sz w:val="28"/>
          <w:szCs w:val="28"/>
        </w:rPr>
      </w:pPr>
    </w:p>
    <w:p w:rsidR="002347EF" w:rsidRDefault="002347EF" w:rsidP="002347EF">
      <w:pPr>
        <w:spacing w:line="480" w:lineRule="auto"/>
        <w:jc w:val="both"/>
      </w:pPr>
      <w:r>
        <w:rPr>
          <w:vertAlign w:val="superscript"/>
        </w:rPr>
        <w:t>*</w:t>
      </w:r>
      <w:r>
        <w:t>Corresponding author: Dr Claudia Magalhães Calvet,</w:t>
      </w:r>
      <w:r>
        <w:rPr>
          <w:vertAlign w:val="superscript"/>
        </w:rPr>
        <w:t xml:space="preserve"> </w:t>
      </w:r>
      <w:r>
        <w:t>Laboratório de Ultra-estrutura Celular, Instituto Oswaldo Cruz, FIOCRUZ, Av. Brasil 4365, Manguinhos, 21040-36</w:t>
      </w:r>
      <w:r w:rsidR="00235855">
        <w:t>0</w:t>
      </w:r>
      <w:r>
        <w:t xml:space="preserve"> Rio de Janeiro, RJ, Brazil, e-mail: </w:t>
      </w:r>
      <w:r w:rsidR="00B97F07">
        <w:fldChar w:fldCharType="begin"/>
      </w:r>
      <w:r w:rsidR="00B97F07">
        <w:instrText xml:space="preserve"> HYPERLINK "mailto:cmcalvet@ioc.fiocruz.br" </w:instrText>
      </w:r>
      <w:r w:rsidR="00B97F07">
        <w:fldChar w:fldCharType="separate"/>
      </w:r>
      <w:r w:rsidRPr="00EA3A06">
        <w:rPr>
          <w:rStyle w:val="Hyperlink"/>
        </w:rPr>
        <w:t>cmcalvet@ioc.fiocruz.br</w:t>
      </w:r>
      <w:r w:rsidR="00B97F07">
        <w:rPr>
          <w:rStyle w:val="Hyperlink"/>
        </w:rPr>
        <w:fldChar w:fldCharType="end"/>
      </w:r>
      <w:r>
        <w:t xml:space="preserve">, phone +5521 25621027 </w:t>
      </w:r>
    </w:p>
    <w:p w:rsidR="00C1156F" w:rsidRDefault="00C1156F" w:rsidP="00C1156F">
      <w:pPr>
        <w:spacing w:line="480" w:lineRule="auto"/>
        <w:jc w:val="both"/>
        <w:rPr>
          <w:b/>
          <w:sz w:val="28"/>
          <w:szCs w:val="28"/>
        </w:rPr>
      </w:pPr>
    </w:p>
    <w:p w:rsidR="003308B5" w:rsidRDefault="003308B5"/>
    <w:p w:rsidR="00C1156F" w:rsidRDefault="00C1156F"/>
    <w:p w:rsidR="007F12B8" w:rsidRDefault="007F12B8"/>
    <w:p w:rsidR="007F12B8" w:rsidRDefault="007F12B8"/>
    <w:p w:rsidR="007F12B8" w:rsidRDefault="007F12B8"/>
    <w:p w:rsidR="007F12B8" w:rsidRDefault="007F12B8"/>
    <w:p w:rsidR="007F12B8" w:rsidRDefault="007F12B8"/>
    <w:p w:rsidR="00C1156F" w:rsidRDefault="00C1156F"/>
    <w:p w:rsidR="00C1156F" w:rsidRDefault="00C1156F"/>
    <w:p w:rsidR="00C1156F" w:rsidRDefault="00C1156F"/>
    <w:p w:rsidR="00C1156F" w:rsidRDefault="00C1156F"/>
    <w:p w:rsidR="002010E0" w:rsidRDefault="002010E0"/>
    <w:p w:rsidR="002010E0" w:rsidRDefault="002010E0"/>
    <w:p w:rsidR="002010E0" w:rsidRDefault="002010E0"/>
    <w:p w:rsidR="00C1156F" w:rsidRDefault="00C1156F"/>
    <w:p w:rsidR="00C1156F" w:rsidRDefault="00C1156F"/>
    <w:p w:rsidR="00C1156F" w:rsidRDefault="00C1156F"/>
    <w:p w:rsidR="00C1156F" w:rsidRDefault="00C1156F"/>
    <w:p w:rsidR="00C1156F" w:rsidRDefault="00C1156F"/>
    <w:p w:rsidR="00C1156F" w:rsidRDefault="00C1156F"/>
    <w:p w:rsidR="0073424E" w:rsidRDefault="0073424E"/>
    <w:p w:rsidR="0073424E" w:rsidRDefault="0073424E">
      <w:r>
        <w:rPr>
          <w:noProof/>
          <w:lang w:val="en-US" w:eastAsia="en-US"/>
        </w:rPr>
        <w:drawing>
          <wp:inline distT="0" distB="0" distL="0" distR="0">
            <wp:extent cx="5798370" cy="286603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1 fla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72" cy="286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4E" w:rsidRDefault="0073424E"/>
    <w:p w:rsidR="0073424E" w:rsidRDefault="0073424E"/>
    <w:p w:rsidR="0073424E" w:rsidRPr="0073424E" w:rsidRDefault="0073424E" w:rsidP="009B3F82">
      <w:pPr>
        <w:spacing w:line="480" w:lineRule="auto"/>
        <w:jc w:val="both"/>
        <w:rPr>
          <w:lang w:val="en-US"/>
        </w:rPr>
      </w:pPr>
      <w:r>
        <w:rPr>
          <w:lang w:val="en-US"/>
        </w:rPr>
        <w:t>F</w:t>
      </w:r>
      <w:r w:rsidRPr="0073424E">
        <w:rPr>
          <w:lang w:val="en-US"/>
        </w:rPr>
        <w:t>igure S</w:t>
      </w:r>
      <w:r>
        <w:rPr>
          <w:lang w:val="en-US"/>
        </w:rPr>
        <w:t>1</w:t>
      </w:r>
      <w:r w:rsidRPr="0073424E">
        <w:rPr>
          <w:lang w:val="en-US"/>
        </w:rPr>
        <w:t>.</w:t>
      </w:r>
      <w:r w:rsidR="007A07EB">
        <w:rPr>
          <w:lang w:val="en-US"/>
        </w:rPr>
        <w:t xml:space="preserve"> </w:t>
      </w:r>
      <w:proofErr w:type="gramStart"/>
      <w:r w:rsidR="007A07EB" w:rsidRPr="007A07EB">
        <w:rPr>
          <w:b/>
          <w:lang w:val="en-US"/>
        </w:rPr>
        <w:t>Negative control of the immunofluorescence assay</w:t>
      </w:r>
      <w:r w:rsidRPr="0073424E">
        <w:rPr>
          <w:lang w:val="en-US"/>
        </w:rPr>
        <w:t>.</w:t>
      </w:r>
      <w:proofErr w:type="gramEnd"/>
      <w:r w:rsidRPr="0073424E">
        <w:rPr>
          <w:lang w:val="en-US"/>
        </w:rPr>
        <w:t xml:space="preserve">  </w:t>
      </w:r>
      <w:r w:rsidR="009B3F82">
        <w:rPr>
          <w:lang w:val="en-US"/>
        </w:rPr>
        <w:t xml:space="preserve">(A) General aspect of cardiomyocyte culture visualized by DIC. (B) No cross reaction or </w:t>
      </w:r>
      <w:proofErr w:type="spellStart"/>
      <w:r w:rsidR="009B3F82">
        <w:rPr>
          <w:lang w:val="en-US"/>
        </w:rPr>
        <w:t>autofluorescence</w:t>
      </w:r>
      <w:proofErr w:type="spellEnd"/>
      <w:r w:rsidR="009B3F82">
        <w:rPr>
          <w:lang w:val="en-US"/>
        </w:rPr>
        <w:t xml:space="preserve"> of cardiomyocytes was observed after immunofluorescence procedure omitting the primary antibody against T</w:t>
      </w:r>
      <w:r w:rsidR="009B3F82">
        <w:rPr>
          <w:lang w:val="en-US"/>
        </w:rPr>
        <w:sym w:font="Symbol" w:char="F062"/>
      </w:r>
      <w:r w:rsidR="009B3F82">
        <w:rPr>
          <w:lang w:val="en-US"/>
        </w:rPr>
        <w:t xml:space="preserve">RII. </w:t>
      </w: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Default="0073424E">
      <w:pPr>
        <w:rPr>
          <w:lang w:val="en-US"/>
        </w:rPr>
      </w:pPr>
    </w:p>
    <w:p w:rsidR="007F12B8" w:rsidRPr="0073424E" w:rsidRDefault="007F12B8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73424E" w:rsidRPr="0073424E" w:rsidRDefault="0073424E">
      <w:pPr>
        <w:rPr>
          <w:lang w:val="en-US"/>
        </w:rPr>
      </w:pPr>
    </w:p>
    <w:p w:rsidR="00C1156F" w:rsidRPr="0073424E" w:rsidRDefault="00C1156F">
      <w:pPr>
        <w:rPr>
          <w:lang w:val="en-US"/>
        </w:rPr>
      </w:pPr>
    </w:p>
    <w:p w:rsidR="004818A3" w:rsidRDefault="004818A3" w:rsidP="004818A3">
      <w:pPr>
        <w:pStyle w:val="BodyTextIndent"/>
        <w:ind w:firstLine="0"/>
        <w:jc w:val="center"/>
        <w:rPr>
          <w:b/>
          <w:color w:val="auto"/>
          <w:lang w:val="en-US"/>
        </w:rPr>
      </w:pPr>
      <w:r>
        <w:rPr>
          <w:b/>
          <w:noProof/>
          <w:color w:val="auto"/>
          <w:lang w:val="en-US" w:eastAsia="en-US"/>
        </w:rPr>
        <w:drawing>
          <wp:inline distT="0" distB="0" distL="0" distR="0">
            <wp:extent cx="3093058" cy="28815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911" cy="288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A3" w:rsidRDefault="004818A3" w:rsidP="004818A3">
      <w:pPr>
        <w:pStyle w:val="BodyTextIndent"/>
        <w:ind w:firstLine="0"/>
        <w:jc w:val="center"/>
        <w:rPr>
          <w:b/>
          <w:color w:val="auto"/>
          <w:lang w:val="en-US"/>
        </w:rPr>
      </w:pPr>
    </w:p>
    <w:p w:rsidR="004818A3" w:rsidRDefault="004818A3" w:rsidP="004818A3">
      <w:pPr>
        <w:spacing w:line="480" w:lineRule="auto"/>
        <w:jc w:val="both"/>
        <w:rPr>
          <w:lang w:val="en-US"/>
        </w:rPr>
      </w:pPr>
      <w:r w:rsidRPr="00C1156F">
        <w:rPr>
          <w:lang w:val="en-US"/>
        </w:rPr>
        <w:t>Figure S</w:t>
      </w:r>
      <w:r w:rsidR="0073424E">
        <w:rPr>
          <w:lang w:val="en-US"/>
        </w:rPr>
        <w:t>2</w:t>
      </w:r>
      <w:r w:rsidRPr="00C1156F">
        <w:rPr>
          <w:lang w:val="en-US"/>
        </w:rPr>
        <w:t xml:space="preserve">. </w:t>
      </w:r>
      <w:proofErr w:type="gramStart"/>
      <w:r w:rsidRPr="00810942">
        <w:rPr>
          <w:b/>
          <w:lang w:val="en-US"/>
        </w:rPr>
        <w:t xml:space="preserve">Detection of TβRII and </w:t>
      </w:r>
      <w:proofErr w:type="spellStart"/>
      <w:r w:rsidRPr="00810942">
        <w:rPr>
          <w:b/>
          <w:lang w:val="en-US"/>
        </w:rPr>
        <w:t>sarcomeric</w:t>
      </w:r>
      <w:proofErr w:type="spellEnd"/>
      <w:r w:rsidRPr="00810942">
        <w:rPr>
          <w:b/>
          <w:lang w:val="en-US"/>
        </w:rPr>
        <w:t xml:space="preserve"> proteins by Western blot analysis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 The protein expression was revealed with the anti-TβRII antibody used for immunofluorescence analysis, developed against the full length molecule (lane 1), anti-vinculin (lane 2; 116 </w:t>
      </w:r>
      <w:proofErr w:type="spellStart"/>
      <w:r>
        <w:rPr>
          <w:lang w:val="en-US"/>
        </w:rPr>
        <w:t>kDa</w:t>
      </w:r>
      <w:proofErr w:type="spellEnd"/>
      <w:r>
        <w:rPr>
          <w:lang w:val="en-US"/>
        </w:rPr>
        <w:t>), anti-</w:t>
      </w:r>
      <w:r>
        <w:rPr>
          <w:lang w:val="en-US"/>
        </w:rPr>
        <w:sym w:font="Symbol" w:char="F061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actinin</w:t>
      </w:r>
      <w:proofErr w:type="spellEnd"/>
      <w:r>
        <w:rPr>
          <w:lang w:val="en-US"/>
        </w:rPr>
        <w:t xml:space="preserve"> (lane 3; 100 </w:t>
      </w:r>
      <w:proofErr w:type="spellStart"/>
      <w:r>
        <w:rPr>
          <w:lang w:val="en-US"/>
        </w:rPr>
        <w:t>kDa</w:t>
      </w:r>
      <w:proofErr w:type="spellEnd"/>
      <w:r>
        <w:rPr>
          <w:lang w:val="en-US"/>
        </w:rPr>
        <w:t>), anti-</w:t>
      </w:r>
      <w:proofErr w:type="spellStart"/>
      <w:r>
        <w:rPr>
          <w:lang w:val="en-US"/>
        </w:rPr>
        <w:t>sarcomeric</w:t>
      </w:r>
      <w:proofErr w:type="spellEnd"/>
      <w:r>
        <w:rPr>
          <w:lang w:val="en-US"/>
        </w:rPr>
        <w:t xml:space="preserve"> cardiac actin (</w:t>
      </w:r>
      <w:r w:rsidR="007A07EB">
        <w:rPr>
          <w:lang w:val="en-US"/>
        </w:rPr>
        <w:t xml:space="preserve">lane 4; 43 </w:t>
      </w:r>
      <w:proofErr w:type="spellStart"/>
      <w:r w:rsidR="007A07EB">
        <w:rPr>
          <w:lang w:val="en-US"/>
        </w:rPr>
        <w:t>kDa</w:t>
      </w:r>
      <w:proofErr w:type="spellEnd"/>
      <w:r w:rsidR="007A07EB">
        <w:rPr>
          <w:lang w:val="en-US"/>
        </w:rPr>
        <w:t>) and</w:t>
      </w:r>
      <w:r>
        <w:rPr>
          <w:lang w:val="en-US"/>
        </w:rPr>
        <w:t xml:space="preserve"> anti-</w:t>
      </w:r>
      <w:proofErr w:type="spellStart"/>
      <w:r>
        <w:rPr>
          <w:lang w:val="en-US"/>
        </w:rPr>
        <w:t>desmin</w:t>
      </w:r>
      <w:proofErr w:type="spellEnd"/>
      <w:r>
        <w:rPr>
          <w:lang w:val="en-US"/>
        </w:rPr>
        <w:t xml:space="preserve"> (lane 5; 50 </w:t>
      </w:r>
      <w:proofErr w:type="spellStart"/>
      <w:r>
        <w:rPr>
          <w:lang w:val="en-US"/>
        </w:rPr>
        <w:t>kDa</w:t>
      </w:r>
      <w:proofErr w:type="spellEnd"/>
      <w:r>
        <w:rPr>
          <w:lang w:val="en-US"/>
        </w:rPr>
        <w:t xml:space="preserve">).  Anti-TβRII antibody (Santa Cruz Biotechnology, Inc, Santa Cruz, CA, USA) revealed an intense protein band with molecular mass close to 70 </w:t>
      </w:r>
      <w:proofErr w:type="spellStart"/>
      <w:r>
        <w:rPr>
          <w:lang w:val="en-US"/>
        </w:rPr>
        <w:t>kDa</w:t>
      </w:r>
      <w:proofErr w:type="spellEnd"/>
      <w:r>
        <w:rPr>
          <w:lang w:val="en-US"/>
        </w:rPr>
        <w:t xml:space="preserve"> and a weak minor band between 25 and 35 </w:t>
      </w:r>
      <w:proofErr w:type="spellStart"/>
      <w:r>
        <w:rPr>
          <w:lang w:val="en-US"/>
        </w:rPr>
        <w:t>kDa</w:t>
      </w:r>
      <w:proofErr w:type="spellEnd"/>
      <w:r>
        <w:rPr>
          <w:lang w:val="en-US"/>
        </w:rPr>
        <w:t xml:space="preserve">. No cross-reaction was detected with any </w:t>
      </w:r>
      <w:proofErr w:type="spellStart"/>
      <w:r>
        <w:rPr>
          <w:lang w:val="en-US"/>
        </w:rPr>
        <w:t>sarcomeric</w:t>
      </w:r>
      <w:proofErr w:type="spellEnd"/>
      <w:r>
        <w:rPr>
          <w:lang w:val="en-US"/>
        </w:rPr>
        <w:t xml:space="preserve"> proteins analyzed, showing the specificity of this antibody.  </w:t>
      </w:r>
    </w:p>
    <w:p w:rsidR="007F12B8" w:rsidRDefault="007F12B8" w:rsidP="004818A3">
      <w:pPr>
        <w:spacing w:line="480" w:lineRule="auto"/>
        <w:jc w:val="both"/>
        <w:rPr>
          <w:lang w:val="en-US"/>
        </w:rPr>
      </w:pPr>
    </w:p>
    <w:p w:rsidR="00C1156F" w:rsidRDefault="00C1156F">
      <w:pPr>
        <w:rPr>
          <w:lang w:val="en-US"/>
        </w:rPr>
      </w:pPr>
    </w:p>
    <w:p w:rsidR="007F12B8" w:rsidRDefault="007F12B8">
      <w:pPr>
        <w:rPr>
          <w:lang w:val="en-US"/>
        </w:rPr>
      </w:pPr>
    </w:p>
    <w:p w:rsidR="007F12B8" w:rsidRDefault="007F12B8">
      <w:pPr>
        <w:rPr>
          <w:lang w:val="en-US"/>
        </w:rPr>
      </w:pPr>
    </w:p>
    <w:p w:rsidR="007F12B8" w:rsidRDefault="007F12B8">
      <w:pPr>
        <w:rPr>
          <w:lang w:val="en-US"/>
        </w:rPr>
      </w:pPr>
    </w:p>
    <w:p w:rsidR="007F12B8" w:rsidRDefault="007F12B8">
      <w:pPr>
        <w:rPr>
          <w:lang w:val="en-US"/>
        </w:rPr>
      </w:pPr>
    </w:p>
    <w:p w:rsidR="007F12B8" w:rsidRPr="004818A3" w:rsidRDefault="007F12B8">
      <w:pPr>
        <w:rPr>
          <w:lang w:val="en-US"/>
        </w:rPr>
      </w:pPr>
    </w:p>
    <w:p w:rsidR="00C1156F" w:rsidRPr="004818A3" w:rsidRDefault="00C1156F">
      <w:pPr>
        <w:rPr>
          <w:lang w:val="en-US"/>
        </w:rPr>
      </w:pPr>
    </w:p>
    <w:p w:rsidR="00C1156F" w:rsidRPr="002010E0" w:rsidRDefault="002010E0" w:rsidP="00810942">
      <w:pPr>
        <w:pStyle w:val="BodyTextIndent"/>
        <w:ind w:firstLine="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667534" cy="4391349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bility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274" cy="43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6F" w:rsidRDefault="00C1156F" w:rsidP="00C1156F">
      <w:pPr>
        <w:pStyle w:val="BodyTextIndent"/>
        <w:ind w:firstLine="0"/>
        <w:rPr>
          <w:color w:val="auto"/>
          <w:lang w:val="en-US"/>
        </w:rPr>
      </w:pPr>
      <w:r w:rsidRPr="00C1156F">
        <w:rPr>
          <w:lang w:val="en-US"/>
        </w:rPr>
        <w:t>Figure S</w:t>
      </w:r>
      <w:r w:rsidR="0073424E">
        <w:rPr>
          <w:lang w:val="en-US"/>
        </w:rPr>
        <w:t>3</w:t>
      </w:r>
      <w:r w:rsidRPr="00C1156F">
        <w:rPr>
          <w:lang w:val="en-US"/>
        </w:rPr>
        <w:t xml:space="preserve">. </w:t>
      </w:r>
      <w:r w:rsidRPr="00BE4752">
        <w:rPr>
          <w:b/>
          <w:color w:val="auto"/>
          <w:lang w:val="en-US"/>
        </w:rPr>
        <w:t>Cytoskeleton disruption assay</w:t>
      </w:r>
      <w:r>
        <w:rPr>
          <w:b/>
          <w:color w:val="auto"/>
          <w:lang w:val="en-US"/>
        </w:rPr>
        <w:t>s</w:t>
      </w:r>
      <w:r w:rsidRPr="00BE4752">
        <w:rPr>
          <w:color w:val="auto"/>
          <w:lang w:val="en-US"/>
        </w:rPr>
        <w:t xml:space="preserve"> </w:t>
      </w:r>
      <w:r w:rsidRPr="00C1156F">
        <w:rPr>
          <w:b/>
          <w:color w:val="auto"/>
          <w:lang w:val="en-US"/>
        </w:rPr>
        <w:t>do not affect cardiomyocyte viability</w:t>
      </w:r>
      <w:r w:rsidR="00810942">
        <w:rPr>
          <w:b/>
          <w:color w:val="auto"/>
          <w:lang w:val="en-US"/>
        </w:rPr>
        <w:t xml:space="preserve">. </w:t>
      </w:r>
      <w:r w:rsidR="002347EF">
        <w:rPr>
          <w:color w:val="auto"/>
          <w:lang w:val="en-US"/>
        </w:rPr>
        <w:t xml:space="preserve">Viability of cardiomyocytes was quantified by </w:t>
      </w:r>
      <w:r w:rsidR="00040B43">
        <w:rPr>
          <w:color w:val="auto"/>
          <w:lang w:val="en-US"/>
        </w:rPr>
        <w:t xml:space="preserve">manual counting after </w:t>
      </w:r>
      <w:r w:rsidR="002347EF">
        <w:rPr>
          <w:color w:val="auto"/>
          <w:lang w:val="en-US"/>
        </w:rPr>
        <w:t xml:space="preserve">trypan blue dye exclusion test. </w:t>
      </w:r>
      <w:proofErr w:type="spellStart"/>
      <w:r w:rsidR="002347EF">
        <w:rPr>
          <w:color w:val="auto"/>
          <w:lang w:val="en-US"/>
        </w:rPr>
        <w:t>Cytochalasin</w:t>
      </w:r>
      <w:proofErr w:type="spellEnd"/>
      <w:r w:rsidR="002347EF">
        <w:rPr>
          <w:color w:val="auto"/>
          <w:lang w:val="en-US"/>
        </w:rPr>
        <w:t xml:space="preserve"> treatment for 5h or 48h at the indicated doses didn’t result in significant differences in the percentage of viable cardiomyocytes, with all cultures showing </w:t>
      </w:r>
      <w:r w:rsidR="00040B43">
        <w:rPr>
          <w:color w:val="auto"/>
          <w:lang w:val="en-US"/>
        </w:rPr>
        <w:t>more than 86% of viable cells.</w:t>
      </w:r>
    </w:p>
    <w:p w:rsidR="00040B43" w:rsidRPr="002347EF" w:rsidRDefault="00040B43" w:rsidP="00C1156F">
      <w:pPr>
        <w:pStyle w:val="BodyTextIndent"/>
        <w:ind w:firstLine="0"/>
        <w:rPr>
          <w:color w:val="auto"/>
          <w:lang w:val="en-US"/>
        </w:rPr>
      </w:pPr>
    </w:p>
    <w:p w:rsidR="00C1156F" w:rsidRDefault="00C1156F" w:rsidP="00C1156F">
      <w:pPr>
        <w:pStyle w:val="BodyTextIndent"/>
        <w:ind w:firstLine="0"/>
        <w:rPr>
          <w:b/>
          <w:color w:val="auto"/>
          <w:lang w:val="en-US"/>
        </w:rPr>
      </w:pPr>
    </w:p>
    <w:p w:rsidR="00C1156F" w:rsidRDefault="00C1156F" w:rsidP="00C1156F">
      <w:pPr>
        <w:pStyle w:val="BodyTextIndent"/>
        <w:ind w:firstLine="0"/>
        <w:rPr>
          <w:b/>
          <w:color w:val="auto"/>
          <w:lang w:val="en-US"/>
        </w:rPr>
      </w:pPr>
    </w:p>
    <w:p w:rsidR="00C1156F" w:rsidRDefault="00C1156F" w:rsidP="00C1156F">
      <w:pPr>
        <w:pStyle w:val="BodyTextIndent"/>
        <w:ind w:firstLine="0"/>
        <w:rPr>
          <w:b/>
          <w:color w:val="auto"/>
          <w:lang w:val="en-US"/>
        </w:rPr>
      </w:pPr>
    </w:p>
    <w:p w:rsidR="00C1156F" w:rsidRDefault="00C402B1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400040" cy="54209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4 flat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B1" w:rsidRDefault="00C402B1">
      <w:pPr>
        <w:rPr>
          <w:lang w:val="en-US"/>
        </w:rPr>
      </w:pPr>
    </w:p>
    <w:p w:rsidR="00C402B1" w:rsidRPr="00C402B1" w:rsidRDefault="00C402B1" w:rsidP="00C402B1">
      <w:pPr>
        <w:jc w:val="both"/>
        <w:rPr>
          <w:lang w:val="en-US"/>
        </w:rPr>
      </w:pPr>
      <w:r w:rsidRPr="00C1156F">
        <w:rPr>
          <w:lang w:val="en-US"/>
        </w:rPr>
        <w:t>Figure S</w:t>
      </w:r>
      <w:r>
        <w:rPr>
          <w:lang w:val="en-US"/>
        </w:rPr>
        <w:t>4</w:t>
      </w:r>
      <w:r w:rsidRPr="00C1156F">
        <w:rPr>
          <w:lang w:val="en-US"/>
        </w:rPr>
        <w:t>.</w:t>
      </w:r>
      <w:r w:rsidRPr="00C402B1">
        <w:rPr>
          <w:b/>
          <w:i/>
          <w:lang w:val="en-US"/>
        </w:rPr>
        <w:t>Trypanosoma cruzi</w:t>
      </w:r>
      <w:r>
        <w:rPr>
          <w:b/>
          <w:lang w:val="en-US"/>
        </w:rPr>
        <w:t xml:space="preserve"> infection leads to actin microfilaments breakdown</w:t>
      </w:r>
      <w:r>
        <w:rPr>
          <w:b/>
          <w:lang w:val="en-US"/>
        </w:rPr>
        <w:t xml:space="preserve">. </w:t>
      </w:r>
      <w:r w:rsidRPr="00C402B1">
        <w:rPr>
          <w:lang w:val="en-US"/>
        </w:rPr>
        <w:t>(A-B) Normal cardiomyocyte culture</w:t>
      </w:r>
      <w:bookmarkStart w:id="0" w:name="_GoBack"/>
      <w:bookmarkEnd w:id="0"/>
      <w:r w:rsidRPr="00C402B1">
        <w:rPr>
          <w:lang w:val="en-US"/>
        </w:rPr>
        <w:t xml:space="preserve"> stained with </w:t>
      </w:r>
      <w:proofErr w:type="spellStart"/>
      <w:r w:rsidRPr="00C402B1">
        <w:rPr>
          <w:lang w:val="en-US"/>
        </w:rPr>
        <w:t>phalloidin</w:t>
      </w:r>
      <w:proofErr w:type="spellEnd"/>
      <w:r w:rsidRPr="00C402B1">
        <w:rPr>
          <w:lang w:val="en-US"/>
        </w:rPr>
        <w:t xml:space="preserve"> (green) showing striated organization of actin microfilaments. (C-D) Infection with </w:t>
      </w:r>
      <w:r w:rsidRPr="00C402B1">
        <w:rPr>
          <w:i/>
          <w:lang w:val="en-US"/>
        </w:rPr>
        <w:t>Trypanosoma cruzi</w:t>
      </w:r>
      <w:r w:rsidRPr="00C402B1">
        <w:rPr>
          <w:lang w:val="en-US"/>
        </w:rPr>
        <w:t xml:space="preserve"> results in a disorganization of actin cytoskeleton (green). Note the localized disruption of microfilaments in a cardiac cell containing high number of intracellular amastigotes (*). DAPI (blue), DNA dye, stained the host cell nuclei and nuclei and </w:t>
      </w:r>
      <w:proofErr w:type="spellStart"/>
      <w:r w:rsidRPr="00C402B1">
        <w:rPr>
          <w:lang w:val="en-US"/>
        </w:rPr>
        <w:t>kinetoplast</w:t>
      </w:r>
      <w:proofErr w:type="spellEnd"/>
      <w:r w:rsidRPr="00C402B1">
        <w:rPr>
          <w:lang w:val="en-US"/>
        </w:rPr>
        <w:t xml:space="preserve"> of parasites. Bar=20 µM.</w:t>
      </w:r>
    </w:p>
    <w:sectPr w:rsidR="00C402B1" w:rsidRPr="00C402B1" w:rsidSect="00F519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56F"/>
    <w:rsid w:val="00040B43"/>
    <w:rsid w:val="00053B3E"/>
    <w:rsid w:val="000A1791"/>
    <w:rsid w:val="001C2B61"/>
    <w:rsid w:val="002010E0"/>
    <w:rsid w:val="002347EF"/>
    <w:rsid w:val="00235855"/>
    <w:rsid w:val="003308B5"/>
    <w:rsid w:val="004818A3"/>
    <w:rsid w:val="00486AE6"/>
    <w:rsid w:val="005E5407"/>
    <w:rsid w:val="00634EB4"/>
    <w:rsid w:val="00640C9D"/>
    <w:rsid w:val="0073424E"/>
    <w:rsid w:val="007A07EB"/>
    <w:rsid w:val="007F12B8"/>
    <w:rsid w:val="00810942"/>
    <w:rsid w:val="00844DFA"/>
    <w:rsid w:val="009B3F82"/>
    <w:rsid w:val="009E5A80"/>
    <w:rsid w:val="00B97F07"/>
    <w:rsid w:val="00BB1498"/>
    <w:rsid w:val="00C1156F"/>
    <w:rsid w:val="00C402B1"/>
    <w:rsid w:val="00C857B9"/>
    <w:rsid w:val="00D34CF9"/>
    <w:rsid w:val="00E24702"/>
    <w:rsid w:val="00F5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5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1156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1156F"/>
    <w:rPr>
      <w:b/>
      <w:bCs/>
    </w:rPr>
  </w:style>
  <w:style w:type="paragraph" w:styleId="BodyTextIndent">
    <w:name w:val="Body Text Indent"/>
    <w:basedOn w:val="Normal"/>
    <w:link w:val="BodyTextIndentChar"/>
    <w:rsid w:val="00C1156F"/>
    <w:pPr>
      <w:spacing w:line="480" w:lineRule="auto"/>
      <w:ind w:firstLine="709"/>
      <w:jc w:val="both"/>
    </w:pPr>
    <w:rPr>
      <w:color w:val="000000"/>
    </w:rPr>
  </w:style>
  <w:style w:type="character" w:customStyle="1" w:styleId="BodyTextIndentChar">
    <w:name w:val="Body Text Indent Char"/>
    <w:basedOn w:val="DefaultParagraphFont"/>
    <w:link w:val="BodyTextIndent"/>
    <w:rsid w:val="00C1156F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5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56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5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1156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1156F"/>
    <w:rPr>
      <w:b/>
      <w:bCs/>
    </w:rPr>
  </w:style>
  <w:style w:type="paragraph" w:styleId="BodyTextIndent">
    <w:name w:val="Body Text Indent"/>
    <w:basedOn w:val="Normal"/>
    <w:link w:val="BodyTextIndentChar"/>
    <w:rsid w:val="00C1156F"/>
    <w:pPr>
      <w:spacing w:line="480" w:lineRule="auto"/>
      <w:ind w:firstLine="709"/>
      <w:jc w:val="both"/>
    </w:pPr>
    <w:rPr>
      <w:color w:val="000000"/>
    </w:rPr>
  </w:style>
  <w:style w:type="character" w:customStyle="1" w:styleId="BodyTextIndentChar">
    <w:name w:val="Body Text Indent Char"/>
    <w:basedOn w:val="DefaultParagraphFont"/>
    <w:link w:val="BodyTextIndent"/>
    <w:rsid w:val="00C1156F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5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56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Claudia Calvet</cp:lastModifiedBy>
  <cp:revision>6</cp:revision>
  <dcterms:created xsi:type="dcterms:W3CDTF">2015-10-16T21:26:00Z</dcterms:created>
  <dcterms:modified xsi:type="dcterms:W3CDTF">2015-11-09T08:58:00Z</dcterms:modified>
</cp:coreProperties>
</file>