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66" w:rsidRDefault="009A7166" w:rsidP="009A7166">
      <w:pPr>
        <w:rPr>
          <w:sz w:val="22"/>
        </w:rPr>
      </w:pPr>
      <w:r>
        <w:rPr>
          <w:sz w:val="22"/>
        </w:rPr>
        <w:t xml:space="preserve">Table S1. Pairwise ranges of sequence divergence within and between named </w:t>
      </w:r>
      <w:r>
        <w:rPr>
          <w:i/>
          <w:sz w:val="22"/>
        </w:rPr>
        <w:t>Parahaemoproteus</w:t>
      </w:r>
      <w:r>
        <w:rPr>
          <w:sz w:val="22"/>
        </w:rPr>
        <w:t xml:space="preserve"> lineages. Shaded values represent named sequences that likely include misnamed lineages.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6A0"/>
      </w:tblPr>
      <w:tblGrid>
        <w:gridCol w:w="1261"/>
        <w:gridCol w:w="935"/>
        <w:gridCol w:w="938"/>
        <w:gridCol w:w="954"/>
        <w:gridCol w:w="1261"/>
        <w:gridCol w:w="928"/>
        <w:gridCol w:w="931"/>
        <w:gridCol w:w="930"/>
        <w:gridCol w:w="1089"/>
        <w:gridCol w:w="931"/>
        <w:gridCol w:w="937"/>
        <w:gridCol w:w="1147"/>
        <w:gridCol w:w="934"/>
      </w:tblGrid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balmorali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cyanomitrae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hoemobelopolskyi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lanii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magnus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majoris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micronuclearis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minutus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motacillae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parabelopolskyi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sanguinis</w:t>
            </w: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balmorali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0.001-0.039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0.051-0.086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0.002-0.039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cyanomitrae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0.020-0.060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0.054-0.084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0.002-0.035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hoemobelopolskyi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0.027-0.054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0.053-0.077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  <w:highlight w:val="lightGray"/>
              </w:rPr>
            </w:pPr>
            <w:r>
              <w:rPr>
                <w:rFonts w:eastAsia="Cambria"/>
                <w:color w:val="000000"/>
                <w:sz w:val="14"/>
                <w:highlight w:val="lightGray"/>
              </w:rPr>
              <w:t>0.019-0.040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0.002-0.006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lanii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0.052-0.073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0.042-0.067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0.054-0.073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0.057-0.065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0.002-0.020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magnus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0.056-0.081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0.032-0.069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0.058-0.084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0.069-0.080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0.033-0.048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0.002-0.010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majoris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0.039-0.063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0.052-0.081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0.029-0.051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0.027-0.044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0.050-0.070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0.058-0.086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0.002-0.010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micronuclearis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0.019-0.058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0.051-0.086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0.020-0.048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  <w:highlight w:val="lightGray"/>
              </w:rPr>
            </w:pPr>
            <w:r>
              <w:rPr>
                <w:rFonts w:eastAsia="Cambria"/>
                <w:color w:val="000000"/>
                <w:sz w:val="14"/>
                <w:highlight w:val="lightGray"/>
              </w:rPr>
              <w:t>0.013-0.040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0.056-0.081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0.057-0.097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0.033-0.059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0.002-0.024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minutus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0.039-0.065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0.038-0.068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0.032-0.060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0.025-0.048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0.052-0.073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0.059-0.079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0.018-0.047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0.022-0.059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0.000-0.010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motacillae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0.042-0.063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0.057-0.094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0.022-0.051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  <w:highlight w:val="lightGray"/>
              </w:rPr>
            </w:pPr>
            <w:r>
              <w:rPr>
                <w:rFonts w:eastAsia="Cambria"/>
                <w:color w:val="000000"/>
                <w:sz w:val="14"/>
                <w:highlight w:val="lightGray"/>
              </w:rPr>
              <w:t>0.018-0.038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0.059-0.073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0.071-0.086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0.028-0.048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0.032-0.057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0.043-0.052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0.002-0.010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parabelopolskyi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0.059-0.092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0.045-0.089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0.056-0.092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0.048-0.073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0.046-0.068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0.058-0.075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0.052-0.089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0.053-0.090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0.025-0.083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0.061-0.090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0.002-0.041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</w:p>
        </w:tc>
      </w:tr>
      <w:tr w:rsidR="009A7166" w:rsidTr="00ED1690"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i/>
                <w:color w:val="000000"/>
                <w:sz w:val="14"/>
              </w:rPr>
              <w:t>sanguinis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0.050-0.076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0.044-0.077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0.044-0.061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0.042-0.056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0.061-0.075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0.069-0.083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0.035-0.050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0.044-0.070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  <w:highlight w:val="lightGray"/>
              </w:rPr>
            </w:pPr>
            <w:r>
              <w:rPr>
                <w:rFonts w:eastAsia="Cambria"/>
                <w:color w:val="000000"/>
                <w:sz w:val="14"/>
                <w:highlight w:val="lightGray"/>
              </w:rPr>
              <w:t>0.015-0.028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0.050-0.064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0.050-0.087</w:t>
            </w:r>
          </w:p>
        </w:tc>
        <w:tc>
          <w:tcPr>
            <w:tcW w:w="0" w:type="auto"/>
            <w:shd w:val="clear" w:color="auto" w:fill="auto"/>
          </w:tcPr>
          <w:p w:rsidR="009A7166" w:rsidRDefault="009A7166" w:rsidP="00ED1690">
            <w:pPr>
              <w:rPr>
                <w:rFonts w:eastAsia="Cambria"/>
                <w:color w:val="000000"/>
                <w:sz w:val="14"/>
              </w:rPr>
            </w:pPr>
            <w:r>
              <w:rPr>
                <w:rFonts w:eastAsia="Cambria"/>
                <w:color w:val="000000"/>
                <w:sz w:val="14"/>
              </w:rPr>
              <w:t>0.003-0.010</w:t>
            </w:r>
          </w:p>
        </w:tc>
      </w:tr>
    </w:tbl>
    <w:p w:rsidR="009A7166" w:rsidRDefault="009A7166" w:rsidP="009A7166">
      <w:pPr>
        <w:rPr>
          <w:sz w:val="22"/>
        </w:rPr>
        <w:sectPr w:rsidR="009A716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A7166" w:rsidRDefault="009A7166" w:rsidP="009A7166">
      <w:pPr>
        <w:rPr>
          <w:sz w:val="22"/>
        </w:rPr>
      </w:pPr>
      <w:r>
        <w:rPr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3429000" cy="770826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Table S2. </w:t>
      </w:r>
      <w:r>
        <w:rPr>
          <w:i/>
          <w:sz w:val="22"/>
        </w:rPr>
        <w:t>Parahaemoproteus</w:t>
      </w:r>
      <w:r>
        <w:rPr>
          <w:sz w:val="22"/>
        </w:rPr>
        <w:t xml:space="preserve"> “species” identified in the phylogeny (Figure 1). Lineages denoted in green are represented as entire clades in the phylogeny; those in orange are problemtic in the tree (see notes and text), and those in white are singletons in the tree.</w:t>
      </w: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</w:p>
    <w:p w:rsidR="009A7166" w:rsidRDefault="009A7166" w:rsidP="009A7166">
      <w:pPr>
        <w:rPr>
          <w:sz w:val="22"/>
        </w:rPr>
      </w:pPr>
      <w:r>
        <w:rPr>
          <w:sz w:val="22"/>
        </w:rPr>
        <w:br w:type="page"/>
      </w:r>
    </w:p>
    <w:p w:rsidR="009A7166" w:rsidRDefault="009A7166" w:rsidP="009A7166">
      <w:pPr>
        <w:rPr>
          <w:sz w:val="22"/>
        </w:rPr>
      </w:pPr>
      <w:r>
        <w:rPr>
          <w:sz w:val="22"/>
        </w:rPr>
        <w:lastRenderedPageBreak/>
        <w:t xml:space="preserve">Figure S1. </w:t>
      </w:r>
    </w:p>
    <w:p w:rsidR="009A7166" w:rsidRDefault="009A7166" w:rsidP="009A7166">
      <w:pPr>
        <w:rPr>
          <w:sz w:val="22"/>
        </w:rPr>
      </w:pPr>
      <w:r>
        <w:rPr>
          <w:sz w:val="22"/>
        </w:rPr>
        <w:t>Number of publications that reported “avian malaria cytochrome b” lineages from 2000 to 2013 (from Scopus, February, 2014).</w:t>
      </w:r>
    </w:p>
    <w:p w:rsidR="009A7166" w:rsidRDefault="009A7166" w:rsidP="009A7166">
      <w:pPr>
        <w:rPr>
          <w:sz w:val="22"/>
        </w:rPr>
      </w:pPr>
      <w:r>
        <w:rPr>
          <w:sz w:val="22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3329305</wp:posOffset>
            </wp:positionV>
            <wp:extent cx="5376545" cy="229235"/>
            <wp:effectExtent l="0" t="0" r="8255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1C3">
        <w:rPr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3722370"/>
            <wp:effectExtent l="0" t="0" r="3175" b="1143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182" w:rsidRDefault="003F7182"/>
    <w:sectPr w:rsidR="003F7182" w:rsidSect="00BD4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A7166"/>
    <w:rsid w:val="0021607D"/>
    <w:rsid w:val="003F7182"/>
    <w:rsid w:val="00446EEE"/>
    <w:rsid w:val="004A2754"/>
    <w:rsid w:val="004D122F"/>
    <w:rsid w:val="006841A7"/>
    <w:rsid w:val="009A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166"/>
    <w:rPr>
      <w:rFonts w:ascii="Cambria" w:eastAsia="MS Mincho" w:hAnsi="Cambria" w:cs="Times New Roman"/>
      <w:noProof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1608</Characters>
  <Application>Microsoft Office Word</Application>
  <DocSecurity>0</DocSecurity>
  <Lines>13</Lines>
  <Paragraphs>3</Paragraphs>
  <ScaleCrop>false</ScaleCrop>
  <Company>University of Aberdeen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Alison</cp:lastModifiedBy>
  <cp:revision>1</cp:revision>
  <dcterms:created xsi:type="dcterms:W3CDTF">2014-03-17T17:49:00Z</dcterms:created>
  <dcterms:modified xsi:type="dcterms:W3CDTF">2014-03-17T17:50:00Z</dcterms:modified>
</cp:coreProperties>
</file>