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A56" w14:textId="10E98D68" w:rsidR="003A260F" w:rsidRDefault="003A260F" w:rsidP="0046197A">
      <w:pPr>
        <w:spacing w:line="240" w:lineRule="auto"/>
        <w:rPr>
          <w:rFonts w:eastAsia="Calibri" w:cstheme="minorHAnsi"/>
          <w:b/>
          <w:color w:val="000000"/>
          <w:sz w:val="28"/>
          <w:szCs w:val="28"/>
        </w:rPr>
      </w:pPr>
      <w:r w:rsidRPr="0023233C">
        <w:rPr>
          <w:rFonts w:eastAsia="Calibri" w:cstheme="minorHAnsi"/>
          <w:b/>
          <w:color w:val="000000"/>
          <w:sz w:val="28"/>
          <w:szCs w:val="28"/>
        </w:rPr>
        <w:t xml:space="preserve">Exploring </w:t>
      </w:r>
      <w:r w:rsidR="007D2FA4" w:rsidRPr="0023233C">
        <w:rPr>
          <w:rFonts w:eastAsia="Calibri" w:cstheme="minorHAnsi"/>
          <w:b/>
          <w:color w:val="000000"/>
          <w:sz w:val="28"/>
          <w:szCs w:val="28"/>
        </w:rPr>
        <w:t xml:space="preserve">the </w:t>
      </w:r>
      <w:r w:rsidRPr="0023233C">
        <w:rPr>
          <w:rFonts w:eastAsia="Calibri" w:cstheme="minorHAnsi"/>
          <w:b/>
          <w:color w:val="000000"/>
          <w:sz w:val="28"/>
          <w:szCs w:val="28"/>
        </w:rPr>
        <w:t xml:space="preserve">demography and conservation needs of hawksbill sea turtles </w:t>
      </w:r>
      <w:r w:rsidRPr="0023233C">
        <w:rPr>
          <w:rFonts w:eastAsia="Calibri" w:cstheme="minorHAnsi"/>
          <w:b/>
          <w:i/>
          <w:color w:val="000000"/>
          <w:sz w:val="28"/>
          <w:szCs w:val="28"/>
        </w:rPr>
        <w:t>Eretmochelys imbricata</w:t>
      </w:r>
      <w:r w:rsidRPr="0023233C">
        <w:rPr>
          <w:rFonts w:eastAsia="Calibri" w:cstheme="minorHAnsi"/>
          <w:b/>
          <w:color w:val="000000"/>
          <w:sz w:val="28"/>
          <w:szCs w:val="28"/>
        </w:rPr>
        <w:t xml:space="preserve"> in north</w:t>
      </w:r>
      <w:r w:rsidR="007D2FA4" w:rsidRPr="0023233C">
        <w:rPr>
          <w:rFonts w:eastAsia="Calibri" w:cstheme="minorHAnsi"/>
          <w:b/>
          <w:color w:val="000000"/>
          <w:sz w:val="28"/>
          <w:szCs w:val="28"/>
        </w:rPr>
        <w:t>-</w:t>
      </w:r>
      <w:r w:rsidRPr="0023233C">
        <w:rPr>
          <w:rFonts w:eastAsia="Calibri" w:cstheme="minorHAnsi"/>
          <w:b/>
          <w:color w:val="000000"/>
          <w:sz w:val="28"/>
          <w:szCs w:val="28"/>
        </w:rPr>
        <w:t xml:space="preserve">west Mexico </w:t>
      </w:r>
    </w:p>
    <w:p w14:paraId="43E28F9E" w14:textId="77777777" w:rsidR="0046197A" w:rsidRPr="0023233C" w:rsidRDefault="0046197A" w:rsidP="0023233C">
      <w:pPr>
        <w:spacing w:line="240" w:lineRule="auto"/>
        <w:rPr>
          <w:rFonts w:eastAsia="Calibri" w:cstheme="minorHAnsi"/>
          <w:b/>
          <w:color w:val="000000"/>
          <w:sz w:val="28"/>
          <w:szCs w:val="28"/>
        </w:rPr>
      </w:pPr>
    </w:p>
    <w:p w14:paraId="632BBAB5" w14:textId="0B0BED0C" w:rsidR="0059305C" w:rsidRPr="00C61425" w:rsidRDefault="003A260F" w:rsidP="00646495">
      <w:pPr>
        <w:pStyle w:val="Namesaddresses"/>
        <w:spacing w:line="240" w:lineRule="auto"/>
        <w:jc w:val="right"/>
        <w:rPr>
          <w:rStyle w:val="Oryxauthornames"/>
        </w:rPr>
      </w:pPr>
      <w:r>
        <w:rPr>
          <w:rStyle w:val="Oryxauthornames"/>
        </w:rPr>
        <w:t>Lourdes Mart</w:t>
      </w:r>
      <w:r w:rsidR="001A1B2F">
        <w:rPr>
          <w:rStyle w:val="Oryxauthornames"/>
        </w:rPr>
        <w:t>í</w:t>
      </w:r>
      <w:r>
        <w:rPr>
          <w:rStyle w:val="Oryxauthornames"/>
        </w:rPr>
        <w:t>nez-</w:t>
      </w:r>
      <w:proofErr w:type="spellStart"/>
      <w:r>
        <w:rPr>
          <w:rStyle w:val="Oryxauthornames"/>
        </w:rPr>
        <w:t>Est</w:t>
      </w:r>
      <w:r w:rsidR="001A1B2F">
        <w:rPr>
          <w:rStyle w:val="Oryxauthornames"/>
        </w:rPr>
        <w:t>é</w:t>
      </w:r>
      <w:r>
        <w:rPr>
          <w:rStyle w:val="Oryxauthornames"/>
        </w:rPr>
        <w:t>vez</w:t>
      </w:r>
      <w:proofErr w:type="spellEnd"/>
      <w:r>
        <w:rPr>
          <w:rStyle w:val="Oryxauthornames"/>
        </w:rPr>
        <w:t xml:space="preserve">, </w:t>
      </w:r>
      <w:proofErr w:type="spellStart"/>
      <w:r>
        <w:rPr>
          <w:rStyle w:val="Oryxauthornames"/>
        </w:rPr>
        <w:t>Abelino</w:t>
      </w:r>
      <w:proofErr w:type="spellEnd"/>
      <w:r>
        <w:rPr>
          <w:rStyle w:val="Oryxauthornames"/>
        </w:rPr>
        <w:t xml:space="preserve"> </w:t>
      </w:r>
      <w:r w:rsidRPr="00C61425">
        <w:rPr>
          <w:rStyle w:val="Oryxauthornames"/>
        </w:rPr>
        <w:t>Angulo</w:t>
      </w:r>
      <w:r w:rsidR="00CE6054" w:rsidRPr="00C61425">
        <w:rPr>
          <w:rStyle w:val="Oryxauthornames"/>
        </w:rPr>
        <w:t xml:space="preserve"> </w:t>
      </w:r>
      <w:proofErr w:type="spellStart"/>
      <w:r w:rsidR="00CE6054" w:rsidRPr="00C61425">
        <w:rPr>
          <w:rStyle w:val="Oryxauthornames"/>
        </w:rPr>
        <w:t>Angulo</w:t>
      </w:r>
      <w:proofErr w:type="spellEnd"/>
      <w:r w:rsidRPr="00C61425">
        <w:rPr>
          <w:rStyle w:val="Oryxauthornames"/>
        </w:rPr>
        <w:t xml:space="preserve">, Mayra Estrella </w:t>
      </w:r>
      <w:proofErr w:type="spellStart"/>
      <w:r w:rsidRPr="00C61425">
        <w:rPr>
          <w:rStyle w:val="Oryxauthornames"/>
        </w:rPr>
        <w:t>Astorga</w:t>
      </w:r>
      <w:proofErr w:type="spellEnd"/>
      <w:r w:rsidRPr="00C61425">
        <w:rPr>
          <w:rStyle w:val="Oryxauthornames"/>
        </w:rPr>
        <w:t xml:space="preserve">, </w:t>
      </w:r>
      <w:proofErr w:type="spellStart"/>
      <w:r w:rsidRPr="00C61425">
        <w:rPr>
          <w:rStyle w:val="Oryxauthornames"/>
        </w:rPr>
        <w:t>Cosme</w:t>
      </w:r>
      <w:proofErr w:type="spellEnd"/>
      <w:r w:rsidRPr="00C61425">
        <w:rPr>
          <w:rStyle w:val="Oryxauthornames"/>
        </w:rPr>
        <w:t xml:space="preserve"> Damián Becerra, Nazario </w:t>
      </w:r>
      <w:proofErr w:type="spellStart"/>
      <w:r w:rsidRPr="00C61425">
        <w:rPr>
          <w:rStyle w:val="Oryxauthornames"/>
        </w:rPr>
        <w:t>Campaña</w:t>
      </w:r>
      <w:proofErr w:type="spellEnd"/>
      <w:r w:rsidRPr="00C61425">
        <w:rPr>
          <w:rStyle w:val="Oryxauthornames"/>
        </w:rPr>
        <w:t xml:space="preserve"> Leyva, Felipe Cuevas Amador, Juan Pablo Cuevas Amador, Tania de la Vega</w:t>
      </w:r>
      <w:r w:rsidR="007A5E0B" w:rsidRPr="00C61425">
        <w:rPr>
          <w:rStyle w:val="Oryxauthornames"/>
        </w:rPr>
        <w:t xml:space="preserve"> Carvajal</w:t>
      </w:r>
      <w:r w:rsidRPr="00C61425">
        <w:rPr>
          <w:rStyle w:val="Oryxauthornames"/>
        </w:rPr>
        <w:t xml:space="preserve">, </w:t>
      </w:r>
      <w:proofErr w:type="spellStart"/>
      <w:r w:rsidRPr="00C61425">
        <w:rPr>
          <w:rStyle w:val="Oryxauthornames"/>
        </w:rPr>
        <w:t>Anely</w:t>
      </w:r>
      <w:proofErr w:type="spellEnd"/>
      <w:r w:rsidRPr="00C61425">
        <w:rPr>
          <w:rStyle w:val="Oryxauthornames"/>
        </w:rPr>
        <w:t xml:space="preserve"> Fernández Robledo, Alexander R. </w:t>
      </w:r>
      <w:proofErr w:type="spellStart"/>
      <w:r w:rsidRPr="00C61425">
        <w:rPr>
          <w:rStyle w:val="Oryxauthornames"/>
        </w:rPr>
        <w:t>Gaos</w:t>
      </w:r>
      <w:proofErr w:type="spellEnd"/>
      <w:r w:rsidRPr="00C61425">
        <w:rPr>
          <w:rStyle w:val="Oryxauthornames"/>
        </w:rPr>
        <w:t xml:space="preserve">, </w:t>
      </w:r>
    </w:p>
    <w:p w14:paraId="26A7693C" w14:textId="77777777" w:rsidR="0046197A" w:rsidRPr="00C61425" w:rsidRDefault="003A260F" w:rsidP="00646495">
      <w:pPr>
        <w:pStyle w:val="Namesaddresses"/>
        <w:spacing w:line="240" w:lineRule="auto"/>
        <w:jc w:val="right"/>
        <w:rPr>
          <w:rStyle w:val="Oryxauthornames"/>
        </w:rPr>
      </w:pPr>
      <w:r w:rsidRPr="00C61425">
        <w:rPr>
          <w:rStyle w:val="Oryxauthornames"/>
        </w:rPr>
        <w:t xml:space="preserve">Catherine E. Hart, Amy Hudson Weaver, José Luis López, Jesus Lucero, Israel Llamas, Agnese Mancini, Karen </w:t>
      </w:r>
      <w:proofErr w:type="spellStart"/>
      <w:r w:rsidRPr="00C61425">
        <w:rPr>
          <w:rStyle w:val="Oryxauthornames"/>
        </w:rPr>
        <w:t>Oceguera</w:t>
      </w:r>
      <w:proofErr w:type="spellEnd"/>
      <w:r w:rsidRPr="00C61425">
        <w:rPr>
          <w:rStyle w:val="Oryxauthornames"/>
        </w:rPr>
        <w:t xml:space="preserve">, Jeffrey A. Seminoff, Bernie R. </w:t>
      </w:r>
      <w:proofErr w:type="spellStart"/>
      <w:r w:rsidRPr="00C61425">
        <w:rPr>
          <w:rStyle w:val="Oryxauthornames"/>
        </w:rPr>
        <w:t>Tershy</w:t>
      </w:r>
      <w:proofErr w:type="spellEnd"/>
      <w:r w:rsidRPr="00C61425">
        <w:rPr>
          <w:rStyle w:val="Oryxauthornames"/>
        </w:rPr>
        <w:t xml:space="preserve">, </w:t>
      </w:r>
    </w:p>
    <w:p w14:paraId="4313ED7F" w14:textId="58DBF9F0" w:rsidR="00F416DB" w:rsidRDefault="003A260F" w:rsidP="00646495">
      <w:pPr>
        <w:pStyle w:val="Namesaddresses"/>
        <w:spacing w:line="240" w:lineRule="auto"/>
        <w:jc w:val="right"/>
      </w:pPr>
      <w:r w:rsidRPr="00C61425">
        <w:rPr>
          <w:rStyle w:val="Oryxauthornames"/>
        </w:rPr>
        <w:t xml:space="preserve">Ingrid L. </w:t>
      </w:r>
      <w:proofErr w:type="spellStart"/>
      <w:r w:rsidRPr="00C61425">
        <w:rPr>
          <w:rStyle w:val="Oryxauthornames"/>
        </w:rPr>
        <w:t>Yañez</w:t>
      </w:r>
      <w:proofErr w:type="spellEnd"/>
      <w:r w:rsidRPr="00C61425">
        <w:rPr>
          <w:rStyle w:val="Oryxauthornames"/>
        </w:rPr>
        <w:t>, Alan Zaval</w:t>
      </w:r>
      <w:r w:rsidR="00CE6054" w:rsidRPr="00C61425">
        <w:rPr>
          <w:rStyle w:val="Oryxauthornames"/>
        </w:rPr>
        <w:t>a-</w:t>
      </w:r>
      <w:proofErr w:type="spellStart"/>
      <w:r w:rsidR="00CE6054" w:rsidRPr="00C61425">
        <w:rPr>
          <w:rStyle w:val="Oryxauthornames"/>
        </w:rPr>
        <w:t>Norzagaray</w:t>
      </w:r>
      <w:proofErr w:type="spellEnd"/>
      <w:r w:rsidRPr="00C61425">
        <w:rPr>
          <w:rStyle w:val="Oryxauthornames"/>
        </w:rPr>
        <w:t xml:space="preserve"> </w:t>
      </w:r>
      <w:r w:rsidRPr="00C61425">
        <w:rPr>
          <w:rFonts w:eastAsiaTheme="minorHAnsi" w:cs="Times New Roman"/>
          <w:kern w:val="0"/>
          <w:lang w:eastAsia="en-US" w:bidi="ar-SA"/>
        </w:rPr>
        <w:t>and</w:t>
      </w:r>
      <w:r>
        <w:rPr>
          <w:rStyle w:val="Oryxauthornames"/>
        </w:rPr>
        <w:t xml:space="preserve"> Donald A. </w:t>
      </w:r>
      <w:proofErr w:type="spellStart"/>
      <w:r>
        <w:rPr>
          <w:rStyle w:val="Oryxauthornames"/>
        </w:rPr>
        <w:t>Croll</w:t>
      </w:r>
      <w:proofErr w:type="spellEnd"/>
    </w:p>
    <w:p w14:paraId="39A61BE6" w14:textId="77777777" w:rsidR="003A260F" w:rsidRDefault="003A260F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  <w:highlight w:val="yellow"/>
        </w:rPr>
      </w:pPr>
    </w:p>
    <w:p w14:paraId="434B7BB3" w14:textId="2143471F" w:rsidR="00F416DB" w:rsidRDefault="00F416DB" w:rsidP="00646495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7973E8BB" w14:textId="6AE293F0" w:rsidR="001D17FC" w:rsidRPr="001D17FC" w:rsidRDefault="001D17FC" w:rsidP="001D17FC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 w:rsidR="00C44325">
        <w:rPr>
          <w:rFonts w:ascii="Times New Roman" w:hAnsi="Times New Roman" w:cs="Times New Roman"/>
          <w:smallCaps/>
          <w:sz w:val="24"/>
          <w:szCs w:val="24"/>
        </w:rPr>
        <w:t>T</w:t>
      </w:r>
      <w:r w:rsidRPr="001D17FC">
        <w:rPr>
          <w:rFonts w:ascii="Times New Roman" w:hAnsi="Times New Roman" w:cs="Times New Roman"/>
          <w:smallCaps/>
          <w:sz w:val="24"/>
          <w:szCs w:val="24"/>
        </w:rPr>
        <w:t xml:space="preserve">able </w:t>
      </w:r>
      <w:r w:rsidRPr="001D17FC">
        <w:rPr>
          <w:rFonts w:ascii="Times New Roman" w:hAnsi="Times New Roman" w:cs="Times New Roman"/>
          <w:sz w:val="24"/>
          <w:szCs w:val="24"/>
        </w:rPr>
        <w:t xml:space="preserve">1 Records of hawksbill </w:t>
      </w:r>
      <w:r w:rsidR="00E3021D">
        <w:rPr>
          <w:rFonts w:ascii="Times New Roman" w:hAnsi="Times New Roman" w:cs="Times New Roman"/>
          <w:sz w:val="24"/>
          <w:szCs w:val="24"/>
        </w:rPr>
        <w:t xml:space="preserve">sea </w:t>
      </w:r>
      <w:r w:rsidRPr="001D17FC">
        <w:rPr>
          <w:rFonts w:ascii="Times New Roman" w:hAnsi="Times New Roman" w:cs="Times New Roman"/>
          <w:sz w:val="24"/>
          <w:szCs w:val="24"/>
        </w:rPr>
        <w:t xml:space="preserve">turtles </w:t>
      </w:r>
      <w:r w:rsidR="0095139F" w:rsidRPr="0023233C">
        <w:rPr>
          <w:rFonts w:ascii="Times New Roman" w:hAnsi="Times New Roman" w:cs="Times New Roman"/>
          <w:i/>
          <w:iCs/>
          <w:sz w:val="24"/>
          <w:szCs w:val="24"/>
        </w:rPr>
        <w:t>Eretmochelys imbricata</w:t>
      </w:r>
      <w:r w:rsidR="0095139F" w:rsidRPr="0095139F">
        <w:rPr>
          <w:rFonts w:ascii="Times New Roman" w:hAnsi="Times New Roman" w:cs="Times New Roman"/>
          <w:sz w:val="24"/>
          <w:szCs w:val="24"/>
        </w:rPr>
        <w:t xml:space="preserve"> </w:t>
      </w:r>
      <w:r w:rsidRPr="001D17FC">
        <w:rPr>
          <w:rFonts w:ascii="Times New Roman" w:hAnsi="Times New Roman" w:cs="Times New Roman"/>
          <w:sz w:val="24"/>
          <w:szCs w:val="24"/>
        </w:rPr>
        <w:t>(captures and recaptures), by providing organization.</w:t>
      </w:r>
    </w:p>
    <w:tbl>
      <w:tblPr>
        <w:tblStyle w:val="5"/>
        <w:tblW w:w="79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30"/>
        <w:gridCol w:w="1008"/>
      </w:tblGrid>
      <w:tr w:rsidR="001D17FC" w:rsidRPr="006D7B00" w14:paraId="09AAD392" w14:textId="77777777" w:rsidTr="00C61425">
        <w:trPr>
          <w:jc w:val="center"/>
        </w:trPr>
        <w:tc>
          <w:tcPr>
            <w:tcW w:w="6930" w:type="dxa"/>
            <w:tcBorders>
              <w:top w:val="single" w:sz="4" w:space="0" w:color="auto"/>
              <w:bottom w:val="single" w:sz="4" w:space="0" w:color="000000"/>
            </w:tcBorders>
          </w:tcPr>
          <w:p w14:paraId="6EB445D1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00000"/>
            </w:tcBorders>
          </w:tcPr>
          <w:p w14:paraId="14E754BF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Records </w:t>
            </w:r>
          </w:p>
        </w:tc>
      </w:tr>
      <w:tr w:rsidR="001D17FC" w:rsidRPr="006D7B00" w14:paraId="61694D11" w14:textId="77777777" w:rsidTr="00C61425">
        <w:trPr>
          <w:jc w:val="center"/>
        </w:trPr>
        <w:tc>
          <w:tcPr>
            <w:tcW w:w="6930" w:type="dxa"/>
            <w:tcBorders>
              <w:top w:val="single" w:sz="4" w:space="0" w:color="000000"/>
            </w:tcBorders>
          </w:tcPr>
          <w:p w14:paraId="798333A5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Angostura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Vive</w:t>
            </w:r>
            <w:proofErr w:type="spellEnd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Verde A.C.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39613634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17FC" w:rsidRPr="006D7B00" w14:paraId="04A1DD3D" w14:textId="77777777" w:rsidTr="00C61425">
        <w:trPr>
          <w:jc w:val="center"/>
        </w:trPr>
        <w:tc>
          <w:tcPr>
            <w:tcW w:w="6930" w:type="dxa"/>
          </w:tcPr>
          <w:p w14:paraId="1FBE7FC3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Amigos para la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Conservación</w:t>
            </w:r>
            <w:proofErr w:type="spellEnd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de Cabo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A.C.</w:t>
            </w: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6A38159B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1D17FC" w:rsidRPr="006D7B00" w14:paraId="3DA911D3" w14:textId="77777777" w:rsidTr="00C61425">
        <w:trPr>
          <w:jc w:val="center"/>
        </w:trPr>
        <w:tc>
          <w:tcPr>
            <w:tcW w:w="6930" w:type="dxa"/>
          </w:tcPr>
          <w:p w14:paraId="50B11F49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Conservation Action Laboratory, University of California Santa Cruz</w:t>
            </w:r>
          </w:p>
        </w:tc>
        <w:tc>
          <w:tcPr>
            <w:tcW w:w="1008" w:type="dxa"/>
          </w:tcPr>
          <w:p w14:paraId="360A2137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1D17FC" w:rsidRPr="006D7B00" w14:paraId="1FE82B98" w14:textId="77777777" w:rsidTr="00C61425">
        <w:trPr>
          <w:jc w:val="center"/>
        </w:trPr>
        <w:tc>
          <w:tcPr>
            <w:tcW w:w="6930" w:type="dxa"/>
          </w:tcPr>
          <w:p w14:paraId="1A1D9323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Eco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Mayto</w:t>
            </w:r>
            <w:proofErr w:type="spellEnd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A.C.</w:t>
            </w:r>
          </w:p>
        </w:tc>
        <w:tc>
          <w:tcPr>
            <w:tcW w:w="1008" w:type="dxa"/>
          </w:tcPr>
          <w:p w14:paraId="7BA26420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D17FC" w:rsidRPr="006D7B00" w14:paraId="001CAA94" w14:textId="77777777" w:rsidTr="00C61425">
        <w:trPr>
          <w:jc w:val="center"/>
        </w:trPr>
        <w:tc>
          <w:tcPr>
            <w:tcW w:w="6930" w:type="dxa"/>
          </w:tcPr>
          <w:p w14:paraId="28DD2563" w14:textId="77777777" w:rsidR="001D17FC" w:rsidRPr="006D7B00" w:rsidRDefault="001D17FC" w:rsidP="00000467">
            <w:pPr>
              <w:tabs>
                <w:tab w:val="left" w:pos="20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Grupo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Tortuguero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Bahía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Kino </w:t>
            </w:r>
          </w:p>
        </w:tc>
        <w:tc>
          <w:tcPr>
            <w:tcW w:w="1008" w:type="dxa"/>
          </w:tcPr>
          <w:p w14:paraId="46EFFF29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7FC" w:rsidRPr="006D7B00" w14:paraId="58384A95" w14:textId="77777777" w:rsidTr="00C61425">
        <w:trPr>
          <w:jc w:val="center"/>
        </w:trPr>
        <w:tc>
          <w:tcPr>
            <w:tcW w:w="6930" w:type="dxa"/>
          </w:tcPr>
          <w:p w14:paraId="66C8ABB5" w14:textId="77777777" w:rsidR="001D17FC" w:rsidRPr="006D7B00" w:rsidRDefault="001D17FC" w:rsidP="0000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Grupo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Tortuguero</w:t>
            </w:r>
            <w:proofErr w:type="spellEnd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de las </w:t>
            </w:r>
            <w:proofErr w:type="spellStart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Californias</w:t>
            </w:r>
            <w:proofErr w:type="spellEnd"/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A.C.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ICAPO</w:t>
            </w:r>
          </w:p>
        </w:tc>
        <w:tc>
          <w:tcPr>
            <w:tcW w:w="1008" w:type="dxa"/>
          </w:tcPr>
          <w:p w14:paraId="3B702495" w14:textId="77777777" w:rsidR="001D17FC" w:rsidRPr="006D7B00" w:rsidRDefault="00B44E21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tag w:val="goog_rdk_3"/>
                <w:id w:val="175546665"/>
              </w:sdtPr>
              <w:sdtEndPr/>
              <w:sdtContent/>
            </w:sdt>
            <w:sdt>
              <w:sdtPr>
                <w:rPr>
                  <w:rFonts w:cs="Times New Roman"/>
                  <w:sz w:val="20"/>
                  <w:szCs w:val="20"/>
                </w:rPr>
                <w:tag w:val="goog_rdk_4"/>
                <w:id w:val="-231928226"/>
              </w:sdtPr>
              <w:sdtEndPr/>
              <w:sdtContent/>
            </w:sdt>
            <w:r w:rsidR="001D17FC" w:rsidRPr="006D7B0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D17FC" w:rsidRPr="006D7B00" w14:paraId="7D804CC3" w14:textId="77777777" w:rsidTr="00C61425">
        <w:trPr>
          <w:jc w:val="center"/>
        </w:trPr>
        <w:tc>
          <w:tcPr>
            <w:tcW w:w="6930" w:type="dxa"/>
          </w:tcPr>
          <w:p w14:paraId="029229E6" w14:textId="77777777" w:rsidR="001D17FC" w:rsidRPr="006D7B00" w:rsidRDefault="001D17FC" w:rsidP="000004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Iniciativa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Carey del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Pacífico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Oriental (ICAPO) </w:t>
            </w: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3C5E0205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D17FC" w:rsidRPr="006D7B00" w14:paraId="6D892787" w14:textId="77777777" w:rsidTr="00C61425">
        <w:trPr>
          <w:jc w:val="center"/>
        </w:trPr>
        <w:tc>
          <w:tcPr>
            <w:tcW w:w="6930" w:type="dxa"/>
          </w:tcPr>
          <w:p w14:paraId="3E0DC89B" w14:textId="77777777" w:rsidR="001D17FC" w:rsidRPr="006D7B00" w:rsidRDefault="00B44E21" w:rsidP="0000046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tag w:val="goog_rdk_2"/>
                <w:id w:val="-778792618"/>
              </w:sdtPr>
              <w:sdtEndPr/>
              <w:sdtContent/>
            </w:sdt>
            <w:r w:rsidR="001D17FC" w:rsidRPr="006D7B00">
              <w:rPr>
                <w:rFonts w:ascii="Times New Roman" w:hAnsi="Times New Roman" w:cs="Times New Roman"/>
                <w:sz w:val="20"/>
                <w:szCs w:val="20"/>
              </w:rPr>
              <w:t xml:space="preserve">IPN-CIIDIR Unidad Sinaloa </w:t>
            </w:r>
          </w:p>
        </w:tc>
        <w:tc>
          <w:tcPr>
            <w:tcW w:w="1008" w:type="dxa"/>
          </w:tcPr>
          <w:p w14:paraId="31D5AE36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D17FC" w:rsidRPr="006D7B00" w14:paraId="256C98F6" w14:textId="77777777" w:rsidTr="00C61425">
        <w:trPr>
          <w:jc w:val="center"/>
        </w:trPr>
        <w:tc>
          <w:tcPr>
            <w:tcW w:w="6930" w:type="dxa"/>
          </w:tcPr>
          <w:p w14:paraId="41BE650C" w14:textId="77777777" w:rsidR="001D17FC" w:rsidRPr="006D7B00" w:rsidRDefault="001D17FC" w:rsidP="0000046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ICSAS A.C. / </w:t>
            </w:r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Tortuguera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A.C. </w:t>
            </w:r>
          </w:p>
        </w:tc>
        <w:tc>
          <w:tcPr>
            <w:tcW w:w="1008" w:type="dxa"/>
          </w:tcPr>
          <w:p w14:paraId="403752B4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D17FC" w:rsidRPr="006D7B00" w14:paraId="0BC58A33" w14:textId="77777777" w:rsidTr="00C61425">
        <w:trPr>
          <w:jc w:val="center"/>
        </w:trPr>
        <w:tc>
          <w:tcPr>
            <w:tcW w:w="6930" w:type="dxa"/>
          </w:tcPr>
          <w:p w14:paraId="5234D97A" w14:textId="77777777" w:rsidR="001D17FC" w:rsidRPr="006D7B00" w:rsidRDefault="001D17FC" w:rsidP="0000046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Sociedad de Historia Natural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Niparaja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́ A.C.</w:t>
            </w:r>
          </w:p>
        </w:tc>
        <w:tc>
          <w:tcPr>
            <w:tcW w:w="1008" w:type="dxa"/>
          </w:tcPr>
          <w:p w14:paraId="5087FB6E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D17FC" w:rsidRPr="006D7B00" w14:paraId="5F368A34" w14:textId="77777777" w:rsidTr="00C61425">
        <w:trPr>
          <w:jc w:val="center"/>
        </w:trPr>
        <w:tc>
          <w:tcPr>
            <w:tcW w:w="6930" w:type="dxa"/>
          </w:tcPr>
          <w:p w14:paraId="345374D6" w14:textId="77777777" w:rsidR="001D17FC" w:rsidRPr="006D7B00" w:rsidRDefault="001D17FC" w:rsidP="0000046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Sociedad de Pescadores El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Brinco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S.C.</w:t>
            </w:r>
          </w:p>
        </w:tc>
        <w:tc>
          <w:tcPr>
            <w:tcW w:w="1008" w:type="dxa"/>
          </w:tcPr>
          <w:p w14:paraId="00B5F2F6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17FC" w:rsidRPr="006D7B00" w14:paraId="48126799" w14:textId="77777777" w:rsidTr="00C61425">
        <w:trPr>
          <w:jc w:val="center"/>
        </w:trPr>
        <w:tc>
          <w:tcPr>
            <w:tcW w:w="6930" w:type="dxa"/>
          </w:tcPr>
          <w:p w14:paraId="4A60C7A1" w14:textId="77777777" w:rsidR="001D17FC" w:rsidRPr="006D7B00" w:rsidRDefault="001D17FC" w:rsidP="0000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Southwest Fisheries Science </w:t>
            </w:r>
            <w:r w:rsidRPr="006D7B00">
              <w:rPr>
                <w:rFonts w:ascii="Times New Roman" w:hAnsi="Times New Roman" w:cs="Times New Roman"/>
                <w:color w:val="19191E"/>
                <w:sz w:val="20"/>
                <w:szCs w:val="20"/>
              </w:rPr>
              <w:t xml:space="preserve">Center, </w:t>
            </w: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NOAA</w:t>
            </w:r>
          </w:p>
        </w:tc>
        <w:tc>
          <w:tcPr>
            <w:tcW w:w="1008" w:type="dxa"/>
          </w:tcPr>
          <w:p w14:paraId="7DD74F84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7FC" w:rsidRPr="006D7B00" w14:paraId="1077F23E" w14:textId="77777777" w:rsidTr="00C61425">
        <w:trPr>
          <w:jc w:val="center"/>
        </w:trPr>
        <w:tc>
          <w:tcPr>
            <w:tcW w:w="6930" w:type="dxa"/>
          </w:tcPr>
          <w:p w14:paraId="051D411C" w14:textId="77777777" w:rsidR="001D17FC" w:rsidRPr="006D7B00" w:rsidRDefault="001D17FC" w:rsidP="0000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Tortugueros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Comcáac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Desemboque</w:t>
            </w:r>
            <w:proofErr w:type="spellEnd"/>
          </w:p>
        </w:tc>
        <w:tc>
          <w:tcPr>
            <w:tcW w:w="1008" w:type="dxa"/>
          </w:tcPr>
          <w:p w14:paraId="4E57918F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17FC" w:rsidRPr="006D7B00" w14:paraId="2A1E2CA7" w14:textId="77777777" w:rsidTr="00C61425">
        <w:trPr>
          <w:jc w:val="center"/>
        </w:trPr>
        <w:tc>
          <w:tcPr>
            <w:tcW w:w="6930" w:type="dxa"/>
            <w:tcBorders>
              <w:bottom w:val="single" w:sz="4" w:space="0" w:color="auto"/>
            </w:tcBorders>
          </w:tcPr>
          <w:p w14:paraId="6494FF73" w14:textId="77777777" w:rsidR="001D17FC" w:rsidRPr="006D7B00" w:rsidRDefault="001D17FC" w:rsidP="0000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Tortugueros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Comcáac</w:t>
            </w:r>
            <w:proofErr w:type="spellEnd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Punta </w:t>
            </w:r>
            <w:proofErr w:type="spellStart"/>
            <w:r w:rsidRPr="006D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Chueca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318D131" w14:textId="77777777" w:rsidR="001D17FC" w:rsidRPr="006D7B00" w:rsidRDefault="001D17FC" w:rsidP="00C61425">
            <w:pPr>
              <w:tabs>
                <w:tab w:val="left" w:pos="206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D0C3413" w14:textId="77777777" w:rsidR="001D17FC" w:rsidRDefault="001D17FC" w:rsidP="00646495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2697D3CA" w14:textId="77777777" w:rsidR="0046197A" w:rsidRDefault="0046197A">
      <w:pP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  <w:r>
        <w:rPr>
          <w:smallCaps/>
        </w:rPr>
        <w:br w:type="page"/>
      </w:r>
    </w:p>
    <w:p w14:paraId="1D1C548C" w14:textId="18330AC3" w:rsidR="001D17FC" w:rsidRDefault="003A260F" w:rsidP="001D17FC">
      <w:pPr>
        <w:pStyle w:val="NormalWeb"/>
      </w:pPr>
      <w:r w:rsidRPr="003A260F">
        <w:rPr>
          <w:smallCaps/>
        </w:rPr>
        <w:lastRenderedPageBreak/>
        <w:t xml:space="preserve">Supplementary </w:t>
      </w:r>
      <w:r w:rsidR="00C44325">
        <w:rPr>
          <w:smallCaps/>
        </w:rPr>
        <w:t>T</w:t>
      </w:r>
      <w:r w:rsidRPr="003A260F">
        <w:rPr>
          <w:smallCaps/>
        </w:rPr>
        <w:t xml:space="preserve">able </w:t>
      </w:r>
      <w:r w:rsidR="001D17FC">
        <w:t>2</w:t>
      </w:r>
      <w:r w:rsidRPr="003A260F">
        <w:t xml:space="preserve"> </w:t>
      </w:r>
      <w:r w:rsidR="001D17FC" w:rsidRPr="001D17FC">
        <w:t>Ma</w:t>
      </w:r>
      <w:r w:rsidR="001D17FC">
        <w:t>rine</w:t>
      </w:r>
      <w:r w:rsidR="001D17FC" w:rsidRPr="001D17FC">
        <w:t xml:space="preserve"> habitats </w:t>
      </w:r>
      <w:r w:rsidR="00A9173F">
        <w:t>of</w:t>
      </w:r>
      <w:r w:rsidR="001D17FC" w:rsidRPr="001D17FC">
        <w:t xml:space="preserve"> the Gulf of California including information sources</w:t>
      </w:r>
      <w:r w:rsidR="001D17FC">
        <w:t xml:space="preserve">. 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2155"/>
        <w:gridCol w:w="8036"/>
      </w:tblGrid>
      <w:tr w:rsidR="001D17FC" w:rsidRPr="001D17FC" w14:paraId="04964E9E" w14:textId="77777777" w:rsidTr="001D17FC">
        <w:tc>
          <w:tcPr>
            <w:tcW w:w="2155" w:type="dxa"/>
          </w:tcPr>
          <w:p w14:paraId="0CC4928B" w14:textId="40472813" w:rsidR="001D17FC" w:rsidRPr="001D17FC" w:rsidRDefault="001D17FC" w:rsidP="0023233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>Habitat</w:t>
            </w:r>
          </w:p>
        </w:tc>
        <w:tc>
          <w:tcPr>
            <w:tcW w:w="8036" w:type="dxa"/>
          </w:tcPr>
          <w:p w14:paraId="6C369245" w14:textId="6F7F109B" w:rsidR="001D17FC" w:rsidRPr="001D17FC" w:rsidRDefault="001D17FC" w:rsidP="0023233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>Sources</w:t>
            </w:r>
          </w:p>
        </w:tc>
      </w:tr>
      <w:tr w:rsidR="001D17FC" w:rsidRPr="001D17FC" w14:paraId="784CDB3D" w14:textId="77777777" w:rsidTr="001D17FC">
        <w:tc>
          <w:tcPr>
            <w:tcW w:w="2155" w:type="dxa"/>
            <w:vMerge w:val="restart"/>
          </w:tcPr>
          <w:p w14:paraId="1552A618" w14:textId="00DF465A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 xml:space="preserve">Mangrove estuaries </w:t>
            </w:r>
          </w:p>
        </w:tc>
        <w:tc>
          <w:tcPr>
            <w:tcW w:w="8036" w:type="dxa"/>
          </w:tcPr>
          <w:p w14:paraId="1EBA9E05" w14:textId="4B6AC341" w:rsidR="001D17FC" w:rsidRPr="009B0516" w:rsidRDefault="001D17FC" w:rsidP="001D17F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9B0516">
              <w:rPr>
                <w:rStyle w:val="normaltextrun"/>
                <w:color w:val="000000" w:themeColor="text1"/>
                <w:sz w:val="20"/>
                <w:szCs w:val="20"/>
                <w:lang w:val="es-ES"/>
              </w:rPr>
              <w:t xml:space="preserve">CONABIO. (2016) </w:t>
            </w:r>
            <w:r w:rsidRPr="009B0516">
              <w:rPr>
                <w:rStyle w:val="normaltextrun"/>
                <w:i/>
                <w:iCs/>
                <w:color w:val="000000" w:themeColor="text1"/>
                <w:sz w:val="20"/>
                <w:szCs w:val="20"/>
                <w:lang w:val="es-ES"/>
              </w:rPr>
              <w:t>Distribución de los manglares de México en 2015, escala: 1:50000.</w:t>
            </w:r>
            <w:r w:rsidRPr="009B0516">
              <w:rPr>
                <w:rStyle w:val="normaltextrun"/>
                <w:color w:val="000000" w:themeColor="text1"/>
                <w:sz w:val="20"/>
                <w:szCs w:val="20"/>
                <w:lang w:val="es-ES"/>
              </w:rPr>
              <w:t xml:space="preserve"> 1ª. Edición. Comisión Nacional para el Conocimiento y Uso de la Biodiversidad. Sistema de Monitoreo de los Manglares de México (SMMM). Ciudad de México, México. </w:t>
            </w:r>
            <w:r w:rsidRPr="009B0516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D17FC" w:rsidRPr="001D17FC" w14:paraId="2C013757" w14:textId="77777777" w:rsidTr="001D17FC">
        <w:tc>
          <w:tcPr>
            <w:tcW w:w="2155" w:type="dxa"/>
            <w:vMerge/>
          </w:tcPr>
          <w:p w14:paraId="3783A08E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4FB348EB" w14:textId="41E797EC" w:rsidR="001D17FC" w:rsidRPr="0023233C" w:rsidRDefault="00B44E21" w:rsidP="001D17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es-MX"/>
              </w:rPr>
            </w:pPr>
            <w:hyperlink r:id="rId8" w:history="1">
              <w:r w:rsidR="00570988" w:rsidRPr="0023233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es-MX"/>
                </w:rPr>
                <w:t>http://www.biodiversidad.gob.mx/ecosistemas/manglares2013/manglares.html</w:t>
              </w:r>
            </w:hyperlink>
            <w:r w:rsidR="00570988" w:rsidRPr="00232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es-MX"/>
              </w:rPr>
              <w:t xml:space="preserve"> </w:t>
            </w:r>
            <w:r w:rsidR="001D17FC" w:rsidRPr="002323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es-MX"/>
              </w:rPr>
              <w:t> </w:t>
            </w:r>
          </w:p>
        </w:tc>
      </w:tr>
      <w:tr w:rsidR="001D17FC" w:rsidRPr="001D17FC" w14:paraId="03F3B497" w14:textId="77777777" w:rsidTr="001D17FC">
        <w:tc>
          <w:tcPr>
            <w:tcW w:w="2155" w:type="dxa"/>
            <w:vMerge/>
          </w:tcPr>
          <w:p w14:paraId="45B4C186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4270FF02" w14:textId="1CB70B27" w:rsidR="001D17FC" w:rsidRPr="0023233C" w:rsidRDefault="00B44E21" w:rsidP="001D17FC">
            <w:pPr>
              <w:rPr>
                <w:rStyle w:val="Hyperlink"/>
                <w:lang w:val="fr-FR"/>
              </w:rPr>
            </w:pPr>
            <w:hyperlink r:id="rId9" w:history="1">
              <w:r w:rsidR="001D17FC" w:rsidRPr="0023233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es-MX"/>
                </w:rPr>
                <w:t>http://www.biodiversidad.gob.mx/ecosistemas/manglares2013/pdf/InfGQ004.pdf</w:t>
              </w:r>
            </w:hyperlink>
            <w:r w:rsidR="00570988" w:rsidRPr="0023233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es-MX"/>
              </w:rPr>
              <w:t xml:space="preserve"> </w:t>
            </w:r>
            <w:r w:rsidR="001D17FC" w:rsidRPr="0023233C">
              <w:rPr>
                <w:rStyle w:val="Hyperlink"/>
                <w:lang w:val="fr-FR"/>
              </w:rPr>
              <w:t> </w:t>
            </w:r>
          </w:p>
        </w:tc>
      </w:tr>
      <w:tr w:rsidR="001D17FC" w:rsidRPr="001D17FC" w14:paraId="3274BAA9" w14:textId="77777777" w:rsidTr="001D17FC">
        <w:tc>
          <w:tcPr>
            <w:tcW w:w="2155" w:type="dxa"/>
            <w:vMerge w:val="restart"/>
          </w:tcPr>
          <w:p w14:paraId="3763B58F" w14:textId="28E08434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>Coral reefs</w:t>
            </w:r>
          </w:p>
        </w:tc>
        <w:tc>
          <w:tcPr>
            <w:tcW w:w="8036" w:type="dxa"/>
          </w:tcPr>
          <w:p w14:paraId="07390B57" w14:textId="0154CE5D" w:rsidR="001D17FC" w:rsidRPr="009B0516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Bezaury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-Creel</w:t>
            </w:r>
            <w:r w:rsidR="00613B46">
              <w:rPr>
                <w:color w:val="000000" w:themeColor="text1"/>
                <w:sz w:val="20"/>
                <w:szCs w:val="20"/>
                <w:lang w:eastAsia="es-MX"/>
              </w:rPr>
              <w:t>,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J.E</w:t>
            </w:r>
            <w:r w:rsidR="00724BD2" w:rsidRPr="009B0516">
              <w:rPr>
                <w:color w:val="000000" w:themeColor="text1"/>
                <w:sz w:val="20"/>
                <w:szCs w:val="20"/>
                <w:lang w:eastAsia="es-MX"/>
              </w:rPr>
              <w:t>.</w:t>
            </w:r>
            <w:r w:rsidR="00724BD2">
              <w:rPr>
                <w:color w:val="000000" w:themeColor="text1"/>
                <w:sz w:val="20"/>
                <w:szCs w:val="20"/>
                <w:lang w:eastAsia="es-MX"/>
              </w:rPr>
              <w:t xml:space="preserve"> &amp;</w:t>
            </w:r>
            <w:r w:rsidR="00724BD2"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Castro Campos, M. (2010) 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Base de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Datos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Geográfica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Rasgos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Costeros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, Islas y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Arrecifes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Mexicanos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de INEGI,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Versión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1.0.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 xml:space="preserve">Conjunto de Bases de </w:t>
            </w:r>
            <w:proofErr w:type="spellStart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>Datos</w:t>
            </w:r>
            <w:proofErr w:type="spellEnd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>Geográficas</w:t>
            </w:r>
            <w:proofErr w:type="spellEnd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>Zonificación</w:t>
            </w:r>
            <w:proofErr w:type="spellEnd"/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 xml:space="preserve"> Marina Mexicana.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Versión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 1.0. </w:t>
            </w:r>
            <w:r w:rsidR="001C05DA">
              <w:rPr>
                <w:color w:val="000000" w:themeColor="text1"/>
                <w:sz w:val="20"/>
                <w:szCs w:val="20"/>
              </w:rPr>
              <w:t xml:space="preserve">(eds </w:t>
            </w:r>
            <w:r w:rsidR="001C05DA" w:rsidRPr="009B0516">
              <w:rPr>
                <w:color w:val="000000" w:themeColor="text1"/>
                <w:sz w:val="20"/>
                <w:szCs w:val="20"/>
              </w:rPr>
              <w:t>J.E.</w:t>
            </w:r>
            <w:r w:rsidR="001C05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</w:rPr>
              <w:t>Bezaury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</w:rPr>
              <w:t xml:space="preserve">-Creel </w:t>
            </w:r>
            <w:r w:rsidR="001C05DA">
              <w:rPr>
                <w:color w:val="000000" w:themeColor="text1"/>
                <w:sz w:val="20"/>
                <w:szCs w:val="20"/>
              </w:rPr>
              <w:t>&amp;</w:t>
            </w:r>
            <w:r w:rsidR="001C05DA"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05DA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9B0516">
              <w:rPr>
                <w:color w:val="000000" w:themeColor="text1"/>
                <w:sz w:val="20"/>
                <w:szCs w:val="20"/>
              </w:rPr>
              <w:t>J.F. Torres). The Nature Conservancy</w:t>
            </w:r>
            <w:r w:rsidR="00724BD2">
              <w:rPr>
                <w:color w:val="000000" w:themeColor="text1"/>
                <w:sz w:val="20"/>
                <w:szCs w:val="20"/>
              </w:rPr>
              <w:t xml:space="preserve">, Arlington, </w:t>
            </w:r>
            <w:r w:rsidR="001C05DA">
              <w:rPr>
                <w:color w:val="000000" w:themeColor="text1"/>
                <w:sz w:val="20"/>
                <w:szCs w:val="20"/>
              </w:rPr>
              <w:t>USA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1D17FC" w:rsidRPr="001D17FC" w14:paraId="6BD6E079" w14:textId="77777777" w:rsidTr="001D17FC">
        <w:tc>
          <w:tcPr>
            <w:tcW w:w="2155" w:type="dxa"/>
            <w:vMerge/>
          </w:tcPr>
          <w:p w14:paraId="782443B1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2245D3B1" w14:textId="467F6281" w:rsidR="001D17FC" w:rsidRPr="002817E1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  <w:lang w:eastAsia="es-MX"/>
              </w:rPr>
            </w:pPr>
            <w:proofErr w:type="spellStart"/>
            <w:r w:rsidRPr="00C61425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ReefBase</w:t>
            </w:r>
            <w:proofErr w:type="spellEnd"/>
            <w:r w:rsidRPr="00C61425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: A Global Information System for Coral Reefs</w:t>
            </w:r>
            <w:r w:rsidRPr="00C61425">
              <w:rPr>
                <w:color w:val="000000" w:themeColor="text1"/>
                <w:sz w:val="20"/>
                <w:szCs w:val="20"/>
                <w:lang w:eastAsia="es-MX"/>
              </w:rPr>
              <w:t xml:space="preserve">. December 2016. </w:t>
            </w:r>
            <w:hyperlink r:id="rId10" w:tgtFrame="_blank" w:history="1">
              <w:r w:rsidRPr="00C61425">
                <w:rPr>
                  <w:rStyle w:val="Hyperlink"/>
                  <w:sz w:val="20"/>
                  <w:szCs w:val="20"/>
                  <w:lang w:val="fr-FR"/>
                </w:rPr>
                <w:t>http://www.reefbase.org</w:t>
              </w:r>
            </w:hyperlink>
            <w:r w:rsidR="00D22F03" w:rsidRPr="002817E1">
              <w:rPr>
                <w:color w:val="000000" w:themeColor="text1"/>
                <w:sz w:val="20"/>
                <w:szCs w:val="20"/>
                <w:highlight w:val="cyan"/>
                <w:lang w:eastAsia="es-MX"/>
              </w:rPr>
              <w:t xml:space="preserve"> </w:t>
            </w:r>
          </w:p>
        </w:tc>
      </w:tr>
      <w:tr w:rsidR="001D17FC" w:rsidRPr="001D17FC" w14:paraId="4828864E" w14:textId="77777777" w:rsidTr="001D17FC">
        <w:tc>
          <w:tcPr>
            <w:tcW w:w="2155" w:type="dxa"/>
            <w:vMerge/>
          </w:tcPr>
          <w:p w14:paraId="71F93F56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01FFA9FA" w14:textId="3F1DEDFB" w:rsidR="001D17FC" w:rsidRPr="009B0516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Burke, L.,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Reytar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, K., Spalding</w:t>
            </w:r>
            <w:r w:rsidR="0081309D">
              <w:rPr>
                <w:color w:val="000000" w:themeColor="text1"/>
                <w:sz w:val="20"/>
                <w:szCs w:val="20"/>
                <w:lang w:eastAsia="es-MX"/>
              </w:rPr>
              <w:t>,</w:t>
            </w:r>
            <w:r w:rsidR="0081309D"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M.</w:t>
            </w:r>
            <w:r w:rsidR="0081309D">
              <w:rPr>
                <w:color w:val="000000" w:themeColor="text1"/>
                <w:sz w:val="20"/>
                <w:szCs w:val="20"/>
                <w:lang w:eastAsia="es-MX"/>
              </w:rPr>
              <w:t xml:space="preserve"> &amp;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Perry, A. (2016) 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Reefs at Risk Revisited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. World Resources Institute. </w:t>
            </w:r>
            <w:hyperlink r:id="rId11" w:history="1">
              <w:r w:rsidR="0081309D" w:rsidRPr="00BB6B2E">
                <w:rPr>
                  <w:rStyle w:val="Hyperlink"/>
                  <w:sz w:val="20"/>
                  <w:szCs w:val="20"/>
                  <w:lang w:eastAsia="es-MX"/>
                </w:rPr>
                <w:t>https://www.wri.org/research/reefs-risk-revisited</w:t>
              </w:r>
            </w:hyperlink>
            <w:r w:rsidR="0081309D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D17FC" w:rsidRPr="001D17FC" w14:paraId="7B25BC23" w14:textId="77777777" w:rsidTr="001D17FC">
        <w:tc>
          <w:tcPr>
            <w:tcW w:w="2155" w:type="dxa"/>
            <w:vMerge/>
          </w:tcPr>
          <w:p w14:paraId="4A0418F9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1A3EED63" w14:textId="575771D7" w:rsidR="001D17FC" w:rsidRPr="009B0516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  <w:lang w:eastAsia="es-MX"/>
              </w:rPr>
            </w:pP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Reyes-Bonilla, H. (2003) Coral reefs of the pacific coast of Mexico. In: 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Latin American 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C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oral 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R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eefs 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 xml:space="preserve">(ed. </w:t>
            </w:r>
            <w:r w:rsidR="00760B7E" w:rsidRPr="009B0516">
              <w:rPr>
                <w:color w:val="000000" w:themeColor="text1"/>
                <w:sz w:val="20"/>
                <w:szCs w:val="20"/>
                <w:lang w:eastAsia="es-MX"/>
              </w:rPr>
              <w:t>J. Cortes)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 xml:space="preserve">, pp.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331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>–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349. 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 xml:space="preserve">Elsevier,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Amsterdam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>, The Netherlands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.</w:t>
            </w:r>
          </w:p>
        </w:tc>
      </w:tr>
      <w:tr w:rsidR="001D17FC" w:rsidRPr="001D17FC" w14:paraId="47A78C57" w14:textId="77777777" w:rsidTr="001D17FC">
        <w:tc>
          <w:tcPr>
            <w:tcW w:w="2155" w:type="dxa"/>
            <w:vMerge/>
          </w:tcPr>
          <w:p w14:paraId="7F530729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2F46BC03" w14:textId="08BEED52" w:rsidR="001D17FC" w:rsidRPr="009B0516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  <w:lang w:eastAsia="es-MX"/>
              </w:rPr>
            </w:pPr>
            <w:r w:rsidRPr="009B0516">
              <w:rPr>
                <w:color w:val="000000" w:themeColor="text1"/>
                <w:sz w:val="20"/>
                <w:szCs w:val="20"/>
                <w:lang w:val="es-ES" w:eastAsia="es-MX"/>
              </w:rPr>
              <w:t>Reyes-Bonilla, H</w:t>
            </w:r>
            <w:r w:rsidR="00760B7E" w:rsidRPr="009B0516">
              <w:rPr>
                <w:color w:val="000000" w:themeColor="text1"/>
                <w:sz w:val="20"/>
                <w:szCs w:val="20"/>
                <w:lang w:val="es-ES" w:eastAsia="es-MX"/>
              </w:rPr>
              <w:t>.</w:t>
            </w:r>
            <w:r w:rsidR="00760B7E">
              <w:rPr>
                <w:color w:val="000000" w:themeColor="text1"/>
                <w:sz w:val="20"/>
                <w:szCs w:val="20"/>
                <w:lang w:val="es-ES" w:eastAsia="es-MX"/>
              </w:rPr>
              <w:t xml:space="preserve"> &amp;</w:t>
            </w:r>
            <w:r w:rsidR="00760B7E" w:rsidRPr="009B0516">
              <w:rPr>
                <w:color w:val="000000" w:themeColor="text1"/>
                <w:sz w:val="20"/>
                <w:szCs w:val="20"/>
                <w:lang w:val="es-ES" w:eastAsia="es-MX"/>
              </w:rPr>
              <w:t xml:space="preserve"> </w:t>
            </w:r>
            <w:proofErr w:type="spellStart"/>
            <w:r w:rsidRPr="009B0516">
              <w:rPr>
                <w:color w:val="000000" w:themeColor="text1"/>
                <w:sz w:val="20"/>
                <w:szCs w:val="20"/>
                <w:lang w:val="es-ES" w:eastAsia="es-MX"/>
              </w:rPr>
              <w:t>Lopez</w:t>
            </w:r>
            <w:proofErr w:type="spellEnd"/>
            <w:r w:rsidRPr="009B0516">
              <w:rPr>
                <w:color w:val="000000" w:themeColor="text1"/>
                <w:sz w:val="20"/>
                <w:szCs w:val="20"/>
                <w:lang w:val="es-ES" w:eastAsia="es-MX"/>
              </w:rPr>
              <w:t xml:space="preserve">-Perez A. (2009)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Corals and coral-reef communities in the Gulf of California. In: 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Atlas of 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C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oastal 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E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cosystems in the 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W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>estern Gulf of California</w:t>
            </w:r>
            <w:r w:rsidR="00760B7E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>(eds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="00111ECC" w:rsidRPr="0023233C">
              <w:rPr>
                <w:color w:val="000000" w:themeColor="text1"/>
                <w:sz w:val="20"/>
                <w:szCs w:val="20"/>
                <w:lang w:eastAsia="es-MX"/>
              </w:rPr>
              <w:t>M.</w:t>
            </w:r>
            <w:r w:rsidR="00760B7E" w:rsidRPr="009B0516">
              <w:rPr>
                <w:color w:val="000000" w:themeColor="text1"/>
                <w:sz w:val="20"/>
                <w:szCs w:val="20"/>
                <w:lang w:eastAsia="es-MX"/>
              </w:rPr>
              <w:t>E. Johnson</w:t>
            </w:r>
            <w:r w:rsidR="00760B7E">
              <w:rPr>
                <w:color w:val="000000" w:themeColor="text1"/>
                <w:sz w:val="20"/>
                <w:szCs w:val="20"/>
                <w:lang w:eastAsia="es-MX"/>
              </w:rPr>
              <w:t xml:space="preserve"> &amp;</w:t>
            </w:r>
            <w:r w:rsidR="00760B7E"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J. Ledesma-Vazquez</w:t>
            </w:r>
            <w:r w:rsidR="00111ECC">
              <w:rPr>
                <w:color w:val="000000" w:themeColor="text1"/>
                <w:sz w:val="20"/>
                <w:szCs w:val="20"/>
                <w:lang w:eastAsia="es-MX"/>
              </w:rPr>
              <w:t>), pp.</w:t>
            </w:r>
            <w:r w:rsidR="00760B7E" w:rsidRPr="009B0516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45</w:t>
            </w:r>
            <w:r w:rsidR="00111ECC">
              <w:rPr>
                <w:color w:val="000000" w:themeColor="text1"/>
                <w:sz w:val="20"/>
                <w:szCs w:val="20"/>
                <w:lang w:eastAsia="es-MX"/>
              </w:rPr>
              <w:t>–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57 pp.  The University of Arizona Press</w:t>
            </w:r>
            <w:r w:rsidR="00111ECC">
              <w:rPr>
                <w:color w:val="000000" w:themeColor="text1"/>
                <w:sz w:val="20"/>
                <w:szCs w:val="20"/>
                <w:lang w:eastAsia="es-MX"/>
              </w:rPr>
              <w:t xml:space="preserve">, </w:t>
            </w:r>
            <w:r w:rsidR="00111ECC" w:rsidRPr="009B0516">
              <w:rPr>
                <w:color w:val="000000" w:themeColor="text1"/>
                <w:sz w:val="20"/>
                <w:szCs w:val="20"/>
                <w:lang w:eastAsia="es-MX"/>
              </w:rPr>
              <w:t>Tucson</w:t>
            </w:r>
            <w:r w:rsidR="00111ECC">
              <w:rPr>
                <w:color w:val="000000" w:themeColor="text1"/>
                <w:sz w:val="20"/>
                <w:szCs w:val="20"/>
                <w:lang w:eastAsia="es-MX"/>
              </w:rPr>
              <w:t>, USA</w:t>
            </w:r>
            <w:r w:rsidRPr="009B0516">
              <w:rPr>
                <w:color w:val="000000" w:themeColor="text1"/>
                <w:sz w:val="20"/>
                <w:szCs w:val="20"/>
                <w:lang w:eastAsia="es-MX"/>
              </w:rPr>
              <w:t>.</w:t>
            </w:r>
          </w:p>
        </w:tc>
      </w:tr>
      <w:tr w:rsidR="001D17FC" w:rsidRPr="001D17FC" w14:paraId="0B261AA7" w14:textId="77777777" w:rsidTr="001D17FC">
        <w:tc>
          <w:tcPr>
            <w:tcW w:w="2155" w:type="dxa"/>
            <w:vMerge w:val="restart"/>
          </w:tcPr>
          <w:p w14:paraId="3EF6D410" w14:textId="36920CDA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>Rocky reefs</w:t>
            </w:r>
          </w:p>
        </w:tc>
        <w:tc>
          <w:tcPr>
            <w:tcW w:w="8036" w:type="dxa"/>
          </w:tcPr>
          <w:p w14:paraId="1E324FA4" w14:textId="04AFE4F3" w:rsidR="001D17FC" w:rsidRPr="009B0516" w:rsidRDefault="001D17FC" w:rsidP="001D17FC">
            <w:pPr>
              <w:pStyle w:val="NormalWeb"/>
              <w:rPr>
                <w:color w:val="000000" w:themeColor="text1"/>
                <w:sz w:val="20"/>
                <w:szCs w:val="20"/>
                <w:lang w:val="es-ES" w:eastAsia="es-MX"/>
              </w:rPr>
            </w:pPr>
            <w:r w:rsidRPr="009B0516">
              <w:rPr>
                <w:color w:val="000000" w:themeColor="text1"/>
                <w:sz w:val="20"/>
                <w:szCs w:val="20"/>
              </w:rPr>
              <w:t>Spalding, M.D., Brumbaugh, R.D</w:t>
            </w:r>
            <w:r w:rsidR="00613B46" w:rsidRPr="009B0516">
              <w:rPr>
                <w:color w:val="000000" w:themeColor="text1"/>
                <w:sz w:val="20"/>
                <w:szCs w:val="20"/>
              </w:rPr>
              <w:t>.</w:t>
            </w:r>
            <w:r w:rsidR="00613B46">
              <w:rPr>
                <w:color w:val="000000" w:themeColor="text1"/>
                <w:sz w:val="20"/>
                <w:szCs w:val="20"/>
              </w:rPr>
              <w:t xml:space="preserve"> &amp;</w:t>
            </w:r>
            <w:r w:rsidR="00613B46"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Landis, E. (2016) </w:t>
            </w:r>
            <w:r w:rsidRPr="009B0516">
              <w:rPr>
                <w:i/>
                <w:iCs/>
                <w:color w:val="000000" w:themeColor="text1"/>
                <w:sz w:val="20"/>
                <w:szCs w:val="20"/>
              </w:rPr>
              <w:t>Atlas of Ocean Wealth</w:t>
            </w:r>
            <w:r w:rsidRPr="009B0516">
              <w:rPr>
                <w:color w:val="000000" w:themeColor="text1"/>
                <w:sz w:val="20"/>
                <w:szCs w:val="20"/>
              </w:rPr>
              <w:t>. The Nature Conservancy</w:t>
            </w:r>
            <w:r w:rsidR="00082A05">
              <w:rPr>
                <w:color w:val="000000" w:themeColor="text1"/>
                <w:sz w:val="20"/>
                <w:szCs w:val="20"/>
              </w:rPr>
              <w:t>,</w:t>
            </w:r>
            <w:r w:rsidR="00082A05" w:rsidRPr="009B05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Arlington, </w:t>
            </w:r>
            <w:r w:rsidR="00082A05">
              <w:rPr>
                <w:color w:val="000000" w:themeColor="text1"/>
                <w:sz w:val="20"/>
                <w:szCs w:val="20"/>
              </w:rPr>
              <w:t>USA</w:t>
            </w:r>
            <w:r w:rsidRPr="009B0516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1D17FC" w:rsidRPr="001D17FC" w14:paraId="01DB776F" w14:textId="77777777" w:rsidTr="001D17FC">
        <w:tc>
          <w:tcPr>
            <w:tcW w:w="2155" w:type="dxa"/>
            <w:vMerge/>
          </w:tcPr>
          <w:p w14:paraId="46F96B41" w14:textId="77777777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36" w:type="dxa"/>
          </w:tcPr>
          <w:p w14:paraId="699485BC" w14:textId="736E306C" w:rsidR="001D17FC" w:rsidRPr="009B0516" w:rsidRDefault="001D17FC" w:rsidP="001D17FC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Munguia-Vega, A., Torre, </w:t>
            </w:r>
            <w:r w:rsidR="00AA75FE"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J.</w:t>
            </w:r>
            <w:r w:rsidR="00AA75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Turk-Boyer,</w:t>
            </w:r>
            <w:r w:rsidR="00AA75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P., </w:t>
            </w:r>
            <w:proofErr w:type="spellStart"/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Marinone</w:t>
            </w:r>
            <w:proofErr w:type="spellEnd"/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="00FD3F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G., 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Lavin,</w:t>
            </w:r>
            <w:r w:rsidR="00FD3F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</w:t>
            </w:r>
            <w:r w:rsidR="00BD4316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Pfister, </w:t>
            </w:r>
            <w:r w:rsidR="00FD3F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T. et al. 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(2015) PANGAS: an interdisciplinary ecosystem-based research framework for small-scale fisheries in the Northern Gulf of California. </w:t>
            </w:r>
            <w:r w:rsidRPr="009B051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Journal of the Southwest</w:t>
            </w:r>
            <w:r w:rsidRPr="0023233C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BD43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57</w:t>
            </w:r>
            <w:r w:rsidR="00082A0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337</w:t>
            </w:r>
            <w:r w:rsidR="00082A05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9B0516">
              <w:rPr>
                <w:rFonts w:ascii="Times New Roman" w:hAnsi="Times New Roman" w:cs="Times New Roman"/>
                <w:color w:val="000000" w:themeColor="text1"/>
                <w:lang w:val="en-US"/>
              </w:rPr>
              <w:t>390.</w:t>
            </w:r>
          </w:p>
        </w:tc>
      </w:tr>
      <w:tr w:rsidR="001D17FC" w:rsidRPr="001D17FC" w14:paraId="2B971A45" w14:textId="77777777" w:rsidTr="001D17FC">
        <w:tc>
          <w:tcPr>
            <w:tcW w:w="2155" w:type="dxa"/>
          </w:tcPr>
          <w:p w14:paraId="5ED7DFCD" w14:textId="37DAB834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i/>
                <w:iCs/>
                <w:sz w:val="20"/>
                <w:szCs w:val="20"/>
              </w:rPr>
              <w:t>Sargassum</w:t>
            </w:r>
            <w:r w:rsidRPr="001D17FC">
              <w:rPr>
                <w:sz w:val="20"/>
                <w:szCs w:val="20"/>
              </w:rPr>
              <w:t xml:space="preserve"> beds</w:t>
            </w:r>
          </w:p>
        </w:tc>
        <w:tc>
          <w:tcPr>
            <w:tcW w:w="8036" w:type="dxa"/>
          </w:tcPr>
          <w:p w14:paraId="1AB1A1C1" w14:textId="65449E9C" w:rsidR="001D17FC" w:rsidRPr="009B0516" w:rsidRDefault="001D17FC" w:rsidP="001D1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Spalding, M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Brumbaugh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Landis, E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(2016) </w:t>
            </w:r>
            <w:r w:rsidRPr="009B051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Atlas of Ocean Wealth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The Nature Conservancy. Arlington, VA</w:t>
            </w:r>
            <w:r w:rsidRPr="009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D17FC" w:rsidRPr="001D17FC" w14:paraId="5D93FB47" w14:textId="77777777" w:rsidTr="001D17FC">
        <w:tc>
          <w:tcPr>
            <w:tcW w:w="2155" w:type="dxa"/>
          </w:tcPr>
          <w:p w14:paraId="19C4B718" w14:textId="397CE35C" w:rsidR="001D17FC" w:rsidRPr="001D17FC" w:rsidRDefault="001D17FC" w:rsidP="001D17FC">
            <w:pPr>
              <w:pStyle w:val="NormalWeb"/>
              <w:rPr>
                <w:sz w:val="20"/>
                <w:szCs w:val="20"/>
              </w:rPr>
            </w:pPr>
            <w:r w:rsidRPr="001D17FC">
              <w:rPr>
                <w:sz w:val="20"/>
                <w:szCs w:val="20"/>
              </w:rPr>
              <w:t>Seagrass beds</w:t>
            </w:r>
          </w:p>
        </w:tc>
        <w:tc>
          <w:tcPr>
            <w:tcW w:w="8036" w:type="dxa"/>
          </w:tcPr>
          <w:p w14:paraId="2AB0D97B" w14:textId="69F4DF03" w:rsidR="001D17FC" w:rsidRPr="009B0516" w:rsidRDefault="001D17FC" w:rsidP="001D1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 xml:space="preserve">Lopez-Calderon, J. M., </w:t>
            </w:r>
            <w:proofErr w:type="spellStart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>Riosmena</w:t>
            </w:r>
            <w:proofErr w:type="spellEnd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 xml:space="preserve">-Rodríguez, R., Torre, J., </w:t>
            </w:r>
            <w:proofErr w:type="spellStart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>Meling</w:t>
            </w:r>
            <w:proofErr w:type="spellEnd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>, A.</w:t>
            </w:r>
            <w:r w:rsidR="00082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 xml:space="preserve"> &amp; </w:t>
            </w:r>
            <w:proofErr w:type="spellStart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>Basurto</w:t>
            </w:r>
            <w:proofErr w:type="spellEnd"/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MX"/>
              </w:rPr>
              <w:t>, X. (</w:t>
            </w:r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MX"/>
              </w:rPr>
              <w:t xml:space="preserve">2016) Zostera marina meadows from the Gulf of California: conservation status. </w:t>
            </w:r>
            <w:r w:rsidRPr="009B05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s-MX"/>
              </w:rPr>
              <w:t>Biodiversity and Conservation,</w:t>
            </w:r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MX"/>
              </w:rPr>
              <w:t xml:space="preserve"> 25</w:t>
            </w:r>
            <w:r w:rsidR="005709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MX"/>
              </w:rPr>
              <w:t xml:space="preserve">, </w:t>
            </w:r>
            <w:r w:rsidRPr="009B05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MX"/>
              </w:rPr>
              <w:t>261–273</w:t>
            </w:r>
          </w:p>
        </w:tc>
      </w:tr>
    </w:tbl>
    <w:p w14:paraId="1A4EB9CE" w14:textId="5FD2CE0F" w:rsidR="003A260F" w:rsidRPr="001D17FC" w:rsidRDefault="003A260F" w:rsidP="003A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06EAA" w14:textId="26F90406" w:rsidR="001D17FC" w:rsidRDefault="001D17FC" w:rsidP="003A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9710D" w14:textId="721C668E" w:rsidR="001D17FC" w:rsidRPr="003A260F" w:rsidRDefault="001D17FC" w:rsidP="001D1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 w:rsidR="00C44325">
        <w:rPr>
          <w:rFonts w:ascii="Times New Roman" w:hAnsi="Times New Roman" w:cs="Times New Roman"/>
          <w:smallCaps/>
          <w:sz w:val="24"/>
          <w:szCs w:val="24"/>
        </w:rPr>
        <w:t>T</w:t>
      </w: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260F">
        <w:rPr>
          <w:rFonts w:ascii="Times New Roman" w:hAnsi="Times New Roman" w:cs="Times New Roman"/>
          <w:sz w:val="24"/>
          <w:szCs w:val="24"/>
        </w:rPr>
        <w:t xml:space="preserve"> Summary of the factors and the scores used to develop the conservation </w:t>
      </w:r>
      <w:r>
        <w:rPr>
          <w:rFonts w:ascii="Times New Roman" w:hAnsi="Times New Roman" w:cs="Times New Roman"/>
          <w:sz w:val="24"/>
          <w:szCs w:val="24"/>
        </w:rPr>
        <w:t>index</w:t>
      </w:r>
      <w:r w:rsidRPr="003A260F">
        <w:rPr>
          <w:rFonts w:ascii="Times New Roman" w:hAnsi="Times New Roman" w:cs="Times New Roman"/>
          <w:sz w:val="24"/>
          <w:szCs w:val="24"/>
        </w:rPr>
        <w:t xml:space="preserve"> for hawksbill </w:t>
      </w:r>
      <w:r w:rsidR="00E3021D">
        <w:rPr>
          <w:rFonts w:ascii="Times New Roman" w:hAnsi="Times New Roman" w:cs="Times New Roman"/>
          <w:sz w:val="24"/>
          <w:szCs w:val="24"/>
        </w:rPr>
        <w:t xml:space="preserve">sea turtle </w:t>
      </w:r>
      <w:r w:rsidRPr="003A260F">
        <w:rPr>
          <w:rFonts w:ascii="Times New Roman" w:hAnsi="Times New Roman" w:cs="Times New Roman"/>
          <w:sz w:val="24"/>
          <w:szCs w:val="24"/>
        </w:rPr>
        <w:t>sites in the north</w:t>
      </w:r>
      <w:r w:rsidR="00EC265F">
        <w:rPr>
          <w:rFonts w:ascii="Times New Roman" w:hAnsi="Times New Roman" w:cs="Times New Roman"/>
          <w:sz w:val="24"/>
          <w:szCs w:val="24"/>
        </w:rPr>
        <w:t>-</w:t>
      </w:r>
      <w:r w:rsidRPr="003A260F">
        <w:rPr>
          <w:rFonts w:ascii="Times New Roman" w:hAnsi="Times New Roman" w:cs="Times New Roman"/>
          <w:sz w:val="24"/>
          <w:szCs w:val="24"/>
        </w:rPr>
        <w:t>west Pacific of Mexico.</w:t>
      </w:r>
    </w:p>
    <w:p w14:paraId="3A1C2628" w14:textId="77777777" w:rsidR="001D17FC" w:rsidRPr="003A260F" w:rsidRDefault="001D17FC" w:rsidP="003A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ADEFD" w14:textId="77777777" w:rsidR="003A260F" w:rsidRPr="003A260F" w:rsidRDefault="003A260F" w:rsidP="003A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67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600"/>
        <w:gridCol w:w="799"/>
      </w:tblGrid>
      <w:tr w:rsidR="003A260F" w:rsidRPr="003A260F" w14:paraId="600C0F9C" w14:textId="77777777" w:rsidTr="0023233C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000000"/>
            </w:tcBorders>
          </w:tcPr>
          <w:p w14:paraId="428970DE" w14:textId="77777777" w:rsidR="003A260F" w:rsidRPr="003A260F" w:rsidRDefault="003A260F" w:rsidP="0023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/>
            </w:tcBorders>
          </w:tcPr>
          <w:p w14:paraId="2DBBD023" w14:textId="77777777" w:rsidR="003A260F" w:rsidRPr="003A260F" w:rsidRDefault="003A260F" w:rsidP="0023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000000"/>
            </w:tcBorders>
          </w:tcPr>
          <w:p w14:paraId="192CA03D" w14:textId="77777777" w:rsidR="003A260F" w:rsidRPr="003A260F" w:rsidRDefault="003A260F" w:rsidP="0023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3A260F" w:rsidRPr="003A260F" w14:paraId="3A999972" w14:textId="77777777" w:rsidTr="008D4FD2">
        <w:trPr>
          <w:jc w:val="center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49BFD081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5EAEAFDD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Mainland coast</w:t>
            </w:r>
          </w:p>
          <w:p w14:paraId="6E9DAAAB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Peninsula coast</w:t>
            </w:r>
          </w:p>
          <w:p w14:paraId="31A945DA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Island 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45E98D0B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2BD4B876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  <w:p w14:paraId="1AB55C10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</w:tr>
      <w:tr w:rsidR="003A260F" w:rsidRPr="003A260F" w14:paraId="3E0656F3" w14:textId="77777777" w:rsidTr="008D4FD2">
        <w:trPr>
          <w:jc w:val="center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31A076C4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Protection status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73F91A90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No protection</w:t>
            </w:r>
          </w:p>
          <w:p w14:paraId="367CEC97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Federal marine protected area </w:t>
            </w:r>
          </w:p>
          <w:p w14:paraId="718D3472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No-take marine protected area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5121E037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14:paraId="1BA37FEA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  <w:p w14:paraId="6A6EF6FE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</w:tr>
      <w:tr w:rsidR="003A260F" w:rsidRPr="003A260F" w14:paraId="1A2541AA" w14:textId="77777777" w:rsidTr="008D4FD2">
        <w:trPr>
          <w:jc w:val="center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1442789A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Local engagement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55197AFE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4D905450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34FF6C70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14:paraId="45EFC354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</w:tr>
      <w:tr w:rsidR="003A260F" w:rsidRPr="003A260F" w14:paraId="407563A4" w14:textId="77777777" w:rsidTr="008D4FD2">
        <w:trPr>
          <w:jc w:val="center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254C990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Fishing pressure 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29C552A2" w14:textId="34B4EFB9" w:rsidR="003A260F" w:rsidRPr="00C61425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265F" w:rsidRPr="00C614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10 boats/500 km</w:t>
            </w:r>
            <w:r w:rsidRPr="00C614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1FFE8F8" w14:textId="3B1D99AE" w:rsidR="003A260F" w:rsidRPr="00C61425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7E1" w:rsidRPr="00C6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65F" w:rsidRPr="00C614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20 boats/500 km</w:t>
            </w:r>
            <w:r w:rsidRPr="00C614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1993CF3" w14:textId="27FAFC45" w:rsidR="003A260F" w:rsidRPr="00C61425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7E1" w:rsidRPr="00C6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65F" w:rsidRPr="00C614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40 boats/500 km</w:t>
            </w:r>
            <w:r w:rsidRPr="00C614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EC3FB5D" w14:textId="16B86EE3" w:rsidR="003A260F" w:rsidRPr="00C61425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7E1" w:rsidRPr="00C6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65F" w:rsidRPr="00C614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1425">
              <w:rPr>
                <w:rFonts w:ascii="Times New Roman" w:hAnsi="Times New Roman" w:cs="Times New Roman"/>
                <w:sz w:val="20"/>
                <w:szCs w:val="20"/>
              </w:rPr>
              <w:t>60 boats/500 km</w:t>
            </w:r>
            <w:r w:rsidRPr="00C614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0F8EE466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-1</w:t>
            </w:r>
          </w:p>
          <w:p w14:paraId="77DCC6B6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-2</w:t>
            </w:r>
          </w:p>
          <w:p w14:paraId="6BC03404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-3</w:t>
            </w:r>
          </w:p>
          <w:p w14:paraId="4798800E" w14:textId="77777777" w:rsidR="003A260F" w:rsidRPr="003A260F" w:rsidRDefault="003A260F" w:rsidP="003A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sz w:val="20"/>
                <w:szCs w:val="20"/>
              </w:rPr>
              <w:t xml:space="preserve">   -4</w:t>
            </w:r>
          </w:p>
        </w:tc>
      </w:tr>
    </w:tbl>
    <w:p w14:paraId="1FB8BA29" w14:textId="77777777" w:rsidR="003A260F" w:rsidRDefault="003A260F" w:rsidP="00646495">
      <w:pPr>
        <w:spacing w:line="240" w:lineRule="auto"/>
        <w:rPr>
          <w:rFonts w:ascii="Arial" w:hAnsi="Arial" w:cs="Arial"/>
          <w:sz w:val="28"/>
          <w:szCs w:val="28"/>
        </w:rPr>
        <w:sectPr w:rsidR="003A260F" w:rsidSect="003A260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660D301" w14:textId="32A8E523" w:rsidR="003A260F" w:rsidRPr="003A260F" w:rsidRDefault="003A260F" w:rsidP="003A260F">
      <w:pPr>
        <w:tabs>
          <w:tab w:val="left" w:pos="25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Supplementary </w:t>
      </w:r>
      <w:r w:rsidR="00C44325">
        <w:rPr>
          <w:rFonts w:ascii="Times New Roman" w:hAnsi="Times New Roman" w:cs="Times New Roman"/>
          <w:smallCaps/>
          <w:sz w:val="24"/>
          <w:szCs w:val="24"/>
        </w:rPr>
        <w:t>T</w:t>
      </w: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able </w:t>
      </w:r>
      <w:r w:rsidR="00AC62A9">
        <w:rPr>
          <w:rFonts w:ascii="Times New Roman" w:hAnsi="Times New Roman" w:cs="Times New Roman"/>
          <w:sz w:val="24"/>
          <w:szCs w:val="24"/>
        </w:rPr>
        <w:t>4</w:t>
      </w:r>
      <w:r w:rsidRPr="003A260F">
        <w:rPr>
          <w:rFonts w:ascii="Times New Roman" w:hAnsi="Times New Roman" w:cs="Times New Roman"/>
          <w:sz w:val="24"/>
          <w:szCs w:val="24"/>
        </w:rPr>
        <w:t xml:space="preserve"> Summary of hawksbill </w:t>
      </w:r>
      <w:r w:rsidR="00E3021D">
        <w:rPr>
          <w:rFonts w:ascii="Times New Roman" w:hAnsi="Times New Roman" w:cs="Times New Roman"/>
          <w:sz w:val="24"/>
          <w:szCs w:val="24"/>
        </w:rPr>
        <w:t xml:space="preserve">sea turtle </w:t>
      </w:r>
      <w:r w:rsidRPr="003A260F">
        <w:rPr>
          <w:rFonts w:ascii="Times New Roman" w:hAnsi="Times New Roman" w:cs="Times New Roman"/>
          <w:sz w:val="24"/>
          <w:szCs w:val="24"/>
        </w:rPr>
        <w:t xml:space="preserve">captures and recaptures, including </w:t>
      </w:r>
      <w:r w:rsidR="00082A05">
        <w:rPr>
          <w:rFonts w:ascii="Times New Roman" w:hAnsi="Times New Roman" w:cs="Times New Roman"/>
          <w:sz w:val="24"/>
          <w:szCs w:val="24"/>
        </w:rPr>
        <w:t xml:space="preserve">curved </w:t>
      </w:r>
      <w:r w:rsidRPr="003A260F">
        <w:rPr>
          <w:rFonts w:ascii="Times New Roman" w:hAnsi="Times New Roman" w:cs="Times New Roman"/>
          <w:sz w:val="24"/>
          <w:szCs w:val="24"/>
        </w:rPr>
        <w:t>carapace length range and mean, in the north</w:t>
      </w:r>
      <w:r w:rsidR="00EC265F">
        <w:rPr>
          <w:rFonts w:ascii="Times New Roman" w:hAnsi="Times New Roman" w:cs="Times New Roman"/>
          <w:sz w:val="24"/>
          <w:szCs w:val="24"/>
        </w:rPr>
        <w:t>-</w:t>
      </w:r>
      <w:r w:rsidRPr="003A260F">
        <w:rPr>
          <w:rFonts w:ascii="Times New Roman" w:hAnsi="Times New Roman" w:cs="Times New Roman"/>
          <w:sz w:val="24"/>
          <w:szCs w:val="24"/>
        </w:rPr>
        <w:t>west Pacific of Mexico.</w:t>
      </w:r>
    </w:p>
    <w:tbl>
      <w:tblPr>
        <w:tblStyle w:val="2"/>
        <w:tblW w:w="13140" w:type="dxa"/>
        <w:tblLayout w:type="fixed"/>
        <w:tblLook w:val="0400" w:firstRow="0" w:lastRow="0" w:firstColumn="0" w:lastColumn="0" w:noHBand="0" w:noVBand="1"/>
      </w:tblPr>
      <w:tblGrid>
        <w:gridCol w:w="1530"/>
        <w:gridCol w:w="540"/>
        <w:gridCol w:w="4950"/>
        <w:gridCol w:w="1980"/>
        <w:gridCol w:w="2070"/>
        <w:gridCol w:w="2070"/>
      </w:tblGrid>
      <w:tr w:rsidR="003A260F" w:rsidRPr="003A260F" w14:paraId="3F4B7375" w14:textId="77777777" w:rsidTr="0023233C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8BC4B9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06D4AF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1A1191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20D945" w14:textId="146B2CC9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Captured/</w:t>
            </w:r>
            <w:r w:rsidR="00EC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ecaptured individuals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3BEDA1" w14:textId="6EA1CFEB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01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urved c</w:t>
            </w: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arapace length range (cm)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1810DB" w14:textId="50B24D5A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  <w:r w:rsidR="0001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curved</w:t>
            </w: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carapace length (cm)</w:t>
            </w:r>
          </w:p>
        </w:tc>
      </w:tr>
      <w:tr w:rsidR="003A260F" w:rsidRPr="003A260F" w14:paraId="4AB82CEC" w14:textId="77777777" w:rsidTr="003A260F">
        <w:trPr>
          <w:trHeight w:val="3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176F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Baja California Sur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824E58D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A871F1A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 de San Ignacio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C0E9D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FD8665A" w14:textId="4E034FCE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40.0−62.4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1BDB64D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</w:tr>
      <w:tr w:rsidR="003A260F" w:rsidRPr="003A260F" w14:paraId="587A01B5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4901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E1D7B1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C07DF05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López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Mateos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503AF7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96F2A64" w14:textId="1902AC02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36.8−43.3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38BA271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</w:tr>
      <w:tr w:rsidR="003A260F" w:rsidRPr="003A260F" w14:paraId="41C13B28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559E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1017893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07B61A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Bahía Magdalena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85D99E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9E738FE" w14:textId="4D052703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42.5−77.6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368259F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</w:tr>
      <w:tr w:rsidR="003A260F" w:rsidRPr="003A260F" w14:paraId="2B48F15F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47BF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B58388A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27DCAEB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Cabo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EDE697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5810119" w14:textId="46690B0D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35.5−59.2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71141A7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3A260F" w:rsidRPr="003A260F" w14:paraId="2D5E0844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99C3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F795EC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13F4E88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Cerralvo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4B4A26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0C731F2" w14:textId="46D9B994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01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64D3D34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3A260F" w:rsidRPr="003A260F" w14:paraId="57E84928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E3A3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E7C89E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AC34AC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Saltito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11837F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927D4B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0819914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</w:tr>
      <w:tr w:rsidR="003A260F" w:rsidRPr="003A260F" w14:paraId="6335B4A4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BFC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97A5DF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673A825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Archipiélago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Espíritu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E065DF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92/38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550CF37" w14:textId="108B6B2E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37.5−86.8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582A20B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</w:tr>
      <w:tr w:rsidR="003A260F" w:rsidRPr="003A260F" w14:paraId="04D6881E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DF35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F02AFBF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51D14C6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San José - Isla 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Pardito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7B2900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84B1FF3" w14:textId="1C4086B4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35.0−90.3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65157FD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</w:tr>
      <w:tr w:rsidR="003A260F" w:rsidRPr="003A260F" w14:paraId="0AD0FBE8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AA09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6F7EB8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0131567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San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Marcial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728B9DA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06ECB32" w14:textId="2AD8C43D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55.5–75.0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3575FF5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3A260F" w:rsidRPr="003A260F" w14:paraId="3A12AD76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AFAD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4CC42C3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B29EE2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Agua Verde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2A3558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F149E12" w14:textId="1EC0BA62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31.5–63.0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7500C85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</w:tr>
      <w:tr w:rsidR="003A260F" w:rsidRPr="003A260F" w14:paraId="6DAB8733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6B72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447DD9C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40DAAC7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 Montserrat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B5D469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469244E" w14:textId="38DA57A1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40.9−65.4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30A2B94D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</w:tr>
      <w:tr w:rsidR="003A260F" w:rsidRPr="003A260F" w14:paraId="6CC70CD9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B3A0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9EDE3F4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64EF7E2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Quemado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E8876D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443D280" w14:textId="31A9DC12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48.0−73.5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58EF3B6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</w:tr>
      <w:tr w:rsidR="003A260F" w:rsidRPr="003A260F" w14:paraId="1CA189EA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BA4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BAAF15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7F8F9AF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58F841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DCA63A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685EEC7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3A260F" w:rsidRPr="003A260F" w14:paraId="264CB1F5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87D5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64BEE91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A0BF1A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Escondido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741E69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636EED1" w14:textId="467008A3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61.9–68.0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24748CDD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</w:tr>
      <w:tr w:rsidR="003A260F" w:rsidRPr="003A260F" w14:paraId="2FC76F19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DC44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7361BDC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1D783C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 Carmen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3E6BC9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5DCA94C" w14:textId="7C35BB6D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45.6−61.3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4D5778F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</w:tr>
      <w:tr w:rsidR="003A260F" w:rsidRPr="003A260F" w14:paraId="22BD64D9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D8BE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570AF83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F0A2128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Coronados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2A7036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395FDB" w14:textId="0600BA9A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45.7–57.0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bottom"/>
          </w:tcPr>
          <w:p w14:paraId="601F103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</w:tr>
      <w:tr w:rsidR="003A260F" w:rsidRPr="003A260F" w14:paraId="5205420C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9705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F891E0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01304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Mulegé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A57E2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E4F1F7" w14:textId="4D78EB2C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34.0–49.0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3DC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3A260F" w:rsidRPr="003A260F" w14:paraId="52FD4638" w14:textId="77777777" w:rsidTr="003A260F">
        <w:trPr>
          <w:trHeight w:val="3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3A8E4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330733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A7F73B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Bahía de los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Ángeles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C48C1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403423" w14:textId="42DC5B8A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37.2−54.5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095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</w:tr>
      <w:tr w:rsidR="003A260F" w:rsidRPr="003A260F" w14:paraId="3E0605E8" w14:textId="77777777" w:rsidTr="003A260F">
        <w:trPr>
          <w:trHeight w:val="3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C1E9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Sonora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BCAF33D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3E26512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Estero 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Sargento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4C2B6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829A2F2" w14:textId="03B0BF3A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44.5–69.0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705D154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</w:tr>
      <w:tr w:rsidR="003A260F" w:rsidRPr="003A260F" w14:paraId="5310D681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6948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B5C940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9A76BB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Canal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Infiernillo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6DD2F7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E72C118" w14:textId="03E3E7E3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32.0–96.0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3669FE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</w:tr>
      <w:tr w:rsidR="003A260F" w:rsidRPr="003A260F" w14:paraId="1E8E1236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E330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B75777E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475C217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Choyudo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4A3B15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6D821CA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C95168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3A260F" w:rsidRPr="003A260F" w14:paraId="0F6E174B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5AF0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776814D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84B5830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Estero Santa Cruz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D8314E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8C50E3A" w14:textId="12C069DF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42.0−44.5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2ABF7EB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</w:tr>
      <w:tr w:rsidR="003A260F" w:rsidRPr="003A260F" w14:paraId="42DB3B26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4AAD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BD8BB1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A4CBA9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San Pedro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Mártir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25DB6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5DC892" w14:textId="73F1214A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37.5–46.0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4429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</w:tbl>
    <w:p w14:paraId="2D86D639" w14:textId="77777777" w:rsidR="0046197A" w:rsidRDefault="0046197A">
      <w:r>
        <w:br w:type="page"/>
      </w:r>
    </w:p>
    <w:tbl>
      <w:tblPr>
        <w:tblStyle w:val="2"/>
        <w:tblW w:w="13140" w:type="dxa"/>
        <w:tblLayout w:type="fixed"/>
        <w:tblLook w:val="0400" w:firstRow="0" w:lastRow="0" w:firstColumn="0" w:lastColumn="0" w:noHBand="0" w:noVBand="1"/>
      </w:tblPr>
      <w:tblGrid>
        <w:gridCol w:w="1530"/>
        <w:gridCol w:w="540"/>
        <w:gridCol w:w="4950"/>
        <w:gridCol w:w="1980"/>
        <w:gridCol w:w="2070"/>
        <w:gridCol w:w="2070"/>
      </w:tblGrid>
      <w:tr w:rsidR="003A260F" w:rsidRPr="003A260F" w14:paraId="418DC06F" w14:textId="77777777" w:rsidTr="0023233C">
        <w:trPr>
          <w:trHeight w:val="3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05A8" w14:textId="29A4ACD3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Sinaloa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0DAEA9B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966F76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Lagunar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Santa María-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Topolobampo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Ohuira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E2EF68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AB3678A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3F97E73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  <w:tr w:rsidR="003A260F" w:rsidRPr="003A260F" w14:paraId="56D59421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368A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36552A1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11FC620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Lagunar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 Ignacio-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Navachiste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Macapule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B00991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0FDA433" w14:textId="33745B88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34.1–78.0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D91361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</w:tr>
      <w:tr w:rsidR="003A260F" w:rsidRPr="003A260F" w14:paraId="35D618DE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AC86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107782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6996A73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Lagunar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Playa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Colorada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-Santa Maria-La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695A86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66A3D2D" w14:textId="178943A8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35.8–47.0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4B9C56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</w:tr>
      <w:tr w:rsidR="003A260F" w:rsidRPr="003A260F" w14:paraId="5C6CDC12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D570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FD0CE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9E4738C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Elefante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C31B13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967EEB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33E69C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</w:tr>
      <w:tr w:rsidR="003A260F" w:rsidRPr="003A260F" w14:paraId="577EFD20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8424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4313E9B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03B9EDF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Lagunar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Altata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-Ensenada 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Pabellón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A4A8D5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91CB1D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0CDEB97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3A260F" w:rsidRPr="003A260F" w14:paraId="1E542B72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931C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3574E2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D1E888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Lagunar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Céuta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D2688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FFA7BB" w14:textId="66BB183F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38.9−49.9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2715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3A260F" w:rsidRPr="003A260F" w14:paraId="0F5CCD7D" w14:textId="77777777" w:rsidTr="003A260F">
        <w:trPr>
          <w:trHeight w:val="3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7767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Nayarit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BD86CBA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8D01241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 Isabel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1593D0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787013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0146ACB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</w:tr>
      <w:tr w:rsidR="003A260F" w:rsidRPr="003A260F" w14:paraId="24449B80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E231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5495678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987019A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Cleofas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B5539C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F96500D" w14:textId="788CC9AC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38.7−63.2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3489C48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</w:tr>
      <w:tr w:rsidR="003A260F" w:rsidRPr="003A260F" w14:paraId="665EBD32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4308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92E7952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6F142E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Chacala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09FE14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092EA7D" w14:textId="44D57009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41.5–42.0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5F3A9B2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3A260F" w:rsidRPr="003A260F" w14:paraId="09A0912A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1070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DBC7A6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2B04923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Bahía de Jaltemba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FF2926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7E6D587" w14:textId="3A9794C4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37.6−63.2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5D9A75A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</w:tr>
      <w:tr w:rsidR="003A260F" w:rsidRPr="003A260F" w14:paraId="36C1BD89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B7A5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AB2869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39F42C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59266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2254BF" w14:textId="12C944AE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53.5−80.3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9E06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</w:tr>
      <w:tr w:rsidR="003A260F" w:rsidRPr="003A260F" w14:paraId="1B27D7FD" w14:textId="77777777" w:rsidTr="003A260F">
        <w:trPr>
          <w:trHeight w:val="3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F195" w14:textId="77777777" w:rsidR="003A260F" w:rsidRPr="003A260F" w:rsidRDefault="003A260F" w:rsidP="0023233C">
            <w:pPr>
              <w:tabs>
                <w:tab w:val="left" w:pos="11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Jalisco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090BF89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C10E5E0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Boca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Tomatlán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F4FAD0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EAC9EC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5F53566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</w:tr>
      <w:tr w:rsidR="003A260F" w:rsidRPr="003A260F" w14:paraId="464AAA23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BB75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5455A56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0A75F1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Piedra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Percebe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FF905D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F622AB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240DF3B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</w:tr>
      <w:tr w:rsidR="003A260F" w:rsidRPr="003A260F" w14:paraId="26604E0C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DC94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6B3E7C4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ECF2769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Mayto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C27E5D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1A995AA" w14:textId="4EB00E8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37.0–40.0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71DF80E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3A260F" w:rsidRPr="003A260F" w14:paraId="37D1E7CD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E438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5A62B96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2E2DAE7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Bajo de los muchachos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3F4BFB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F6B8342" w14:textId="167C321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39.0–49.0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A97422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</w:tr>
      <w:tr w:rsidR="003A260F" w:rsidRPr="003A260F" w14:paraId="7014F034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7333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46E2932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12F2972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Playa Corrales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955E2C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EEA3A3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AC76FB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</w:tr>
      <w:tr w:rsidR="003A260F" w:rsidRPr="003A260F" w14:paraId="0AD999F8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F459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C5DE51C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92B1082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Bahía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Tlalpichichi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424FA9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9ADF82D" w14:textId="7FCF63B0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35.0–47.0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216AC3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3A260F" w:rsidRPr="003A260F" w14:paraId="786C7F53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665B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30791CB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470DF5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Rocas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hotel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Mayto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934776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CD574C0" w14:textId="245DA850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38.0−59.5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3ECA46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</w:tr>
      <w:tr w:rsidR="003A260F" w:rsidRPr="003A260F" w14:paraId="3B89DCC5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86EA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00DB14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56A46B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Playa del amor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EEE7C7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E2A4BD4" w14:textId="28A1EE1B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39.0−45.5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7ABF95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3A260F" w:rsidRPr="003A260F" w14:paraId="6E3B235C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3AB3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BC3A34A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B5C4BE9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Barco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hundido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ED9179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969DB0F" w14:textId="77BC2580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37.0–43.0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D05AFE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</w:tr>
      <w:tr w:rsidR="003A260F" w:rsidRPr="003A260F" w14:paraId="205CB49F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81D2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02949CE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B0128B3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Bodega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Tehua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6830BB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C65E15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5B81DF3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</w:tr>
      <w:tr w:rsidR="003A260F" w:rsidRPr="003A260F" w14:paraId="5854D398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EC5D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93D72E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56D7D22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Piedra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4662ED6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F1F8508" w14:textId="4043BEE5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33.0–53.0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773F741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3A260F" w:rsidRPr="003A260F" w14:paraId="3EACCE60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4E34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932EE85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1F51EB0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Torrecillas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3A70C85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A982834" w14:textId="373C63BE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33.0–72.0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A4B1D3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</w:tr>
      <w:tr w:rsidR="003A260F" w:rsidRPr="003A260F" w14:paraId="13F4DDE2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1B56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C035947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784EAFC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Faro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Tehuamixtle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137987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CE1F689" w14:textId="68F50D74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37.0–45.0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3BBBAAA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</w:tr>
      <w:tr w:rsidR="003A260F" w:rsidRPr="003A260F" w14:paraId="2A12A707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DD93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A712C44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2BBFAB5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Hakuna Matata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08DA89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589F44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86D744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</w:tr>
      <w:tr w:rsidR="003A260F" w:rsidRPr="003A260F" w14:paraId="5B077A0C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8C37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575D732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4CD825C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Peñitas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B0F048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A2D6152" w14:textId="7B3D2CD5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33.5–75.0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19FB5C0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</w:tr>
      <w:tr w:rsidR="003A260F" w:rsidRPr="003A260F" w14:paraId="2780A003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0CF4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317CA61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2BBA7A1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Cocinas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41AB4C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F957E8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4524954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</w:tr>
      <w:tr w:rsidR="003A260F" w:rsidRPr="003A260F" w14:paraId="67B4556C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624B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0D28A7F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8180D44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Costa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Careyes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DC1CF7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40889C" w14:textId="62703830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41.0−84.4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bottom"/>
          </w:tcPr>
          <w:p w14:paraId="39C578B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  <w:tr w:rsidR="003A260F" w:rsidRPr="003A260F" w14:paraId="46829DC6" w14:textId="77777777" w:rsidTr="003A260F">
        <w:trPr>
          <w:trHeight w:val="32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0DBE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A1EF04" w14:textId="77777777" w:rsidR="003A260F" w:rsidRPr="003A260F" w:rsidRDefault="003A260F" w:rsidP="008D4F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5B40C0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CFC67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FE80D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2041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</w:tr>
    </w:tbl>
    <w:p w14:paraId="1BEB851B" w14:textId="77777777" w:rsidR="003A260F" w:rsidRPr="003A260F" w:rsidRDefault="003A260F" w:rsidP="003A260F">
      <w:pPr>
        <w:tabs>
          <w:tab w:val="left" w:pos="3445"/>
        </w:tabs>
        <w:rPr>
          <w:rFonts w:ascii="Times New Roman" w:hAnsi="Times New Roman" w:cs="Times New Roman"/>
          <w:sz w:val="24"/>
          <w:szCs w:val="24"/>
        </w:rPr>
        <w:sectPr w:rsidR="003A260F" w:rsidRPr="003A260F" w:rsidSect="0023233C">
          <w:pgSz w:w="15840" w:h="12240" w:orient="landscape"/>
          <w:pgMar w:top="1440" w:right="1440" w:bottom="1135" w:left="1440" w:header="720" w:footer="720" w:gutter="0"/>
          <w:cols w:space="720"/>
        </w:sectPr>
      </w:pPr>
    </w:p>
    <w:p w14:paraId="46A8F653" w14:textId="79D1BA10" w:rsidR="003A260F" w:rsidRDefault="003A260F" w:rsidP="003A260F">
      <w:pPr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Supplementary </w:t>
      </w:r>
      <w:r w:rsidR="00C44325">
        <w:rPr>
          <w:rFonts w:ascii="Times New Roman" w:hAnsi="Times New Roman" w:cs="Times New Roman"/>
          <w:smallCaps/>
          <w:sz w:val="24"/>
          <w:szCs w:val="24"/>
        </w:rPr>
        <w:t>T</w:t>
      </w: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able </w:t>
      </w:r>
      <w:r w:rsidR="00AC62A9">
        <w:rPr>
          <w:rFonts w:ascii="Times New Roman" w:hAnsi="Times New Roman" w:cs="Times New Roman"/>
          <w:sz w:val="24"/>
          <w:szCs w:val="24"/>
        </w:rPr>
        <w:t>5</w:t>
      </w:r>
      <w:r w:rsidRPr="003A260F">
        <w:rPr>
          <w:rFonts w:ascii="Times New Roman" w:hAnsi="Times New Roman" w:cs="Times New Roman"/>
          <w:sz w:val="24"/>
          <w:szCs w:val="24"/>
        </w:rPr>
        <w:t xml:space="preserve"> Summary of recaptured </w:t>
      </w:r>
      <w:r w:rsidR="00E3021D">
        <w:rPr>
          <w:rFonts w:ascii="Times New Roman" w:hAnsi="Times New Roman" w:cs="Times New Roman"/>
          <w:sz w:val="24"/>
          <w:szCs w:val="24"/>
        </w:rPr>
        <w:t xml:space="preserve">hawksbill sea turtle </w:t>
      </w:r>
      <w:r w:rsidRPr="003A260F">
        <w:rPr>
          <w:rFonts w:ascii="Times New Roman" w:hAnsi="Times New Roman" w:cs="Times New Roman"/>
          <w:sz w:val="24"/>
          <w:szCs w:val="24"/>
        </w:rPr>
        <w:t>individuals by location, including mean residency and growth rate.</w:t>
      </w:r>
    </w:p>
    <w:p w14:paraId="31295474" w14:textId="77777777" w:rsidR="003A260F" w:rsidRPr="003A260F" w:rsidRDefault="003A260F" w:rsidP="003A26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460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2760"/>
        <w:gridCol w:w="1170"/>
        <w:gridCol w:w="1530"/>
        <w:gridCol w:w="1440"/>
      </w:tblGrid>
      <w:tr w:rsidR="003A260F" w:rsidRPr="00B44E21" w14:paraId="7BDF81A7" w14:textId="77777777" w:rsidTr="007C4CB5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FE9F73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37DBAF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F3D1C4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Recaptured individuals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C33C85" w14:textId="2700C3B2" w:rsidR="003A260F" w:rsidRPr="00B44E21" w:rsidRDefault="003A260F" w:rsidP="007C4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residency (y</w:t>
            </w:r>
            <w:r w:rsidR="00AD2581"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ears</w:t>
            </w:r>
            <w:r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F59EF2" w14:textId="4571BDE7" w:rsidR="003A260F" w:rsidRPr="00B44E21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growth rate (cm/y</w:t>
            </w:r>
            <w:r w:rsidR="00AD2581"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  <w:r w:rsidRPr="00B4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260F" w:rsidRPr="003A260F" w14:paraId="35F56082" w14:textId="77777777" w:rsidTr="007C4CB5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7DD868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Baja California Sur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3E79F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Bahia Magdalena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9906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CBB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F9B4" w14:textId="77777777" w:rsidR="003A260F" w:rsidRPr="007C4CB5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C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3A260F" w:rsidRPr="003A260F" w14:paraId="0C641800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42735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0D6C5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Cabo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3E7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4976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D56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3A260F" w:rsidRPr="003A260F" w14:paraId="3D5A6B65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F97417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78A1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Archipiélago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Espíritu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A9329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C8C2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4CA0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3A260F" w:rsidRPr="003A260F" w14:paraId="5001DDF2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6D04A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1957A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Isla San José - Isla El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Pardito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0470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2C6D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30F62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3A260F" w:rsidRPr="003A260F" w14:paraId="2470A0D3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AC615B" w14:textId="77777777" w:rsidR="003A260F" w:rsidRPr="003A260F" w:rsidRDefault="003A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1FD518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Quemado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3EEF6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74368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5C1A7A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3A260F" w:rsidRPr="003A260F" w14:paraId="1932AA6E" w14:textId="77777777" w:rsidTr="007C4CB5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D684B7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Nayarit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AE0D97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Bahía de Jaltemba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4C1AA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A7F08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C36627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3A260F" w:rsidRPr="003A260F" w14:paraId="3F7B3BF5" w14:textId="77777777" w:rsidTr="007C4CB5">
        <w:trPr>
          <w:trHeight w:val="320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103A5" w14:textId="77777777" w:rsidR="003A260F" w:rsidRPr="003A260F" w:rsidRDefault="003A260F" w:rsidP="002323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Jalisco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5A7EF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Bahía de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Tlalpichichi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8513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1940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9E9C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3A260F" w:rsidRPr="003A260F" w14:paraId="4AB50894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B801B7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6AFE9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Barco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Hundido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3CC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4AFC3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7884E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3A260F" w:rsidRPr="003A260F" w14:paraId="69F39C86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16F381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85841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Mayto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E9EE4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4C3F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3E84D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3A260F" w:rsidRPr="003A260F" w14:paraId="6EBEC70D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8B69E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2A17E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Torrecillas</w:t>
            </w:r>
            <w:proofErr w:type="spellEnd"/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A2D4D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8A43C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173A8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3A260F" w:rsidRPr="003A260F" w14:paraId="72D5DC55" w14:textId="77777777" w:rsidTr="007C4CB5">
        <w:trPr>
          <w:trHeight w:val="320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E72174" w14:textId="77777777" w:rsidR="003A260F" w:rsidRPr="003A260F" w:rsidRDefault="003A260F" w:rsidP="008D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B2FFC" w14:textId="77777777" w:rsidR="003A260F" w:rsidRPr="003A260F" w:rsidRDefault="003A260F" w:rsidP="008D4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Hakuna Matata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6CD66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68F611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B4D82B" w14:textId="77777777" w:rsidR="003A260F" w:rsidRPr="003A260F" w:rsidRDefault="003A260F" w:rsidP="008D4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</w:tbl>
    <w:p w14:paraId="57D7EFFE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BDFAE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FE3C8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CAB98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CF360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74C288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DE360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4EBF2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6B96C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6BB62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167E06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D057F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EBA73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D4A36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65E75D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7CF86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27781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591A2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AF530" w14:textId="77777777" w:rsidR="007B1BB2" w:rsidRDefault="007B1BB2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02B54" w14:textId="5DE92C2C" w:rsidR="00F47BE6" w:rsidRPr="004662AE" w:rsidRDefault="007B1BB2" w:rsidP="00F47BE6">
      <w:pPr>
        <w:pStyle w:val="FigureCaption"/>
        <w:rPr>
          <w:sz w:val="24"/>
          <w:lang w:val="en-GB"/>
        </w:rPr>
      </w:pPr>
      <w:r>
        <w:rPr>
          <w:rStyle w:val="Label"/>
          <w:smallCaps/>
          <w:color w:val="auto"/>
          <w:sz w:val="24"/>
          <w:lang w:val="en-GB"/>
        </w:rPr>
        <w:lastRenderedPageBreak/>
        <w:t xml:space="preserve">Supplementary </w:t>
      </w:r>
      <w:r w:rsidRPr="0023233C">
        <w:rPr>
          <w:rStyle w:val="Label"/>
          <w:smallCaps/>
          <w:color w:val="auto"/>
          <w:sz w:val="24"/>
          <w:lang w:val="en-GB"/>
        </w:rPr>
        <w:t xml:space="preserve">Table </w:t>
      </w:r>
      <w:r>
        <w:rPr>
          <w:rStyle w:val="Label"/>
          <w:smallCaps/>
          <w:color w:val="auto"/>
          <w:sz w:val="24"/>
          <w:lang w:val="en-GB"/>
        </w:rPr>
        <w:t>6</w:t>
      </w:r>
      <w:sdt>
        <w:sdtPr>
          <w:rPr>
            <w:sz w:val="24"/>
            <w:lang w:val="en-GB"/>
          </w:rPr>
          <w:tag w:val="goog_rdk_6"/>
          <w:id w:val="-768232569"/>
        </w:sdtPr>
        <w:sdtEndPr>
          <w:rPr>
            <w:rStyle w:val="Label"/>
            <w:smallCaps/>
            <w:color w:val="FF0000"/>
          </w:rPr>
        </w:sdtEndPr>
        <w:sdtContent/>
      </w:sdt>
      <w:r w:rsidRPr="0023233C">
        <w:rPr>
          <w:sz w:val="24"/>
          <w:lang w:val="en-GB"/>
        </w:rPr>
        <w:t xml:space="preserve"> </w:t>
      </w:r>
      <w:proofErr w:type="gramStart"/>
      <w:r w:rsidRPr="004662AE">
        <w:rPr>
          <w:sz w:val="24"/>
          <w:lang w:val="en-GB"/>
        </w:rPr>
        <w:t xml:space="preserve">Hawksbill </w:t>
      </w:r>
      <w:r w:rsidR="00C747D0">
        <w:rPr>
          <w:sz w:val="24"/>
          <w:lang w:val="en-GB"/>
        </w:rPr>
        <w:t>sea</w:t>
      </w:r>
      <w:proofErr w:type="gramEnd"/>
      <w:r w:rsidR="00C747D0">
        <w:rPr>
          <w:sz w:val="24"/>
          <w:lang w:val="en-GB"/>
        </w:rPr>
        <w:t xml:space="preserve"> turtle </w:t>
      </w:r>
      <w:r w:rsidRPr="004662AE">
        <w:rPr>
          <w:sz w:val="24"/>
          <w:lang w:val="en-GB"/>
        </w:rPr>
        <w:t>capture sites in the north</w:t>
      </w:r>
      <w:r>
        <w:rPr>
          <w:sz w:val="24"/>
          <w:lang w:val="en-GB"/>
        </w:rPr>
        <w:t>-</w:t>
      </w:r>
      <w:r w:rsidRPr="004662AE">
        <w:rPr>
          <w:sz w:val="24"/>
          <w:lang w:val="en-GB"/>
        </w:rPr>
        <w:t xml:space="preserve">west Pacific of Mexico </w:t>
      </w:r>
      <w:r w:rsidRPr="0023233C">
        <w:rPr>
          <w:sz w:val="24"/>
          <w:lang w:val="en-GB"/>
        </w:rPr>
        <w:t>organized</w:t>
      </w:r>
      <w:r w:rsidRPr="004662AE">
        <w:rPr>
          <w:sz w:val="24"/>
          <w:lang w:val="en-GB"/>
        </w:rPr>
        <w:t xml:space="preserve"> by main habitat type. Numbers correspond to the assigned scores for each of the influencing factors: isolation, protection status, local engagement, and fishing pressure. </w:t>
      </w:r>
      <w:r w:rsidRPr="0023233C">
        <w:rPr>
          <w:sz w:val="24"/>
          <w:lang w:val="en-GB"/>
        </w:rPr>
        <w:t>Colour</w:t>
      </w:r>
      <w:r w:rsidRPr="004662AE">
        <w:rPr>
          <w:sz w:val="24"/>
          <w:lang w:val="en-GB"/>
        </w:rPr>
        <w:t xml:space="preserve"> ranges from red (low scores) to green (high scores). The final score and scaled score columns have different </w:t>
      </w:r>
      <w:r w:rsidRPr="0023233C">
        <w:rPr>
          <w:sz w:val="24"/>
          <w:lang w:val="en-GB"/>
        </w:rPr>
        <w:t>colour</w:t>
      </w:r>
      <w:r w:rsidRPr="004662AE">
        <w:rPr>
          <w:sz w:val="24"/>
          <w:lang w:val="en-GB"/>
        </w:rPr>
        <w:t xml:space="preserve"> scales </w:t>
      </w:r>
      <w:r>
        <w:rPr>
          <w:sz w:val="24"/>
          <w:lang w:val="en-GB"/>
        </w:rPr>
        <w:t>because of</w:t>
      </w:r>
      <w:r w:rsidRPr="004662AE">
        <w:rPr>
          <w:sz w:val="24"/>
          <w:lang w:val="en-GB"/>
        </w:rPr>
        <w:t xml:space="preserve"> the values considered </w:t>
      </w:r>
      <w:r w:rsidRPr="0023233C">
        <w:rPr>
          <w:sz w:val="24"/>
          <w:lang w:val="en-GB"/>
        </w:rPr>
        <w:t>(</w:t>
      </w:r>
      <w:r w:rsidRPr="004662AE">
        <w:rPr>
          <w:sz w:val="24"/>
          <w:lang w:val="en-GB"/>
        </w:rPr>
        <w:sym w:font="Symbol" w:char="F02D"/>
      </w:r>
      <w:r w:rsidRPr="004662AE">
        <w:rPr>
          <w:sz w:val="24"/>
          <w:lang w:val="en-GB"/>
        </w:rPr>
        <w:t>2 to 4; 0.14 to 1.00</w:t>
      </w:r>
      <w:r w:rsidRPr="0023233C">
        <w:rPr>
          <w:sz w:val="24"/>
          <w:lang w:val="en-GB"/>
        </w:rPr>
        <w:t>)</w:t>
      </w:r>
      <w:r w:rsidRPr="004662AE">
        <w:rPr>
          <w:sz w:val="24"/>
          <w:lang w:val="en-GB"/>
        </w:rPr>
        <w:t xml:space="preserve">. Detailed </w:t>
      </w:r>
      <w:r w:rsidRPr="00B44E21">
        <w:rPr>
          <w:sz w:val="24"/>
          <w:lang w:val="en-GB"/>
        </w:rPr>
        <w:t xml:space="preserve">information on the assigned scores is available on the methods section and in </w:t>
      </w:r>
      <w:r w:rsidRPr="00B44E21">
        <w:rPr>
          <w:rStyle w:val="SupplMatRef"/>
          <w:color w:val="auto"/>
          <w:sz w:val="24"/>
          <w:lang w:val="en-GB"/>
        </w:rPr>
        <w:t xml:space="preserve">Supplementary Table </w:t>
      </w:r>
      <w:r w:rsidR="00CE6054" w:rsidRPr="00B44E21">
        <w:rPr>
          <w:rStyle w:val="SupplMatRef"/>
          <w:color w:val="auto"/>
          <w:sz w:val="24"/>
          <w:lang w:val="en-GB"/>
        </w:rPr>
        <w:t>3</w:t>
      </w:r>
      <w:r w:rsidRPr="00B44E21">
        <w:rPr>
          <w:sz w:val="24"/>
          <w:lang w:val="en-GB"/>
        </w:rPr>
        <w:t>.</w:t>
      </w:r>
      <w:r w:rsidR="00F47BE6">
        <w:rPr>
          <w:sz w:val="24"/>
          <w:lang w:val="en-GB"/>
        </w:rPr>
        <w:t xml:space="preserve"> </w:t>
      </w:r>
    </w:p>
    <w:p w14:paraId="211CA328" w14:textId="03AAD91C" w:rsidR="007B1BB2" w:rsidRPr="004662AE" w:rsidRDefault="007B1BB2" w:rsidP="007B1BB2">
      <w:pPr>
        <w:pStyle w:val="TableCaption"/>
        <w:rPr>
          <w:sz w:val="24"/>
          <w:lang w:val="en-GB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992"/>
        <w:gridCol w:w="1039"/>
        <w:gridCol w:w="1229"/>
        <w:gridCol w:w="883"/>
        <w:gridCol w:w="676"/>
        <w:gridCol w:w="851"/>
      </w:tblGrid>
      <w:tr w:rsidR="007B1BB2" w:rsidRPr="00585E2A" w14:paraId="3986C22C" w14:textId="77777777" w:rsidTr="0023233C">
        <w:trPr>
          <w:trHeight w:val="8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2ABF35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Locality (by habitat type)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A3718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Hawksbill captures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80E5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Isolation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D5B94B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Protection status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D64502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Local engagement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4C629EF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Fishing pressure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E7A0EB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Final score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2CB1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Scaled scor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7B1BB2" w:rsidRPr="00585E2A" w14:paraId="30BEF36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</w:tcPr>
          <w:p w14:paraId="01D3D307" w14:textId="1F879220" w:rsidR="007B1BB2" w:rsidRPr="00585E2A" w:rsidRDefault="005D688A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4E2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MANGROVE ESTUARY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535A2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63BE7B"/>
            <w:noWrap/>
            <w:vAlign w:val="bottom"/>
          </w:tcPr>
          <w:p w14:paraId="36B592B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shd w:val="clear" w:color="000000" w:fill="63BE7B"/>
            <w:noWrap/>
            <w:vAlign w:val="bottom"/>
          </w:tcPr>
          <w:p w14:paraId="6ECB129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shd w:val="clear" w:color="000000" w:fill="63BE7B"/>
            <w:noWrap/>
            <w:vAlign w:val="bottom"/>
          </w:tcPr>
          <w:p w14:paraId="7F95BC1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000000" w:fill="63BE7B"/>
            <w:noWrap/>
            <w:vAlign w:val="bottom"/>
          </w:tcPr>
          <w:p w14:paraId="2E5EB5D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63BE7B"/>
            <w:noWrap/>
            <w:vAlign w:val="bottom"/>
          </w:tcPr>
          <w:p w14:paraId="02721AE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000000" w:fill="63BE7B"/>
            <w:noWrap/>
            <w:vAlign w:val="bottom"/>
          </w:tcPr>
          <w:p w14:paraId="6E7F9D3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BB2" w:rsidRPr="00585E2A" w14:paraId="148D970D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88D0F5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San José - Isla 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Pardito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22A5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706E114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4998F4C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0BF3746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15C53B6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63BE7B"/>
            <w:noWrap/>
            <w:vAlign w:val="bottom"/>
            <w:hideMark/>
          </w:tcPr>
          <w:p w14:paraId="4A85C4A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shd w:val="clear" w:color="000000" w:fill="63BE7B"/>
            <w:noWrap/>
            <w:vAlign w:val="bottom"/>
            <w:hideMark/>
          </w:tcPr>
          <w:p w14:paraId="08D5FE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</w:tr>
      <w:tr w:rsidR="007B1BB2" w:rsidRPr="00585E2A" w14:paraId="20ED895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6E89B3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Puerto Escondido,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6C65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57432CF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47214FF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64053B6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37C3B5C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6A208BD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7DA0E7E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0A66E1D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3BADBB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Estero 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Sargento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Sonora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B16A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6CEFE59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A47E08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27D222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5594628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3895850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5B1D342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5A89D34E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7F2998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Bahía Magdalena,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F867C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74B2C6D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982F5C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001ACA4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1ECDCAA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57E319A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3E5B95A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0F235455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47C3FC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Mulegé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7E3C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0CDB0AF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A4050E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206C064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6B39CE9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23B89B2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7C24141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3EBC3D3D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66E72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Estero Santa Cruz, Sonora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F2F7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08DCA9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6AA0F5B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3BFE590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27AB01B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666DB9F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1A836B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41D07D2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686197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Sistema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Céuta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Sinaloa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8AB41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12B4DA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254F49E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DD2DFF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4DE7A1C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4A37655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4A372D4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50EA624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65EB0E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Sistema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San Ignacio-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Navachiste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Macapule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6CA9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6487EAB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D45183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EBFFC9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8696B"/>
            <w:noWrap/>
            <w:vAlign w:val="bottom"/>
            <w:hideMark/>
          </w:tcPr>
          <w:p w14:paraId="5649B5D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64D217E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6AEAE89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  <w:tr w:rsidR="007B1BB2" w:rsidRPr="00585E2A" w14:paraId="742A482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AC9A4F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Sistema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Playa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Colorada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-Santa Maria-La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Reforma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9BF9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AC8D2D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54E202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13571E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8696B"/>
            <w:noWrap/>
            <w:vAlign w:val="bottom"/>
            <w:hideMark/>
          </w:tcPr>
          <w:p w14:paraId="5A5EB78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7EB39A5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4B3610A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  <w:tr w:rsidR="007B1BB2" w:rsidRPr="00585E2A" w14:paraId="66B5ACA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51F372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Sistema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Altata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-Ensenada 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Pabellón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Sinaloa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34FC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369184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1D54D7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F09706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8696B"/>
            <w:noWrap/>
            <w:vAlign w:val="bottom"/>
            <w:hideMark/>
          </w:tcPr>
          <w:p w14:paraId="5829CC4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568F8F3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5C77459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  <w:tr w:rsidR="007B1BB2" w:rsidRPr="00585E2A" w14:paraId="29A2ABC6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2ADC46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Sistema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Santa María-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Topolobampo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Ohuira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Sinaloa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5A58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3BBDF4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6972236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5AC3FFA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8696B"/>
            <w:noWrap/>
            <w:vAlign w:val="bottom"/>
            <w:hideMark/>
          </w:tcPr>
          <w:p w14:paraId="2C32909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2AE1C72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32A2C66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  <w:tr w:rsidR="007B1BB2" w:rsidRPr="00585E2A" w14:paraId="2696671D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</w:tcPr>
          <w:p w14:paraId="60A4878C" w14:textId="33C9A441" w:rsidR="007B1BB2" w:rsidRPr="00B44E21" w:rsidRDefault="005D688A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4E2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ROCKY/CORAL REEF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F0DDA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63BE7B"/>
            <w:noWrap/>
            <w:vAlign w:val="bottom"/>
          </w:tcPr>
          <w:p w14:paraId="0D750B3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shd w:val="clear" w:color="000000" w:fill="63BE7B"/>
            <w:noWrap/>
            <w:vAlign w:val="bottom"/>
          </w:tcPr>
          <w:p w14:paraId="5E3B2C5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shd w:val="clear" w:color="000000" w:fill="63BE7B"/>
            <w:noWrap/>
            <w:vAlign w:val="bottom"/>
          </w:tcPr>
          <w:p w14:paraId="1F21FCA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shd w:val="clear" w:color="000000" w:fill="63BE7B"/>
            <w:noWrap/>
            <w:vAlign w:val="bottom"/>
          </w:tcPr>
          <w:p w14:paraId="75E53DD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63BE7B"/>
            <w:noWrap/>
            <w:vAlign w:val="bottom"/>
          </w:tcPr>
          <w:p w14:paraId="7683733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000000" w:fill="63BE7B"/>
            <w:noWrap/>
            <w:vAlign w:val="bottom"/>
          </w:tcPr>
          <w:p w14:paraId="2BE90CA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1BB2" w:rsidRPr="00585E2A" w14:paraId="4CCC0656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FE893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San Pedro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Mártir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Sonora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3005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0490B8B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3F0BE7C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6C885B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15BE294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63BE7B"/>
            <w:noWrap/>
            <w:vAlign w:val="bottom"/>
            <w:hideMark/>
          </w:tcPr>
          <w:p w14:paraId="3B41547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shd w:val="clear" w:color="000000" w:fill="63BE7B"/>
            <w:noWrap/>
            <w:vAlign w:val="bottom"/>
            <w:hideMark/>
          </w:tcPr>
          <w:p w14:paraId="545144D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</w:tr>
      <w:tr w:rsidR="007B1BB2" w:rsidRPr="00585E2A" w14:paraId="5EE20CB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A1BFD9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San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Marcial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C565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55E9CC5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5519D1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270479F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71C8915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8ACA7E"/>
            <w:noWrap/>
            <w:vAlign w:val="bottom"/>
            <w:hideMark/>
          </w:tcPr>
          <w:p w14:paraId="367C737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shd w:val="clear" w:color="000000" w:fill="90CB7E"/>
            <w:noWrap/>
            <w:vAlign w:val="bottom"/>
            <w:hideMark/>
          </w:tcPr>
          <w:p w14:paraId="5F65C92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</w:tr>
      <w:tr w:rsidR="007B1BB2" w:rsidRPr="00585E2A" w14:paraId="5AC2EAA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0DDF5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Cleofas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Nayarit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E85F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75A641C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635479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4508CBA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7D7A281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8ACA7E"/>
            <w:noWrap/>
            <w:vAlign w:val="bottom"/>
            <w:hideMark/>
          </w:tcPr>
          <w:p w14:paraId="5261442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shd w:val="clear" w:color="000000" w:fill="90CB7E"/>
            <w:noWrap/>
            <w:vAlign w:val="bottom"/>
            <w:hideMark/>
          </w:tcPr>
          <w:p w14:paraId="787FD2B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</w:tr>
      <w:tr w:rsidR="007B1BB2" w:rsidRPr="00585E2A" w14:paraId="6F9DB9D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B0E9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Bahía de los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Ángeles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Baja California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6DB0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343C6CE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D2A21C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245F671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7B02272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8ACA7E"/>
            <w:noWrap/>
            <w:vAlign w:val="bottom"/>
            <w:hideMark/>
          </w:tcPr>
          <w:p w14:paraId="1CA6036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shd w:val="clear" w:color="000000" w:fill="8FCB7E"/>
            <w:noWrap/>
            <w:vAlign w:val="bottom"/>
            <w:hideMark/>
          </w:tcPr>
          <w:p w14:paraId="27DD4B4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</w:tr>
      <w:tr w:rsidR="007B1BB2" w:rsidRPr="00585E2A" w14:paraId="072B2901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0F0095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Archipiélago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Espíritu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Santo,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1F43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5721C32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4547C63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D8B33A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104925B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6138E98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5F637FD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6FA6C25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DD0C80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Cabo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Pulmo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79FD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6CDCFF3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753876B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123017B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5A098B7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3B38F80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138EFDA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0C94742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B7A84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Agua Verde,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66CE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00FD0C7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6D4520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1A5BA8B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496549F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4DD36F1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435AC71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0546099A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637E75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Isla Montserrat,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3984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19E6A0A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3FAF23D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3CFE561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043923D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1F20E27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4B9DF17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38F94584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AEB0D7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</w:t>
            </w:r>
            <w:proofErr w:type="spellStart"/>
            <w:proofErr w:type="gram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Coronados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09B1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38FAD42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9A93C8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3C84AE0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49156DA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561D80F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44E8FB3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0921980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DECB41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Laguna de San Ignacio,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C4C53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73CED56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60DDA50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321040C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3491E03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5B539A9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315E48F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7A8DFDE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8D200C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 Pila,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4FA5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31B55F0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160AA36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312C3BF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63BE7B"/>
            <w:noWrap/>
            <w:vAlign w:val="bottom"/>
            <w:hideMark/>
          </w:tcPr>
          <w:p w14:paraId="0904D1B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18ED22C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5C5D18D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3CB181C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452DAB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Isla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Choyudo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Sonora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E71A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7E7C051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76DB236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FE9481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437F339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01EBA35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47E5246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14A2220C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0CD307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Isla Isabel, Nayarit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86E3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5639F86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08FC198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A6B54A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129AC4D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B1D580"/>
            <w:noWrap/>
            <w:vAlign w:val="bottom"/>
            <w:hideMark/>
          </w:tcPr>
          <w:p w14:paraId="567E147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shd w:val="clear" w:color="000000" w:fill="BDD881"/>
            <w:noWrap/>
            <w:vAlign w:val="bottom"/>
            <w:hideMark/>
          </w:tcPr>
          <w:p w14:paraId="3DE4FBF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</w:tr>
      <w:tr w:rsidR="007B1BB2" w:rsidRPr="00585E2A" w14:paraId="57D8371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B00E38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Isla Carmen,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487B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0077EFC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63BE7B"/>
            <w:noWrap/>
            <w:vAlign w:val="bottom"/>
            <w:hideMark/>
          </w:tcPr>
          <w:p w14:paraId="143716F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2077C70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2E1A8A8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4B423E3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4759B74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489042FD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C65E9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Cerralvo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6F27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4E316B0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58E36ED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2820131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7189ED5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5362159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74E321B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018938EF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166CD0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López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Mateos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4A60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5BF2AA5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77CD9B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5BB917B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66CFF0A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5250AF8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7C69CA7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3220C940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859EC7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Isla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Cocinas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22BB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63BE7B"/>
            <w:noWrap/>
            <w:vAlign w:val="bottom"/>
            <w:hideMark/>
          </w:tcPr>
          <w:p w14:paraId="25E3C23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2D9E992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3866AA4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559F9E0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677ED89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08474B4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4F1E1420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ED574E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 Quemado,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2241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5D5FA1A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8CA7EC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B6F829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0FF0FDC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D8E082"/>
            <w:noWrap/>
            <w:vAlign w:val="bottom"/>
            <w:hideMark/>
          </w:tcPr>
          <w:p w14:paraId="2B453E0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shd w:val="clear" w:color="000000" w:fill="E9E583"/>
            <w:noWrap/>
            <w:vAlign w:val="bottom"/>
            <w:hideMark/>
          </w:tcPr>
          <w:p w14:paraId="1A69278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</w:tr>
      <w:tr w:rsidR="007B1BB2" w:rsidRPr="00585E2A" w14:paraId="60E68A26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FF6DE4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Canal del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Infiernillo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Sonora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BAFF2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CDC149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620F14B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779A6FD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7AC28B1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145FADE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35A0479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6B8DECE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74EB30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Torrecillas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75B4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3B67C8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AD5167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1BCCE7E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1EE9FDC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11B9D29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20D020F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0E5AA46C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EC69B8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Bahía de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Tlalpichichi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49980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65A4CC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13FB73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0464CC3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29FB30E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248FC18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39FF332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0013492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6626A0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Piedra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Partida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B2BA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1E16384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5578CAE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160C45E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6FE3584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7FBFA5E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764CEC5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61F3BDE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EE93F2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Rocas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Hotel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Mayto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8453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04F3F6E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1E54681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272A289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176370A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5CE5D46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7811E7B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243F6B6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EC875E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Playa del Amor,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0AB0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68D687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9EE211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0F77F9C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08B5DDE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440F7B0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20EFA2A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24642032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07677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Barco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hundido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92A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0B7C9A0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62D7B2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59DB1A2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45873BD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700F494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157AD5A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74780138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033E98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Bajo de los muchachos,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348F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7642DC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593C647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7CE7D05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6431B8D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628D9C9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6DBC864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2DA0506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AD3C0C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Faro de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Tehuamixtle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982AE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0B29CC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4F34AB3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32988C8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21532DE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0F15704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448140D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2D78C9DB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39DF1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Campamento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Mayto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FE3A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D3E1C6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2D5140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336E449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284AD60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5A00F38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718C467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51162ACF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E4A31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Bodega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Tehua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061C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01C2BA6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2676998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2EEB9C4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1FD7BD1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327DFF0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26ACDFE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28386464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A75202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Hakuna Matata,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ECFD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0258E90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27F0EE5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0F5356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3A0FD76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0CC6D8A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4372DA9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5FF090D1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670172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Piedra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Percebe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4662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263F576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670912E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6228591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40EE309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FEB84"/>
            <w:noWrap/>
            <w:vAlign w:val="bottom"/>
            <w:hideMark/>
          </w:tcPr>
          <w:p w14:paraId="0CCA6F3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shd w:val="clear" w:color="000000" w:fill="FDD07E"/>
            <w:noWrap/>
            <w:vAlign w:val="bottom"/>
            <w:hideMark/>
          </w:tcPr>
          <w:p w14:paraId="4D19557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</w:tr>
      <w:tr w:rsidR="007B1BB2" w:rsidRPr="00585E2A" w14:paraId="030119F7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AF092E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Saltito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Baja California Sur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117E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B1D580"/>
            <w:noWrap/>
            <w:vAlign w:val="bottom"/>
            <w:hideMark/>
          </w:tcPr>
          <w:p w14:paraId="5E3F3DF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B39951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2B192AB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7F893B8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4EBE4E1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75C789D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058C895A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C4DC63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Bahía de Jaltemba, Nayarit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9E94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2D37033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28408B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0E4F07E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08EE33C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3546435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63927B2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03602F1C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B7DFBE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Chacala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Nayarit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61F0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650C29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734597B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4FD9E2D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74DFC464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477E275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4DB712F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2CA65996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FBE55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Peñitas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92B5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4209D6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2243F28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23BC0B2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0005609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69565C6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3123274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29F1DF05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4C788F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Costa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Careyes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DE2B6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673490D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66A59AB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7A2E308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5909A70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6258AF19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7F4234D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77D3984F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F057E3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Boca de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Tomatlán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C89F3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B90A52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71D588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7BDB3C0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249B408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730715F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71E1A0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29128113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B870983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Manzanilla,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48EF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66DE2F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0A9D96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7F0627E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2A366AF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04B264A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4ACCACE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1560CA66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5EE773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Playa Corrales, Jalisco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147F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77136CC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F42080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633A013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FEB84"/>
            <w:noWrap/>
            <w:vAlign w:val="bottom"/>
            <w:hideMark/>
          </w:tcPr>
          <w:p w14:paraId="434DF95E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676" w:type="dxa"/>
            <w:shd w:val="clear" w:color="000000" w:fill="FBAA77"/>
            <w:noWrap/>
            <w:vAlign w:val="bottom"/>
            <w:hideMark/>
          </w:tcPr>
          <w:p w14:paraId="21646930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851" w:type="dxa"/>
            <w:shd w:val="clear" w:color="000000" w:fill="FA9D75"/>
            <w:noWrap/>
            <w:vAlign w:val="bottom"/>
            <w:hideMark/>
          </w:tcPr>
          <w:p w14:paraId="24240857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</w:tr>
      <w:tr w:rsidR="007B1BB2" w:rsidRPr="00585E2A" w14:paraId="7255A28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4167E6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Punta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Mita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Nayarit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BA8E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38CBE1FD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00A97D9B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63BE7B"/>
            <w:noWrap/>
            <w:vAlign w:val="bottom"/>
            <w:hideMark/>
          </w:tcPr>
          <w:p w14:paraId="01445CDC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3" w:type="dxa"/>
            <w:shd w:val="clear" w:color="000000" w:fill="F8696B"/>
            <w:noWrap/>
            <w:vAlign w:val="bottom"/>
            <w:hideMark/>
          </w:tcPr>
          <w:p w14:paraId="36AB043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59CDA25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40D97B22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  <w:tr w:rsidR="007B1BB2" w:rsidRPr="00585E2A" w14:paraId="19F28229" w14:textId="77777777" w:rsidTr="0023233C">
        <w:trPr>
          <w:trHeight w:val="4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A49642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Elefante</w:t>
            </w:r>
            <w:proofErr w:type="spellEnd"/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Sinaloa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3BB61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8696B"/>
            <w:noWrap/>
            <w:vAlign w:val="bottom"/>
            <w:hideMark/>
          </w:tcPr>
          <w:p w14:paraId="5A884D35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9" w:type="dxa"/>
            <w:shd w:val="clear" w:color="000000" w:fill="F8696B"/>
            <w:noWrap/>
            <w:vAlign w:val="bottom"/>
            <w:hideMark/>
          </w:tcPr>
          <w:p w14:paraId="3A06C358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9" w:type="dxa"/>
            <w:shd w:val="clear" w:color="000000" w:fill="F8696B"/>
            <w:noWrap/>
            <w:vAlign w:val="bottom"/>
            <w:hideMark/>
          </w:tcPr>
          <w:p w14:paraId="3080DFA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3" w:type="dxa"/>
            <w:shd w:val="clear" w:color="000000" w:fill="FBAA77"/>
            <w:noWrap/>
            <w:vAlign w:val="bottom"/>
            <w:hideMark/>
          </w:tcPr>
          <w:p w14:paraId="5B1218CF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676" w:type="dxa"/>
            <w:shd w:val="clear" w:color="000000" w:fill="F8696B"/>
            <w:noWrap/>
            <w:vAlign w:val="bottom"/>
            <w:hideMark/>
          </w:tcPr>
          <w:p w14:paraId="604EAE0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851" w:type="dxa"/>
            <w:shd w:val="clear" w:color="000000" w:fill="F8696B"/>
            <w:noWrap/>
            <w:vAlign w:val="bottom"/>
            <w:hideMark/>
          </w:tcPr>
          <w:p w14:paraId="4577A49A" w14:textId="77777777" w:rsidR="007B1BB2" w:rsidRPr="00585E2A" w:rsidRDefault="007B1BB2" w:rsidP="009D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5E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</w:tr>
    </w:tbl>
    <w:p w14:paraId="33ACFA8E" w14:textId="482CE876" w:rsidR="003A260F" w:rsidRDefault="003A260F" w:rsidP="00646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z w:val="24"/>
          <w:szCs w:val="24"/>
        </w:rPr>
        <w:br w:type="page"/>
      </w:r>
    </w:p>
    <w:p w14:paraId="1FE7F380" w14:textId="6D9C0DFE" w:rsidR="003A260F" w:rsidRDefault="003A260F" w:rsidP="0023233C">
      <w:pPr>
        <w:spacing w:line="360" w:lineRule="auto"/>
        <w:rPr>
          <w:rFonts w:ascii="Arial" w:hAnsi="Arial" w:cs="Arial"/>
          <w:sz w:val="20"/>
          <w:szCs w:val="20"/>
        </w:rPr>
      </w:pPr>
      <w:r w:rsidRPr="00961CA6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4983D290" wp14:editId="3C8B5848">
            <wp:extent cx="4102963" cy="3275475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963" cy="327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A3D9A4" w14:textId="77777777" w:rsidR="003E504A" w:rsidRPr="003A260F" w:rsidRDefault="003E504A" w:rsidP="003E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F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mallCaps/>
          <w:sz w:val="24"/>
          <w:szCs w:val="24"/>
        </w:rPr>
        <w:t>Plate</w:t>
      </w:r>
      <w:r w:rsidRPr="003A260F">
        <w:rPr>
          <w:rFonts w:ascii="Times New Roman" w:hAnsi="Times New Roman" w:cs="Times New Roman"/>
          <w:sz w:val="24"/>
          <w:szCs w:val="24"/>
        </w:rPr>
        <w:t xml:space="preserve"> 1 Photograph of filmmaker Emory Johnson, from </w:t>
      </w:r>
      <w:proofErr w:type="spellStart"/>
      <w:r w:rsidRPr="003A260F">
        <w:rPr>
          <w:rFonts w:ascii="Times New Roman" w:hAnsi="Times New Roman" w:cs="Times New Roman"/>
          <w:sz w:val="24"/>
          <w:szCs w:val="24"/>
        </w:rPr>
        <w:t>Velero</w:t>
      </w:r>
      <w:proofErr w:type="spellEnd"/>
      <w:r w:rsidRPr="003A260F">
        <w:rPr>
          <w:rFonts w:ascii="Times New Roman" w:hAnsi="Times New Roman" w:cs="Times New Roman"/>
          <w:sz w:val="24"/>
          <w:szCs w:val="24"/>
        </w:rPr>
        <w:t xml:space="preserve"> III Expedition, at Isla El </w:t>
      </w:r>
      <w:proofErr w:type="spellStart"/>
      <w:r w:rsidRPr="003A260F">
        <w:rPr>
          <w:rFonts w:ascii="Times New Roman" w:hAnsi="Times New Roman" w:cs="Times New Roman"/>
          <w:sz w:val="24"/>
          <w:szCs w:val="24"/>
        </w:rPr>
        <w:t>Pardito</w:t>
      </w:r>
      <w:proofErr w:type="spellEnd"/>
      <w:r w:rsidRPr="003A260F">
        <w:rPr>
          <w:rFonts w:ascii="Times New Roman" w:hAnsi="Times New Roman" w:cs="Times New Roman"/>
          <w:sz w:val="24"/>
          <w:szCs w:val="24"/>
        </w:rPr>
        <w:t xml:space="preserve">, Mexico, 1936. To the right there is a hanging, dried hawksbill sea turtle </w:t>
      </w:r>
      <w:r w:rsidRPr="003A260F">
        <w:rPr>
          <w:rFonts w:ascii="Times New Roman" w:hAnsi="Times New Roman" w:cs="Times New Roman"/>
          <w:i/>
          <w:sz w:val="24"/>
          <w:szCs w:val="24"/>
        </w:rPr>
        <w:t>Eretmochelys imbricata</w:t>
      </w:r>
      <w:r w:rsidRPr="003A2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Photo c</w:t>
      </w:r>
      <w:r w:rsidRPr="003A260F">
        <w:rPr>
          <w:rFonts w:ascii="Times New Roman" w:hAnsi="Times New Roman" w:cs="Times New Roman"/>
          <w:sz w:val="24"/>
          <w:szCs w:val="24"/>
        </w:rPr>
        <w:t xml:space="preserve">redit: Allan Hancock Foundation Collection, University of Southern California (CC BY 4.0). </w:t>
      </w:r>
    </w:p>
    <w:p w14:paraId="6DE10EF0" w14:textId="77777777" w:rsidR="003E504A" w:rsidRDefault="003E504A" w:rsidP="003E504A"/>
    <w:p w14:paraId="16D1CCA0" w14:textId="77777777" w:rsidR="003E504A" w:rsidRDefault="003E504A" w:rsidP="003A26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C51CDD" w14:textId="13D9B836" w:rsidR="00A277F2" w:rsidRDefault="00A277F2" w:rsidP="003A26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E63A0C" w14:textId="768C32FC" w:rsidR="00A277F2" w:rsidRDefault="00F91ADB" w:rsidP="00E45BB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6543ACF9" wp14:editId="16175BC7">
            <wp:extent cx="5731510" cy="2898775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A5BFB8C-CEB9-A944-A809-BEE118D8F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8CDC37" w14:textId="0C43EA4A" w:rsidR="003E504A" w:rsidRPr="003D2357" w:rsidRDefault="003E504A" w:rsidP="003D2357">
      <w:pPr>
        <w:pStyle w:val="FigureCaption"/>
        <w:rPr>
          <w:sz w:val="24"/>
          <w:lang w:val="en-GB"/>
        </w:rPr>
      </w:pPr>
      <w:r w:rsidRPr="003A260F">
        <w:rPr>
          <w:smallCaps/>
          <w:sz w:val="24"/>
        </w:rPr>
        <w:t xml:space="preserve">Supplementary </w:t>
      </w:r>
      <w:r>
        <w:rPr>
          <w:smallCaps/>
          <w:sz w:val="24"/>
        </w:rPr>
        <w:t>F</w:t>
      </w:r>
      <w:r w:rsidRPr="003A260F">
        <w:rPr>
          <w:smallCaps/>
          <w:sz w:val="24"/>
        </w:rPr>
        <w:t>ig</w:t>
      </w:r>
      <w:r>
        <w:rPr>
          <w:smallCaps/>
          <w:sz w:val="24"/>
        </w:rPr>
        <w:t>.</w:t>
      </w:r>
      <w:r w:rsidRPr="003A260F">
        <w:rPr>
          <w:sz w:val="24"/>
        </w:rPr>
        <w:t xml:space="preserve"> </w:t>
      </w:r>
      <w:r>
        <w:rPr>
          <w:sz w:val="24"/>
        </w:rPr>
        <w:t>1</w:t>
      </w:r>
      <w:r w:rsidRPr="003A260F">
        <w:rPr>
          <w:sz w:val="24"/>
        </w:rPr>
        <w:t xml:space="preserve"> </w:t>
      </w:r>
      <w:r>
        <w:rPr>
          <w:sz w:val="24"/>
        </w:rPr>
        <w:t xml:space="preserve">Estimated growth rate of hawksbill sea turtles </w:t>
      </w:r>
      <w:r w:rsidRPr="00E83F2C">
        <w:rPr>
          <w:i/>
          <w:iCs/>
          <w:sz w:val="24"/>
        </w:rPr>
        <w:t>Eretmochelys imbricata</w:t>
      </w:r>
      <w:r w:rsidRPr="00CA56FC">
        <w:rPr>
          <w:sz w:val="24"/>
        </w:rPr>
        <w:t xml:space="preserve"> </w:t>
      </w:r>
      <w:r>
        <w:rPr>
          <w:sz w:val="24"/>
        </w:rPr>
        <w:t xml:space="preserve">in the three locations of the Gulf of California, </w:t>
      </w:r>
      <w:r w:rsidRPr="00A9173F">
        <w:rPr>
          <w:sz w:val="24"/>
        </w:rPr>
        <w:t>Mexico</w:t>
      </w:r>
      <w:r>
        <w:rPr>
          <w:sz w:val="24"/>
        </w:rPr>
        <w:t>,</w:t>
      </w:r>
      <w:r w:rsidRPr="00A9173F">
        <w:rPr>
          <w:sz w:val="24"/>
        </w:rPr>
        <w:t xml:space="preserve"> with </w:t>
      </w:r>
      <w:r w:rsidRPr="00A9173F">
        <w:rPr>
          <w:color w:val="000000"/>
          <w:sz w:val="24"/>
          <w:shd w:val="clear" w:color="auto" w:fill="FFFFFF"/>
        </w:rPr>
        <w:t>the largest sample sizes</w:t>
      </w:r>
      <w:r w:rsidRPr="00A9173F">
        <w:rPr>
          <w:sz w:val="24"/>
        </w:rPr>
        <w:t xml:space="preserve">: Cabo </w:t>
      </w:r>
      <w:proofErr w:type="spellStart"/>
      <w:r w:rsidRPr="00A9173F">
        <w:rPr>
          <w:sz w:val="24"/>
        </w:rPr>
        <w:t>Pulmo</w:t>
      </w:r>
      <w:proofErr w:type="spellEnd"/>
      <w:r w:rsidRPr="00A9173F">
        <w:rPr>
          <w:sz w:val="24"/>
        </w:rPr>
        <w:t xml:space="preserve"> (green diamonds), Isla San José</w:t>
      </w:r>
      <w:r>
        <w:rPr>
          <w:sz w:val="24"/>
        </w:rPr>
        <w:t>–</w:t>
      </w:r>
      <w:r w:rsidRPr="00A9173F">
        <w:rPr>
          <w:sz w:val="24"/>
        </w:rPr>
        <w:t xml:space="preserve">Isla El </w:t>
      </w:r>
      <w:proofErr w:type="spellStart"/>
      <w:r w:rsidRPr="00A9173F">
        <w:rPr>
          <w:sz w:val="24"/>
        </w:rPr>
        <w:t>Pardito</w:t>
      </w:r>
      <w:proofErr w:type="spellEnd"/>
      <w:r w:rsidRPr="00A9173F">
        <w:rPr>
          <w:sz w:val="24"/>
        </w:rPr>
        <w:t xml:space="preserve"> (yellow triangles) and </w:t>
      </w:r>
      <w:proofErr w:type="spellStart"/>
      <w:r w:rsidRPr="00A9173F">
        <w:rPr>
          <w:sz w:val="24"/>
        </w:rPr>
        <w:t>Archipiélago</w:t>
      </w:r>
      <w:proofErr w:type="spellEnd"/>
      <w:r w:rsidRPr="00A9173F">
        <w:rPr>
          <w:sz w:val="24"/>
        </w:rPr>
        <w:t xml:space="preserve"> de </w:t>
      </w:r>
      <w:proofErr w:type="spellStart"/>
      <w:r w:rsidRPr="00A9173F">
        <w:rPr>
          <w:sz w:val="24"/>
        </w:rPr>
        <w:t>Espíritu</w:t>
      </w:r>
      <w:proofErr w:type="spellEnd"/>
      <w:r w:rsidRPr="00A9173F">
        <w:rPr>
          <w:sz w:val="24"/>
        </w:rPr>
        <w:t xml:space="preserve"> Santo (blue squares). </w:t>
      </w:r>
    </w:p>
    <w:sectPr w:rsidR="003E504A" w:rsidRPr="003D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915"/>
    <w:multiLevelType w:val="hybridMultilevel"/>
    <w:tmpl w:val="879E2D1C"/>
    <w:lvl w:ilvl="0" w:tplc="6F36E4F8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color w:val="00002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1740B"/>
    <w:rsid w:val="00082A05"/>
    <w:rsid w:val="000D59CD"/>
    <w:rsid w:val="00111ECC"/>
    <w:rsid w:val="00114346"/>
    <w:rsid w:val="00120787"/>
    <w:rsid w:val="001341C3"/>
    <w:rsid w:val="001A1B2F"/>
    <w:rsid w:val="001C05DA"/>
    <w:rsid w:val="001D17FC"/>
    <w:rsid w:val="001F04F0"/>
    <w:rsid w:val="001F0988"/>
    <w:rsid w:val="0023233C"/>
    <w:rsid w:val="0025102A"/>
    <w:rsid w:val="002817E1"/>
    <w:rsid w:val="00351322"/>
    <w:rsid w:val="003A260F"/>
    <w:rsid w:val="003D2357"/>
    <w:rsid w:val="003E504A"/>
    <w:rsid w:val="004563A0"/>
    <w:rsid w:val="0046197A"/>
    <w:rsid w:val="00492518"/>
    <w:rsid w:val="004D08E9"/>
    <w:rsid w:val="00502EBE"/>
    <w:rsid w:val="005104C1"/>
    <w:rsid w:val="005272FD"/>
    <w:rsid w:val="005438F5"/>
    <w:rsid w:val="005668C3"/>
    <w:rsid w:val="00570988"/>
    <w:rsid w:val="0059305C"/>
    <w:rsid w:val="005A339A"/>
    <w:rsid w:val="005A37E7"/>
    <w:rsid w:val="005D688A"/>
    <w:rsid w:val="005F794F"/>
    <w:rsid w:val="00613B46"/>
    <w:rsid w:val="00644193"/>
    <w:rsid w:val="00646495"/>
    <w:rsid w:val="006B0B84"/>
    <w:rsid w:val="006C0E5E"/>
    <w:rsid w:val="006D7AEB"/>
    <w:rsid w:val="00724BD2"/>
    <w:rsid w:val="007523BE"/>
    <w:rsid w:val="00756F63"/>
    <w:rsid w:val="00760B7E"/>
    <w:rsid w:val="00797ABB"/>
    <w:rsid w:val="007A5E0B"/>
    <w:rsid w:val="007B1BB2"/>
    <w:rsid w:val="007C3A36"/>
    <w:rsid w:val="007C4CB5"/>
    <w:rsid w:val="007D2FA4"/>
    <w:rsid w:val="0081309D"/>
    <w:rsid w:val="00846E51"/>
    <w:rsid w:val="00882A8C"/>
    <w:rsid w:val="00882C95"/>
    <w:rsid w:val="00891329"/>
    <w:rsid w:val="008D424E"/>
    <w:rsid w:val="009268C3"/>
    <w:rsid w:val="0095139F"/>
    <w:rsid w:val="00974725"/>
    <w:rsid w:val="009B0516"/>
    <w:rsid w:val="00A277F2"/>
    <w:rsid w:val="00A3731F"/>
    <w:rsid w:val="00A74F88"/>
    <w:rsid w:val="00A9173F"/>
    <w:rsid w:val="00AA75FE"/>
    <w:rsid w:val="00AB4DB9"/>
    <w:rsid w:val="00AC62A9"/>
    <w:rsid w:val="00AD2581"/>
    <w:rsid w:val="00B03FB0"/>
    <w:rsid w:val="00B42ADB"/>
    <w:rsid w:val="00B44E21"/>
    <w:rsid w:val="00BD4316"/>
    <w:rsid w:val="00BF4423"/>
    <w:rsid w:val="00C44325"/>
    <w:rsid w:val="00C5799D"/>
    <w:rsid w:val="00C61425"/>
    <w:rsid w:val="00C747D0"/>
    <w:rsid w:val="00CA56FC"/>
    <w:rsid w:val="00CD5045"/>
    <w:rsid w:val="00CE6054"/>
    <w:rsid w:val="00D0195C"/>
    <w:rsid w:val="00D22F03"/>
    <w:rsid w:val="00D25B14"/>
    <w:rsid w:val="00E201B8"/>
    <w:rsid w:val="00E3021D"/>
    <w:rsid w:val="00E45BB5"/>
    <w:rsid w:val="00EC265F"/>
    <w:rsid w:val="00F1568C"/>
    <w:rsid w:val="00F416DB"/>
    <w:rsid w:val="00F47BE6"/>
    <w:rsid w:val="00F5178E"/>
    <w:rsid w:val="00F91ADB"/>
    <w:rsid w:val="00FD3F77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BA12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table" w:customStyle="1" w:styleId="3">
    <w:name w:val="3"/>
    <w:basedOn w:val="TableNormal"/>
    <w:rsid w:val="003A260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3A260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A260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D08E9"/>
    <w:pPr>
      <w:spacing w:after="0" w:line="240" w:lineRule="auto"/>
    </w:pPr>
  </w:style>
  <w:style w:type="table" w:customStyle="1" w:styleId="5">
    <w:name w:val="5"/>
    <w:basedOn w:val="TableNormal"/>
    <w:rsid w:val="001D17FC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1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DefaultParagraphFont"/>
    <w:rsid w:val="001D17FC"/>
  </w:style>
  <w:style w:type="character" w:customStyle="1" w:styleId="eop">
    <w:name w:val="eop"/>
    <w:basedOn w:val="DefaultParagraphFont"/>
    <w:rsid w:val="001D17FC"/>
  </w:style>
  <w:style w:type="paragraph" w:styleId="HTMLPreformatted">
    <w:name w:val="HTML Preformatted"/>
    <w:basedOn w:val="Normal"/>
    <w:link w:val="HTMLPreformattedChar"/>
    <w:uiPriority w:val="99"/>
    <w:unhideWhenUsed/>
    <w:rsid w:val="001D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17FC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1D17FC"/>
    <w:pPr>
      <w:spacing w:after="0" w:line="240" w:lineRule="auto"/>
      <w:ind w:left="720"/>
      <w:contextualSpacing/>
    </w:pPr>
    <w:rPr>
      <w:sz w:val="24"/>
      <w:szCs w:val="24"/>
      <w:lang w:val="es-MX"/>
    </w:rPr>
  </w:style>
  <w:style w:type="table" w:styleId="TableGrid">
    <w:name w:val="Table Grid"/>
    <w:basedOn w:val="TableNormal"/>
    <w:uiPriority w:val="39"/>
    <w:rsid w:val="001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7FC"/>
    <w:rPr>
      <w:color w:val="605E5C"/>
      <w:shd w:val="clear" w:color="auto" w:fill="E1DFDD"/>
    </w:rPr>
  </w:style>
  <w:style w:type="paragraph" w:customStyle="1" w:styleId="TableCaption">
    <w:name w:val="TableCaption"/>
    <w:rsid w:val="007B1BB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SupplMatRef">
    <w:name w:val="SupplMatRef"/>
    <w:rsid w:val="007B1BB2"/>
    <w:rPr>
      <w:color w:val="FF00FF"/>
      <w:sz w:val="20"/>
    </w:rPr>
  </w:style>
  <w:style w:type="character" w:customStyle="1" w:styleId="Label">
    <w:name w:val="Label"/>
    <w:rsid w:val="007B1BB2"/>
    <w:rPr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570988"/>
    <w:rPr>
      <w:color w:val="605E5C"/>
      <w:shd w:val="clear" w:color="auto" w:fill="E1DFDD"/>
    </w:rPr>
  </w:style>
  <w:style w:type="paragraph" w:customStyle="1" w:styleId="FigureCaption">
    <w:name w:val="FigureCaption"/>
    <w:rsid w:val="00F47BE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dad.gob.mx/ecosistemas/manglares2013/manglares.html" TargetMode="Externa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ri.org/research/reefs-risk-revisit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efbas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iodiversidad.gob.mx/ecosistemas/manglares2013/pdf/InfGQ004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uli\Downloads\Oryx_Revision\Tort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scatter_plot!$F$1</c:f>
              <c:strCache>
                <c:ptCount val="1"/>
                <c:pt idx="0">
                  <c:v>Growth rate (cm/y)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scatter_plot!$E$2:$E$14</c:f>
              <c:numCache>
                <c:formatCode>0.0</c:formatCode>
                <c:ptCount val="13"/>
                <c:pt idx="0">
                  <c:v>41.25</c:v>
                </c:pt>
                <c:pt idx="1">
                  <c:v>46.6</c:v>
                </c:pt>
                <c:pt idx="2">
                  <c:v>38.35</c:v>
                </c:pt>
                <c:pt idx="3">
                  <c:v>49.15</c:v>
                </c:pt>
                <c:pt idx="4">
                  <c:v>52.05</c:v>
                </c:pt>
                <c:pt idx="5">
                  <c:v>59.55</c:v>
                </c:pt>
                <c:pt idx="6">
                  <c:v>44.9</c:v>
                </c:pt>
                <c:pt idx="7">
                  <c:v>40.15</c:v>
                </c:pt>
                <c:pt idx="8">
                  <c:v>54.8</c:v>
                </c:pt>
                <c:pt idx="9">
                  <c:v>54.85</c:v>
                </c:pt>
                <c:pt idx="10">
                  <c:v>46.85</c:v>
                </c:pt>
                <c:pt idx="11">
                  <c:v>45.5</c:v>
                </c:pt>
                <c:pt idx="12">
                  <c:v>36.200000000000003</c:v>
                </c:pt>
              </c:numCache>
            </c:numRef>
          </c:xVal>
          <c:yVal>
            <c:numRef>
              <c:f>scatter_plot!$F$2:$F$14</c:f>
              <c:numCache>
                <c:formatCode>0.00</c:formatCode>
                <c:ptCount val="13"/>
                <c:pt idx="0">
                  <c:v>9.4805194805189411E-2</c:v>
                </c:pt>
                <c:pt idx="1">
                  <c:v>0.31499460625674103</c:v>
                </c:pt>
                <c:pt idx="2">
                  <c:v>0.51323407775020768</c:v>
                </c:pt>
                <c:pt idx="3">
                  <c:v>1.468390804597701</c:v>
                </c:pt>
                <c:pt idx="4">
                  <c:v>0.60886742756804169</c:v>
                </c:pt>
                <c:pt idx="5">
                  <c:v>0.20472756410256285</c:v>
                </c:pt>
                <c:pt idx="6">
                  <c:v>0.76439790575916411</c:v>
                </c:pt>
                <c:pt idx="7">
                  <c:v>1.4271327014217998</c:v>
                </c:pt>
                <c:pt idx="8">
                  <c:v>1.3401727861771053</c:v>
                </c:pt>
                <c:pt idx="9">
                  <c:v>2.8635831381733032</c:v>
                </c:pt>
                <c:pt idx="10">
                  <c:v>1.5551378446115314</c:v>
                </c:pt>
                <c:pt idx="11">
                  <c:v>1.6886120996441245</c:v>
                </c:pt>
                <c:pt idx="12">
                  <c:v>0.40109890109889967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8B0-DA42-ADC7-CBA3BF8ED8D5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scatter_plot!$E$15:$E$51</c:f>
              <c:numCache>
                <c:formatCode>0.0</c:formatCode>
                <c:ptCount val="37"/>
                <c:pt idx="0">
                  <c:v>48.25</c:v>
                </c:pt>
                <c:pt idx="1">
                  <c:v>55.15</c:v>
                </c:pt>
                <c:pt idx="2">
                  <c:v>66.900000000000006</c:v>
                </c:pt>
                <c:pt idx="3">
                  <c:v>79.099999999999994</c:v>
                </c:pt>
                <c:pt idx="4">
                  <c:v>62.5</c:v>
                </c:pt>
                <c:pt idx="5">
                  <c:v>64.05</c:v>
                </c:pt>
                <c:pt idx="6">
                  <c:v>70</c:v>
                </c:pt>
                <c:pt idx="7">
                  <c:v>46.35</c:v>
                </c:pt>
                <c:pt idx="8">
                  <c:v>57.35</c:v>
                </c:pt>
                <c:pt idx="9">
                  <c:v>52.35</c:v>
                </c:pt>
                <c:pt idx="10">
                  <c:v>51</c:v>
                </c:pt>
                <c:pt idx="11">
                  <c:v>47.6</c:v>
                </c:pt>
                <c:pt idx="12">
                  <c:v>50</c:v>
                </c:pt>
                <c:pt idx="13">
                  <c:v>67.8</c:v>
                </c:pt>
                <c:pt idx="14">
                  <c:v>61.8</c:v>
                </c:pt>
                <c:pt idx="15">
                  <c:v>46.7</c:v>
                </c:pt>
                <c:pt idx="16">
                  <c:v>61.45</c:v>
                </c:pt>
                <c:pt idx="17">
                  <c:v>52.75</c:v>
                </c:pt>
                <c:pt idx="18">
                  <c:v>56</c:v>
                </c:pt>
                <c:pt idx="19">
                  <c:v>63.35</c:v>
                </c:pt>
                <c:pt idx="20">
                  <c:v>57.95</c:v>
                </c:pt>
                <c:pt idx="21">
                  <c:v>66.849999999999994</c:v>
                </c:pt>
                <c:pt idx="22">
                  <c:v>52.85</c:v>
                </c:pt>
                <c:pt idx="23">
                  <c:v>59.1</c:v>
                </c:pt>
                <c:pt idx="24">
                  <c:v>61.5</c:v>
                </c:pt>
                <c:pt idx="25">
                  <c:v>64.25</c:v>
                </c:pt>
                <c:pt idx="26">
                  <c:v>49.6</c:v>
                </c:pt>
                <c:pt idx="27">
                  <c:v>53.3</c:v>
                </c:pt>
                <c:pt idx="28">
                  <c:v>79.05</c:v>
                </c:pt>
                <c:pt idx="29">
                  <c:v>66.75</c:v>
                </c:pt>
                <c:pt idx="30">
                  <c:v>73.900000000000006</c:v>
                </c:pt>
                <c:pt idx="31">
                  <c:v>42.05</c:v>
                </c:pt>
                <c:pt idx="32">
                  <c:v>49.8</c:v>
                </c:pt>
                <c:pt idx="33">
                  <c:v>55.25</c:v>
                </c:pt>
                <c:pt idx="34">
                  <c:v>44.55</c:v>
                </c:pt>
                <c:pt idx="35">
                  <c:v>80.45</c:v>
                </c:pt>
                <c:pt idx="36">
                  <c:v>56.3</c:v>
                </c:pt>
              </c:numCache>
            </c:numRef>
          </c:xVal>
          <c:yVal>
            <c:numRef>
              <c:f>scatter_plot!$F$15:$F$51</c:f>
              <c:numCache>
                <c:formatCode>0.00</c:formatCode>
                <c:ptCount val="37"/>
                <c:pt idx="0">
                  <c:v>4.226839237057221</c:v>
                </c:pt>
                <c:pt idx="1">
                  <c:v>0.80488974113135081</c:v>
                </c:pt>
                <c:pt idx="2">
                  <c:v>3.8074694140373473</c:v>
                </c:pt>
                <c:pt idx="3">
                  <c:v>3.8544000000000009</c:v>
                </c:pt>
                <c:pt idx="4">
                  <c:v>4.5503116651825462</c:v>
                </c:pt>
                <c:pt idx="5">
                  <c:v>4.7506443298969039</c:v>
                </c:pt>
                <c:pt idx="6">
                  <c:v>2.3701298701298703</c:v>
                </c:pt>
                <c:pt idx="7">
                  <c:v>4.3679504814305377</c:v>
                </c:pt>
                <c:pt idx="8">
                  <c:v>3.0759527643585618</c:v>
                </c:pt>
                <c:pt idx="9">
                  <c:v>2.4154411764705883</c:v>
                </c:pt>
                <c:pt idx="10">
                  <c:v>3.3293918918918952</c:v>
                </c:pt>
                <c:pt idx="11">
                  <c:v>8.2826923076923062</c:v>
                </c:pt>
                <c:pt idx="12">
                  <c:v>5.6153846153846212</c:v>
                </c:pt>
                <c:pt idx="13">
                  <c:v>5.9813780260707663</c:v>
                </c:pt>
                <c:pt idx="14">
                  <c:v>1.8000000000000007</c:v>
                </c:pt>
                <c:pt idx="15">
                  <c:v>7.052219321148824</c:v>
                </c:pt>
                <c:pt idx="16">
                  <c:v>2.5419642857142848</c:v>
                </c:pt>
                <c:pt idx="17">
                  <c:v>7.1321839080459766</c:v>
                </c:pt>
                <c:pt idx="18">
                  <c:v>2.3101265822784809</c:v>
                </c:pt>
                <c:pt idx="19">
                  <c:v>3.6163594470046059</c:v>
                </c:pt>
                <c:pt idx="20">
                  <c:v>3.5216411181244349</c:v>
                </c:pt>
                <c:pt idx="21">
                  <c:v>1.7536312849161999</c:v>
                </c:pt>
                <c:pt idx="22">
                  <c:v>3.5167342799188646</c:v>
                </c:pt>
                <c:pt idx="23">
                  <c:v>2.6545454545454534</c:v>
                </c:pt>
                <c:pt idx="24">
                  <c:v>2.59478672985782</c:v>
                </c:pt>
                <c:pt idx="25">
                  <c:v>6.1418269230769234</c:v>
                </c:pt>
                <c:pt idx="26">
                  <c:v>5.2326674500587558</c:v>
                </c:pt>
                <c:pt idx="27">
                  <c:v>4.4644628099173547</c:v>
                </c:pt>
                <c:pt idx="28">
                  <c:v>1.758519388954169</c:v>
                </c:pt>
                <c:pt idx="29">
                  <c:v>3.9219197707736391</c:v>
                </c:pt>
                <c:pt idx="30">
                  <c:v>3.7486486486486457</c:v>
                </c:pt>
                <c:pt idx="31">
                  <c:v>4.1183628318584082</c:v>
                </c:pt>
                <c:pt idx="32">
                  <c:v>4.0016611295681068</c:v>
                </c:pt>
                <c:pt idx="33">
                  <c:v>5.4540229885057467</c:v>
                </c:pt>
                <c:pt idx="34">
                  <c:v>4.6381215469613251</c:v>
                </c:pt>
                <c:pt idx="35">
                  <c:v>1.3184410646387872</c:v>
                </c:pt>
                <c:pt idx="36">
                  <c:v>3.2808988764044975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8B0-DA42-ADC7-CBA3BF8ED8D5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scatter_plot!$E$52:$E$79</c:f>
              <c:numCache>
                <c:formatCode>0.0</c:formatCode>
                <c:ptCount val="28"/>
                <c:pt idx="0">
                  <c:v>47.7</c:v>
                </c:pt>
                <c:pt idx="1">
                  <c:v>67</c:v>
                </c:pt>
                <c:pt idx="2">
                  <c:v>49.3</c:v>
                </c:pt>
                <c:pt idx="3">
                  <c:v>54.5</c:v>
                </c:pt>
                <c:pt idx="4">
                  <c:v>62.8</c:v>
                </c:pt>
                <c:pt idx="5">
                  <c:v>54.25</c:v>
                </c:pt>
                <c:pt idx="6">
                  <c:v>49.05</c:v>
                </c:pt>
                <c:pt idx="7">
                  <c:v>51</c:v>
                </c:pt>
                <c:pt idx="8">
                  <c:v>55.1</c:v>
                </c:pt>
                <c:pt idx="9">
                  <c:v>56.9</c:v>
                </c:pt>
                <c:pt idx="10">
                  <c:v>48.150000000000006</c:v>
                </c:pt>
                <c:pt idx="11">
                  <c:v>48.5</c:v>
                </c:pt>
                <c:pt idx="12">
                  <c:v>47.8</c:v>
                </c:pt>
                <c:pt idx="13">
                  <c:v>50.35</c:v>
                </c:pt>
                <c:pt idx="14">
                  <c:v>81.449999999999989</c:v>
                </c:pt>
                <c:pt idx="15">
                  <c:v>53.1</c:v>
                </c:pt>
                <c:pt idx="16">
                  <c:v>66.95</c:v>
                </c:pt>
                <c:pt idx="17">
                  <c:v>44.15</c:v>
                </c:pt>
                <c:pt idx="18">
                  <c:v>46.599999999999994</c:v>
                </c:pt>
                <c:pt idx="19">
                  <c:v>58.5</c:v>
                </c:pt>
                <c:pt idx="20">
                  <c:v>90.8</c:v>
                </c:pt>
                <c:pt idx="21">
                  <c:v>49</c:v>
                </c:pt>
                <c:pt idx="22">
                  <c:v>42.95</c:v>
                </c:pt>
                <c:pt idx="23">
                  <c:v>51.5</c:v>
                </c:pt>
                <c:pt idx="24">
                  <c:v>50.55</c:v>
                </c:pt>
                <c:pt idx="25">
                  <c:v>51</c:v>
                </c:pt>
                <c:pt idx="26">
                  <c:v>47.85</c:v>
                </c:pt>
                <c:pt idx="27">
                  <c:v>55.400000000000006</c:v>
                </c:pt>
              </c:numCache>
            </c:numRef>
          </c:xVal>
          <c:yVal>
            <c:numRef>
              <c:f>scatter_plot!$F$52:$F$79</c:f>
              <c:numCache>
                <c:formatCode>0.00</c:formatCode>
                <c:ptCount val="28"/>
                <c:pt idx="0">
                  <c:v>3.4041450777202065</c:v>
                </c:pt>
                <c:pt idx="1">
                  <c:v>2.943548387096774</c:v>
                </c:pt>
                <c:pt idx="2">
                  <c:v>4.0638153428377457</c:v>
                </c:pt>
                <c:pt idx="3">
                  <c:v>3.3939137785291633</c:v>
                </c:pt>
                <c:pt idx="4">
                  <c:v>4.0926264472882385</c:v>
                </c:pt>
                <c:pt idx="5">
                  <c:v>2.7415316642120735</c:v>
                </c:pt>
                <c:pt idx="6">
                  <c:v>3.7362204724409436</c:v>
                </c:pt>
                <c:pt idx="7">
                  <c:v>4.3758325404376768</c:v>
                </c:pt>
                <c:pt idx="8">
                  <c:v>3.8092979127134727</c:v>
                </c:pt>
                <c:pt idx="9">
                  <c:v>1.8507042253521098</c:v>
                </c:pt>
                <c:pt idx="10">
                  <c:v>2.4277522935779805</c:v>
                </c:pt>
                <c:pt idx="11">
                  <c:v>5.0394477317554243</c:v>
                </c:pt>
                <c:pt idx="12">
                  <c:v>3.9118409680207429</c:v>
                </c:pt>
                <c:pt idx="13">
                  <c:v>3.9445244956772334</c:v>
                </c:pt>
                <c:pt idx="14">
                  <c:v>0.36762589928057704</c:v>
                </c:pt>
                <c:pt idx="15">
                  <c:v>2.1741122565864845</c:v>
                </c:pt>
                <c:pt idx="16">
                  <c:v>1.9210526315789531</c:v>
                </c:pt>
                <c:pt idx="17">
                  <c:v>2.1394774011299429</c:v>
                </c:pt>
                <c:pt idx="18">
                  <c:v>2.4930629669156881</c:v>
                </c:pt>
                <c:pt idx="19">
                  <c:v>1.3002544529262141</c:v>
                </c:pt>
                <c:pt idx="20">
                  <c:v>1.0082872928176796</c:v>
                </c:pt>
                <c:pt idx="21">
                  <c:v>2.1510128913443851</c:v>
                </c:pt>
                <c:pt idx="22">
                  <c:v>2.8489439853076219</c:v>
                </c:pt>
                <c:pt idx="23">
                  <c:v>2.6191352345906154</c:v>
                </c:pt>
                <c:pt idx="24">
                  <c:v>0.92535211267605488</c:v>
                </c:pt>
                <c:pt idx="25">
                  <c:v>2.1103810775295693</c:v>
                </c:pt>
                <c:pt idx="26">
                  <c:v>6.8266832917705731</c:v>
                </c:pt>
                <c:pt idx="27">
                  <c:v>4.1234309623430949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8B0-DA42-ADC7-CBA3BF8ED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5227768"/>
        <c:axId val="215223456"/>
      </c:scatterChart>
      <c:valAx>
        <c:axId val="215227768"/>
        <c:scaling>
          <c:orientation val="minMax"/>
          <c:max val="95"/>
          <c:min val="3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baseline="0">
                    <a:latin typeface="Arial" panose="020B0604020202020204" pitchFamily="34" charset="0"/>
                    <a:cs typeface="Times New Roman" panose="02020603050405020304" pitchFamily="18" charset="0"/>
                  </a:rPr>
                  <a:t>Curved carapace length (cm)</a:t>
                </a:r>
              </a:p>
            </c:rich>
          </c:tx>
          <c:layout>
            <c:manualLayout>
              <c:xMode val="edge"/>
              <c:yMode val="edge"/>
              <c:x val="0.42631012581928468"/>
              <c:y val="0.932915055229403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5223456"/>
        <c:crosses val="autoZero"/>
        <c:crossBetween val="midCat"/>
        <c:majorUnit val="5"/>
      </c:valAx>
      <c:valAx>
        <c:axId val="215223456"/>
        <c:scaling>
          <c:orientation val="minMax"/>
          <c:max val="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baseline="0">
                    <a:latin typeface="Arial" panose="020B0604020202020204" pitchFamily="34" charset="0"/>
                    <a:cs typeface="Times New Roman" panose="02020603050405020304" pitchFamily="18" charset="0"/>
                  </a:rPr>
                  <a:t>Growth</a:t>
                </a:r>
                <a:r>
                  <a:rPr lang="en-US" sz="10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000" b="0" baseline="0">
                    <a:latin typeface="Arial" panose="020B0604020202020204" pitchFamily="34" charset="0"/>
                    <a:cs typeface="Times New Roman" panose="02020603050405020304" pitchFamily="18" charset="0"/>
                  </a:rPr>
                  <a:t>rate (cm/year)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435298191892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5227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Year xmlns="ae69a1e9-6b4d-4fb0-b622-c144d8643932">Select</Year>
    <lcf76f155ced4ddcb4097134ff3c332f xmlns="ae69a1e9-6b4d-4fb0-b622-c144d8643932">
      <Terms xmlns="http://schemas.microsoft.com/office/infopath/2007/PartnerControls"/>
    </lcf76f155ced4ddcb4097134ff3c332f>
    <TaxCatchAll xmlns="5bc0285e-d98a-4166-8b94-4daf3a27d8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customXml/itemProps3.xml><?xml version="1.0" encoding="utf-8"?>
<ds:datastoreItem xmlns:ds="http://schemas.openxmlformats.org/officeDocument/2006/customXml" ds:itemID="{071E2BCB-4418-474E-8116-52C5102D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4</cp:revision>
  <cp:lastPrinted>2022-11-09T10:52:00Z</cp:lastPrinted>
  <dcterms:created xsi:type="dcterms:W3CDTF">2022-11-18T17:27:00Z</dcterms:created>
  <dcterms:modified xsi:type="dcterms:W3CDTF">2022-11-18T17:29:00Z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