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514B5" w14:textId="77777777" w:rsidR="00816D20" w:rsidRPr="007B2963" w:rsidRDefault="00916365">
      <w:pPr>
        <w:pStyle w:val="ArticleTitle"/>
        <w:spacing w:line="276" w:lineRule="auto"/>
        <w:jc w:val="left"/>
        <w:rPr>
          <w:rFonts w:asciiTheme="minorHAnsi" w:hAnsiTheme="minorHAnsi" w:cstheme="minorHAnsi"/>
          <w:b/>
          <w:sz w:val="28"/>
          <w:szCs w:val="28"/>
        </w:rPr>
      </w:pPr>
      <w:r w:rsidRPr="007B2963">
        <w:rPr>
          <w:rFonts w:asciiTheme="minorHAnsi" w:hAnsiTheme="minorHAnsi" w:cstheme="minorHAnsi"/>
          <w:b/>
          <w:sz w:val="28"/>
          <w:szCs w:val="28"/>
        </w:rPr>
        <w:t>Does REDD+ have a chance? Implications from Pemba Tanzania</w:t>
      </w:r>
    </w:p>
    <w:p w14:paraId="1B98AF64" w14:textId="77777777" w:rsidR="00B40573" w:rsidRPr="007B2963" w:rsidRDefault="00B40573">
      <w:pPr>
        <w:pStyle w:val="ArticleTitle"/>
        <w:spacing w:line="276" w:lineRule="auto"/>
        <w:jc w:val="left"/>
        <w:rPr>
          <w:b/>
        </w:rPr>
      </w:pPr>
    </w:p>
    <w:p w14:paraId="13E578C4" w14:textId="77777777" w:rsidR="00B40573" w:rsidRPr="007B2963" w:rsidRDefault="00916365">
      <w:pPr>
        <w:pStyle w:val="AuthorGroup"/>
        <w:spacing w:line="276" w:lineRule="auto"/>
        <w:jc w:val="right"/>
        <w:rPr>
          <w:rStyle w:val="Delim"/>
          <w:color w:val="000000"/>
          <w:sz w:val="24"/>
          <w:lang w:val="en-GB"/>
        </w:rPr>
      </w:pPr>
      <w:r w:rsidRPr="007B2963">
        <w:rPr>
          <w:rStyle w:val="Firstname"/>
          <w:color w:val="000000"/>
          <w:sz w:val="24"/>
          <w:lang w:val="en-GB"/>
        </w:rPr>
        <w:t>J</w:t>
      </w:r>
      <w:r w:rsidRPr="007B2963">
        <w:rPr>
          <w:rStyle w:val="Firstname"/>
          <w:smallCaps/>
          <w:color w:val="000000"/>
          <w:sz w:val="24"/>
          <w:lang w:val="en-GB"/>
        </w:rPr>
        <w:t>effrey</w:t>
      </w:r>
      <w:r w:rsidRPr="007B2963">
        <w:rPr>
          <w:rStyle w:val="Firstname"/>
          <w:color w:val="000000"/>
          <w:sz w:val="24"/>
          <w:lang w:val="en-GB"/>
        </w:rPr>
        <w:t xml:space="preserve"> B.</w:t>
      </w:r>
      <w:r w:rsidRPr="007B2963">
        <w:rPr>
          <w:rStyle w:val="Delim"/>
          <w:color w:val="000000"/>
          <w:sz w:val="24"/>
          <w:lang w:val="en-GB"/>
        </w:rPr>
        <w:t xml:space="preserve"> </w:t>
      </w:r>
      <w:r w:rsidRPr="007B2963">
        <w:rPr>
          <w:rStyle w:val="Surname"/>
          <w:color w:val="000000"/>
          <w:sz w:val="24"/>
          <w:lang w:val="en-GB"/>
        </w:rPr>
        <w:t>A</w:t>
      </w:r>
      <w:r w:rsidRPr="007B2963">
        <w:rPr>
          <w:rStyle w:val="Surname"/>
          <w:smallCaps/>
          <w:color w:val="000000"/>
          <w:sz w:val="24"/>
          <w:lang w:val="en-GB"/>
        </w:rPr>
        <w:t>ndrews</w:t>
      </w:r>
      <w:r w:rsidRPr="007B2963">
        <w:rPr>
          <w:rStyle w:val="Delim"/>
          <w:color w:val="000000"/>
          <w:sz w:val="24"/>
          <w:lang w:val="en-GB"/>
        </w:rPr>
        <w:t xml:space="preserve">, </w:t>
      </w:r>
      <w:r w:rsidRPr="007B2963">
        <w:rPr>
          <w:rStyle w:val="Firstname"/>
          <w:color w:val="000000"/>
          <w:sz w:val="24"/>
          <w:lang w:val="en-GB"/>
        </w:rPr>
        <w:t>T</w:t>
      </w:r>
      <w:r w:rsidRPr="007B2963">
        <w:rPr>
          <w:rStyle w:val="Firstname"/>
          <w:smallCaps/>
          <w:color w:val="000000"/>
          <w:sz w:val="24"/>
          <w:lang w:val="en-GB"/>
        </w:rPr>
        <w:t>im</w:t>
      </w:r>
      <w:r w:rsidRPr="007B2963">
        <w:rPr>
          <w:rStyle w:val="Delim"/>
          <w:color w:val="000000"/>
          <w:sz w:val="24"/>
          <w:lang w:val="en-GB"/>
        </w:rPr>
        <w:t xml:space="preserve"> </w:t>
      </w:r>
      <w:r w:rsidRPr="007B2963">
        <w:rPr>
          <w:rStyle w:val="Surname"/>
          <w:color w:val="000000"/>
          <w:sz w:val="24"/>
          <w:lang w:val="en-GB"/>
        </w:rPr>
        <w:t>C</w:t>
      </w:r>
      <w:r w:rsidRPr="007B2963">
        <w:rPr>
          <w:rStyle w:val="Surname"/>
          <w:smallCaps/>
          <w:color w:val="000000"/>
          <w:sz w:val="24"/>
          <w:lang w:val="en-GB"/>
        </w:rPr>
        <w:t>aro</w:t>
      </w:r>
      <w:r w:rsidRPr="007B2963">
        <w:rPr>
          <w:rStyle w:val="Delim"/>
          <w:color w:val="000000"/>
          <w:sz w:val="24"/>
          <w:lang w:val="en-GB"/>
        </w:rPr>
        <w:t xml:space="preserve">, </w:t>
      </w:r>
      <w:r w:rsidRPr="007B2963">
        <w:rPr>
          <w:rStyle w:val="Firstname"/>
          <w:color w:val="000000"/>
          <w:sz w:val="24"/>
          <w:lang w:val="en-GB"/>
        </w:rPr>
        <w:t>S</w:t>
      </w:r>
      <w:r w:rsidRPr="007B2963">
        <w:rPr>
          <w:rStyle w:val="Firstname"/>
          <w:smallCaps/>
          <w:color w:val="000000"/>
          <w:sz w:val="24"/>
          <w:lang w:val="en-GB"/>
        </w:rPr>
        <w:t>aid</w:t>
      </w:r>
      <w:r w:rsidRPr="007B2963">
        <w:rPr>
          <w:rStyle w:val="Delim"/>
          <w:color w:val="000000"/>
          <w:sz w:val="24"/>
          <w:lang w:val="en-GB"/>
        </w:rPr>
        <w:t xml:space="preserve"> </w:t>
      </w:r>
      <w:r w:rsidRPr="007B2963">
        <w:rPr>
          <w:rStyle w:val="Surname"/>
          <w:color w:val="000000"/>
          <w:sz w:val="24"/>
          <w:lang w:val="en-GB"/>
        </w:rPr>
        <w:t>J</w:t>
      </w:r>
      <w:r w:rsidRPr="007B2963">
        <w:rPr>
          <w:rStyle w:val="Surname"/>
          <w:smallCaps/>
          <w:color w:val="000000"/>
          <w:sz w:val="24"/>
          <w:lang w:val="en-GB"/>
        </w:rPr>
        <w:t>uma</w:t>
      </w:r>
      <w:r w:rsidRPr="007B2963">
        <w:rPr>
          <w:rStyle w:val="Surname"/>
          <w:color w:val="000000"/>
          <w:sz w:val="24"/>
          <w:lang w:val="en-GB"/>
        </w:rPr>
        <w:t xml:space="preserve"> A</w:t>
      </w:r>
      <w:r w:rsidRPr="007B2963">
        <w:rPr>
          <w:rStyle w:val="Surname"/>
          <w:smallCaps/>
          <w:color w:val="000000"/>
          <w:sz w:val="24"/>
          <w:lang w:val="en-GB"/>
        </w:rPr>
        <w:t>li</w:t>
      </w:r>
      <w:r w:rsidRPr="007B2963">
        <w:rPr>
          <w:rStyle w:val="Delim"/>
          <w:color w:val="000000"/>
          <w:sz w:val="24"/>
          <w:lang w:val="en-GB"/>
        </w:rPr>
        <w:t xml:space="preserve">, </w:t>
      </w:r>
      <w:r w:rsidRPr="007B2963">
        <w:rPr>
          <w:rStyle w:val="Firstname"/>
          <w:color w:val="000000"/>
          <w:sz w:val="24"/>
          <w:lang w:val="en-GB"/>
        </w:rPr>
        <w:t>A</w:t>
      </w:r>
      <w:r w:rsidRPr="007B2963">
        <w:rPr>
          <w:rStyle w:val="Firstname"/>
          <w:smallCaps/>
          <w:color w:val="000000"/>
          <w:sz w:val="24"/>
          <w:lang w:val="en-GB"/>
        </w:rPr>
        <w:t>my</w:t>
      </w:r>
      <w:r w:rsidRPr="007B2963">
        <w:rPr>
          <w:rStyle w:val="Delim"/>
          <w:color w:val="000000"/>
          <w:sz w:val="24"/>
          <w:lang w:val="en-GB"/>
        </w:rPr>
        <w:t xml:space="preserve"> </w:t>
      </w:r>
      <w:r w:rsidRPr="007B2963">
        <w:rPr>
          <w:rStyle w:val="Surname"/>
          <w:color w:val="000000"/>
          <w:sz w:val="24"/>
          <w:lang w:val="en-GB"/>
        </w:rPr>
        <w:t>C</w:t>
      </w:r>
      <w:r w:rsidRPr="007B2963">
        <w:rPr>
          <w:rStyle w:val="Surname"/>
          <w:smallCaps/>
          <w:color w:val="000000"/>
          <w:sz w:val="24"/>
          <w:lang w:val="en-GB"/>
        </w:rPr>
        <w:t>ollins</w:t>
      </w:r>
      <w:r w:rsidRPr="007B2963">
        <w:rPr>
          <w:rStyle w:val="Delim"/>
          <w:color w:val="000000"/>
          <w:sz w:val="24"/>
          <w:lang w:val="en-GB"/>
        </w:rPr>
        <w:t xml:space="preserve">, </w:t>
      </w:r>
      <w:r w:rsidRPr="007B2963">
        <w:rPr>
          <w:rStyle w:val="Firstname"/>
          <w:color w:val="000000"/>
          <w:sz w:val="24"/>
          <w:lang w:val="en-GB"/>
        </w:rPr>
        <w:t>B</w:t>
      </w:r>
      <w:r w:rsidRPr="007B2963">
        <w:rPr>
          <w:rStyle w:val="Firstname"/>
          <w:smallCaps/>
          <w:color w:val="000000"/>
          <w:sz w:val="24"/>
          <w:lang w:val="en-GB"/>
        </w:rPr>
        <w:t>idawa</w:t>
      </w:r>
      <w:r w:rsidRPr="007B2963">
        <w:rPr>
          <w:rStyle w:val="Delim"/>
          <w:color w:val="000000"/>
          <w:sz w:val="24"/>
          <w:lang w:val="en-GB"/>
        </w:rPr>
        <w:t xml:space="preserve"> </w:t>
      </w:r>
      <w:r w:rsidRPr="007B2963">
        <w:rPr>
          <w:rStyle w:val="Surname"/>
          <w:color w:val="000000"/>
          <w:sz w:val="24"/>
          <w:lang w:val="en-GB"/>
        </w:rPr>
        <w:t>B</w:t>
      </w:r>
      <w:r w:rsidRPr="007B2963">
        <w:rPr>
          <w:rStyle w:val="Surname"/>
          <w:smallCaps/>
          <w:color w:val="000000"/>
          <w:sz w:val="24"/>
          <w:lang w:val="en-GB"/>
        </w:rPr>
        <w:t>akari</w:t>
      </w:r>
      <w:r w:rsidRPr="007B2963">
        <w:rPr>
          <w:rStyle w:val="Surname"/>
          <w:color w:val="000000"/>
          <w:sz w:val="24"/>
          <w:lang w:val="en-GB"/>
        </w:rPr>
        <w:t xml:space="preserve"> H</w:t>
      </w:r>
      <w:r w:rsidRPr="007B2963">
        <w:rPr>
          <w:rStyle w:val="Surname"/>
          <w:smallCaps/>
          <w:color w:val="000000"/>
          <w:sz w:val="24"/>
          <w:lang w:val="en-GB"/>
        </w:rPr>
        <w:t>amadi</w:t>
      </w:r>
      <w:r w:rsidRPr="007B2963">
        <w:rPr>
          <w:rStyle w:val="Delim"/>
          <w:color w:val="000000"/>
          <w:sz w:val="24"/>
          <w:lang w:val="en-GB"/>
        </w:rPr>
        <w:t xml:space="preserve"> </w:t>
      </w:r>
      <w:r w:rsidRPr="007B2963">
        <w:rPr>
          <w:rStyle w:val="Firstname"/>
          <w:color w:val="000000"/>
          <w:sz w:val="24"/>
          <w:lang w:val="en-GB"/>
        </w:rPr>
        <w:t>H</w:t>
      </w:r>
      <w:r w:rsidRPr="007B2963">
        <w:rPr>
          <w:rStyle w:val="Firstname"/>
          <w:smallCaps/>
          <w:color w:val="000000"/>
          <w:sz w:val="24"/>
          <w:lang w:val="en-GB"/>
        </w:rPr>
        <w:t>assan</w:t>
      </w:r>
      <w:r w:rsidRPr="007B2963">
        <w:rPr>
          <w:rStyle w:val="Delim"/>
          <w:color w:val="000000"/>
          <w:sz w:val="24"/>
          <w:lang w:val="en-GB"/>
        </w:rPr>
        <w:t xml:space="preserve"> </w:t>
      </w:r>
      <w:r w:rsidRPr="007B2963">
        <w:rPr>
          <w:rStyle w:val="Surname"/>
          <w:color w:val="000000"/>
          <w:sz w:val="24"/>
          <w:lang w:val="en-GB"/>
        </w:rPr>
        <w:t>S</w:t>
      </w:r>
      <w:r w:rsidRPr="007B2963">
        <w:rPr>
          <w:rStyle w:val="Surname"/>
          <w:smallCaps/>
          <w:color w:val="000000"/>
          <w:sz w:val="24"/>
          <w:lang w:val="en-GB"/>
        </w:rPr>
        <w:t>ellieman</w:t>
      </w:r>
      <w:r w:rsidRPr="007B2963">
        <w:rPr>
          <w:rStyle w:val="Surname"/>
          <w:color w:val="000000"/>
          <w:sz w:val="24"/>
          <w:lang w:val="en-GB"/>
        </w:rPr>
        <w:t xml:space="preserve"> K</w:t>
      </w:r>
      <w:r w:rsidRPr="007B2963">
        <w:rPr>
          <w:rStyle w:val="Surname"/>
          <w:smallCaps/>
          <w:color w:val="000000"/>
          <w:sz w:val="24"/>
          <w:lang w:val="en-GB"/>
        </w:rPr>
        <w:t>hamis</w:t>
      </w:r>
      <w:r w:rsidRPr="007B2963">
        <w:rPr>
          <w:rStyle w:val="Delim"/>
          <w:color w:val="000000"/>
          <w:sz w:val="24"/>
          <w:lang w:val="en-GB"/>
        </w:rPr>
        <w:t xml:space="preserve">, </w:t>
      </w:r>
      <w:r w:rsidRPr="007B2963">
        <w:rPr>
          <w:rStyle w:val="Firstname"/>
          <w:color w:val="000000"/>
          <w:sz w:val="24"/>
          <w:lang w:val="en-GB"/>
        </w:rPr>
        <w:t>A</w:t>
      </w:r>
      <w:r w:rsidRPr="007B2963">
        <w:rPr>
          <w:rStyle w:val="Firstname"/>
          <w:smallCaps/>
          <w:color w:val="000000"/>
          <w:sz w:val="24"/>
          <w:lang w:val="en-GB"/>
        </w:rPr>
        <w:t>bdi</w:t>
      </w:r>
      <w:r w:rsidRPr="007B2963">
        <w:rPr>
          <w:rStyle w:val="Delim"/>
          <w:color w:val="000000"/>
          <w:sz w:val="24"/>
          <w:lang w:val="en-GB"/>
        </w:rPr>
        <w:t xml:space="preserve"> </w:t>
      </w:r>
      <w:r w:rsidRPr="007B2963">
        <w:rPr>
          <w:rStyle w:val="Surname"/>
          <w:color w:val="000000"/>
          <w:sz w:val="24"/>
          <w:lang w:val="en-GB"/>
        </w:rPr>
        <w:t>M</w:t>
      </w:r>
      <w:r w:rsidRPr="007B2963">
        <w:rPr>
          <w:rStyle w:val="Surname"/>
          <w:smallCaps/>
          <w:color w:val="000000"/>
          <w:sz w:val="24"/>
          <w:lang w:val="en-GB"/>
        </w:rPr>
        <w:t>zee</w:t>
      </w:r>
    </w:p>
    <w:p w14:paraId="7CA83785" w14:textId="6556A7FB" w:rsidR="00816D20" w:rsidRPr="007B2963" w:rsidRDefault="00916365">
      <w:pPr>
        <w:pStyle w:val="AuthorGroup"/>
        <w:spacing w:line="276" w:lineRule="auto"/>
        <w:jc w:val="right"/>
        <w:rPr>
          <w:lang w:val="en-GB"/>
        </w:rPr>
      </w:pPr>
      <w:r w:rsidRPr="007B2963">
        <w:rPr>
          <w:rStyle w:val="Firstname"/>
          <w:color w:val="000000"/>
          <w:sz w:val="24"/>
          <w:lang w:val="en-GB"/>
        </w:rPr>
        <w:t>A</w:t>
      </w:r>
      <w:r w:rsidRPr="007B2963">
        <w:rPr>
          <w:rStyle w:val="Firstname"/>
          <w:smallCaps/>
          <w:color w:val="000000"/>
          <w:sz w:val="24"/>
          <w:lang w:val="en-GB"/>
        </w:rPr>
        <w:t>ssaa</w:t>
      </w:r>
      <w:r w:rsidRPr="007B2963">
        <w:rPr>
          <w:rStyle w:val="Delim"/>
          <w:color w:val="000000"/>
          <w:sz w:val="24"/>
          <w:lang w:val="en-GB"/>
        </w:rPr>
        <w:t xml:space="preserve"> </w:t>
      </w:r>
      <w:r w:rsidRPr="007B2963">
        <w:rPr>
          <w:rStyle w:val="Surname"/>
          <w:color w:val="000000"/>
          <w:sz w:val="24"/>
          <w:lang w:val="en-GB"/>
        </w:rPr>
        <w:t>S</w:t>
      </w:r>
      <w:r w:rsidRPr="007B2963">
        <w:rPr>
          <w:rStyle w:val="Surname"/>
          <w:smallCaps/>
          <w:color w:val="000000"/>
          <w:sz w:val="24"/>
          <w:lang w:val="en-GB"/>
        </w:rPr>
        <w:t>harif</w:t>
      </w:r>
      <w:r w:rsidRPr="007B2963">
        <w:rPr>
          <w:rStyle w:val="Surname"/>
          <w:color w:val="000000"/>
          <w:sz w:val="24"/>
          <w:lang w:val="en-GB"/>
        </w:rPr>
        <w:t xml:space="preserve"> </w:t>
      </w:r>
      <w:r w:rsidRPr="007B2963">
        <w:rPr>
          <w:rStyle w:val="Surname"/>
          <w:smallCaps/>
          <w:color w:val="000000"/>
          <w:sz w:val="24"/>
          <w:lang w:val="en-GB"/>
        </w:rPr>
        <w:t>Ngwali</w:t>
      </w:r>
      <w:r w:rsidRPr="007B2963">
        <w:rPr>
          <w:rStyle w:val="Delim"/>
          <w:smallCaps/>
          <w:color w:val="000000"/>
          <w:sz w:val="24"/>
          <w:lang w:val="en-GB"/>
        </w:rPr>
        <w:t xml:space="preserve"> </w:t>
      </w:r>
      <w:r w:rsidRPr="007B2963">
        <w:rPr>
          <w:rStyle w:val="Delim"/>
          <w:color w:val="000000"/>
          <w:sz w:val="24"/>
          <w:lang w:val="en-GB"/>
        </w:rPr>
        <w:t xml:space="preserve">and </w:t>
      </w:r>
      <w:r w:rsidRPr="007B2963">
        <w:rPr>
          <w:rStyle w:val="Firstname"/>
          <w:color w:val="000000"/>
          <w:sz w:val="24"/>
          <w:lang w:val="en-GB"/>
        </w:rPr>
        <w:t>M</w:t>
      </w:r>
      <w:r w:rsidRPr="007B2963">
        <w:rPr>
          <w:rStyle w:val="Firstname"/>
          <w:smallCaps/>
          <w:color w:val="000000"/>
          <w:sz w:val="24"/>
          <w:lang w:val="en-GB"/>
        </w:rPr>
        <w:t>onique</w:t>
      </w:r>
      <w:r w:rsidRPr="007B2963">
        <w:rPr>
          <w:rStyle w:val="Delim"/>
          <w:color w:val="000000"/>
          <w:sz w:val="24"/>
          <w:lang w:val="en-GB"/>
        </w:rPr>
        <w:t xml:space="preserve"> </w:t>
      </w:r>
      <w:r w:rsidRPr="007B2963">
        <w:rPr>
          <w:rStyle w:val="Surname"/>
          <w:color w:val="000000"/>
          <w:sz w:val="24"/>
          <w:lang w:val="en-GB"/>
        </w:rPr>
        <w:t>B</w:t>
      </w:r>
      <w:r w:rsidRPr="007B2963">
        <w:rPr>
          <w:rStyle w:val="Surname"/>
          <w:smallCaps/>
          <w:color w:val="000000"/>
          <w:sz w:val="24"/>
          <w:lang w:val="en-GB"/>
        </w:rPr>
        <w:t>orgerhoff</w:t>
      </w:r>
      <w:r w:rsidRPr="007B2963">
        <w:rPr>
          <w:rStyle w:val="Surname"/>
          <w:color w:val="000000"/>
          <w:sz w:val="24"/>
          <w:lang w:val="en-GB"/>
        </w:rPr>
        <w:t xml:space="preserve"> M</w:t>
      </w:r>
      <w:r w:rsidRPr="007B2963">
        <w:rPr>
          <w:rStyle w:val="Surname"/>
          <w:smallCaps/>
          <w:color w:val="000000"/>
          <w:sz w:val="24"/>
          <w:lang w:val="en-GB"/>
        </w:rPr>
        <w:t>ulder</w:t>
      </w:r>
    </w:p>
    <w:p w14:paraId="5C66EC5D" w14:textId="77777777" w:rsidR="00816D20" w:rsidRPr="007B2963" w:rsidRDefault="00816D20">
      <w:pPr>
        <w:spacing w:line="276" w:lineRule="auto"/>
        <w:rPr>
          <w:rFonts w:cs="Times New Roman"/>
          <w:b/>
        </w:rPr>
      </w:pPr>
    </w:p>
    <w:p w14:paraId="7386A025" w14:textId="77777777" w:rsidR="00816D20" w:rsidRPr="007B2963" w:rsidRDefault="00916365">
      <w:pPr>
        <w:spacing w:line="276" w:lineRule="auto"/>
      </w:pPr>
      <w:r w:rsidRPr="007B2963">
        <w:rPr>
          <w:rFonts w:cs="Times New Roman"/>
          <w:smallCaps/>
        </w:rPr>
        <w:t xml:space="preserve">Supplementary material </w:t>
      </w:r>
      <w:r w:rsidRPr="007B2963">
        <w:rPr>
          <w:rFonts w:cs="Times New Roman"/>
        </w:rPr>
        <w:t>1 HIMA: Funding period and debates over carbon density.</w:t>
      </w:r>
    </w:p>
    <w:p w14:paraId="0EBAAF05" w14:textId="77777777" w:rsidR="00816D20" w:rsidRPr="007B2963" w:rsidRDefault="00816D20">
      <w:pPr>
        <w:spacing w:line="276" w:lineRule="auto"/>
        <w:rPr>
          <w:rFonts w:cs="Times New Roman"/>
        </w:rPr>
      </w:pPr>
    </w:p>
    <w:p w14:paraId="2AD904CC" w14:textId="178562AA" w:rsidR="00816D20" w:rsidRPr="007B2963" w:rsidRDefault="00916365">
      <w:pPr>
        <w:spacing w:line="276" w:lineRule="auto"/>
        <w:rPr>
          <w:rFonts w:cs="Times New Roman"/>
        </w:rPr>
      </w:pPr>
      <w:r w:rsidRPr="007B2963">
        <w:rPr>
          <w:rFonts w:cs="Times New Roman"/>
        </w:rPr>
        <w:t xml:space="preserve">The project “Hifadhi ya Misitu ya Asili (HIMA) </w:t>
      </w:r>
      <w:r w:rsidR="00AD746A" w:rsidRPr="007B2963">
        <w:rPr>
          <w:rFonts w:cs="Times New Roman"/>
        </w:rPr>
        <w:t>–</w:t>
      </w:r>
      <w:r w:rsidRPr="007B2963">
        <w:rPr>
          <w:rFonts w:cs="Times New Roman"/>
        </w:rPr>
        <w:t xml:space="preserve"> Piloting REDD+ in Zanzibar through Community Forest Management” was designed and implemented between April 2010 and December 2014 by CARE International, the Department of Forestry and Non</w:t>
      </w:r>
      <w:bookmarkStart w:id="0" w:name="_GoBack"/>
      <w:r w:rsidRPr="007B2963">
        <w:rPr>
          <w:rFonts w:cs="Times New Roman"/>
        </w:rPr>
        <w:t>-</w:t>
      </w:r>
      <w:bookmarkEnd w:id="0"/>
      <w:r w:rsidRPr="007B2963">
        <w:rPr>
          <w:rFonts w:cs="Times New Roman"/>
        </w:rPr>
        <w:t>Renewable Natural Resources (DFNRNR), the US-based company Terra Global, and the local community forestry NGO (JUMIJAZA). It received a no-cost extension until August 2015.</w:t>
      </w:r>
    </w:p>
    <w:p w14:paraId="6299BF81" w14:textId="77777777" w:rsidR="00816D20" w:rsidRPr="007B2963" w:rsidRDefault="00816D20">
      <w:pPr>
        <w:spacing w:line="276" w:lineRule="auto"/>
        <w:rPr>
          <w:rFonts w:cs="Times New Roman"/>
        </w:rPr>
      </w:pPr>
    </w:p>
    <w:p w14:paraId="3F5496F3" w14:textId="41E83065" w:rsidR="00816D20" w:rsidRPr="007B2963" w:rsidRDefault="00916365">
      <w:pPr>
        <w:spacing w:line="276" w:lineRule="auto"/>
      </w:pPr>
      <w:r w:rsidRPr="007B2963">
        <w:rPr>
          <w:rFonts w:cs="Times New Roman"/>
        </w:rPr>
        <w:t xml:space="preserve">Here we respond to a recent claim that Zanzibar’s forests have a comparatively low carbon density value (Ravikumar et al. 2017), thereby rendering Zanzibar a poor model from which to generate insights for REDD+ more generally. We contest this suggestion for two reasons.  First, there are </w:t>
      </w:r>
      <w:r w:rsidRPr="007B2963">
        <w:rPr>
          <w:rFonts w:cs="Times New Roman"/>
          <w:highlight w:val="white"/>
        </w:rPr>
        <w:t xml:space="preserve">conflicting calculations about the precise carbon density of Zanzibar, resulting from the fact that multiple Woody Biomass Surveys exist that use different methodologies for counting trees and calculating carbon density.  Updated calculations are currently being performed by Terra Global Capital, which will become the official statistics used for the REDD+ project. </w:t>
      </w:r>
      <w:r w:rsidRPr="007B2963">
        <w:rPr>
          <w:rFonts w:cs="Times New Roman"/>
        </w:rPr>
        <w:t xml:space="preserve">Second, the presumption that low-density projects will fail due to their low supply of carbon credits neglects market dynamics. The market price of carbon credits varies across projects in accordance with the various attributes that include poverty reduction, preservation of biodiversity, the extent to which the project assures “no harm” and “permanence”, as well as perhaps its international recognition.  Therefore, by selling high quality credits, projects can partially abate the problem of a low total tonnage through higher prices. Additionally, we would argue that by focusing only on forests with high carbon density, other valuable, unique and threatened forests with lower carbon density, such as some parts of East African coastal forests </w:t>
      </w:r>
      <w:r w:rsidRPr="007B2963">
        <w:fldChar w:fldCharType="begin"/>
      </w:r>
      <w:r w:rsidRPr="007B2963">
        <w:rPr>
          <w:rFonts w:cs="Times New Roman"/>
        </w:rPr>
        <w:instrText>ADDIN EN.CITE &lt;EndNote&gt;&lt;Cite&gt;&lt;Author&gt;Siex&lt;/Author&gt;&lt;Year&gt;2011&lt;/Year&gt;&lt;RecNum&gt;2465&lt;/RecNum&gt;&lt;DisplayText&gt;(Siex 2011)&lt;/DisplayText&gt;&lt;record&gt;&lt;rec-number&gt;2465&lt;/rec-number&gt;&lt;foreign-keys&gt;&lt;key app="EN" db-id="vt5e9dpvqaar0deweax5r5twzv9e5a22pxte" timestamp="1443916567"&gt;2465&lt;/key&gt;&lt;/foreign-keys&gt;&lt;ref-type name="Report"&gt;27&lt;/ref-type&gt;&lt;contributors&gt;&lt;authors&gt;&lt;author&gt;Siex, K S&lt;/author&gt;&lt;/authors&gt;&lt;/contributors&gt;&lt;titles&gt;&lt;title&gt;Protected Area Spatial Planning for Unguja and Pemba Islands, Zanzibar&lt;/title&gt;&lt;secondary-title&gt;A Consultancy to the UNDP-GEF-Extending the Coastal Forest Area Protected Area subsystem in Tanzania&lt;/secondary-title&gt;&lt;/titles&gt;&lt;pages&gt;42&lt;/pages&gt;&lt;dates&gt;&lt;year&gt;2011&lt;/year&gt;&lt;/dates&gt;&lt;publisher&gt;Wildlife Conservation Society&lt;/publisher&gt;&lt;urls&gt;&lt;/urls&gt;&lt;/record&gt;&lt;/Cite&gt;&lt;/EndNote&gt;</w:instrText>
      </w:r>
      <w:r w:rsidRPr="007B2963">
        <w:rPr>
          <w:rFonts w:cs="Times New Roman"/>
        </w:rPr>
        <w:fldChar w:fldCharType="separate"/>
      </w:r>
      <w:bookmarkStart w:id="1" w:name="Bookmark"/>
      <w:r w:rsidRPr="007B2963">
        <w:rPr>
          <w:rFonts w:cs="Times New Roman"/>
        </w:rPr>
        <w:t>(Siex</w:t>
      </w:r>
      <w:r w:rsidR="00AD746A" w:rsidRPr="007B2963">
        <w:rPr>
          <w:rFonts w:cs="Times New Roman"/>
        </w:rPr>
        <w:t>,</w:t>
      </w:r>
      <w:r w:rsidRPr="007B2963">
        <w:rPr>
          <w:rFonts w:cs="Times New Roman"/>
        </w:rPr>
        <w:t xml:space="preserve"> 2011)</w:t>
      </w:r>
      <w:r w:rsidRPr="007B2963">
        <w:fldChar w:fldCharType="end"/>
      </w:r>
      <w:bookmarkEnd w:id="1"/>
      <w:r w:rsidRPr="007B2963">
        <w:rPr>
          <w:rFonts w:cs="Times New Roman"/>
        </w:rPr>
        <w:t xml:space="preserve">, could become marginalized from conservation. </w:t>
      </w:r>
    </w:p>
    <w:p w14:paraId="5F59CB8C" w14:textId="77777777" w:rsidR="00816D20" w:rsidRPr="007B2963" w:rsidRDefault="00816D20">
      <w:pPr>
        <w:spacing w:line="276" w:lineRule="auto"/>
        <w:rPr>
          <w:rFonts w:cs="Times New Roman"/>
          <w:b/>
        </w:rPr>
      </w:pPr>
    </w:p>
    <w:p w14:paraId="585E7825" w14:textId="77777777" w:rsidR="00816D20" w:rsidRPr="007B2963" w:rsidRDefault="00816D20">
      <w:pPr>
        <w:spacing w:line="276" w:lineRule="auto"/>
        <w:rPr>
          <w:rFonts w:cs="Times New Roman"/>
          <w:b/>
        </w:rPr>
      </w:pPr>
    </w:p>
    <w:p w14:paraId="3B340BF8" w14:textId="46F67514" w:rsidR="00816D20" w:rsidRPr="007B2963" w:rsidRDefault="00916365">
      <w:pPr>
        <w:spacing w:line="276" w:lineRule="auto"/>
      </w:pPr>
      <w:r w:rsidRPr="007B2963">
        <w:rPr>
          <w:rFonts w:cs="Times New Roman"/>
          <w:smallCaps/>
        </w:rPr>
        <w:t xml:space="preserve">Supplementary material </w:t>
      </w:r>
      <w:r w:rsidR="00FE3BCB" w:rsidRPr="007B2963">
        <w:rPr>
          <w:rFonts w:cs="Times New Roman"/>
        </w:rPr>
        <w:t>2</w:t>
      </w:r>
      <w:r w:rsidRPr="007B2963">
        <w:rPr>
          <w:rFonts w:cs="Times New Roman"/>
        </w:rPr>
        <w:t xml:space="preserve"> Methods for calculating forest cover change per year per ward</w:t>
      </w:r>
    </w:p>
    <w:p w14:paraId="56BBEB7B" w14:textId="77777777" w:rsidR="00816D20" w:rsidRPr="007B2963" w:rsidRDefault="00816D20">
      <w:pPr>
        <w:spacing w:line="276" w:lineRule="auto"/>
        <w:rPr>
          <w:rFonts w:cs="Times New Roman"/>
          <w:i/>
        </w:rPr>
      </w:pPr>
    </w:p>
    <w:p w14:paraId="0245A4FB" w14:textId="77777777" w:rsidR="00816D20" w:rsidRPr="007B2963" w:rsidRDefault="00916365">
      <w:pPr>
        <w:spacing w:line="276" w:lineRule="auto"/>
        <w:rPr>
          <w:rFonts w:cs="Times New Roman"/>
        </w:rPr>
      </w:pPr>
      <w:r w:rsidRPr="007B2963">
        <w:rPr>
          <w:rFonts w:cs="Times New Roman"/>
        </w:rPr>
        <w:t>Satellite imagery</w:t>
      </w:r>
    </w:p>
    <w:p w14:paraId="44D6D5C0" w14:textId="77777777" w:rsidR="00816D20" w:rsidRPr="007B2963" w:rsidRDefault="00816D20">
      <w:pPr>
        <w:spacing w:line="276" w:lineRule="auto"/>
        <w:rPr>
          <w:rFonts w:cs="Times New Roman"/>
          <w:i/>
        </w:rPr>
      </w:pPr>
    </w:p>
    <w:p w14:paraId="00D2F2CF" w14:textId="471415C5" w:rsidR="00816D20" w:rsidRPr="007B2963" w:rsidRDefault="00916365">
      <w:pPr>
        <w:spacing w:line="276" w:lineRule="auto"/>
      </w:pPr>
      <w:r w:rsidRPr="007B2963">
        <w:rPr>
          <w:rFonts w:cs="Times New Roman"/>
        </w:rPr>
        <w:t>In order to quantify forest cover within each ward with a Community Forest Management Agreement (CoFMA, see main paper) and the degree of loss or gain in forest cover over the last two decades, we analysed a collection of Landsat 5, Landsat 7 and Landsat 8 satellite images. Landsat imagery was chosen as it is open source, spans the entire temporal period of the study, and has a high spatial resolution of 30 m</w:t>
      </w:r>
      <w:r w:rsidRPr="007B2963">
        <w:rPr>
          <w:rFonts w:cs="Times New Roman"/>
          <w:vertAlign w:val="superscript"/>
        </w:rPr>
        <w:t>2</w:t>
      </w:r>
      <w:r w:rsidRPr="007B2963">
        <w:rPr>
          <w:rFonts w:cs="Times New Roman"/>
        </w:rPr>
        <w:t xml:space="preserve"> and bi-weekly data availability </w:t>
      </w:r>
      <w:r w:rsidRPr="007B2963">
        <w:fldChar w:fldCharType="begin"/>
      </w:r>
      <w:r w:rsidRPr="007B2963">
        <w:rPr>
          <w:rFonts w:cs="Times New Roman"/>
        </w:rPr>
        <w:instrText>ADDIN CSL_CITATION {"citationItems":[{"id":"ITEM-1","itemData":{"author":[{"dropping-particle":"","family":"Cohen B, Goward","given":"S. N.","non-dropping-particle":"","parse-names":false,"suffix":""}],"id":"ITEM-1","issued":{"date-parts":[["2004"]]},"page":"12","title":"Landsat's Role in Ecological Applications of Remote Sensing","type":"article-journal"},"uris":["http://www.mendeley.com/documents/?uuid=c94ffae4-96ac-4fdc-a587-e101ee1f0616"]}],"mendeley":{"formattedCitation":"(Cohen B, Goward, 2004)","manualFormatting":"(Cohen &amp; Goward, 2004)","plainTextFormattedCitation":"(Cohen B, Goward, 2004)","previouslyFormattedCitation":"(Cohen B, Goward, 2004)"},"properties":{"noteIndex":0},"schema":"https://github.com/citation-style-language/schema/raw/master/csl-citation.json"}</w:instrText>
      </w:r>
      <w:r w:rsidRPr="007B2963">
        <w:rPr>
          <w:rFonts w:cs="Times New Roman"/>
        </w:rPr>
        <w:fldChar w:fldCharType="separate"/>
      </w:r>
      <w:bookmarkStart w:id="2" w:name="Bookmark5"/>
      <w:r w:rsidRPr="007B2963">
        <w:rPr>
          <w:rFonts w:cs="Times New Roman"/>
        </w:rPr>
        <w:t>(Cohen &amp; Goward, 2004)</w:t>
      </w:r>
      <w:r w:rsidRPr="007B2963">
        <w:fldChar w:fldCharType="end"/>
      </w:r>
      <w:bookmarkEnd w:id="2"/>
      <w:r w:rsidRPr="007B2963">
        <w:rPr>
          <w:rFonts w:cs="Times New Roman"/>
        </w:rPr>
        <w:t>. A two-year composite image was produced to represent three time peri</w:t>
      </w:r>
      <w:r w:rsidR="00AD746A" w:rsidRPr="007B2963">
        <w:rPr>
          <w:rFonts w:cs="Times New Roman"/>
        </w:rPr>
        <w:t>ods of interest; 2001 (May 2000</w:t>
      </w:r>
      <w:r w:rsidRPr="007B2963">
        <w:rPr>
          <w:rFonts w:cs="Times New Roman"/>
        </w:rPr>
        <w:t>–May 2002) and 2010 (October 2009</w:t>
      </w:r>
      <w:r w:rsidR="00AD746A" w:rsidRPr="007B2963">
        <w:rPr>
          <w:rFonts w:cs="Times New Roman"/>
        </w:rPr>
        <w:t>–</w:t>
      </w:r>
      <w:r w:rsidRPr="007B2963">
        <w:rPr>
          <w:rFonts w:cs="Times New Roman"/>
        </w:rPr>
        <w:t>October 2011) from a combination of Landsat 5 and 7 ETM+, and 2018 (January 2017</w:t>
      </w:r>
      <w:r w:rsidR="00AD746A" w:rsidRPr="007B2963">
        <w:rPr>
          <w:rFonts w:cs="Times New Roman"/>
        </w:rPr>
        <w:t>–</w:t>
      </w:r>
      <w:r w:rsidRPr="007B2963">
        <w:rPr>
          <w:rFonts w:cs="Times New Roman"/>
        </w:rPr>
        <w:t xml:space="preserve">January 2019) from Landsat 8 OLI. All images were top-of-atmosphere reflectance, ortho-rectified, and had cloud, water and cloud shadow pixels removed via the mask </w:t>
      </w:r>
      <w:r w:rsidR="00FD2759" w:rsidRPr="007B2963">
        <w:rPr>
          <w:rFonts w:cs="Times New Roman"/>
        </w:rPr>
        <w:lastRenderedPageBreak/>
        <w:t>CFMASK</w:t>
      </w:r>
      <w:r w:rsidRPr="007B2963">
        <w:rPr>
          <w:rFonts w:cs="Times New Roman"/>
        </w:rPr>
        <w:t xml:space="preserve"> in Google Earth Engine (GEE) version 7.3.2 </w:t>
      </w:r>
      <w:r w:rsidRPr="007B2963">
        <w:fldChar w:fldCharType="begin"/>
      </w:r>
      <w:r w:rsidRPr="007B2963">
        <w:rPr>
          <w:rFonts w:cs="Times New Roman"/>
        </w:rPr>
        <w:instrText>ADDIN CSL_CITATION {"citationItems":[{"id":"ITEM-1","itemData":{"DOI":"10.1016/J.RSE.2017.06.031","ISSN":"0034-4257","abstract":"Google Earth Engine is a cloud-based platform for planetary-scale geospatial analysis that brings Google's massive computational capabilities to bear on a variety of high-impact societal issues including deforestation, drought, disaster, disease, food security, water management, climate monitoring and environmental protection. It is unique in the field as an integrated platform designed to empower not only traditional remote sensing scientists, but also a much wider audience that lacks the technical capacity needed to utilize traditional supercomputers or large-scale commodity cloud computing resources.","author":[{"dropping-particle":"","family":"Gorelick","given":"Noel","non-dropping-particle":"","parse-names":false,"suffix":""},{"dropping-particle":"","family":"Hancher","given":"Matt","non-dropping-particle":"","parse-names":false,"suffix":""},{"dropping-particle":"","family":"Dixon","given":"Mike","non-dropping-particle":"","parse-names":false,"suffix":""},{"dropping-particle":"","family":"Ilyushchenko","given":"Simon","non-dropping-particle":"","parse-names":false,"suffix":""},{"dropping-particle":"","family":"Thau","given":"David","non-dropping-particle":"","parse-names":false,"suffix":""},{"dropping-particle":"","family":"Moore","given":"Rebecca","non-dropping-particle":"","parse-names":false,"suffix":""}],"container-title":"Remote Sensing of Environment","id":"ITEM-1","issued":{"date-parts":[["2017","12","1"]]},"page":"18-27","publisher":"Elsevier","title":"Google Earth Engine: Planetary-scale geospatial analysis for everyone","type":"article-journal","volume":"202"},"uris":["http://www.mendeley.com/documents/?uuid=22a831b1-7d5c-320b-8c8f-fdbbce42a23c"]},{"id":"ITEM-2","itemData":{"author":[{"dropping-particle":"","family":"Foga","given":"Steve","non-dropping-particle":"","parse-names":false,"suffix":""},{"dropping-particle":"","family":"Scaramuzza","given":"Pat L","non-dropping-particle":"","parse-names":false,"suffix":""},{"dropping-particle":"","family":"Guo","given":"Song","non-dropping-particle":"","parse-names":false,"suffix":""},{"dropping-particle":"","family":"Zhu","given":"Zhe","non-dropping-particle":"","parse-names":false,"suffix":""},{"dropping-particle":"","family":"Dilley","given":"Ronald D","non-dropping-particle":"","parse-names":false,"suffix":""},{"dropping-particle":"","family":"Beckmann","given":"Tim","non-dropping-particle":"","parse-names":false,"suffix":""},{"dropping-particle":"","family":"Schmidt","given":"Gail L","non-dropping-particle":"","parse-names":false,"suffix":""},{"dropping-particle":"","family":"Dwyer","given":"John L","non-dropping-particle":"","parse-names":false,"suffix":""},{"dropping-particle":"","family":"Hughes","given":"M Joseph","non-dropping-particle":"","parse-names":false,"suffix":""},{"dropping-particle":"","family":"Laue","given":"Brady","non-dropping-particle":"","parse-names":false,"suffix":""}],"container-title":"Remote Sensing of Environment","id":"ITEM-2","issued":{"date-parts":[["2017"]]},"page":"379-390","title":"Remote Sensing of Environment Cloud detection algorithm comparison and validation for operational Landsat data products","type":"article-journal","volume":"194"},"uris":["http://www.mendeley.com/documents/?uuid=7c07cb7f-84b3-4ab6-910a-5302947f1187"]}],"mendeley":{"formattedCitation":"(Foga et al., 2017; Gorelick et al., 2017)","plainTextFormattedCitation":"(Foga et al., 2017; Gorelick et al., 2017)","previouslyFormattedCitation":"(Foga et al., 2017; Gorelick et al., 2017)"},"properties":{"noteIndex":0},"schema":"https://github.com/citation-style-language/schema/raw/master/csl-citation.json"}</w:instrText>
      </w:r>
      <w:r w:rsidRPr="007B2963">
        <w:rPr>
          <w:rFonts w:cs="Times New Roman"/>
        </w:rPr>
        <w:fldChar w:fldCharType="separate"/>
      </w:r>
      <w:bookmarkStart w:id="3" w:name="Bookmark6"/>
      <w:r w:rsidRPr="007B2963">
        <w:rPr>
          <w:rFonts w:cs="Times New Roman"/>
        </w:rPr>
        <w:t>(Foga et al., 2017; Gorelick et al., 2017)</w:t>
      </w:r>
      <w:r w:rsidRPr="007B2963">
        <w:fldChar w:fldCharType="end"/>
      </w:r>
      <w:bookmarkEnd w:id="3"/>
      <w:r w:rsidRPr="007B2963">
        <w:rPr>
          <w:rFonts w:cs="Times New Roman"/>
        </w:rPr>
        <w:t xml:space="preserve">. Each pixel in the resulting composite image represented the median value for visible, NIR and Normalized Difference Vegetation Index (Near Infrared and Red) bands computed from the input imagery. </w:t>
      </w:r>
    </w:p>
    <w:p w14:paraId="37B9A154" w14:textId="77777777" w:rsidR="00816D20" w:rsidRPr="007B2963" w:rsidRDefault="00816D20">
      <w:pPr>
        <w:spacing w:line="276" w:lineRule="auto"/>
        <w:rPr>
          <w:rFonts w:cs="Times New Roman"/>
        </w:rPr>
      </w:pPr>
    </w:p>
    <w:p w14:paraId="676EDAD9" w14:textId="77777777" w:rsidR="00816D20" w:rsidRPr="007B2963" w:rsidRDefault="00916365">
      <w:pPr>
        <w:widowControl w:val="0"/>
        <w:spacing w:after="240" w:line="276" w:lineRule="auto"/>
        <w:rPr>
          <w:rFonts w:cs="Times New Roman"/>
        </w:rPr>
      </w:pPr>
      <w:r w:rsidRPr="007B2963">
        <w:rPr>
          <w:rFonts w:cs="Times New Roman"/>
        </w:rPr>
        <w:t>Training data</w:t>
      </w:r>
    </w:p>
    <w:p w14:paraId="22CE9924" w14:textId="0D3BDB21" w:rsidR="00816D20" w:rsidRPr="007B2963" w:rsidRDefault="00916365">
      <w:pPr>
        <w:widowControl w:val="0"/>
        <w:spacing w:after="240" w:line="276" w:lineRule="auto"/>
      </w:pPr>
      <w:r w:rsidRPr="007B2963">
        <w:rPr>
          <w:rFonts w:cs="Times New Roman"/>
        </w:rPr>
        <w:t>Eight land cover classifications were initially identified in Pemba; mangrove forest, natural high forest, agriculture, urban development, bare land, coral rag shrub, coral rag forest and agroforestry. We collected &gt;</w:t>
      </w:r>
      <w:r w:rsidR="00AD746A" w:rsidRPr="007B2963">
        <w:rPr>
          <w:rFonts w:cs="Times New Roman"/>
        </w:rPr>
        <w:t xml:space="preserve"> </w:t>
      </w:r>
      <w:r w:rsidRPr="007B2963">
        <w:rPr>
          <w:rFonts w:cs="Times New Roman"/>
        </w:rPr>
        <w:t xml:space="preserve">400 waypoints via a handheld GPS device (Garmin eTrex 20 GPS handheld unit) within a subset of wards on the island during a field survey in June–July 2015 and inspected the waypoints on Google Earth imagery for 2015. To obtain training points across the entire island, we then created training data locations by purposefully selecting 440 coordinates throughout the island and assigning each coordinate a land cover class via visual inspection from Google Earth 2001, 2010 and 2018 imagery. After preliminary analysis, and in line with the objectives of our study, the number of classifications was reduced to forest (mangrove, coral rag forest and natural high forest) and non-forest (agriculture, urban development, bare land, coral rag shrub, agroforestry). </w:t>
      </w:r>
    </w:p>
    <w:p w14:paraId="6AD5B98A" w14:textId="77777777" w:rsidR="00816D20" w:rsidRPr="007B2963" w:rsidRDefault="00916365">
      <w:pPr>
        <w:spacing w:line="276" w:lineRule="auto"/>
        <w:rPr>
          <w:rFonts w:cs="Times New Roman"/>
        </w:rPr>
      </w:pPr>
      <w:r w:rsidRPr="007B2963">
        <w:rPr>
          <w:rFonts w:cs="Times New Roman"/>
        </w:rPr>
        <w:t>Land cover classification</w:t>
      </w:r>
    </w:p>
    <w:p w14:paraId="243BDD91" w14:textId="77777777" w:rsidR="00816D20" w:rsidRPr="007B2963" w:rsidRDefault="00816D20">
      <w:pPr>
        <w:spacing w:line="276" w:lineRule="auto"/>
        <w:rPr>
          <w:rFonts w:cs="Times New Roman"/>
          <w:i/>
        </w:rPr>
      </w:pPr>
    </w:p>
    <w:p w14:paraId="27AFD606" w14:textId="1DD91B17" w:rsidR="00816D20" w:rsidRPr="007B2963" w:rsidRDefault="00916365">
      <w:pPr>
        <w:spacing w:line="276" w:lineRule="auto"/>
      </w:pPr>
      <w:r w:rsidRPr="007B2963">
        <w:rPr>
          <w:rFonts w:cs="Times New Roman"/>
        </w:rPr>
        <w:t xml:space="preserve">Images were classified as forest or non-forest for 2001, 2010 and 2018 using a ‘Random Forest’ supervised classification in Google Earth Engine. Seventy percent of the training data locations were randomly assigned to train the Landsat 7 and Landsat 8 composite data and the remaining 30 percent used for post-classification accuracy assessment </w:t>
      </w:r>
      <w:r w:rsidRPr="007B2963">
        <w:fldChar w:fldCharType="begin"/>
      </w:r>
      <w:r w:rsidRPr="007B2963">
        <w:rPr>
          <w:rFonts w:cs="Times New Roman"/>
        </w:rPr>
        <w:instrText>ADDIN CSL_CITATION {"citationItems":[{"id":"ITEM-1","itemData":{"ISSN":"0034-4257","author":[{"dropping-particle":"V","family":"Stehman","given":"Stephen","non-dropping-particle":"","parse-names":false,"suffix":""}],"container-title":"Remote sensing of Environment","id":"ITEM-1","issue":"1","issued":{"date-parts":[["1997"]]},"page":"77-89","publisher":"Elsevier","title":"Selecting and interpreting measures of thematic classification accuracy","type":"article-journal","volume":"62"},"uris":["http://www.mendeley.com/documents/?uuid=6d9ed30b-7296-4e3b-a068-69107bf9bd24"]},{"id":"ITEM-2","itemData":{"author":[{"dropping-particle":"","family":"Hijmans","given":"Robert J","non-dropping-particle":"","parse-names":false,"suffix":""},{"dropping-particle":"","family":"Etten","given":"Jacob","non-dropping-particle":"van","parse-names":false,"suffix":""}],"id":"ITEM-2","issued":{"date-parts":[["2012"]]},"title":"raster: Geographic analysis and modeling with raster data. R package version 2.0–12","type":"article"},"uris":["http://www.mendeley.com/documents/?uuid=d72f3194-4e94-4e4d-940f-608f35b3b231"]}],"mendeley":{"formattedCitation":"(Hijmans &amp; van Etten, 2012; Stehman, 1997)","plainTextFormattedCitation":"(Hijmans &amp; van Etten, 2012; Stehman, 1997)","previouslyFormattedCitation":"(Hijmans &amp; van Etten, 2012; Stehman, 1997)"},"properties":{"noteIndex":0},"schema":"https://github.com/citation-style-language/schema/raw/master/csl-citation.json"}</w:instrText>
      </w:r>
      <w:r w:rsidRPr="007B2963">
        <w:rPr>
          <w:rFonts w:cs="Times New Roman"/>
        </w:rPr>
        <w:fldChar w:fldCharType="separate"/>
      </w:r>
      <w:bookmarkStart w:id="4" w:name="Bookmark7"/>
      <w:r w:rsidRPr="007B2963">
        <w:rPr>
          <w:rFonts w:cs="Times New Roman"/>
        </w:rPr>
        <w:t>(Hijmans &amp; van Etten, 2012; Stehman, 1997)</w:t>
      </w:r>
      <w:r w:rsidRPr="007B2963">
        <w:fldChar w:fldCharType="end"/>
      </w:r>
      <w:bookmarkEnd w:id="4"/>
      <w:r w:rsidRPr="007B2963">
        <w:rPr>
          <w:rFonts w:cs="Times New Roman"/>
        </w:rPr>
        <w:t>. The resulting classified images’ overall accuracy from the confusion matrix was &gt;90% for all images and demonstrated excellent agreement with the kappa coefficient (</w:t>
      </w:r>
      <w:r w:rsidR="00D626C0" w:rsidRPr="007B2963">
        <w:rPr>
          <w:rFonts w:cs="Times New Roman"/>
        </w:rPr>
        <w:t xml:space="preserve">Supplementary </w:t>
      </w:r>
      <w:r w:rsidRPr="007B2963">
        <w:rPr>
          <w:rFonts w:cs="Times New Roman"/>
        </w:rPr>
        <w:t xml:space="preserve">Table 1). Potential sources of error in classifications may be attributed to initial training data collection on Pemba, cloud cover distorting satellite imagery and a Scan Line Corrector error on Landsat 7. </w:t>
      </w:r>
    </w:p>
    <w:p w14:paraId="1FB26F8F" w14:textId="77777777" w:rsidR="00816D20" w:rsidRPr="007B2963" w:rsidRDefault="00816D20">
      <w:pPr>
        <w:spacing w:line="276" w:lineRule="auto"/>
        <w:rPr>
          <w:rFonts w:cs="Times New Roman"/>
          <w:color w:val="000000"/>
        </w:rPr>
      </w:pPr>
    </w:p>
    <w:p w14:paraId="1B6E9073" w14:textId="48733CD1" w:rsidR="00816D20" w:rsidRPr="007B2963" w:rsidRDefault="00916365">
      <w:pPr>
        <w:spacing w:line="276" w:lineRule="auto"/>
      </w:pPr>
      <w:r w:rsidRPr="007B2963">
        <w:rPr>
          <w:rFonts w:cs="Times New Roman"/>
          <w:color w:val="000000"/>
        </w:rPr>
        <w:t xml:space="preserve">The classified images were clipped to the 18 wards that held a Community Forest Management Agreement (CoFMA) as of 2015. Shapefiles of ward areas were obtained from </w:t>
      </w:r>
      <w:r w:rsidRPr="007B2963">
        <w:rPr>
          <w:rFonts w:cs="Times New Roman"/>
          <w:i/>
          <w:color w:val="000000"/>
        </w:rPr>
        <w:t>Global Administration Areas 3.6</w:t>
      </w:r>
      <w:r w:rsidRPr="007B2963">
        <w:rPr>
          <w:rFonts w:cs="Times New Roman"/>
          <w:color w:val="000000"/>
        </w:rPr>
        <w:t xml:space="preserve"> </w:t>
      </w:r>
      <w:r w:rsidRPr="007B2963">
        <w:fldChar w:fldCharType="begin"/>
      </w:r>
      <w:r w:rsidRPr="007B2963">
        <w:rPr>
          <w:rFonts w:cs="Times New Roman"/>
        </w:rPr>
        <w:instrText>ADDIN CSL_CITATION {"citationItems":[{"id":"ITEM-1","itemData":{"URL":"www.gadm.org","author":[{"dropping-particle":"","family":"GADM","given":"","non-dropping-particle":"","parse-names":false,"suffix":""}],"id":"ITEM-1","issued":{"date-parts":[["2018"]]},"title":"GADM database of Global Administrative Areas version 3.6","type":"webpage"},"uris":["http://www.mendeley.com/documents/?uuid=5d3d2a63-4908-4c28-aa96-249685a4402b"]}],"mendeley":{"formattedCitation":"(GADM, 2018)","plainTextFormattedCitation":"(GADM, 2018)","previouslyFormattedCitation":"(GADM, 2018)"},"properties":{"noteIndex":0},"schema":"https://github.com/citation-style-language/schema/raw/master/csl-citation.json"}</w:instrText>
      </w:r>
      <w:r w:rsidRPr="007B2963">
        <w:rPr>
          <w:rFonts w:cs="Times New Roman"/>
        </w:rPr>
        <w:fldChar w:fldCharType="separate"/>
      </w:r>
      <w:bookmarkStart w:id="5" w:name="Bookmark8"/>
      <w:r w:rsidRPr="007B2963">
        <w:rPr>
          <w:rFonts w:cs="Times New Roman"/>
          <w:color w:val="000000"/>
        </w:rPr>
        <w:t>(GADM, 2018)</w:t>
      </w:r>
      <w:r w:rsidRPr="007B2963">
        <w:fldChar w:fldCharType="end"/>
      </w:r>
      <w:bookmarkEnd w:id="5"/>
      <w:r w:rsidRPr="007B2963">
        <w:rPr>
          <w:rFonts w:cs="Times New Roman"/>
          <w:color w:val="000000"/>
        </w:rPr>
        <w:t>. Shapefiles of government forest protected areas were obtained from the National Bureau of Statistics (United Republic of Tanzania). Government forest protected areas that lie within the study region were excluded from spatial analysis. Within each CoFMA, total area (m</w:t>
      </w:r>
      <w:r w:rsidRPr="007B2963">
        <w:rPr>
          <w:rFonts w:cs="Times New Roman"/>
          <w:color w:val="000000"/>
          <w:vertAlign w:val="superscript"/>
        </w:rPr>
        <w:t>2</w:t>
      </w:r>
      <w:r w:rsidRPr="007B2963">
        <w:rPr>
          <w:rFonts w:cs="Times New Roman"/>
          <w:color w:val="000000"/>
        </w:rPr>
        <w:t xml:space="preserve">) of forest and non-forest were then quantified for the three years of interest (2001, 2010, 2018) by zonal statistics in </w:t>
      </w:r>
      <w:r w:rsidRPr="007B2963">
        <w:rPr>
          <w:rFonts w:cs="Times New Roman"/>
          <w:i/>
          <w:color w:val="000000"/>
        </w:rPr>
        <w:t>QGIS</w:t>
      </w:r>
      <w:r w:rsidRPr="007B2963">
        <w:rPr>
          <w:rFonts w:cs="Times New Roman"/>
          <w:color w:val="000000"/>
        </w:rPr>
        <w:t xml:space="preserve"> </w:t>
      </w:r>
      <w:r w:rsidRPr="007B2963">
        <w:fldChar w:fldCharType="begin"/>
      </w:r>
      <w:r w:rsidRPr="007B2963">
        <w:rPr>
          <w:rFonts w:cs="Times New Roman"/>
        </w:rPr>
        <w:instrText>ADDIN CSL_CITATION {"citationItems":[{"id":"ITEM-1","itemData":{"author":[{"dropping-particle":"","family":"Team","given":"QGIS Development","non-dropping-particle":"","parse-names":false,"suffix":""}],"id":"ITEM-1","issued":{"date-parts":[["2018"]]},"title":"QGIS Geographic information System. Open Source Geospatial Foundation Project.","type":"article"},"uris":["http://www.mendeley.com/documents/?uuid=5d225e03-f660-45f6-8830-2522054fdb2d"]}],"mendeley":{"formattedCitation":"(Team, 2018)","manualFormatting":"(QGIS Development Team, 2018)","plainTextFormattedCitation":"(Team, 2018)"},"properties":{"noteIndex":0},"schema":"https://github.com/citation-style-language/schema/raw/master/csl-citation.json"}</w:instrText>
      </w:r>
      <w:r w:rsidRPr="007B2963">
        <w:rPr>
          <w:rFonts w:cs="Times New Roman"/>
        </w:rPr>
        <w:fldChar w:fldCharType="separate"/>
      </w:r>
      <w:bookmarkStart w:id="6" w:name="Bookmark9"/>
      <w:r w:rsidRPr="007B2963">
        <w:rPr>
          <w:rFonts w:cs="Times New Roman"/>
          <w:color w:val="000000"/>
        </w:rPr>
        <w:t>(QGIS Development Team, 2018)</w:t>
      </w:r>
      <w:r w:rsidRPr="007B2963">
        <w:fldChar w:fldCharType="end"/>
      </w:r>
      <w:bookmarkEnd w:id="6"/>
      <w:r w:rsidRPr="007B2963">
        <w:rPr>
          <w:rFonts w:cs="Times New Roman"/>
          <w:color w:val="000000"/>
        </w:rPr>
        <w:t>. Due to the number of cloudy pixels differing for each year of imagery, forest area (m</w:t>
      </w:r>
      <w:r w:rsidRPr="007B2963">
        <w:rPr>
          <w:rFonts w:cs="Times New Roman"/>
          <w:color w:val="000000"/>
          <w:vertAlign w:val="superscript"/>
        </w:rPr>
        <w:t>2</w:t>
      </w:r>
      <w:r w:rsidRPr="007B2963">
        <w:rPr>
          <w:rFonts w:cs="Times New Roman"/>
          <w:color w:val="000000"/>
        </w:rPr>
        <w:t>) was divided by total forest area (m</w:t>
      </w:r>
      <w:r w:rsidRPr="007B2963">
        <w:rPr>
          <w:rFonts w:cs="Times New Roman"/>
          <w:color w:val="000000"/>
          <w:vertAlign w:val="superscript"/>
        </w:rPr>
        <w:t>2</w:t>
      </w:r>
      <w:r w:rsidRPr="007B2963">
        <w:rPr>
          <w:rFonts w:cs="Times New Roman"/>
          <w:color w:val="000000"/>
        </w:rPr>
        <w:t>) (forest + non-forest) to obtain a percent of the CoFMA that was forest for each year (</w:t>
      </w:r>
      <w:r w:rsidR="00D626C0" w:rsidRPr="007B2963">
        <w:rPr>
          <w:rFonts w:cs="Times New Roman"/>
          <w:color w:val="000000"/>
        </w:rPr>
        <w:t xml:space="preserve">Supplementary Table </w:t>
      </w:r>
      <w:r w:rsidRPr="007B2963">
        <w:rPr>
          <w:rFonts w:cs="Times New Roman"/>
          <w:color w:val="000000"/>
        </w:rPr>
        <w:t xml:space="preserve">2). </w:t>
      </w:r>
    </w:p>
    <w:p w14:paraId="7BA85AE6" w14:textId="77777777" w:rsidR="00816D20" w:rsidRPr="007B2963" w:rsidRDefault="00816D20">
      <w:pPr>
        <w:spacing w:line="276" w:lineRule="auto"/>
        <w:rPr>
          <w:rFonts w:cs="Times New Roman"/>
          <w:color w:val="000000"/>
        </w:rPr>
      </w:pPr>
    </w:p>
    <w:p w14:paraId="04B42291" w14:textId="42FA0FE2" w:rsidR="00816D20" w:rsidRPr="007B2963" w:rsidRDefault="00916365">
      <w:pPr>
        <w:spacing w:line="276" w:lineRule="auto"/>
      </w:pPr>
      <w:r w:rsidRPr="007B2963">
        <w:rPr>
          <w:rFonts w:cs="Times New Roman"/>
          <w:color w:val="000000"/>
        </w:rPr>
        <w:t>To obtain the change in rate of forest loss or gain before (2001</w:t>
      </w:r>
      <w:r w:rsidR="00D626C0" w:rsidRPr="007B2963">
        <w:rPr>
          <w:rFonts w:cs="Times New Roman"/>
          <w:color w:val="000000"/>
        </w:rPr>
        <w:t>–</w:t>
      </w:r>
      <w:r w:rsidRPr="007B2963">
        <w:rPr>
          <w:rFonts w:cs="Times New Roman"/>
          <w:color w:val="000000"/>
        </w:rPr>
        <w:t>2010) and after (2010</w:t>
      </w:r>
      <w:r w:rsidR="00D626C0" w:rsidRPr="007B2963">
        <w:rPr>
          <w:rFonts w:cs="Times New Roman"/>
          <w:color w:val="000000"/>
        </w:rPr>
        <w:t>–</w:t>
      </w:r>
      <w:r w:rsidRPr="007B2963">
        <w:rPr>
          <w:rFonts w:cs="Times New Roman"/>
          <w:color w:val="000000"/>
        </w:rPr>
        <w:t xml:space="preserve">2018) the implementation of COFMAs, first we calculated the annual rate of forest cover change within all CoFMAs for the two time periods using the Compound Interest Law, as per the Food and Agriculture Organization of the United Nations </w:t>
      </w:r>
      <w:r w:rsidRPr="007B2963">
        <w:fldChar w:fldCharType="begin"/>
      </w:r>
      <w:r w:rsidRPr="007B2963">
        <w:rPr>
          <w:rFonts w:cs="Times New Roman"/>
        </w:rPr>
        <w:instrText>ADDIN CSL_CITATION {"citationItems":[{"id":"ITEM-1","itemData":{"ISSN":"9251092834","author":[{"dropping-particle":"","family":"MacDicken","given":"K","non-dropping-particle":"","parse-names":false,"suffix":""},{"dropping-particle":"","family":"Jonsson","given":"Ö","non-dropping-particle":"","parse-names":false,"suffix":""},{"dropping-particle":"","family":"Piña","given":"L","non-dropping-particle":"","parse-names":false,"suffix":""},{"dropping-particle":"","family":"Maulo","given":"S","non-dropping-particle":"","parse-names":false,"suffix":""},{"dropping-particle":"","family":"Contessa","given":"V","non-dropping-particle":"","parse-names":false,"suffix":""},{"dropping-particle":"","family":"Adikari","given":"Y","non-dropping-particle":"","parse-names":false,"suffix":""},{"dropping-particle":"","family":"Garzuglia","given":"M","non-dropping-particle":"","parse-names":false,"suffix":""},{"dropping-particle":"","family":"Lindquist","given":"E","non-dropping-particle":"","parse-names":false,"suffix":""},{"dropping-particle":"","family":"Reams","given":"G","non-dropping-particle":"","parse-names":false,"suffix":""},{"dropping-particle":"","family":"D’Annunzio","given":"R","non-dropping-particle":"","parse-names":false,"suffix":""}],"id":"ITEM-1","issued":{"date-parts":[["2016"]]},"publisher":"FAO","title":"Global Forest Resources Assessment 2015: how are the world's forests changing?","type":"article-journal"},"uris":["http://www.mendeley.com/documents/?uuid=09dfc51c-8811-43e6-88b1-5f0573e29eb6"]}],"mendeley":{"formattedCitation":"(MacDicken et al., 2016)","manualFormatting":"(FAO: MacDicken et al. 2016)","plainTextFormattedCitation":"(MacDicken et al., 2016)","previouslyFormattedCitation":"(MacDicken et al., 2016)"},"properties":{"noteIndex":0},"schema":"https://github.com/citation-style-language/schema/raw/master/csl-citation.json"}</w:instrText>
      </w:r>
      <w:r w:rsidRPr="007B2963">
        <w:rPr>
          <w:rFonts w:cs="Times New Roman"/>
        </w:rPr>
        <w:fldChar w:fldCharType="separate"/>
      </w:r>
      <w:bookmarkStart w:id="7" w:name="Bookmark10"/>
      <w:r w:rsidRPr="007B2963">
        <w:rPr>
          <w:rFonts w:cs="Times New Roman"/>
          <w:color w:val="000000"/>
        </w:rPr>
        <w:t>(FAO</w:t>
      </w:r>
      <w:r w:rsidR="003E26CD" w:rsidRPr="007B2963">
        <w:rPr>
          <w:rFonts w:cs="Times New Roman"/>
          <w:color w:val="000000"/>
        </w:rPr>
        <w:t>,</w:t>
      </w:r>
      <w:r w:rsidRPr="007B2963">
        <w:rPr>
          <w:rFonts w:cs="Times New Roman"/>
          <w:color w:val="000000"/>
        </w:rPr>
        <w:t xml:space="preserve"> 2016)</w:t>
      </w:r>
      <w:r w:rsidRPr="007B2963">
        <w:fldChar w:fldCharType="end"/>
      </w:r>
      <w:bookmarkEnd w:id="7"/>
      <w:r w:rsidRPr="007B2963">
        <w:rPr>
          <w:rFonts w:cs="Times New Roman"/>
          <w:color w:val="000000"/>
        </w:rPr>
        <w:t>. Secondly, the annual rate of forest cover change pre-treatment (2001</w:t>
      </w:r>
      <w:r w:rsidR="003E26CD" w:rsidRPr="007B2963">
        <w:rPr>
          <w:rFonts w:cs="Times New Roman"/>
          <w:color w:val="000000"/>
        </w:rPr>
        <w:t>–</w:t>
      </w:r>
      <w:r w:rsidRPr="007B2963">
        <w:rPr>
          <w:rFonts w:cs="Times New Roman"/>
          <w:color w:val="000000"/>
        </w:rPr>
        <w:t xml:space="preserve">2010) was subtracted from the annual rate of forest cover change </w:t>
      </w:r>
      <w:r w:rsidRPr="007B2963">
        <w:rPr>
          <w:rFonts w:cs="Times New Roman"/>
          <w:color w:val="000000"/>
        </w:rPr>
        <w:lastRenderedPageBreak/>
        <w:t>post-treatment (2010</w:t>
      </w:r>
      <w:r w:rsidR="004D5CB4">
        <w:rPr>
          <w:rFonts w:cs="Times New Roman"/>
          <w:color w:val="000000"/>
        </w:rPr>
        <w:t>–</w:t>
      </w:r>
      <w:r w:rsidRPr="007B2963">
        <w:rPr>
          <w:rFonts w:cs="Times New Roman"/>
          <w:color w:val="000000"/>
        </w:rPr>
        <w:t>2018</w:t>
      </w:r>
      <w:r w:rsidR="003E26CD" w:rsidRPr="007B2963">
        <w:rPr>
          <w:rFonts w:cs="Times New Roman"/>
          <w:color w:val="000000"/>
        </w:rPr>
        <w:t xml:space="preserve">; Supplementary Table </w:t>
      </w:r>
      <w:r w:rsidRPr="007B2963">
        <w:rPr>
          <w:rFonts w:cs="Times New Roman"/>
          <w:color w:val="000000"/>
        </w:rPr>
        <w:t xml:space="preserve">2). Calculations were completed within </w:t>
      </w:r>
      <w:r w:rsidRPr="007B2963">
        <w:rPr>
          <w:rFonts w:cs="Times New Roman"/>
          <w:i/>
          <w:color w:val="000000"/>
        </w:rPr>
        <w:t>RStudio 1.1.3</w:t>
      </w:r>
      <w:r w:rsidRPr="007B2963">
        <w:rPr>
          <w:rFonts w:cs="Times New Roman"/>
          <w:color w:val="000000"/>
        </w:rPr>
        <w:t xml:space="preserve"> </w:t>
      </w:r>
      <w:r w:rsidRPr="007B2963">
        <w:fldChar w:fldCharType="begin"/>
      </w:r>
      <w:r w:rsidRPr="007B2963">
        <w:rPr>
          <w:rFonts w:cs="Times New Roman"/>
        </w:rPr>
        <w:instrText>ADDIN CSL_CITATION {"citationItems":[{"id":"ITEM-1","itemData":{"author":[{"dropping-particle":"","family":"RStudio Team","given":"","non-dropping-particle":"","parse-names":false,"suffix":""}],"id":"ITEM-1","issued":{"date-parts":[["2015"]]},"publisher":"RStudio, Inc.","publisher-place":"Boston, MA","title":"RStudio: Integrated Development for R","type":"article"},"uris":["http://www.mendeley.com/documents/?uuid=ca26176b-acfc-384d-b8c4-530a0c3c321a"]}],"mendeley":{"formattedCitation":"(RStudio Team, 2015)","plainTextFormattedCitation":"(RStudio Team, 2015)","previouslyFormattedCitation":"(RStudio Team, 2015)"},"properties":{"noteIndex":0},"schema":"https://github.com/citation-style-language/schema/raw/master/csl-citation.json"}</w:instrText>
      </w:r>
      <w:r w:rsidRPr="007B2963">
        <w:rPr>
          <w:rFonts w:cs="Times New Roman"/>
        </w:rPr>
        <w:fldChar w:fldCharType="separate"/>
      </w:r>
      <w:bookmarkStart w:id="8" w:name="Bookmark11"/>
      <w:r w:rsidRPr="007B2963">
        <w:rPr>
          <w:rFonts w:cs="Times New Roman"/>
          <w:color w:val="000000"/>
        </w:rPr>
        <w:t>(RStudio Team, 2015)</w:t>
      </w:r>
      <w:r w:rsidRPr="007B2963">
        <w:fldChar w:fldCharType="end"/>
      </w:r>
      <w:bookmarkEnd w:id="8"/>
      <w:r w:rsidRPr="007B2963">
        <w:rPr>
          <w:rFonts w:cs="Times New Roman"/>
          <w:color w:val="000000"/>
        </w:rPr>
        <w:t>.</w:t>
      </w:r>
    </w:p>
    <w:p w14:paraId="0D9ED5A4" w14:textId="77777777" w:rsidR="00816D20" w:rsidRPr="007B2963" w:rsidRDefault="00816D20">
      <w:pPr>
        <w:spacing w:line="276" w:lineRule="auto"/>
        <w:rPr>
          <w:rFonts w:cs="Times New Roman"/>
          <w:color w:val="000000"/>
        </w:rPr>
      </w:pPr>
    </w:p>
    <w:p w14:paraId="2176BA90" w14:textId="77777777" w:rsidR="00816D20" w:rsidRPr="007B2963" w:rsidRDefault="00916365">
      <w:pPr>
        <w:spacing w:line="276" w:lineRule="auto"/>
        <w:rPr>
          <w:rFonts w:cs="Times New Roman"/>
          <w:color w:val="000000"/>
        </w:rPr>
      </w:pPr>
      <w:r w:rsidRPr="007B2963">
        <w:rPr>
          <w:rFonts w:cs="Times New Roman"/>
          <w:color w:val="000000"/>
        </w:rPr>
        <w:t>Classification results</w:t>
      </w:r>
    </w:p>
    <w:p w14:paraId="62DFF2D0" w14:textId="77777777" w:rsidR="00816D20" w:rsidRPr="007B2963" w:rsidRDefault="00816D20">
      <w:pPr>
        <w:spacing w:line="276" w:lineRule="auto"/>
        <w:rPr>
          <w:rFonts w:cs="Times New Roman"/>
          <w:color w:val="000000"/>
        </w:rPr>
      </w:pPr>
    </w:p>
    <w:p w14:paraId="447300DC" w14:textId="524601B1" w:rsidR="00816D20" w:rsidRPr="007B2963" w:rsidRDefault="00916365">
      <w:pPr>
        <w:spacing w:line="276" w:lineRule="auto"/>
        <w:rPr>
          <w:rFonts w:cs="Times New Roman"/>
          <w:color w:val="000000"/>
        </w:rPr>
      </w:pPr>
      <w:r w:rsidRPr="007B2963">
        <w:rPr>
          <w:rFonts w:cs="Times New Roman"/>
          <w:color w:val="000000"/>
        </w:rPr>
        <w:t xml:space="preserve">The results of our analysis are shown in Figure 2 and </w:t>
      </w:r>
      <w:r w:rsidR="00D626C0" w:rsidRPr="007B2963">
        <w:rPr>
          <w:rFonts w:cs="Times New Roman"/>
          <w:color w:val="000000"/>
        </w:rPr>
        <w:t xml:space="preserve">Supplementary Table </w:t>
      </w:r>
      <w:r w:rsidRPr="007B2963">
        <w:rPr>
          <w:rFonts w:cs="Times New Roman"/>
          <w:color w:val="000000"/>
        </w:rPr>
        <w:t xml:space="preserve">2. We emphasize these results do not substitute for the official analysis to be conducted by Terra Global Capital prior to the official audit of the REDD+ project but are based on our best use of Google Earth Engine and Landsat 5, 7 and 8 imagery. The alternative methodology used by Terra Global Capital for calculating forest cover serves a different purpose of determining the total amount of carbon sequestered for the issuance of carbon credits specified in the HIMA project document. </w:t>
      </w:r>
    </w:p>
    <w:p w14:paraId="0AF4D5F6" w14:textId="77777777" w:rsidR="00816D20" w:rsidRPr="007B2963" w:rsidRDefault="00816D20">
      <w:pPr>
        <w:spacing w:line="276" w:lineRule="auto"/>
        <w:rPr>
          <w:rFonts w:cs="Times New Roman"/>
          <w:color w:val="000000"/>
        </w:rPr>
      </w:pPr>
    </w:p>
    <w:p w14:paraId="6DC0F044" w14:textId="77777777" w:rsidR="00816D20" w:rsidRPr="007B2963" w:rsidRDefault="00916365">
      <w:pPr>
        <w:spacing w:line="276" w:lineRule="auto"/>
      </w:pPr>
      <w:r w:rsidRPr="007B2963">
        <w:rPr>
          <w:rFonts w:cs="Times New Roman"/>
          <w:color w:val="000000"/>
        </w:rPr>
        <w:t xml:space="preserve">Although the Zanzibar REDD+ project is designed to determine changes in rates of deforestation from a baseline historical rate at the </w:t>
      </w:r>
      <w:r w:rsidRPr="007B2963">
        <w:rPr>
          <w:rFonts w:cs="Times New Roman"/>
          <w:i/>
          <w:color w:val="000000"/>
        </w:rPr>
        <w:t>archipelago</w:t>
      </w:r>
      <w:r w:rsidRPr="007B2963">
        <w:rPr>
          <w:rFonts w:cs="Times New Roman"/>
          <w:color w:val="000000"/>
        </w:rPr>
        <w:t xml:space="preserve"> level (Pemba and Unguja, with the exception of urbanized areas) we focus on forested area</w:t>
      </w:r>
      <w:r w:rsidRPr="007B2963">
        <w:rPr>
          <w:rFonts w:cs="Times New Roman"/>
          <w:i/>
          <w:color w:val="000000"/>
        </w:rPr>
        <w:t xml:space="preserve"> per Pemba ward</w:t>
      </w:r>
      <w:r w:rsidRPr="007B2963">
        <w:rPr>
          <w:rFonts w:cs="Times New Roman"/>
          <w:color w:val="000000"/>
        </w:rPr>
        <w:t xml:space="preserve"> as the baseline. We do this for two reasons: first, this is the level at which “motivation payments” (see main text) were distributed during the HIMA project and secondly because the CoFMA groups are organized at the ward level. </w:t>
      </w:r>
    </w:p>
    <w:p w14:paraId="1DCE5FDC" w14:textId="77777777" w:rsidR="00816D20" w:rsidRPr="007B2963" w:rsidRDefault="00816D20">
      <w:pPr>
        <w:spacing w:line="276" w:lineRule="auto"/>
        <w:rPr>
          <w:rFonts w:cs="Times New Roman"/>
        </w:rPr>
      </w:pPr>
    </w:p>
    <w:p w14:paraId="64D50A58" w14:textId="77777777" w:rsidR="00FE3BCB" w:rsidRPr="007B2963" w:rsidRDefault="00FE3BCB" w:rsidP="00FE3BCB">
      <w:pPr>
        <w:spacing w:line="276" w:lineRule="auto"/>
        <w:rPr>
          <w:rFonts w:cs="Times New Roman"/>
          <w:smallCaps/>
        </w:rPr>
      </w:pPr>
    </w:p>
    <w:p w14:paraId="748D3D45" w14:textId="5A28A880" w:rsidR="00FE3BCB" w:rsidRPr="007B2963" w:rsidRDefault="00FE3BCB" w:rsidP="00FE3BCB">
      <w:pPr>
        <w:spacing w:line="276" w:lineRule="auto"/>
      </w:pPr>
      <w:r w:rsidRPr="007B2963">
        <w:rPr>
          <w:rFonts w:cs="Times New Roman"/>
          <w:smallCaps/>
        </w:rPr>
        <w:t xml:space="preserve">Supplementary material </w:t>
      </w:r>
      <w:r w:rsidRPr="007B2963">
        <w:rPr>
          <w:rFonts w:cs="Times New Roman"/>
        </w:rPr>
        <w:t>3 Historical continuity in community forest management: Msitu Mkuu and Ras Kiuyu as examples</w:t>
      </w:r>
    </w:p>
    <w:p w14:paraId="69747015" w14:textId="77777777" w:rsidR="00FE3BCB" w:rsidRPr="007B2963" w:rsidRDefault="00FE3BCB" w:rsidP="00FE3BCB">
      <w:pPr>
        <w:spacing w:line="276" w:lineRule="auto"/>
        <w:rPr>
          <w:rFonts w:cs="Times New Roman"/>
        </w:rPr>
      </w:pPr>
    </w:p>
    <w:p w14:paraId="32FCC4C0" w14:textId="6D062892" w:rsidR="00FE3BCB" w:rsidRPr="007B2963" w:rsidRDefault="00FE3BCB" w:rsidP="00FE3BCB">
      <w:pPr>
        <w:spacing w:line="276" w:lineRule="auto"/>
      </w:pPr>
      <w:r w:rsidRPr="007B2963">
        <w:rPr>
          <w:rFonts w:cs="Times New Roman"/>
        </w:rPr>
        <w:t xml:space="preserve">As noted in the main text, HIMA was built onto a history of decentralized community forest management in Zanzibar </w:t>
      </w:r>
      <w:r w:rsidRPr="007B2963">
        <w:fldChar w:fldCharType="begin"/>
      </w:r>
      <w:r w:rsidRPr="007B2963">
        <w:rPr>
          <w:rFonts w:cs="Times New Roman"/>
        </w:rPr>
        <w:instrText>ADDIN EN.CITE &lt;EndNote&gt;&lt;Cite&gt;&lt;Author&gt;Pakenham&lt;/Author&gt;&lt;Year&gt;1947&lt;/Year&gt;&lt;RecNum&gt;2706&lt;/RecNum&gt;&lt;Prefix&gt;e.g.`, &lt;/Prefix&gt;&lt;DisplayText&gt;(e.g., Pakenham 1947)&lt;/DisplayText&gt;&lt;record&gt;&lt;rec-number&gt;2706&lt;/rec-number&gt;&lt;foreign-keys&gt;&lt;key app="EN" db-id="vt5e9dpvqaar0deweax5r5twzv9e5a22pxte" timestamp="1488678172"&gt;2706&lt;/key&gt;&lt;/foreign-keys&gt;&lt;ref-type name="Book"&gt;6&lt;/ref-type&gt;&lt;contributors&gt;&lt;authors&gt;&lt;author&gt;Pakenham, R. H. W.&lt;/author&gt;&lt;/authors&gt;&lt;/contributors&gt;&lt;titles&gt;&lt;title&gt;Land Tenure among the Wahadimu at Chwaka, Zanzibar Island&lt;/title&gt;&lt;/titles&gt;&lt;dates&gt;&lt;year&gt;1947&lt;/year&gt;&lt;/dates&gt;&lt;pub-location&gt;Zanzibar Protectorate&lt;/pub-location&gt;&lt;publisher&gt;The Government Printer&lt;/publisher&gt;&lt;urls&gt;&lt;/urls&gt;&lt;/record&gt;&lt;/Cite&gt;&lt;/EndNote&gt;</w:instrText>
      </w:r>
      <w:r w:rsidRPr="007B2963">
        <w:rPr>
          <w:rFonts w:cs="Times New Roman"/>
        </w:rPr>
        <w:fldChar w:fldCharType="separate"/>
      </w:r>
      <w:bookmarkStart w:id="9" w:name="Bookmark1"/>
      <w:r w:rsidR="006A0DBB" w:rsidRPr="007B2963">
        <w:rPr>
          <w:rFonts w:cs="Times New Roman"/>
        </w:rPr>
        <w:t>(e.g.</w:t>
      </w:r>
      <w:r w:rsidRPr="007B2963">
        <w:rPr>
          <w:rFonts w:cs="Times New Roman"/>
        </w:rPr>
        <w:t xml:space="preserve"> Pakenham</w:t>
      </w:r>
      <w:r w:rsidR="006A0DBB" w:rsidRPr="007B2963">
        <w:rPr>
          <w:rFonts w:cs="Times New Roman"/>
        </w:rPr>
        <w:t>,</w:t>
      </w:r>
      <w:r w:rsidRPr="007B2963">
        <w:rPr>
          <w:rFonts w:cs="Times New Roman"/>
        </w:rPr>
        <w:t xml:space="preserve"> 1947)</w:t>
      </w:r>
      <w:r w:rsidRPr="007B2963">
        <w:fldChar w:fldCharType="end"/>
      </w:r>
      <w:bookmarkEnd w:id="9"/>
      <w:r w:rsidRPr="007B2963">
        <w:rPr>
          <w:rFonts w:cs="Times New Roman"/>
        </w:rPr>
        <w:t xml:space="preserve"> that had formal government support, in some case dating back to British colonial conservation policies </w:t>
      </w:r>
      <w:r w:rsidRPr="007B2963">
        <w:fldChar w:fldCharType="begin"/>
      </w:r>
      <w:r w:rsidRPr="007B2963">
        <w:rPr>
          <w:rFonts w:cs="Times New Roman"/>
        </w:rPr>
        <w:instrText>ADDIN EN.CITE &lt;EndNote&gt;&lt;Cite&gt;&lt;Author&gt;Benjaminsen&lt;/Author&gt;&lt;Year&gt;2014&lt;/Year&gt;&lt;RecNum&gt;2684&lt;/RecNum&gt;&lt;DisplayText&gt;(Shao 1992; Benjaminsen 2014)&lt;/DisplayText&gt;&lt;record&gt;&lt;rec-number&gt;2684&lt;/rec-number&gt;&lt;foreign-keys&gt;&lt;key app="EN" db-id="vt5e9dpvqaar0deweax5r5twzv9e5a22pxte" timestamp="1484683866"&gt;2684&lt;/key&gt;&lt;/foreign-keys&gt;&lt;ref-type name="Journal Article"&gt;17&lt;/ref-type&gt;&lt;contributors&gt;&lt;authors&gt;&lt;author&gt;Benjaminsen, G.&lt;/author&gt;&lt;/authors&gt;&lt;/contributors&gt;&lt;titles&gt;&lt;title&gt;Between resistance and consent: Project - village relationships when introducing REDD_ in Zanzibar&lt;/title&gt;&lt;secondary-title&gt;Forum for Development Studies&lt;/secondary-title&gt;&lt;/titles&gt;&lt;periodical&gt;&lt;full-title&gt;Forum for Development Studies&lt;/full-title&gt;&lt;/periodical&gt;&lt;pages&gt;377-398&lt;/pages&gt;&lt;volume&gt;41&lt;/volume&gt;&lt;number&gt;3&lt;/number&gt;&lt;dates&gt;&lt;year&gt;2014&lt;/year&gt;&lt;/dates&gt;&lt;urls&gt;&lt;/urls&gt;&lt;/record&gt;&lt;/Cite&gt;&lt;Cite&gt;&lt;Author&gt;Shao&lt;/Author&gt;&lt;Year&gt;1992&lt;/Year&gt;&lt;RecNum&gt;3227&lt;/RecNum&gt;&lt;record&gt;&lt;rec-number&gt;3227&lt;/rec-number&gt;&lt;foreign-keys&gt;&lt;key app="EN" db-id="vt5e9dpvqaar0deweax5r5twzv9e5a22pxte" timestamp="1556549800"&gt;3227&lt;/key&gt;&lt;/foreign-keys&gt;&lt;ref-type name="Book"&gt;6&lt;/ref-type&gt;&lt;contributors&gt;&lt;authors&gt;&lt;author&gt;Shao, I. F.&lt;/author&gt;&lt;/authors&gt;&lt;/contributors&gt;&lt;titles&gt;&lt;title&gt;The Political Economy of Land Reforms in Zanzibar: Before and After the Revolution&lt;/title&gt;&lt;/titles&gt;&lt;dates&gt;&lt;year&gt;1992&lt;/year&gt;&lt;/dates&gt;&lt;pub-location&gt;Dar es Salaam&lt;/pub-location&gt;&lt;publisher&gt;University of Dar es Salaam Press.&lt;/publisher&gt;&lt;urls&gt;&lt;/urls&gt;&lt;/record&gt;&lt;/Cite&gt;&lt;/EndNote&gt;</w:instrText>
      </w:r>
      <w:r w:rsidRPr="007B2963">
        <w:rPr>
          <w:rFonts w:cs="Times New Roman"/>
        </w:rPr>
        <w:fldChar w:fldCharType="separate"/>
      </w:r>
      <w:bookmarkStart w:id="10" w:name="Bookmark2"/>
      <w:r w:rsidRPr="007B2963">
        <w:rPr>
          <w:rFonts w:cs="Times New Roman"/>
        </w:rPr>
        <w:t>(Shao</w:t>
      </w:r>
      <w:r w:rsidR="006A0DBB" w:rsidRPr="007B2963">
        <w:rPr>
          <w:rFonts w:cs="Times New Roman"/>
        </w:rPr>
        <w:t>,</w:t>
      </w:r>
      <w:r w:rsidRPr="007B2963">
        <w:rPr>
          <w:rFonts w:cs="Times New Roman"/>
        </w:rPr>
        <w:t xml:space="preserve"> 1992; Benjaminsen</w:t>
      </w:r>
      <w:r w:rsidR="006A0DBB" w:rsidRPr="007B2963">
        <w:rPr>
          <w:rFonts w:cs="Times New Roman"/>
        </w:rPr>
        <w:t>,</w:t>
      </w:r>
      <w:r w:rsidRPr="007B2963">
        <w:rPr>
          <w:rFonts w:cs="Times New Roman"/>
        </w:rPr>
        <w:t xml:space="preserve"> 2014)</w:t>
      </w:r>
      <w:r w:rsidRPr="007B2963">
        <w:fldChar w:fldCharType="end"/>
      </w:r>
      <w:bookmarkEnd w:id="10"/>
      <w:r w:rsidRPr="007B2963">
        <w:rPr>
          <w:rFonts w:cs="Times New Roman"/>
        </w:rPr>
        <w:t xml:space="preserve">. We briefly overview the history of two forests on Pemba to illustrate this history of community engagement in forest protection to show the complex complementarities in producing conservation goods.  </w:t>
      </w:r>
    </w:p>
    <w:p w14:paraId="2614BB8A" w14:textId="77777777" w:rsidR="00FE3BCB" w:rsidRPr="007B2963" w:rsidRDefault="00FE3BCB" w:rsidP="00FE3BCB">
      <w:pPr>
        <w:spacing w:line="276" w:lineRule="auto"/>
        <w:rPr>
          <w:rFonts w:cs="Times New Roman"/>
        </w:rPr>
      </w:pPr>
    </w:p>
    <w:p w14:paraId="046B630B" w14:textId="77777777" w:rsidR="00FE3BCB" w:rsidRPr="007B2963" w:rsidRDefault="00FE3BCB" w:rsidP="00FE3BCB">
      <w:pPr>
        <w:spacing w:line="276" w:lineRule="auto"/>
        <w:outlineLvl w:val="0"/>
        <w:rPr>
          <w:rFonts w:cs="Times New Roman"/>
        </w:rPr>
      </w:pPr>
      <w:r w:rsidRPr="007B2963">
        <w:rPr>
          <w:rFonts w:cs="Times New Roman"/>
        </w:rPr>
        <w:t>Msitu Mkuu</w:t>
      </w:r>
    </w:p>
    <w:p w14:paraId="26C36288" w14:textId="77777777" w:rsidR="00FE3BCB" w:rsidRPr="007B2963" w:rsidRDefault="00FE3BCB" w:rsidP="00FE3BCB">
      <w:pPr>
        <w:spacing w:line="276" w:lineRule="auto"/>
        <w:ind w:firstLine="720"/>
        <w:rPr>
          <w:rFonts w:eastAsia="Times New Roman" w:cs="Arial"/>
        </w:rPr>
      </w:pPr>
    </w:p>
    <w:p w14:paraId="30A7C476" w14:textId="1E7A443F" w:rsidR="00FE3BCB" w:rsidRPr="007B2963" w:rsidRDefault="00FE3BCB" w:rsidP="00FE3BCB">
      <w:pPr>
        <w:spacing w:line="276" w:lineRule="auto"/>
      </w:pPr>
      <w:r w:rsidRPr="007B2963">
        <w:rPr>
          <w:rFonts w:eastAsia="Times New Roman" w:cs="Arial"/>
        </w:rPr>
        <w:t>Msitu Mkuu (188.5 h</w:t>
      </w:r>
      <w:r w:rsidR="006A0DBB" w:rsidRPr="007B2963">
        <w:rPr>
          <w:rFonts w:eastAsia="Times New Roman" w:cs="Arial"/>
        </w:rPr>
        <w:t>a</w:t>
      </w:r>
      <w:r w:rsidRPr="007B2963">
        <w:rPr>
          <w:rFonts w:eastAsia="Times New Roman" w:cs="Arial"/>
        </w:rPr>
        <w:t>) is a relatively undisturbed area of high coral rag forest and low coral rag thicket located on the North-eastern corner of the Pemba Island (Micheweni District) at the margins between the deep soil and coral rag belt of Ras Kiuyu peninsula. The area</w:t>
      </w:r>
      <w:r w:rsidRPr="007B2963">
        <w:rPr>
          <w:rFonts w:cs="Times New Roman"/>
        </w:rPr>
        <w:t xml:space="preserve"> was recognized by the British as an area of ecological importance and was closed to woodcutting in 1947, and has since 1964 been jointly managed with the Forestry Department with four communities (Mjini Wingwi, Kilindini, Kwale and Chokaaningayo) as, what is now called, a Forest Reserve. Local measures against illegal cutting have been implemented for many years by people living areas around it. </w:t>
      </w:r>
    </w:p>
    <w:p w14:paraId="2F28C087" w14:textId="77777777" w:rsidR="00FE3BCB" w:rsidRPr="007B2963" w:rsidRDefault="00FE3BCB" w:rsidP="00FE3BCB">
      <w:pPr>
        <w:spacing w:line="276" w:lineRule="auto"/>
        <w:ind w:firstLine="720"/>
        <w:rPr>
          <w:rFonts w:cs="Times New Roman"/>
        </w:rPr>
      </w:pPr>
    </w:p>
    <w:p w14:paraId="496ED6D4" w14:textId="23554572" w:rsidR="00FE3BCB" w:rsidRPr="007B2963" w:rsidRDefault="00FE3BCB" w:rsidP="00FE3BCB">
      <w:pPr>
        <w:spacing w:line="276" w:lineRule="auto"/>
      </w:pPr>
      <w:r w:rsidRPr="007B2963">
        <w:rPr>
          <w:rFonts w:cs="Times New Roman"/>
        </w:rPr>
        <w:t>During a visit to Mjini Wingwi in 2015, the villagers reported memories of a strong British effort to protect the forest. They reported their ancestors’ recognition of the importance of the forest, and the assistance they had sought from Mr Parkenham (District Commissioner at the time) for assistance for its protection.</w:t>
      </w:r>
      <w:r w:rsidRPr="007B2963">
        <w:rPr>
          <w:rFonts w:eastAsia="Times New Roman" w:cs="Arial"/>
        </w:rPr>
        <w:t xml:space="preserve"> </w:t>
      </w:r>
      <w:r w:rsidRPr="007B2963">
        <w:rPr>
          <w:rFonts w:cs="Times New Roman"/>
        </w:rPr>
        <w:t>The conservation committee also reported a village decision in 1988 to follow up on the mid-century protection strategies, including patrols, with the goal of protecting the forest against threats from local population increase (</w:t>
      </w:r>
      <w:r w:rsidR="006A0DBB" w:rsidRPr="007B2963">
        <w:rPr>
          <w:rFonts w:cs="Times New Roman"/>
        </w:rPr>
        <w:t xml:space="preserve">M. </w:t>
      </w:r>
      <w:r w:rsidRPr="007B2963">
        <w:rPr>
          <w:rFonts w:cs="Times New Roman"/>
        </w:rPr>
        <w:t xml:space="preserve">Borgerhoff Mulder, unpublished </w:t>
      </w:r>
      <w:r w:rsidR="006A0DBB" w:rsidRPr="007B2963">
        <w:rPr>
          <w:rFonts w:cs="Times New Roman"/>
        </w:rPr>
        <w:t>data,</w:t>
      </w:r>
      <w:r w:rsidRPr="007B2963">
        <w:rPr>
          <w:rFonts w:cs="Times New Roman"/>
        </w:rPr>
        <w:t xml:space="preserve"> 2015). Villagers and committee members stressed the importance of recognizing the wealth (of an intact </w:t>
      </w:r>
      <w:r w:rsidRPr="007B2963">
        <w:rPr>
          <w:rFonts w:cs="Times New Roman"/>
        </w:rPr>
        <w:lastRenderedPageBreak/>
        <w:t xml:space="preserve">Msitu Mkuu) that their fathers had bequeathed them, as well as the presence of sacred sites in the forest, and traditional medicines. In this respect HIMA did not feel like an imposition. </w:t>
      </w:r>
    </w:p>
    <w:p w14:paraId="3C347069" w14:textId="77777777" w:rsidR="00FE3BCB" w:rsidRPr="007B2963" w:rsidRDefault="00FE3BCB" w:rsidP="00FE3BCB">
      <w:pPr>
        <w:spacing w:line="276" w:lineRule="auto"/>
        <w:rPr>
          <w:rFonts w:cs="Times New Roman"/>
        </w:rPr>
      </w:pPr>
    </w:p>
    <w:p w14:paraId="42C94D7A" w14:textId="77777777" w:rsidR="00FE3BCB" w:rsidRPr="007B2963" w:rsidRDefault="00FE3BCB" w:rsidP="00FE3BCB">
      <w:pPr>
        <w:spacing w:line="276" w:lineRule="auto"/>
        <w:outlineLvl w:val="0"/>
        <w:rPr>
          <w:rFonts w:cs="Times New Roman"/>
        </w:rPr>
      </w:pPr>
      <w:r w:rsidRPr="007B2963">
        <w:rPr>
          <w:rFonts w:cs="Times New Roman"/>
        </w:rPr>
        <w:t>Ras Kiuyu</w:t>
      </w:r>
    </w:p>
    <w:p w14:paraId="3FAE1949" w14:textId="77777777" w:rsidR="00FE3BCB" w:rsidRPr="007B2963" w:rsidRDefault="00FE3BCB" w:rsidP="00FE3BCB">
      <w:pPr>
        <w:pStyle w:val="Default"/>
        <w:spacing w:line="276" w:lineRule="auto"/>
        <w:ind w:firstLine="720"/>
        <w:rPr>
          <w:rFonts w:ascii="Times New Roman" w:hAnsi="Times New Roman" w:cs="Times New Roman"/>
          <w:color w:val="auto"/>
          <w:lang w:val="en-GB"/>
        </w:rPr>
      </w:pPr>
    </w:p>
    <w:p w14:paraId="150CE8CD" w14:textId="78CA421B" w:rsidR="00FE3BCB" w:rsidRPr="007B2963" w:rsidRDefault="00FE3BCB" w:rsidP="00FE3BCB">
      <w:pPr>
        <w:pStyle w:val="Default"/>
        <w:spacing w:line="276" w:lineRule="auto"/>
        <w:rPr>
          <w:rFonts w:ascii="Times New Roman" w:hAnsi="Times New Roman"/>
          <w:lang w:val="en-GB"/>
        </w:rPr>
      </w:pPr>
      <w:r w:rsidRPr="007B2963">
        <w:rPr>
          <w:rFonts w:ascii="Times New Roman" w:hAnsi="Times New Roman" w:cs="Times New Roman"/>
          <w:color w:val="auto"/>
          <w:lang w:val="en-GB"/>
        </w:rPr>
        <w:t xml:space="preserve">Ras Kiuyu forest (Micheweni District) is a particularly interesting case, a high coral rag forest with high biological diversity </w:t>
      </w:r>
      <w:r w:rsidRPr="007B2963">
        <w:rPr>
          <w:lang w:val="en-GB"/>
        </w:rPr>
        <w:fldChar w:fldCharType="begin"/>
      </w:r>
      <w:r w:rsidRPr="007B2963">
        <w:rPr>
          <w:rFonts w:ascii="Times New Roman" w:hAnsi="Times New Roman" w:cs="Times New Roman"/>
          <w:lang w:val="en-GB"/>
        </w:rPr>
        <w:instrText>ADDIN EN.CITE &lt;EndNote&gt;&lt;Cite&gt;&lt;Author&gt;Siex&lt;/Author&gt;&lt;Year&gt;2011&lt;/Year&gt;&lt;RecNum&gt;2465&lt;/RecNum&gt;&lt;DisplayText&gt;(Siex 2011)&lt;/DisplayText&gt;&lt;record&gt;&lt;rec-number&gt;2465&lt;/rec-number&gt;&lt;foreign-keys&gt;&lt;key app="EN" db-id="vt5e9dpvqaar0deweax5r5twzv9e5a22pxte" timestamp="1443916567"&gt;2465&lt;/key&gt;&lt;/foreign-keys&gt;&lt;ref-type name="Report"&gt;27&lt;/ref-type&gt;&lt;contributors&gt;&lt;authors&gt;&lt;author&gt;Siex, K S&lt;/author&gt;&lt;/authors&gt;&lt;/contributors&gt;&lt;titles&gt;&lt;title&gt;Protected Area Spatial Planning for Unguja and Pemba Islands, Zanzibar&lt;/title&gt;&lt;secondary-title&gt;A Consultancy to the UNDP-GEF-Extending the Coastal Forest Area Protected Area subsystem in Tanzania&lt;/secondary-title&gt;&lt;/titles&gt;&lt;pages&gt;42&lt;/pages&gt;&lt;dates&gt;&lt;year&gt;2011&lt;/year&gt;&lt;/dates&gt;&lt;publisher&gt;Wildlife Conservation Society&lt;/publisher&gt;&lt;urls&gt;&lt;/urls&gt;&lt;/record&gt;&lt;/Cite&gt;&lt;/EndNote&gt;</w:instrText>
      </w:r>
      <w:r w:rsidRPr="007B2963">
        <w:rPr>
          <w:rFonts w:ascii="Times New Roman" w:hAnsi="Times New Roman" w:cs="Times New Roman"/>
          <w:lang w:val="en-GB"/>
        </w:rPr>
        <w:fldChar w:fldCharType="separate"/>
      </w:r>
      <w:bookmarkStart w:id="11" w:name="Bookmark3"/>
      <w:r w:rsidRPr="007B2963">
        <w:rPr>
          <w:rFonts w:ascii="Times New Roman" w:hAnsi="Times New Roman" w:cs="Times New Roman"/>
          <w:color w:val="auto"/>
          <w:lang w:val="en-GB"/>
        </w:rPr>
        <w:t>(Siex</w:t>
      </w:r>
      <w:r w:rsidR="007B2963" w:rsidRPr="007B2963">
        <w:rPr>
          <w:rFonts w:ascii="Times New Roman" w:hAnsi="Times New Roman" w:cs="Times New Roman"/>
          <w:color w:val="auto"/>
          <w:lang w:val="en-GB"/>
        </w:rPr>
        <w:t>,</w:t>
      </w:r>
      <w:r w:rsidRPr="007B2963">
        <w:rPr>
          <w:rFonts w:ascii="Times New Roman" w:hAnsi="Times New Roman" w:cs="Times New Roman"/>
          <w:color w:val="auto"/>
          <w:lang w:val="en-GB"/>
        </w:rPr>
        <w:t xml:space="preserve"> 2011)</w:t>
      </w:r>
      <w:r w:rsidRPr="007B2963">
        <w:rPr>
          <w:rFonts w:ascii="Times New Roman" w:hAnsi="Times New Roman"/>
          <w:lang w:val="en-GB"/>
        </w:rPr>
        <w:fldChar w:fldCharType="end"/>
      </w:r>
      <w:bookmarkEnd w:id="11"/>
      <w:r w:rsidRPr="007B2963">
        <w:rPr>
          <w:rFonts w:ascii="Times New Roman" w:hAnsi="Times New Roman" w:cs="Times New Roman"/>
          <w:color w:val="auto"/>
          <w:lang w:val="en-GB"/>
        </w:rPr>
        <w:t xml:space="preserve"> lying in the ward of Kiuyu Mbuyuni. Heavy deforestation occurred in 1972 during a period of severe drought, and as a result of locally elected elders seeking new lands for agricultural production and forest products. However in 1975 local leaders decided to protect the forest. In 1987 it was reportedly gazetted by DFNRNR as a Forest Reserve with a total area of 270 h</w:t>
      </w:r>
      <w:r w:rsidR="007B2963" w:rsidRPr="007B2963">
        <w:rPr>
          <w:rFonts w:ascii="Times New Roman" w:hAnsi="Times New Roman" w:cs="Times New Roman"/>
          <w:color w:val="auto"/>
          <w:lang w:val="en-GB"/>
        </w:rPr>
        <w:t>a</w:t>
      </w:r>
      <w:r w:rsidRPr="007B2963">
        <w:rPr>
          <w:rFonts w:ascii="Times New Roman" w:hAnsi="Times New Roman" w:cs="Times New Roman"/>
          <w:color w:val="auto"/>
          <w:lang w:val="en-GB"/>
        </w:rPr>
        <w:t xml:space="preserve">, and in 2013 it was included in the HIMA project under the Coastal Forest Conservation Project. Because it joined the programme late, it lacks the formal recognition granted at the August 2015 ceremony (see main text), and does not therefore appear on our map. </w:t>
      </w:r>
    </w:p>
    <w:p w14:paraId="2B4BCDCD" w14:textId="77777777" w:rsidR="00FE3BCB" w:rsidRPr="007B2963" w:rsidRDefault="00FE3BCB" w:rsidP="00FE3BCB">
      <w:pPr>
        <w:pStyle w:val="Default"/>
        <w:spacing w:line="276" w:lineRule="auto"/>
        <w:ind w:firstLine="720"/>
        <w:rPr>
          <w:rFonts w:ascii="Times New Roman" w:hAnsi="Times New Roman" w:cs="Times New Roman"/>
          <w:color w:val="auto"/>
          <w:lang w:val="en-GB"/>
        </w:rPr>
      </w:pPr>
    </w:p>
    <w:p w14:paraId="1622F656" w14:textId="05899CF4" w:rsidR="00FE3BCB" w:rsidRPr="007B2963" w:rsidRDefault="00FE3BCB" w:rsidP="00FE3BCB">
      <w:pPr>
        <w:pStyle w:val="Default"/>
        <w:spacing w:line="276" w:lineRule="auto"/>
        <w:rPr>
          <w:rFonts w:ascii="Times New Roman" w:hAnsi="Times New Roman"/>
          <w:lang w:val="en-GB"/>
        </w:rPr>
      </w:pPr>
      <w:r w:rsidRPr="007B2963">
        <w:rPr>
          <w:rFonts w:ascii="Times New Roman" w:hAnsi="Times New Roman" w:cs="Times New Roman"/>
          <w:color w:val="auto"/>
          <w:lang w:val="en-GB"/>
        </w:rPr>
        <w:t xml:space="preserve">Despite being technically managed by the government as a Forest Reserve in planning </w:t>
      </w:r>
      <w:r w:rsidRPr="007B2963">
        <w:rPr>
          <w:lang w:val="en-GB"/>
        </w:rPr>
        <w:fldChar w:fldCharType="begin"/>
      </w:r>
      <w:r w:rsidRPr="007B2963">
        <w:rPr>
          <w:rFonts w:ascii="Times New Roman" w:hAnsi="Times New Roman" w:cs="Times New Roman"/>
          <w:lang w:val="en-GB"/>
        </w:rPr>
        <w:instrText>ADDIN EN.CITE &lt;EndNote&gt;&lt;Cite&gt;&lt;Author&gt;Siex&lt;/Author&gt;&lt;Year&gt;2011&lt;/Year&gt;&lt;RecNum&gt;2465&lt;/RecNum&gt;&lt;DisplayText&gt;(Siex 2011)&lt;/DisplayText&gt;&lt;record&gt;&lt;rec-number&gt;2465&lt;/rec-number&gt;&lt;foreign-keys&gt;&lt;key app="EN" db-id="vt5e9dpvqaar0deweax5r5twzv9e5a22pxte" timestamp="1443916567"&gt;2465&lt;/key&gt;&lt;/foreign-keys&gt;&lt;ref-type name="Report"&gt;27&lt;/ref-type&gt;&lt;contributors&gt;&lt;authors&gt;&lt;author&gt;Siex, K S&lt;/author&gt;&lt;/authors&gt;&lt;/contributors&gt;&lt;titles&gt;&lt;title&gt;Protected Area Spatial Planning for Unguja and Pemba Islands, Zanzibar&lt;/title&gt;&lt;secondary-title&gt;A Consultancy to the UNDP-GEF-Extending the Coastal Forest Area Protected Area subsystem in Tanzania&lt;/secondary-title&gt;&lt;/titles&gt;&lt;pages&gt;42&lt;/pages&gt;&lt;dates&gt;&lt;year&gt;2011&lt;/year&gt;&lt;/dates&gt;&lt;publisher&gt;Wildlife Conservation Society&lt;/publisher&gt;&lt;urls&gt;&lt;/urls&gt;&lt;/record&gt;&lt;/Cite&gt;&lt;/EndNote&gt;</w:instrText>
      </w:r>
      <w:r w:rsidRPr="007B2963">
        <w:rPr>
          <w:rFonts w:ascii="Times New Roman" w:hAnsi="Times New Roman" w:cs="Times New Roman"/>
          <w:lang w:val="en-GB"/>
        </w:rPr>
        <w:fldChar w:fldCharType="separate"/>
      </w:r>
      <w:bookmarkStart w:id="12" w:name="Bookmark4"/>
      <w:r w:rsidRPr="007B2963">
        <w:rPr>
          <w:rFonts w:ascii="Times New Roman" w:hAnsi="Times New Roman" w:cs="Times New Roman"/>
          <w:color w:val="auto"/>
          <w:lang w:val="en-GB"/>
        </w:rPr>
        <w:t>(Siex 2011)</w:t>
      </w:r>
      <w:r w:rsidRPr="007B2963">
        <w:rPr>
          <w:rFonts w:ascii="Times New Roman" w:hAnsi="Times New Roman"/>
          <w:lang w:val="en-GB"/>
        </w:rPr>
        <w:fldChar w:fldCharType="end"/>
      </w:r>
      <w:bookmarkEnd w:id="12"/>
      <w:r w:rsidRPr="007B2963">
        <w:rPr>
          <w:rFonts w:ascii="Times New Roman" w:hAnsi="Times New Roman" w:cs="Times New Roman"/>
          <w:color w:val="auto"/>
          <w:lang w:val="en-GB"/>
        </w:rPr>
        <w:t>, DFNRNR allows the local community to manage the forest autonomously. This is partly a result of initial intimidation (community members threatening outsiders), and partly through compromise. The government authorities recognize that the strongly independently motivated SCC is protecting the second most intact forest on Pemba by prohibiting incursions of agriculture into the forest, and regulating villagers to twice annual highly restricted harvests (beginning and end of Ramadhan). The committee also fines for illegal timber extraction, allowing exceptions for families in emergency. A cursory visit in 2015 revealed no loss of understory, an indicator of banned firewood collection. The committee also has a vigorous and ancient plantation of trees (referred to as “mikongwe”, ancient trees of very hard wood at which “even a chain saw cries”, which they claim dates back to the 1880s</w:t>
      </w:r>
      <w:r w:rsidR="007B2963">
        <w:rPr>
          <w:rFonts w:ascii="Times New Roman" w:hAnsi="Times New Roman" w:cs="Times New Roman"/>
          <w:color w:val="auto"/>
          <w:lang w:val="en-GB"/>
        </w:rPr>
        <w:t xml:space="preserve">; </w:t>
      </w:r>
      <w:r w:rsidRPr="007B2963">
        <w:rPr>
          <w:rFonts w:ascii="Times New Roman" w:hAnsi="Times New Roman" w:cs="Times New Roman"/>
          <w:color w:val="auto"/>
          <w:lang w:val="en-GB"/>
        </w:rPr>
        <w:t xml:space="preserve">interview notes </w:t>
      </w:r>
      <w:r w:rsidR="007B2963">
        <w:rPr>
          <w:rFonts w:ascii="Times New Roman" w:hAnsi="Times New Roman" w:cs="Times New Roman"/>
          <w:color w:val="auto"/>
          <w:lang w:val="en-GB"/>
        </w:rPr>
        <w:t xml:space="preserve">M. </w:t>
      </w:r>
      <w:r w:rsidRPr="007B2963">
        <w:rPr>
          <w:rFonts w:ascii="Times New Roman" w:hAnsi="Times New Roman" w:cs="Times New Roman"/>
          <w:color w:val="auto"/>
          <w:lang w:val="en-GB"/>
        </w:rPr>
        <w:t>Borgerhoff Mulder</w:t>
      </w:r>
      <w:r w:rsidR="007B2963">
        <w:rPr>
          <w:rFonts w:ascii="Times New Roman" w:hAnsi="Times New Roman" w:cs="Times New Roman"/>
          <w:color w:val="auto"/>
          <w:lang w:val="en-GB"/>
        </w:rPr>
        <w:t>,</w:t>
      </w:r>
      <w:r w:rsidRPr="007B2963">
        <w:rPr>
          <w:rFonts w:ascii="Times New Roman" w:hAnsi="Times New Roman" w:cs="Times New Roman"/>
          <w:color w:val="auto"/>
          <w:lang w:val="en-GB"/>
        </w:rPr>
        <w:t xml:space="preserve"> 2015), but this was not visited. The community has marked the forest boundaries with stone markers. </w:t>
      </w:r>
    </w:p>
    <w:p w14:paraId="5650F1F2" w14:textId="77777777" w:rsidR="00FE3BCB" w:rsidRPr="007B2963" w:rsidRDefault="00FE3BCB" w:rsidP="00FE3BCB">
      <w:pPr>
        <w:spacing w:line="276" w:lineRule="auto"/>
        <w:rPr>
          <w:rFonts w:cs="Times New Roman"/>
        </w:rPr>
      </w:pPr>
    </w:p>
    <w:p w14:paraId="7A5EAD4C" w14:textId="77777777" w:rsidR="00FE3BCB" w:rsidRPr="007B2963" w:rsidRDefault="00FE3BCB" w:rsidP="00FE3BCB">
      <w:pPr>
        <w:spacing w:line="276" w:lineRule="auto"/>
        <w:rPr>
          <w:rFonts w:cs="Times New Roman"/>
        </w:rPr>
      </w:pPr>
      <w:r w:rsidRPr="007B2963">
        <w:rPr>
          <w:rFonts w:cs="Times New Roman"/>
        </w:rPr>
        <w:t>Kiuyu Mbuyuni community members are adamant the forest is theirs, and not that of DFNRNR. When the government also placed beacons to mark the forest boundaries, community members threw these into the sea, and prevented forestry official visits. Generally, the department has granted effective management to the community and its conservation is proceeding well. There is even, in 2019, discussion of a change in protected status, and joint management with DFNRNR, although nothing yet is finalized</w:t>
      </w:r>
    </w:p>
    <w:p w14:paraId="1D2B3B64" w14:textId="77777777" w:rsidR="00FE3BCB" w:rsidRPr="007B2963" w:rsidRDefault="00FE3BCB" w:rsidP="00FE3BCB">
      <w:pPr>
        <w:spacing w:line="276" w:lineRule="auto"/>
        <w:rPr>
          <w:rFonts w:cs="Times New Roman"/>
          <w:b/>
        </w:rPr>
      </w:pPr>
    </w:p>
    <w:p w14:paraId="114037D7" w14:textId="77777777" w:rsidR="00816D20" w:rsidRPr="007B2963" w:rsidRDefault="00916365">
      <w:pPr>
        <w:spacing w:line="276" w:lineRule="auto"/>
        <w:rPr>
          <w:rFonts w:cs="Times New Roman"/>
          <w:b/>
        </w:rPr>
      </w:pPr>
      <w:r w:rsidRPr="007B2963">
        <w:br w:type="page"/>
      </w:r>
    </w:p>
    <w:p w14:paraId="67AB006E" w14:textId="77777777" w:rsidR="00816D20" w:rsidRPr="007B2963" w:rsidRDefault="00916365">
      <w:pPr>
        <w:spacing w:line="276" w:lineRule="auto"/>
      </w:pPr>
      <w:r w:rsidRPr="007B2963">
        <w:rPr>
          <w:rFonts w:cs="Times New Roman"/>
          <w:smallCaps/>
        </w:rPr>
        <w:lastRenderedPageBreak/>
        <w:t xml:space="preserve">Supplementary Table 1 </w:t>
      </w:r>
      <w:r w:rsidRPr="007B2963">
        <w:rPr>
          <w:rFonts w:cs="Times New Roman"/>
        </w:rPr>
        <w:t xml:space="preserve">Confusion matrices of the classification map resulting from the Landsat 5 composite image for 2001, Landsat 7 composite for 2010, and Landsat 8 composite for 2018. User and producer accuracy was calculated as per Congalton </w:t>
      </w:r>
      <w:r w:rsidRPr="007B2963">
        <w:fldChar w:fldCharType="begin"/>
      </w:r>
      <w:r w:rsidRPr="007B2963">
        <w:rPr>
          <w:rFonts w:cs="Times New Roman"/>
        </w:rPr>
        <w:instrText>ADDIN CSL_CITATION {"citationItems":[{"id":"ITEM-1","itemData":{"author":[{"dropping-particle":"","family":"Congalton","given":"Russell G","non-dropping-particle":"","parse-names":false,"suffix":""}],"container-title":"Remote Sensing of Environment","id":"ITEM-1","issue":"October 1990","issued":{"date-parts":[["1991"]]},"page":"35-46","title":"A Review of Assessing the Accuracy of Classifications of Remotely Sensed Data","type":"article-journal","volume":"37"},"uris":["http://www.mendeley.com/documents/?uuid=4a10c61b-6bd0-4b12-849f-642e38cbb83c"]}],"mendeley":{"formattedCitation":"(Congalton, 1991)","plainTextFormattedCitation":"(Congalton, 1991)","previouslyFormattedCitation":"(Congalton, 1991)"},"properties":{"noteIndex":0},"schema":"https://github.com/citation-style-language/schema/raw/master/csl-citation.json"}</w:instrText>
      </w:r>
      <w:r w:rsidRPr="007B2963">
        <w:rPr>
          <w:rFonts w:cs="Times New Roman"/>
        </w:rPr>
        <w:fldChar w:fldCharType="separate"/>
      </w:r>
      <w:bookmarkStart w:id="13" w:name="Bookmark13"/>
      <w:r w:rsidRPr="007B2963">
        <w:rPr>
          <w:rFonts w:cs="Times New Roman"/>
        </w:rPr>
        <w:t>(1991)</w:t>
      </w:r>
      <w:r w:rsidRPr="007B2963">
        <w:fldChar w:fldCharType="end"/>
      </w:r>
      <w:bookmarkEnd w:id="13"/>
      <w:r w:rsidRPr="007B2963">
        <w:rPr>
          <w:rFonts w:cs="Times New Roman"/>
        </w:rPr>
        <w:t xml:space="preserve">. Tables show model predictions in columns versus actual classifications in rows. </w:t>
      </w:r>
    </w:p>
    <w:p w14:paraId="263C672F" w14:textId="77777777" w:rsidR="00816D20" w:rsidRPr="007B2963" w:rsidRDefault="00816D20">
      <w:pPr>
        <w:spacing w:line="360" w:lineRule="auto"/>
        <w:rPr>
          <w:rFonts w:cs="Times New Roman"/>
          <w:b/>
        </w:rPr>
      </w:pPr>
    </w:p>
    <w:tbl>
      <w:tblPr>
        <w:tblW w:w="9637" w:type="dxa"/>
        <w:tblCellMar>
          <w:top w:w="55" w:type="dxa"/>
          <w:bottom w:w="55" w:type="dxa"/>
        </w:tblCellMar>
        <w:tblLook w:val="0000" w:firstRow="0" w:lastRow="0" w:firstColumn="0" w:lastColumn="0" w:noHBand="0" w:noVBand="0"/>
      </w:tblPr>
      <w:tblGrid>
        <w:gridCol w:w="2048"/>
        <w:gridCol w:w="1671"/>
        <w:gridCol w:w="1792"/>
        <w:gridCol w:w="1896"/>
        <w:gridCol w:w="2230"/>
      </w:tblGrid>
      <w:tr w:rsidR="00816D20" w:rsidRPr="007B2963" w14:paraId="6B096D60" w14:textId="77777777">
        <w:tc>
          <w:tcPr>
            <w:tcW w:w="2048" w:type="dxa"/>
            <w:tcBorders>
              <w:top w:val="single" w:sz="8" w:space="0" w:color="000000"/>
              <w:left w:val="single" w:sz="8" w:space="0" w:color="000000"/>
              <w:bottom w:val="single" w:sz="8" w:space="0" w:color="000000"/>
            </w:tcBorders>
            <w:shd w:val="clear" w:color="auto" w:fill="auto"/>
          </w:tcPr>
          <w:p w14:paraId="764F4D23" w14:textId="77777777" w:rsidR="00816D20" w:rsidRPr="007B2963" w:rsidRDefault="00916365">
            <w:pPr>
              <w:spacing w:line="360" w:lineRule="auto"/>
              <w:rPr>
                <w:rFonts w:cs="Times New Roman"/>
                <w:color w:val="000000"/>
              </w:rPr>
            </w:pPr>
            <w:r w:rsidRPr="007B2963">
              <w:rPr>
                <w:rFonts w:cs="Times New Roman"/>
                <w:color w:val="000000"/>
              </w:rPr>
              <w:t>2001</w:t>
            </w:r>
          </w:p>
        </w:tc>
        <w:tc>
          <w:tcPr>
            <w:tcW w:w="1671" w:type="dxa"/>
            <w:tcBorders>
              <w:top w:val="single" w:sz="8" w:space="0" w:color="000000"/>
              <w:left w:val="single" w:sz="8" w:space="0" w:color="000000"/>
              <w:bottom w:val="single" w:sz="8" w:space="0" w:color="000000"/>
            </w:tcBorders>
            <w:shd w:val="clear" w:color="auto" w:fill="auto"/>
          </w:tcPr>
          <w:p w14:paraId="5B4F3A77" w14:textId="77777777" w:rsidR="00816D20" w:rsidRPr="007B2963" w:rsidRDefault="00916365">
            <w:pPr>
              <w:spacing w:line="360" w:lineRule="auto"/>
              <w:rPr>
                <w:rFonts w:cs="Times New Roman"/>
                <w:color w:val="000000"/>
              </w:rPr>
            </w:pPr>
            <w:r w:rsidRPr="007B2963">
              <w:rPr>
                <w:rFonts w:cs="Times New Roman"/>
                <w:color w:val="000000"/>
              </w:rPr>
              <w:t>Non-forest</w:t>
            </w:r>
          </w:p>
        </w:tc>
        <w:tc>
          <w:tcPr>
            <w:tcW w:w="1792" w:type="dxa"/>
            <w:tcBorders>
              <w:top w:val="single" w:sz="8" w:space="0" w:color="000000"/>
              <w:left w:val="single" w:sz="8" w:space="0" w:color="000000"/>
              <w:bottom w:val="single" w:sz="8" w:space="0" w:color="000000"/>
            </w:tcBorders>
            <w:shd w:val="clear" w:color="auto" w:fill="auto"/>
          </w:tcPr>
          <w:p w14:paraId="0982BFB9" w14:textId="77777777" w:rsidR="00816D20" w:rsidRPr="007B2963" w:rsidRDefault="00916365">
            <w:pPr>
              <w:spacing w:line="360" w:lineRule="auto"/>
              <w:rPr>
                <w:rFonts w:cs="Times New Roman"/>
                <w:color w:val="000000"/>
              </w:rPr>
            </w:pPr>
            <w:r w:rsidRPr="007B2963">
              <w:rPr>
                <w:rFonts w:cs="Times New Roman"/>
                <w:color w:val="000000"/>
              </w:rPr>
              <w:t>Forest</w:t>
            </w:r>
          </w:p>
        </w:tc>
        <w:tc>
          <w:tcPr>
            <w:tcW w:w="1896" w:type="dxa"/>
            <w:tcBorders>
              <w:top w:val="single" w:sz="8" w:space="0" w:color="000000"/>
              <w:left w:val="single" w:sz="8" w:space="0" w:color="000000"/>
              <w:bottom w:val="single" w:sz="8" w:space="0" w:color="000000"/>
            </w:tcBorders>
            <w:shd w:val="clear" w:color="auto" w:fill="auto"/>
          </w:tcPr>
          <w:p w14:paraId="7801E389" w14:textId="77777777" w:rsidR="00816D20" w:rsidRPr="007B2963" w:rsidRDefault="00916365">
            <w:pPr>
              <w:spacing w:line="360" w:lineRule="auto"/>
              <w:rPr>
                <w:rFonts w:cs="Times New Roman"/>
                <w:color w:val="000000"/>
              </w:rPr>
            </w:pPr>
            <w:r w:rsidRPr="007B2963">
              <w:rPr>
                <w:rFonts w:cs="Times New Roman"/>
                <w:color w:val="000000"/>
              </w:rPr>
              <w:t>Row Total</w:t>
            </w:r>
          </w:p>
        </w:tc>
        <w:tc>
          <w:tcPr>
            <w:tcW w:w="2230" w:type="dxa"/>
            <w:tcBorders>
              <w:top w:val="single" w:sz="8" w:space="0" w:color="000000"/>
              <w:left w:val="single" w:sz="8" w:space="0" w:color="000000"/>
              <w:bottom w:val="single" w:sz="8" w:space="0" w:color="000000"/>
              <w:right w:val="single" w:sz="8" w:space="0" w:color="000000"/>
            </w:tcBorders>
            <w:shd w:val="clear" w:color="auto" w:fill="auto"/>
          </w:tcPr>
          <w:p w14:paraId="7B82FBF9" w14:textId="77777777" w:rsidR="00816D20" w:rsidRPr="007B2963" w:rsidRDefault="00916365">
            <w:pPr>
              <w:spacing w:line="360" w:lineRule="auto"/>
              <w:rPr>
                <w:rFonts w:cs="Times New Roman"/>
                <w:color w:val="000000"/>
              </w:rPr>
            </w:pPr>
            <w:r w:rsidRPr="007B2963">
              <w:rPr>
                <w:rFonts w:cs="Times New Roman"/>
                <w:color w:val="000000"/>
              </w:rPr>
              <w:t xml:space="preserve"> User Accuracy</w:t>
            </w:r>
          </w:p>
        </w:tc>
      </w:tr>
      <w:tr w:rsidR="00816D20" w:rsidRPr="007B2963" w14:paraId="5586C456" w14:textId="77777777">
        <w:tc>
          <w:tcPr>
            <w:tcW w:w="2048" w:type="dxa"/>
            <w:tcBorders>
              <w:left w:val="single" w:sz="8" w:space="0" w:color="000000"/>
              <w:bottom w:val="single" w:sz="8" w:space="0" w:color="000000"/>
            </w:tcBorders>
            <w:shd w:val="clear" w:color="auto" w:fill="auto"/>
          </w:tcPr>
          <w:p w14:paraId="63B5E7B2" w14:textId="77777777" w:rsidR="00816D20" w:rsidRPr="007B2963" w:rsidRDefault="00916365">
            <w:pPr>
              <w:spacing w:line="360" w:lineRule="auto"/>
              <w:rPr>
                <w:rFonts w:cs="Times New Roman"/>
                <w:color w:val="000000"/>
              </w:rPr>
            </w:pPr>
            <w:r w:rsidRPr="007B2963">
              <w:rPr>
                <w:rFonts w:cs="Times New Roman"/>
                <w:color w:val="000000"/>
              </w:rPr>
              <w:t>Non-forest</w:t>
            </w:r>
          </w:p>
        </w:tc>
        <w:tc>
          <w:tcPr>
            <w:tcW w:w="1671" w:type="dxa"/>
            <w:tcBorders>
              <w:left w:val="single" w:sz="8" w:space="0" w:color="000000"/>
              <w:bottom w:val="single" w:sz="8" w:space="0" w:color="000000"/>
            </w:tcBorders>
            <w:shd w:val="clear" w:color="auto" w:fill="auto"/>
            <w:vAlign w:val="bottom"/>
          </w:tcPr>
          <w:p w14:paraId="54868030" w14:textId="77777777" w:rsidR="00816D20" w:rsidRPr="007B2963" w:rsidRDefault="00916365">
            <w:pPr>
              <w:spacing w:line="360" w:lineRule="auto"/>
              <w:rPr>
                <w:rFonts w:cs="Times New Roman"/>
                <w:color w:val="000000"/>
              </w:rPr>
            </w:pPr>
            <w:r w:rsidRPr="007B2963">
              <w:rPr>
                <w:rFonts w:cs="Times New Roman"/>
                <w:color w:val="000000"/>
              </w:rPr>
              <w:t>86</w:t>
            </w:r>
          </w:p>
        </w:tc>
        <w:tc>
          <w:tcPr>
            <w:tcW w:w="1792" w:type="dxa"/>
            <w:tcBorders>
              <w:left w:val="single" w:sz="8" w:space="0" w:color="000000"/>
              <w:bottom w:val="single" w:sz="8" w:space="0" w:color="000000"/>
            </w:tcBorders>
            <w:shd w:val="clear" w:color="auto" w:fill="auto"/>
            <w:vAlign w:val="bottom"/>
          </w:tcPr>
          <w:p w14:paraId="46F09A30" w14:textId="77777777" w:rsidR="00816D20" w:rsidRPr="007B2963" w:rsidRDefault="00916365">
            <w:pPr>
              <w:spacing w:line="360" w:lineRule="auto"/>
              <w:rPr>
                <w:rFonts w:cs="Times New Roman"/>
                <w:color w:val="000000"/>
              </w:rPr>
            </w:pPr>
            <w:r w:rsidRPr="007B2963">
              <w:rPr>
                <w:rFonts w:cs="Times New Roman"/>
                <w:color w:val="000000"/>
              </w:rPr>
              <w:t>5</w:t>
            </w:r>
          </w:p>
        </w:tc>
        <w:tc>
          <w:tcPr>
            <w:tcW w:w="1896" w:type="dxa"/>
            <w:tcBorders>
              <w:left w:val="single" w:sz="8" w:space="0" w:color="000000"/>
              <w:bottom w:val="single" w:sz="8" w:space="0" w:color="000000"/>
            </w:tcBorders>
            <w:shd w:val="clear" w:color="auto" w:fill="auto"/>
            <w:vAlign w:val="bottom"/>
          </w:tcPr>
          <w:p w14:paraId="1757FABB" w14:textId="77777777" w:rsidR="00816D20" w:rsidRPr="007B2963" w:rsidRDefault="00916365">
            <w:pPr>
              <w:spacing w:line="360" w:lineRule="auto"/>
              <w:rPr>
                <w:rFonts w:cs="Times New Roman"/>
                <w:color w:val="000000"/>
              </w:rPr>
            </w:pPr>
            <w:r w:rsidRPr="007B2963">
              <w:rPr>
                <w:rFonts w:cs="Times New Roman"/>
                <w:color w:val="000000"/>
              </w:rPr>
              <w:t>91</w:t>
            </w:r>
          </w:p>
        </w:tc>
        <w:tc>
          <w:tcPr>
            <w:tcW w:w="2230" w:type="dxa"/>
            <w:tcBorders>
              <w:left w:val="single" w:sz="8" w:space="0" w:color="000000"/>
              <w:bottom w:val="single" w:sz="8" w:space="0" w:color="000000"/>
              <w:right w:val="single" w:sz="8" w:space="0" w:color="000000"/>
            </w:tcBorders>
            <w:shd w:val="clear" w:color="auto" w:fill="auto"/>
            <w:vAlign w:val="bottom"/>
          </w:tcPr>
          <w:p w14:paraId="253AA2DD" w14:textId="77777777" w:rsidR="00816D20" w:rsidRPr="007B2963" w:rsidRDefault="00916365">
            <w:pPr>
              <w:spacing w:line="360" w:lineRule="auto"/>
              <w:rPr>
                <w:rFonts w:cs="Times New Roman"/>
                <w:color w:val="000000"/>
              </w:rPr>
            </w:pPr>
            <w:r w:rsidRPr="007B2963">
              <w:rPr>
                <w:rFonts w:cs="Times New Roman"/>
                <w:color w:val="000000"/>
              </w:rPr>
              <w:t>94.5%</w:t>
            </w:r>
          </w:p>
        </w:tc>
      </w:tr>
      <w:tr w:rsidR="00816D20" w:rsidRPr="007B2963" w14:paraId="446D70F3" w14:textId="77777777">
        <w:tc>
          <w:tcPr>
            <w:tcW w:w="2048" w:type="dxa"/>
            <w:tcBorders>
              <w:left w:val="single" w:sz="8" w:space="0" w:color="000000"/>
              <w:bottom w:val="single" w:sz="8" w:space="0" w:color="000000"/>
            </w:tcBorders>
            <w:shd w:val="clear" w:color="auto" w:fill="auto"/>
          </w:tcPr>
          <w:p w14:paraId="2E26FF18" w14:textId="77777777" w:rsidR="00816D20" w:rsidRPr="007B2963" w:rsidRDefault="00916365">
            <w:pPr>
              <w:spacing w:line="360" w:lineRule="auto"/>
              <w:rPr>
                <w:rFonts w:cs="Times New Roman"/>
                <w:color w:val="000000"/>
              </w:rPr>
            </w:pPr>
            <w:r w:rsidRPr="007B2963">
              <w:rPr>
                <w:rFonts w:cs="Times New Roman"/>
                <w:color w:val="000000"/>
              </w:rPr>
              <w:t>Forest</w:t>
            </w:r>
          </w:p>
        </w:tc>
        <w:tc>
          <w:tcPr>
            <w:tcW w:w="1671" w:type="dxa"/>
            <w:tcBorders>
              <w:left w:val="single" w:sz="8" w:space="0" w:color="000000"/>
              <w:bottom w:val="single" w:sz="8" w:space="0" w:color="000000"/>
            </w:tcBorders>
            <w:shd w:val="clear" w:color="auto" w:fill="auto"/>
            <w:vAlign w:val="bottom"/>
          </w:tcPr>
          <w:p w14:paraId="29150C1E" w14:textId="77777777" w:rsidR="00816D20" w:rsidRPr="007B2963" w:rsidRDefault="00916365">
            <w:pPr>
              <w:spacing w:line="360" w:lineRule="auto"/>
              <w:rPr>
                <w:rFonts w:cs="Times New Roman"/>
                <w:color w:val="000000"/>
              </w:rPr>
            </w:pPr>
            <w:r w:rsidRPr="007B2963">
              <w:rPr>
                <w:rFonts w:cs="Times New Roman"/>
                <w:color w:val="000000"/>
              </w:rPr>
              <w:t>3</w:t>
            </w:r>
          </w:p>
        </w:tc>
        <w:tc>
          <w:tcPr>
            <w:tcW w:w="1792" w:type="dxa"/>
            <w:tcBorders>
              <w:left w:val="single" w:sz="8" w:space="0" w:color="000000"/>
              <w:bottom w:val="single" w:sz="8" w:space="0" w:color="000000"/>
            </w:tcBorders>
            <w:shd w:val="clear" w:color="auto" w:fill="auto"/>
            <w:vAlign w:val="bottom"/>
          </w:tcPr>
          <w:p w14:paraId="277EB0EB" w14:textId="77777777" w:rsidR="00816D20" w:rsidRPr="007B2963" w:rsidRDefault="00916365">
            <w:pPr>
              <w:spacing w:line="360" w:lineRule="auto"/>
              <w:rPr>
                <w:rFonts w:cs="Times New Roman"/>
                <w:color w:val="000000"/>
              </w:rPr>
            </w:pPr>
            <w:r w:rsidRPr="007B2963">
              <w:rPr>
                <w:rFonts w:cs="Times New Roman"/>
                <w:color w:val="000000"/>
              </w:rPr>
              <w:t>46</w:t>
            </w:r>
          </w:p>
        </w:tc>
        <w:tc>
          <w:tcPr>
            <w:tcW w:w="1896" w:type="dxa"/>
            <w:tcBorders>
              <w:left w:val="single" w:sz="8" w:space="0" w:color="000000"/>
              <w:bottom w:val="single" w:sz="8" w:space="0" w:color="000000"/>
            </w:tcBorders>
            <w:shd w:val="clear" w:color="auto" w:fill="auto"/>
            <w:vAlign w:val="bottom"/>
          </w:tcPr>
          <w:p w14:paraId="4255EEEE" w14:textId="77777777" w:rsidR="00816D20" w:rsidRPr="007B2963" w:rsidRDefault="00916365">
            <w:pPr>
              <w:spacing w:line="360" w:lineRule="auto"/>
              <w:rPr>
                <w:rFonts w:cs="Times New Roman"/>
                <w:color w:val="000000"/>
              </w:rPr>
            </w:pPr>
            <w:r w:rsidRPr="007B2963">
              <w:rPr>
                <w:rFonts w:cs="Times New Roman"/>
                <w:color w:val="000000"/>
              </w:rPr>
              <w:t>49</w:t>
            </w:r>
          </w:p>
        </w:tc>
        <w:tc>
          <w:tcPr>
            <w:tcW w:w="2230" w:type="dxa"/>
            <w:tcBorders>
              <w:left w:val="single" w:sz="8" w:space="0" w:color="000000"/>
              <w:bottom w:val="single" w:sz="8" w:space="0" w:color="000000"/>
              <w:right w:val="single" w:sz="8" w:space="0" w:color="000000"/>
            </w:tcBorders>
            <w:shd w:val="clear" w:color="auto" w:fill="auto"/>
            <w:vAlign w:val="bottom"/>
          </w:tcPr>
          <w:p w14:paraId="75BBE5D7" w14:textId="77777777" w:rsidR="00816D20" w:rsidRPr="007B2963" w:rsidRDefault="00916365">
            <w:pPr>
              <w:spacing w:line="360" w:lineRule="auto"/>
              <w:rPr>
                <w:rFonts w:cs="Times New Roman"/>
                <w:color w:val="000000"/>
              </w:rPr>
            </w:pPr>
            <w:r w:rsidRPr="007B2963">
              <w:rPr>
                <w:rFonts w:cs="Times New Roman"/>
                <w:color w:val="000000"/>
              </w:rPr>
              <w:t>93.9%</w:t>
            </w:r>
          </w:p>
        </w:tc>
      </w:tr>
      <w:tr w:rsidR="00816D20" w:rsidRPr="007B2963" w14:paraId="3CC8539F" w14:textId="77777777">
        <w:tc>
          <w:tcPr>
            <w:tcW w:w="2048" w:type="dxa"/>
            <w:tcBorders>
              <w:left w:val="single" w:sz="8" w:space="0" w:color="000000"/>
              <w:bottom w:val="single" w:sz="8" w:space="0" w:color="000000"/>
            </w:tcBorders>
            <w:shd w:val="clear" w:color="auto" w:fill="auto"/>
          </w:tcPr>
          <w:p w14:paraId="35930041" w14:textId="77777777" w:rsidR="00816D20" w:rsidRPr="007B2963" w:rsidRDefault="00916365">
            <w:pPr>
              <w:spacing w:line="360" w:lineRule="auto"/>
              <w:rPr>
                <w:rFonts w:cs="Times New Roman"/>
                <w:color w:val="000000"/>
              </w:rPr>
            </w:pPr>
            <w:r w:rsidRPr="007B2963">
              <w:rPr>
                <w:rFonts w:cs="Times New Roman"/>
                <w:color w:val="000000"/>
              </w:rPr>
              <w:t>Column Total</w:t>
            </w:r>
          </w:p>
        </w:tc>
        <w:tc>
          <w:tcPr>
            <w:tcW w:w="1671" w:type="dxa"/>
            <w:tcBorders>
              <w:left w:val="single" w:sz="8" w:space="0" w:color="000000"/>
              <w:bottom w:val="single" w:sz="8" w:space="0" w:color="000000"/>
            </w:tcBorders>
            <w:shd w:val="clear" w:color="auto" w:fill="auto"/>
            <w:vAlign w:val="bottom"/>
          </w:tcPr>
          <w:p w14:paraId="637D9F9E" w14:textId="77777777" w:rsidR="00816D20" w:rsidRPr="007B2963" w:rsidRDefault="00916365">
            <w:pPr>
              <w:spacing w:line="360" w:lineRule="auto"/>
              <w:rPr>
                <w:rFonts w:cs="Times New Roman"/>
                <w:color w:val="000000"/>
              </w:rPr>
            </w:pPr>
            <w:r w:rsidRPr="007B2963">
              <w:rPr>
                <w:rFonts w:cs="Times New Roman"/>
                <w:color w:val="000000"/>
              </w:rPr>
              <w:t>89</w:t>
            </w:r>
          </w:p>
        </w:tc>
        <w:tc>
          <w:tcPr>
            <w:tcW w:w="1792" w:type="dxa"/>
            <w:tcBorders>
              <w:left w:val="single" w:sz="8" w:space="0" w:color="000000"/>
              <w:bottom w:val="single" w:sz="8" w:space="0" w:color="000000"/>
            </w:tcBorders>
            <w:shd w:val="clear" w:color="auto" w:fill="auto"/>
            <w:vAlign w:val="bottom"/>
          </w:tcPr>
          <w:p w14:paraId="656160B7" w14:textId="77777777" w:rsidR="00816D20" w:rsidRPr="007B2963" w:rsidRDefault="00916365">
            <w:pPr>
              <w:spacing w:line="360" w:lineRule="auto"/>
              <w:rPr>
                <w:rFonts w:cs="Times New Roman"/>
                <w:color w:val="000000"/>
              </w:rPr>
            </w:pPr>
            <w:r w:rsidRPr="007B2963">
              <w:rPr>
                <w:rFonts w:cs="Times New Roman"/>
                <w:color w:val="000000"/>
              </w:rPr>
              <w:t>51</w:t>
            </w:r>
          </w:p>
        </w:tc>
        <w:tc>
          <w:tcPr>
            <w:tcW w:w="1896" w:type="dxa"/>
            <w:tcBorders>
              <w:left w:val="single" w:sz="8" w:space="0" w:color="000000"/>
              <w:bottom w:val="single" w:sz="8" w:space="0" w:color="000000"/>
            </w:tcBorders>
            <w:shd w:val="clear" w:color="auto" w:fill="auto"/>
            <w:vAlign w:val="bottom"/>
          </w:tcPr>
          <w:p w14:paraId="63C83108" w14:textId="77777777" w:rsidR="00816D20" w:rsidRPr="007B2963" w:rsidRDefault="00916365">
            <w:pPr>
              <w:spacing w:line="360" w:lineRule="auto"/>
              <w:rPr>
                <w:rFonts w:cs="Times New Roman"/>
                <w:color w:val="000000"/>
              </w:rPr>
            </w:pPr>
            <w:r w:rsidRPr="007B2963">
              <w:rPr>
                <w:rFonts w:cs="Times New Roman"/>
                <w:color w:val="000000"/>
              </w:rPr>
              <w:t>140</w:t>
            </w:r>
          </w:p>
        </w:tc>
        <w:tc>
          <w:tcPr>
            <w:tcW w:w="2230" w:type="dxa"/>
            <w:tcBorders>
              <w:left w:val="single" w:sz="8" w:space="0" w:color="000000"/>
              <w:bottom w:val="single" w:sz="8" w:space="0" w:color="000000"/>
              <w:right w:val="single" w:sz="8" w:space="0" w:color="000000"/>
            </w:tcBorders>
            <w:shd w:val="clear" w:color="auto" w:fill="auto"/>
            <w:vAlign w:val="bottom"/>
          </w:tcPr>
          <w:p w14:paraId="120DF6F8" w14:textId="77777777" w:rsidR="00816D20" w:rsidRPr="007B2963" w:rsidRDefault="00916365">
            <w:pPr>
              <w:spacing w:line="360" w:lineRule="auto"/>
              <w:rPr>
                <w:rFonts w:cs="Times New Roman"/>
                <w:color w:val="000000"/>
              </w:rPr>
            </w:pPr>
            <w:r w:rsidRPr="007B2963">
              <w:rPr>
                <w:rFonts w:cs="Times New Roman"/>
                <w:color w:val="000000"/>
              </w:rPr>
              <w:t> </w:t>
            </w:r>
          </w:p>
        </w:tc>
      </w:tr>
      <w:tr w:rsidR="00816D20" w:rsidRPr="007B2963" w14:paraId="60857561" w14:textId="77777777">
        <w:tc>
          <w:tcPr>
            <w:tcW w:w="2048" w:type="dxa"/>
            <w:tcBorders>
              <w:left w:val="single" w:sz="8" w:space="0" w:color="000000"/>
              <w:bottom w:val="single" w:sz="8" w:space="0" w:color="000000"/>
            </w:tcBorders>
            <w:shd w:val="clear" w:color="auto" w:fill="auto"/>
          </w:tcPr>
          <w:p w14:paraId="6C3CD832" w14:textId="77777777" w:rsidR="00816D20" w:rsidRPr="007B2963" w:rsidRDefault="00916365">
            <w:pPr>
              <w:spacing w:line="360" w:lineRule="auto"/>
              <w:rPr>
                <w:rFonts w:cs="Times New Roman"/>
                <w:color w:val="000000"/>
              </w:rPr>
            </w:pPr>
            <w:r w:rsidRPr="007B2963">
              <w:rPr>
                <w:rFonts w:cs="Times New Roman"/>
                <w:color w:val="000000"/>
              </w:rPr>
              <w:t>Producer Accuracy</w:t>
            </w:r>
          </w:p>
        </w:tc>
        <w:tc>
          <w:tcPr>
            <w:tcW w:w="1671" w:type="dxa"/>
            <w:tcBorders>
              <w:left w:val="single" w:sz="8" w:space="0" w:color="000000"/>
              <w:bottom w:val="single" w:sz="8" w:space="0" w:color="000000"/>
            </w:tcBorders>
            <w:shd w:val="clear" w:color="auto" w:fill="auto"/>
            <w:vAlign w:val="bottom"/>
          </w:tcPr>
          <w:p w14:paraId="753EE368" w14:textId="77777777" w:rsidR="00816D20" w:rsidRPr="007B2963" w:rsidRDefault="00916365">
            <w:pPr>
              <w:spacing w:line="360" w:lineRule="auto"/>
              <w:rPr>
                <w:rFonts w:cs="Times New Roman"/>
                <w:color w:val="000000"/>
              </w:rPr>
            </w:pPr>
            <w:r w:rsidRPr="007B2963">
              <w:rPr>
                <w:rFonts w:cs="Times New Roman"/>
                <w:color w:val="000000"/>
              </w:rPr>
              <w:t>96.6%</w:t>
            </w:r>
          </w:p>
        </w:tc>
        <w:tc>
          <w:tcPr>
            <w:tcW w:w="1792" w:type="dxa"/>
            <w:tcBorders>
              <w:left w:val="single" w:sz="8" w:space="0" w:color="000000"/>
              <w:bottom w:val="single" w:sz="8" w:space="0" w:color="000000"/>
            </w:tcBorders>
            <w:shd w:val="clear" w:color="auto" w:fill="auto"/>
            <w:vAlign w:val="bottom"/>
          </w:tcPr>
          <w:p w14:paraId="08A706B1" w14:textId="77777777" w:rsidR="00816D20" w:rsidRPr="007B2963" w:rsidRDefault="00916365">
            <w:pPr>
              <w:spacing w:line="360" w:lineRule="auto"/>
              <w:rPr>
                <w:rFonts w:cs="Times New Roman"/>
                <w:color w:val="000000"/>
              </w:rPr>
            </w:pPr>
            <w:r w:rsidRPr="007B2963">
              <w:rPr>
                <w:rFonts w:cs="Times New Roman"/>
                <w:color w:val="000000"/>
              </w:rPr>
              <w:t>90.2%</w:t>
            </w:r>
          </w:p>
        </w:tc>
        <w:tc>
          <w:tcPr>
            <w:tcW w:w="1896" w:type="dxa"/>
            <w:tcBorders>
              <w:left w:val="single" w:sz="8" w:space="0" w:color="000000"/>
              <w:bottom w:val="single" w:sz="8" w:space="0" w:color="000000"/>
            </w:tcBorders>
            <w:shd w:val="clear" w:color="auto" w:fill="auto"/>
            <w:vAlign w:val="bottom"/>
          </w:tcPr>
          <w:p w14:paraId="0AB87C29" w14:textId="77777777" w:rsidR="00816D20" w:rsidRPr="007B2963" w:rsidRDefault="00916365">
            <w:pPr>
              <w:spacing w:line="360" w:lineRule="auto"/>
              <w:rPr>
                <w:rFonts w:cs="Times New Roman"/>
                <w:color w:val="000000"/>
              </w:rPr>
            </w:pPr>
            <w:r w:rsidRPr="007B2963">
              <w:rPr>
                <w:rFonts w:cs="Times New Roman"/>
                <w:color w:val="000000"/>
              </w:rPr>
              <w:t> </w:t>
            </w:r>
          </w:p>
        </w:tc>
        <w:tc>
          <w:tcPr>
            <w:tcW w:w="2230" w:type="dxa"/>
            <w:tcBorders>
              <w:left w:val="single" w:sz="8" w:space="0" w:color="000000"/>
              <w:bottom w:val="single" w:sz="8" w:space="0" w:color="000000"/>
              <w:right w:val="single" w:sz="8" w:space="0" w:color="000000"/>
            </w:tcBorders>
            <w:shd w:val="clear" w:color="auto" w:fill="auto"/>
            <w:vAlign w:val="bottom"/>
          </w:tcPr>
          <w:p w14:paraId="627FEBC9" w14:textId="77777777" w:rsidR="00816D20" w:rsidRPr="007B2963" w:rsidRDefault="00916365">
            <w:pPr>
              <w:spacing w:line="360" w:lineRule="auto"/>
              <w:rPr>
                <w:rFonts w:cs="Times New Roman"/>
                <w:color w:val="000000"/>
              </w:rPr>
            </w:pPr>
            <w:r w:rsidRPr="007B2963">
              <w:rPr>
                <w:rFonts w:cs="Times New Roman"/>
                <w:color w:val="000000"/>
              </w:rPr>
              <w:t> </w:t>
            </w:r>
          </w:p>
        </w:tc>
      </w:tr>
      <w:tr w:rsidR="00816D20" w:rsidRPr="007B2963" w14:paraId="333342DD" w14:textId="77777777">
        <w:tc>
          <w:tcPr>
            <w:tcW w:w="2048" w:type="dxa"/>
            <w:tcBorders>
              <w:left w:val="single" w:sz="8" w:space="0" w:color="000000"/>
              <w:bottom w:val="single" w:sz="8" w:space="0" w:color="000000"/>
            </w:tcBorders>
            <w:shd w:val="clear" w:color="auto" w:fill="auto"/>
          </w:tcPr>
          <w:p w14:paraId="7AF4F1A3" w14:textId="77777777" w:rsidR="00816D20" w:rsidRPr="007B2963" w:rsidRDefault="00916365">
            <w:pPr>
              <w:spacing w:line="360" w:lineRule="auto"/>
              <w:rPr>
                <w:rFonts w:cs="Times New Roman"/>
                <w:color w:val="000000"/>
              </w:rPr>
            </w:pPr>
            <w:r w:rsidRPr="007B2963">
              <w:rPr>
                <w:rFonts w:cs="Times New Roman"/>
                <w:color w:val="000000"/>
              </w:rPr>
              <w:t>Kappa Coefficient</w:t>
            </w:r>
          </w:p>
        </w:tc>
        <w:tc>
          <w:tcPr>
            <w:tcW w:w="7589" w:type="dxa"/>
            <w:gridSpan w:val="4"/>
            <w:tcBorders>
              <w:left w:val="single" w:sz="8" w:space="0" w:color="000000"/>
              <w:bottom w:val="single" w:sz="8" w:space="0" w:color="000000"/>
              <w:right w:val="single" w:sz="8" w:space="0" w:color="000000"/>
            </w:tcBorders>
            <w:shd w:val="clear" w:color="auto" w:fill="auto"/>
          </w:tcPr>
          <w:p w14:paraId="21E6ED88" w14:textId="77777777" w:rsidR="00816D20" w:rsidRPr="007B2963" w:rsidRDefault="00916365">
            <w:pPr>
              <w:spacing w:line="360" w:lineRule="auto"/>
              <w:rPr>
                <w:rFonts w:cs="Times New Roman"/>
                <w:color w:val="000000"/>
              </w:rPr>
            </w:pPr>
            <w:r w:rsidRPr="007B2963">
              <w:rPr>
                <w:rFonts w:cs="Times New Roman"/>
                <w:color w:val="000000"/>
              </w:rPr>
              <w:t>0.88</w:t>
            </w:r>
          </w:p>
        </w:tc>
      </w:tr>
    </w:tbl>
    <w:p w14:paraId="5098E490" w14:textId="77777777" w:rsidR="00816D20" w:rsidRPr="007B2963" w:rsidRDefault="00816D20">
      <w:pPr>
        <w:spacing w:line="360" w:lineRule="auto"/>
        <w:rPr>
          <w:rFonts w:cs="Times New Roman"/>
          <w:color w:val="000000"/>
        </w:rPr>
      </w:pPr>
    </w:p>
    <w:tbl>
      <w:tblPr>
        <w:tblW w:w="9010" w:type="dxa"/>
        <w:tblCellMar>
          <w:top w:w="55" w:type="dxa"/>
          <w:left w:w="55" w:type="dxa"/>
          <w:bottom w:w="55" w:type="dxa"/>
          <w:right w:w="55" w:type="dxa"/>
        </w:tblCellMar>
        <w:tblLook w:val="0000" w:firstRow="0" w:lastRow="0" w:firstColumn="0" w:lastColumn="0" w:noHBand="0" w:noVBand="0"/>
      </w:tblPr>
      <w:tblGrid>
        <w:gridCol w:w="2049"/>
        <w:gridCol w:w="1671"/>
        <w:gridCol w:w="1792"/>
        <w:gridCol w:w="1896"/>
        <w:gridCol w:w="1602"/>
      </w:tblGrid>
      <w:tr w:rsidR="00816D20" w:rsidRPr="007B2963" w14:paraId="1470D16B" w14:textId="77777777">
        <w:tc>
          <w:tcPr>
            <w:tcW w:w="2049" w:type="dxa"/>
            <w:tcBorders>
              <w:top w:val="single" w:sz="4" w:space="0" w:color="000000"/>
              <w:left w:val="single" w:sz="4" w:space="0" w:color="000000"/>
              <w:bottom w:val="single" w:sz="4" w:space="0" w:color="000000"/>
            </w:tcBorders>
            <w:shd w:val="clear" w:color="auto" w:fill="auto"/>
          </w:tcPr>
          <w:p w14:paraId="14853EB5" w14:textId="77777777" w:rsidR="00816D20" w:rsidRPr="007B2963" w:rsidRDefault="00916365">
            <w:pPr>
              <w:spacing w:line="276" w:lineRule="auto"/>
              <w:rPr>
                <w:rFonts w:cs="Times New Roman"/>
                <w:color w:val="000000"/>
              </w:rPr>
            </w:pPr>
            <w:r w:rsidRPr="007B2963">
              <w:rPr>
                <w:rFonts w:cs="Times New Roman"/>
                <w:color w:val="000000"/>
              </w:rPr>
              <w:t>2010</w:t>
            </w:r>
          </w:p>
        </w:tc>
        <w:tc>
          <w:tcPr>
            <w:tcW w:w="1671" w:type="dxa"/>
            <w:tcBorders>
              <w:top w:val="single" w:sz="4" w:space="0" w:color="000000"/>
              <w:left w:val="single" w:sz="4" w:space="0" w:color="000000"/>
              <w:bottom w:val="single" w:sz="4" w:space="0" w:color="000000"/>
            </w:tcBorders>
            <w:shd w:val="clear" w:color="auto" w:fill="auto"/>
          </w:tcPr>
          <w:p w14:paraId="56C369CA" w14:textId="77777777" w:rsidR="00816D20" w:rsidRPr="007B2963" w:rsidRDefault="00916365">
            <w:pPr>
              <w:spacing w:line="276" w:lineRule="auto"/>
              <w:rPr>
                <w:rFonts w:cs="Times New Roman"/>
                <w:color w:val="000000"/>
              </w:rPr>
            </w:pPr>
            <w:r w:rsidRPr="007B2963">
              <w:rPr>
                <w:rFonts w:cs="Times New Roman"/>
                <w:color w:val="000000"/>
              </w:rPr>
              <w:t>Non-forest</w:t>
            </w:r>
          </w:p>
        </w:tc>
        <w:tc>
          <w:tcPr>
            <w:tcW w:w="1792" w:type="dxa"/>
            <w:tcBorders>
              <w:top w:val="single" w:sz="4" w:space="0" w:color="000000"/>
              <w:left w:val="single" w:sz="4" w:space="0" w:color="000000"/>
              <w:bottom w:val="single" w:sz="4" w:space="0" w:color="000000"/>
            </w:tcBorders>
            <w:shd w:val="clear" w:color="auto" w:fill="auto"/>
          </w:tcPr>
          <w:p w14:paraId="21BE4187" w14:textId="77777777" w:rsidR="00816D20" w:rsidRPr="007B2963" w:rsidRDefault="00916365">
            <w:pPr>
              <w:spacing w:line="276" w:lineRule="auto"/>
              <w:rPr>
                <w:rFonts w:cs="Times New Roman"/>
                <w:color w:val="000000"/>
              </w:rPr>
            </w:pPr>
            <w:r w:rsidRPr="007B2963">
              <w:rPr>
                <w:rFonts w:cs="Times New Roman"/>
                <w:color w:val="000000"/>
              </w:rPr>
              <w:t>Forest</w:t>
            </w:r>
          </w:p>
        </w:tc>
        <w:tc>
          <w:tcPr>
            <w:tcW w:w="1896" w:type="dxa"/>
            <w:tcBorders>
              <w:top w:val="single" w:sz="4" w:space="0" w:color="000000"/>
              <w:left w:val="single" w:sz="4" w:space="0" w:color="000000"/>
              <w:bottom w:val="single" w:sz="4" w:space="0" w:color="000000"/>
            </w:tcBorders>
            <w:shd w:val="clear" w:color="auto" w:fill="auto"/>
          </w:tcPr>
          <w:p w14:paraId="1AE4950A" w14:textId="77777777" w:rsidR="00816D20" w:rsidRPr="007B2963" w:rsidRDefault="00916365">
            <w:pPr>
              <w:spacing w:line="276" w:lineRule="auto"/>
              <w:rPr>
                <w:rFonts w:cs="Times New Roman"/>
                <w:color w:val="000000"/>
              </w:rPr>
            </w:pPr>
            <w:r w:rsidRPr="007B2963">
              <w:rPr>
                <w:rFonts w:cs="Times New Roman"/>
                <w:color w:val="000000"/>
              </w:rPr>
              <w:t>Row Total</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4E364E90" w14:textId="77777777" w:rsidR="00816D20" w:rsidRPr="007B2963" w:rsidRDefault="00916365">
            <w:pPr>
              <w:spacing w:line="276" w:lineRule="auto"/>
              <w:rPr>
                <w:rFonts w:cs="Times New Roman"/>
                <w:color w:val="000000"/>
              </w:rPr>
            </w:pPr>
            <w:r w:rsidRPr="007B2963">
              <w:rPr>
                <w:rFonts w:cs="Times New Roman"/>
                <w:color w:val="000000"/>
              </w:rPr>
              <w:t xml:space="preserve"> User Accuracy</w:t>
            </w:r>
          </w:p>
        </w:tc>
      </w:tr>
      <w:tr w:rsidR="00816D20" w:rsidRPr="007B2963" w14:paraId="4E182548" w14:textId="77777777">
        <w:tc>
          <w:tcPr>
            <w:tcW w:w="2049" w:type="dxa"/>
            <w:tcBorders>
              <w:left w:val="single" w:sz="4" w:space="0" w:color="000000"/>
              <w:bottom w:val="single" w:sz="4" w:space="0" w:color="000000"/>
            </w:tcBorders>
            <w:shd w:val="clear" w:color="auto" w:fill="auto"/>
          </w:tcPr>
          <w:p w14:paraId="471EA6F3" w14:textId="77777777" w:rsidR="00816D20" w:rsidRPr="007B2963" w:rsidRDefault="00916365">
            <w:pPr>
              <w:spacing w:line="276" w:lineRule="auto"/>
              <w:rPr>
                <w:rFonts w:cs="Times New Roman"/>
                <w:color w:val="000000"/>
              </w:rPr>
            </w:pPr>
            <w:r w:rsidRPr="007B2963">
              <w:rPr>
                <w:rFonts w:cs="Times New Roman"/>
                <w:color w:val="000000"/>
              </w:rPr>
              <w:t>Non-forest</w:t>
            </w:r>
          </w:p>
        </w:tc>
        <w:tc>
          <w:tcPr>
            <w:tcW w:w="1671" w:type="dxa"/>
            <w:tcBorders>
              <w:left w:val="single" w:sz="4" w:space="0" w:color="000000"/>
              <w:bottom w:val="single" w:sz="4" w:space="0" w:color="000000"/>
            </w:tcBorders>
            <w:shd w:val="clear" w:color="auto" w:fill="auto"/>
            <w:vAlign w:val="bottom"/>
          </w:tcPr>
          <w:p w14:paraId="7DF79124" w14:textId="77777777" w:rsidR="00816D20" w:rsidRPr="007B2963" w:rsidRDefault="00916365">
            <w:pPr>
              <w:spacing w:line="276" w:lineRule="auto"/>
              <w:rPr>
                <w:rFonts w:cs="Times New Roman"/>
                <w:color w:val="000000"/>
              </w:rPr>
            </w:pPr>
            <w:r w:rsidRPr="007B2963">
              <w:rPr>
                <w:rFonts w:cs="Times New Roman"/>
                <w:color w:val="000000"/>
              </w:rPr>
              <w:t>79</w:t>
            </w:r>
          </w:p>
        </w:tc>
        <w:tc>
          <w:tcPr>
            <w:tcW w:w="1792" w:type="dxa"/>
            <w:tcBorders>
              <w:left w:val="single" w:sz="4" w:space="0" w:color="000000"/>
              <w:bottom w:val="single" w:sz="4" w:space="0" w:color="000000"/>
            </w:tcBorders>
            <w:shd w:val="clear" w:color="auto" w:fill="auto"/>
            <w:vAlign w:val="bottom"/>
          </w:tcPr>
          <w:p w14:paraId="1D87FC41" w14:textId="77777777" w:rsidR="00816D20" w:rsidRPr="007B2963" w:rsidRDefault="00916365">
            <w:pPr>
              <w:spacing w:line="276" w:lineRule="auto"/>
              <w:rPr>
                <w:rFonts w:cs="Times New Roman"/>
                <w:color w:val="000000"/>
              </w:rPr>
            </w:pPr>
            <w:r w:rsidRPr="007B2963">
              <w:rPr>
                <w:rFonts w:cs="Times New Roman"/>
                <w:color w:val="000000"/>
              </w:rPr>
              <w:t>3</w:t>
            </w:r>
          </w:p>
        </w:tc>
        <w:tc>
          <w:tcPr>
            <w:tcW w:w="1896" w:type="dxa"/>
            <w:tcBorders>
              <w:left w:val="single" w:sz="4" w:space="0" w:color="000000"/>
              <w:bottom w:val="single" w:sz="4" w:space="0" w:color="000000"/>
            </w:tcBorders>
            <w:shd w:val="clear" w:color="auto" w:fill="auto"/>
            <w:vAlign w:val="bottom"/>
          </w:tcPr>
          <w:p w14:paraId="04E50BEE" w14:textId="77777777" w:rsidR="00816D20" w:rsidRPr="007B2963" w:rsidRDefault="00916365">
            <w:pPr>
              <w:spacing w:line="276" w:lineRule="auto"/>
              <w:rPr>
                <w:rFonts w:cs="Times New Roman"/>
                <w:color w:val="000000"/>
              </w:rPr>
            </w:pPr>
            <w:r w:rsidRPr="007B2963">
              <w:rPr>
                <w:rFonts w:cs="Times New Roman"/>
                <w:color w:val="000000"/>
              </w:rPr>
              <w:t>82</w:t>
            </w:r>
          </w:p>
        </w:tc>
        <w:tc>
          <w:tcPr>
            <w:tcW w:w="1602" w:type="dxa"/>
            <w:tcBorders>
              <w:left w:val="single" w:sz="4" w:space="0" w:color="000000"/>
              <w:bottom w:val="single" w:sz="4" w:space="0" w:color="000000"/>
              <w:right w:val="single" w:sz="4" w:space="0" w:color="000000"/>
            </w:tcBorders>
            <w:shd w:val="clear" w:color="auto" w:fill="auto"/>
            <w:vAlign w:val="bottom"/>
          </w:tcPr>
          <w:p w14:paraId="6207536B" w14:textId="77777777" w:rsidR="00816D20" w:rsidRPr="007B2963" w:rsidRDefault="00916365">
            <w:pPr>
              <w:spacing w:line="276" w:lineRule="auto"/>
              <w:rPr>
                <w:rFonts w:cs="Times New Roman"/>
                <w:color w:val="000000"/>
              </w:rPr>
            </w:pPr>
            <w:r w:rsidRPr="007B2963">
              <w:rPr>
                <w:rFonts w:cs="Times New Roman"/>
                <w:color w:val="000000"/>
              </w:rPr>
              <w:t>96.3%</w:t>
            </w:r>
          </w:p>
        </w:tc>
      </w:tr>
      <w:tr w:rsidR="00816D20" w:rsidRPr="007B2963" w14:paraId="5574F3BB" w14:textId="77777777">
        <w:tc>
          <w:tcPr>
            <w:tcW w:w="2049" w:type="dxa"/>
            <w:tcBorders>
              <w:left w:val="single" w:sz="4" w:space="0" w:color="000000"/>
              <w:bottom w:val="single" w:sz="4" w:space="0" w:color="000000"/>
            </w:tcBorders>
            <w:shd w:val="clear" w:color="auto" w:fill="auto"/>
          </w:tcPr>
          <w:p w14:paraId="0F5B2D33" w14:textId="77777777" w:rsidR="00816D20" w:rsidRPr="007B2963" w:rsidRDefault="00916365">
            <w:pPr>
              <w:spacing w:line="276" w:lineRule="auto"/>
              <w:rPr>
                <w:rFonts w:cs="Times New Roman"/>
                <w:color w:val="000000"/>
              </w:rPr>
            </w:pPr>
            <w:r w:rsidRPr="007B2963">
              <w:rPr>
                <w:rFonts w:cs="Times New Roman"/>
                <w:color w:val="000000"/>
              </w:rPr>
              <w:t>Forest</w:t>
            </w:r>
          </w:p>
        </w:tc>
        <w:tc>
          <w:tcPr>
            <w:tcW w:w="1671" w:type="dxa"/>
            <w:tcBorders>
              <w:left w:val="single" w:sz="4" w:space="0" w:color="000000"/>
              <w:bottom w:val="single" w:sz="4" w:space="0" w:color="000000"/>
            </w:tcBorders>
            <w:shd w:val="clear" w:color="auto" w:fill="auto"/>
            <w:vAlign w:val="bottom"/>
          </w:tcPr>
          <w:p w14:paraId="37E1C28A" w14:textId="77777777" w:rsidR="00816D20" w:rsidRPr="007B2963" w:rsidRDefault="00916365">
            <w:pPr>
              <w:spacing w:line="276" w:lineRule="auto"/>
              <w:rPr>
                <w:rFonts w:cs="Times New Roman"/>
                <w:color w:val="000000"/>
              </w:rPr>
            </w:pPr>
            <w:r w:rsidRPr="007B2963">
              <w:rPr>
                <w:rFonts w:cs="Times New Roman"/>
                <w:color w:val="000000"/>
              </w:rPr>
              <w:t>2</w:t>
            </w:r>
          </w:p>
        </w:tc>
        <w:tc>
          <w:tcPr>
            <w:tcW w:w="1792" w:type="dxa"/>
            <w:tcBorders>
              <w:left w:val="single" w:sz="4" w:space="0" w:color="000000"/>
              <w:bottom w:val="single" w:sz="4" w:space="0" w:color="000000"/>
            </w:tcBorders>
            <w:shd w:val="clear" w:color="auto" w:fill="auto"/>
            <w:vAlign w:val="bottom"/>
          </w:tcPr>
          <w:p w14:paraId="6AF0E6C5" w14:textId="77777777" w:rsidR="00816D20" w:rsidRPr="007B2963" w:rsidRDefault="00916365">
            <w:pPr>
              <w:spacing w:line="276" w:lineRule="auto"/>
              <w:rPr>
                <w:rFonts w:cs="Times New Roman"/>
                <w:color w:val="000000"/>
              </w:rPr>
            </w:pPr>
            <w:r w:rsidRPr="007B2963">
              <w:rPr>
                <w:rFonts w:cs="Times New Roman"/>
                <w:color w:val="000000"/>
              </w:rPr>
              <w:t>41</w:t>
            </w:r>
          </w:p>
        </w:tc>
        <w:tc>
          <w:tcPr>
            <w:tcW w:w="1896" w:type="dxa"/>
            <w:tcBorders>
              <w:left w:val="single" w:sz="4" w:space="0" w:color="000000"/>
              <w:bottom w:val="single" w:sz="4" w:space="0" w:color="000000"/>
            </w:tcBorders>
            <w:shd w:val="clear" w:color="auto" w:fill="auto"/>
            <w:vAlign w:val="bottom"/>
          </w:tcPr>
          <w:p w14:paraId="36D20E13" w14:textId="77777777" w:rsidR="00816D20" w:rsidRPr="007B2963" w:rsidRDefault="00916365">
            <w:pPr>
              <w:spacing w:line="276" w:lineRule="auto"/>
              <w:rPr>
                <w:rFonts w:cs="Times New Roman"/>
                <w:color w:val="000000"/>
              </w:rPr>
            </w:pPr>
            <w:r w:rsidRPr="007B2963">
              <w:rPr>
                <w:rFonts w:cs="Times New Roman"/>
                <w:color w:val="000000"/>
              </w:rPr>
              <w:t>43</w:t>
            </w:r>
          </w:p>
        </w:tc>
        <w:tc>
          <w:tcPr>
            <w:tcW w:w="1602" w:type="dxa"/>
            <w:tcBorders>
              <w:left w:val="single" w:sz="4" w:space="0" w:color="000000"/>
              <w:bottom w:val="single" w:sz="4" w:space="0" w:color="000000"/>
              <w:right w:val="single" w:sz="4" w:space="0" w:color="000000"/>
            </w:tcBorders>
            <w:shd w:val="clear" w:color="auto" w:fill="auto"/>
            <w:vAlign w:val="bottom"/>
          </w:tcPr>
          <w:p w14:paraId="3372C825" w14:textId="77777777" w:rsidR="00816D20" w:rsidRPr="007B2963" w:rsidRDefault="00916365">
            <w:pPr>
              <w:spacing w:line="276" w:lineRule="auto"/>
              <w:rPr>
                <w:rFonts w:cs="Times New Roman"/>
                <w:color w:val="000000"/>
              </w:rPr>
            </w:pPr>
            <w:r w:rsidRPr="007B2963">
              <w:rPr>
                <w:rFonts w:cs="Times New Roman"/>
                <w:color w:val="000000"/>
              </w:rPr>
              <w:t>95.4%</w:t>
            </w:r>
          </w:p>
        </w:tc>
      </w:tr>
      <w:tr w:rsidR="00816D20" w:rsidRPr="007B2963" w14:paraId="3140DC0B" w14:textId="77777777">
        <w:tc>
          <w:tcPr>
            <w:tcW w:w="2049" w:type="dxa"/>
            <w:tcBorders>
              <w:left w:val="single" w:sz="4" w:space="0" w:color="000000"/>
              <w:bottom w:val="single" w:sz="4" w:space="0" w:color="000000"/>
            </w:tcBorders>
            <w:shd w:val="clear" w:color="auto" w:fill="auto"/>
          </w:tcPr>
          <w:p w14:paraId="02B720EF" w14:textId="77777777" w:rsidR="00816D20" w:rsidRPr="007B2963" w:rsidRDefault="00916365">
            <w:pPr>
              <w:spacing w:line="276" w:lineRule="auto"/>
              <w:rPr>
                <w:rFonts w:cs="Times New Roman"/>
                <w:color w:val="000000"/>
              </w:rPr>
            </w:pPr>
            <w:r w:rsidRPr="007B2963">
              <w:rPr>
                <w:rFonts w:cs="Times New Roman"/>
                <w:color w:val="000000"/>
              </w:rPr>
              <w:t>Column Total</w:t>
            </w:r>
          </w:p>
        </w:tc>
        <w:tc>
          <w:tcPr>
            <w:tcW w:w="1671" w:type="dxa"/>
            <w:tcBorders>
              <w:left w:val="single" w:sz="4" w:space="0" w:color="000000"/>
              <w:bottom w:val="single" w:sz="4" w:space="0" w:color="000000"/>
            </w:tcBorders>
            <w:shd w:val="clear" w:color="auto" w:fill="auto"/>
            <w:vAlign w:val="bottom"/>
          </w:tcPr>
          <w:p w14:paraId="467715B0" w14:textId="77777777" w:rsidR="00816D20" w:rsidRPr="007B2963" w:rsidRDefault="00916365">
            <w:pPr>
              <w:spacing w:line="276" w:lineRule="auto"/>
              <w:rPr>
                <w:rFonts w:cs="Times New Roman"/>
                <w:color w:val="000000"/>
              </w:rPr>
            </w:pPr>
            <w:r w:rsidRPr="007B2963">
              <w:rPr>
                <w:rFonts w:cs="Times New Roman"/>
                <w:color w:val="000000"/>
              </w:rPr>
              <w:t>81</w:t>
            </w:r>
          </w:p>
        </w:tc>
        <w:tc>
          <w:tcPr>
            <w:tcW w:w="1792" w:type="dxa"/>
            <w:tcBorders>
              <w:left w:val="single" w:sz="4" w:space="0" w:color="000000"/>
              <w:bottom w:val="single" w:sz="4" w:space="0" w:color="000000"/>
            </w:tcBorders>
            <w:shd w:val="clear" w:color="auto" w:fill="auto"/>
            <w:vAlign w:val="bottom"/>
          </w:tcPr>
          <w:p w14:paraId="6187E8DD" w14:textId="77777777" w:rsidR="00816D20" w:rsidRPr="007B2963" w:rsidRDefault="00916365">
            <w:pPr>
              <w:spacing w:line="276" w:lineRule="auto"/>
              <w:rPr>
                <w:rFonts w:cs="Times New Roman"/>
                <w:color w:val="000000"/>
              </w:rPr>
            </w:pPr>
            <w:r w:rsidRPr="007B2963">
              <w:rPr>
                <w:rFonts w:cs="Times New Roman"/>
                <w:color w:val="000000"/>
              </w:rPr>
              <w:t>44</w:t>
            </w:r>
          </w:p>
        </w:tc>
        <w:tc>
          <w:tcPr>
            <w:tcW w:w="1896" w:type="dxa"/>
            <w:tcBorders>
              <w:left w:val="single" w:sz="4" w:space="0" w:color="000000"/>
              <w:bottom w:val="single" w:sz="4" w:space="0" w:color="000000"/>
            </w:tcBorders>
            <w:shd w:val="clear" w:color="auto" w:fill="auto"/>
            <w:vAlign w:val="bottom"/>
          </w:tcPr>
          <w:p w14:paraId="35FD54A8" w14:textId="77777777" w:rsidR="00816D20" w:rsidRPr="007B2963" w:rsidRDefault="00916365">
            <w:pPr>
              <w:spacing w:line="276" w:lineRule="auto"/>
              <w:rPr>
                <w:rFonts w:cs="Times New Roman"/>
                <w:color w:val="000000"/>
              </w:rPr>
            </w:pPr>
            <w:r w:rsidRPr="007B2963">
              <w:rPr>
                <w:rFonts w:cs="Times New Roman"/>
                <w:color w:val="000000"/>
              </w:rPr>
              <w:t>125</w:t>
            </w:r>
          </w:p>
        </w:tc>
        <w:tc>
          <w:tcPr>
            <w:tcW w:w="1602" w:type="dxa"/>
            <w:tcBorders>
              <w:left w:val="single" w:sz="4" w:space="0" w:color="000000"/>
              <w:bottom w:val="single" w:sz="4" w:space="0" w:color="000000"/>
              <w:right w:val="single" w:sz="4" w:space="0" w:color="000000"/>
            </w:tcBorders>
            <w:shd w:val="clear" w:color="auto" w:fill="auto"/>
            <w:vAlign w:val="bottom"/>
          </w:tcPr>
          <w:p w14:paraId="52A579DC" w14:textId="77777777" w:rsidR="00816D20" w:rsidRPr="007B2963" w:rsidRDefault="00916365">
            <w:pPr>
              <w:spacing w:line="276" w:lineRule="auto"/>
              <w:rPr>
                <w:rFonts w:cs="Times New Roman"/>
                <w:color w:val="000000"/>
              </w:rPr>
            </w:pPr>
            <w:r w:rsidRPr="007B2963">
              <w:rPr>
                <w:rFonts w:cs="Times New Roman"/>
                <w:color w:val="000000"/>
              </w:rPr>
              <w:t> </w:t>
            </w:r>
          </w:p>
        </w:tc>
      </w:tr>
      <w:tr w:rsidR="00816D20" w:rsidRPr="007B2963" w14:paraId="4EF90D27" w14:textId="77777777">
        <w:tc>
          <w:tcPr>
            <w:tcW w:w="2049" w:type="dxa"/>
            <w:tcBorders>
              <w:left w:val="single" w:sz="4" w:space="0" w:color="000000"/>
              <w:bottom w:val="single" w:sz="4" w:space="0" w:color="000000"/>
            </w:tcBorders>
            <w:shd w:val="clear" w:color="auto" w:fill="auto"/>
          </w:tcPr>
          <w:p w14:paraId="204653C9" w14:textId="77777777" w:rsidR="00816D20" w:rsidRPr="007B2963" w:rsidRDefault="00916365">
            <w:pPr>
              <w:spacing w:line="276" w:lineRule="auto"/>
              <w:rPr>
                <w:rFonts w:cs="Times New Roman"/>
                <w:color w:val="000000"/>
              </w:rPr>
            </w:pPr>
            <w:r w:rsidRPr="007B2963">
              <w:rPr>
                <w:rFonts w:cs="Times New Roman"/>
                <w:color w:val="000000"/>
              </w:rPr>
              <w:t>Producer Accuracy</w:t>
            </w:r>
          </w:p>
        </w:tc>
        <w:tc>
          <w:tcPr>
            <w:tcW w:w="1671" w:type="dxa"/>
            <w:tcBorders>
              <w:left w:val="single" w:sz="4" w:space="0" w:color="000000"/>
              <w:bottom w:val="single" w:sz="4" w:space="0" w:color="000000"/>
            </w:tcBorders>
            <w:shd w:val="clear" w:color="auto" w:fill="auto"/>
            <w:vAlign w:val="bottom"/>
          </w:tcPr>
          <w:p w14:paraId="45090BED" w14:textId="77777777" w:rsidR="00816D20" w:rsidRPr="007B2963" w:rsidRDefault="00916365">
            <w:pPr>
              <w:spacing w:line="276" w:lineRule="auto"/>
              <w:rPr>
                <w:rFonts w:cs="Times New Roman"/>
                <w:color w:val="000000"/>
              </w:rPr>
            </w:pPr>
            <w:r w:rsidRPr="007B2963">
              <w:rPr>
                <w:rFonts w:cs="Times New Roman"/>
                <w:color w:val="000000"/>
              </w:rPr>
              <w:t>97.5%</w:t>
            </w:r>
          </w:p>
        </w:tc>
        <w:tc>
          <w:tcPr>
            <w:tcW w:w="1792" w:type="dxa"/>
            <w:tcBorders>
              <w:left w:val="single" w:sz="4" w:space="0" w:color="000000"/>
              <w:bottom w:val="single" w:sz="4" w:space="0" w:color="000000"/>
            </w:tcBorders>
            <w:shd w:val="clear" w:color="auto" w:fill="auto"/>
            <w:vAlign w:val="bottom"/>
          </w:tcPr>
          <w:p w14:paraId="071B6F00" w14:textId="77777777" w:rsidR="00816D20" w:rsidRPr="007B2963" w:rsidRDefault="00916365">
            <w:pPr>
              <w:spacing w:line="276" w:lineRule="auto"/>
              <w:rPr>
                <w:rFonts w:cs="Times New Roman"/>
                <w:color w:val="000000"/>
              </w:rPr>
            </w:pPr>
            <w:r w:rsidRPr="007B2963">
              <w:rPr>
                <w:rFonts w:cs="Times New Roman"/>
                <w:color w:val="000000"/>
              </w:rPr>
              <w:t>93.2%</w:t>
            </w:r>
          </w:p>
        </w:tc>
        <w:tc>
          <w:tcPr>
            <w:tcW w:w="1896" w:type="dxa"/>
            <w:tcBorders>
              <w:left w:val="single" w:sz="4" w:space="0" w:color="000000"/>
              <w:bottom w:val="single" w:sz="4" w:space="0" w:color="000000"/>
            </w:tcBorders>
            <w:shd w:val="clear" w:color="auto" w:fill="auto"/>
            <w:vAlign w:val="bottom"/>
          </w:tcPr>
          <w:p w14:paraId="427DF5B1" w14:textId="77777777" w:rsidR="00816D20" w:rsidRPr="007B2963" w:rsidRDefault="00916365">
            <w:pPr>
              <w:spacing w:line="276" w:lineRule="auto"/>
              <w:rPr>
                <w:rFonts w:cs="Times New Roman"/>
                <w:color w:val="000000"/>
              </w:rPr>
            </w:pPr>
            <w:r w:rsidRPr="007B2963">
              <w:rPr>
                <w:rFonts w:cs="Times New Roman"/>
                <w:color w:val="000000"/>
              </w:rPr>
              <w:t> </w:t>
            </w:r>
          </w:p>
        </w:tc>
        <w:tc>
          <w:tcPr>
            <w:tcW w:w="1602" w:type="dxa"/>
            <w:tcBorders>
              <w:left w:val="single" w:sz="4" w:space="0" w:color="000000"/>
              <w:bottom w:val="single" w:sz="4" w:space="0" w:color="000000"/>
              <w:right w:val="single" w:sz="4" w:space="0" w:color="000000"/>
            </w:tcBorders>
            <w:shd w:val="clear" w:color="auto" w:fill="auto"/>
            <w:vAlign w:val="bottom"/>
          </w:tcPr>
          <w:p w14:paraId="754764F5" w14:textId="77777777" w:rsidR="00816D20" w:rsidRPr="007B2963" w:rsidRDefault="00916365">
            <w:pPr>
              <w:spacing w:line="276" w:lineRule="auto"/>
              <w:rPr>
                <w:rFonts w:cs="Times New Roman"/>
                <w:color w:val="000000"/>
              </w:rPr>
            </w:pPr>
            <w:r w:rsidRPr="007B2963">
              <w:rPr>
                <w:rFonts w:cs="Times New Roman"/>
                <w:color w:val="000000"/>
              </w:rPr>
              <w:t> </w:t>
            </w:r>
          </w:p>
        </w:tc>
      </w:tr>
      <w:tr w:rsidR="00816D20" w:rsidRPr="007B2963" w14:paraId="6E816ACC" w14:textId="77777777">
        <w:tc>
          <w:tcPr>
            <w:tcW w:w="2049" w:type="dxa"/>
            <w:tcBorders>
              <w:left w:val="single" w:sz="4" w:space="0" w:color="000000"/>
              <w:bottom w:val="single" w:sz="4" w:space="0" w:color="000000"/>
            </w:tcBorders>
            <w:shd w:val="clear" w:color="auto" w:fill="auto"/>
          </w:tcPr>
          <w:p w14:paraId="437A7EA3" w14:textId="77777777" w:rsidR="00816D20" w:rsidRPr="007B2963" w:rsidRDefault="00916365">
            <w:pPr>
              <w:spacing w:line="276" w:lineRule="auto"/>
              <w:rPr>
                <w:rFonts w:cs="Times New Roman"/>
                <w:color w:val="000000"/>
              </w:rPr>
            </w:pPr>
            <w:r w:rsidRPr="007B2963">
              <w:rPr>
                <w:rFonts w:cs="Times New Roman"/>
                <w:color w:val="000000"/>
              </w:rPr>
              <w:t>Kappa Coefficient</w:t>
            </w:r>
          </w:p>
        </w:tc>
        <w:tc>
          <w:tcPr>
            <w:tcW w:w="6961" w:type="dxa"/>
            <w:gridSpan w:val="4"/>
            <w:tcBorders>
              <w:left w:val="single" w:sz="4" w:space="0" w:color="000000"/>
              <w:bottom w:val="single" w:sz="4" w:space="0" w:color="000000"/>
              <w:right w:val="single" w:sz="4" w:space="0" w:color="000000"/>
            </w:tcBorders>
            <w:shd w:val="clear" w:color="auto" w:fill="auto"/>
          </w:tcPr>
          <w:p w14:paraId="4D591B84" w14:textId="77777777" w:rsidR="00816D20" w:rsidRPr="007B2963" w:rsidRDefault="00916365">
            <w:pPr>
              <w:spacing w:line="276" w:lineRule="auto"/>
              <w:rPr>
                <w:rFonts w:cs="Times New Roman"/>
                <w:color w:val="000000"/>
              </w:rPr>
            </w:pPr>
            <w:r w:rsidRPr="007B2963">
              <w:rPr>
                <w:rFonts w:cs="Times New Roman"/>
                <w:color w:val="000000"/>
              </w:rPr>
              <w:t>0.91</w:t>
            </w:r>
          </w:p>
        </w:tc>
      </w:tr>
    </w:tbl>
    <w:p w14:paraId="75EAF7C3" w14:textId="77777777" w:rsidR="00816D20" w:rsidRPr="007B2963" w:rsidRDefault="00816D20">
      <w:pPr>
        <w:spacing w:line="360" w:lineRule="auto"/>
        <w:rPr>
          <w:rFonts w:cs="Times New Roman"/>
          <w:color w:val="000000"/>
        </w:rPr>
      </w:pPr>
    </w:p>
    <w:tbl>
      <w:tblPr>
        <w:tblW w:w="9010" w:type="dxa"/>
        <w:tblCellMar>
          <w:top w:w="55" w:type="dxa"/>
          <w:left w:w="55" w:type="dxa"/>
          <w:bottom w:w="55" w:type="dxa"/>
          <w:right w:w="55" w:type="dxa"/>
        </w:tblCellMar>
        <w:tblLook w:val="0000" w:firstRow="0" w:lastRow="0" w:firstColumn="0" w:lastColumn="0" w:noHBand="0" w:noVBand="0"/>
      </w:tblPr>
      <w:tblGrid>
        <w:gridCol w:w="2013"/>
        <w:gridCol w:w="1722"/>
        <w:gridCol w:w="1844"/>
        <w:gridCol w:w="1850"/>
        <w:gridCol w:w="1581"/>
      </w:tblGrid>
      <w:tr w:rsidR="00816D20" w:rsidRPr="007B2963" w14:paraId="67646664" w14:textId="77777777">
        <w:tc>
          <w:tcPr>
            <w:tcW w:w="2013" w:type="dxa"/>
            <w:tcBorders>
              <w:top w:val="single" w:sz="4" w:space="0" w:color="000000"/>
              <w:left w:val="single" w:sz="4" w:space="0" w:color="000000"/>
              <w:bottom w:val="single" w:sz="4" w:space="0" w:color="000000"/>
            </w:tcBorders>
            <w:shd w:val="clear" w:color="auto" w:fill="auto"/>
          </w:tcPr>
          <w:p w14:paraId="522FE428" w14:textId="77777777" w:rsidR="00816D20" w:rsidRPr="007B2963" w:rsidRDefault="00916365">
            <w:pPr>
              <w:spacing w:line="276" w:lineRule="auto"/>
              <w:rPr>
                <w:rFonts w:cs="Times New Roman"/>
                <w:color w:val="000000"/>
              </w:rPr>
            </w:pPr>
            <w:r w:rsidRPr="007B2963">
              <w:rPr>
                <w:rFonts w:cs="Times New Roman"/>
                <w:color w:val="000000"/>
              </w:rPr>
              <w:t>2018</w:t>
            </w:r>
          </w:p>
        </w:tc>
        <w:tc>
          <w:tcPr>
            <w:tcW w:w="1722" w:type="dxa"/>
            <w:tcBorders>
              <w:top w:val="single" w:sz="4" w:space="0" w:color="000000"/>
              <w:left w:val="single" w:sz="4" w:space="0" w:color="000000"/>
              <w:bottom w:val="single" w:sz="4" w:space="0" w:color="000000"/>
            </w:tcBorders>
            <w:shd w:val="clear" w:color="auto" w:fill="auto"/>
          </w:tcPr>
          <w:p w14:paraId="1250B72A" w14:textId="77777777" w:rsidR="00816D20" w:rsidRPr="007B2963" w:rsidRDefault="00916365">
            <w:pPr>
              <w:spacing w:line="276" w:lineRule="auto"/>
              <w:rPr>
                <w:rFonts w:cs="Times New Roman"/>
                <w:color w:val="000000"/>
              </w:rPr>
            </w:pPr>
            <w:r w:rsidRPr="007B2963">
              <w:rPr>
                <w:rFonts w:cs="Times New Roman"/>
                <w:color w:val="000000"/>
              </w:rPr>
              <w:t>Non-forest</w:t>
            </w:r>
          </w:p>
        </w:tc>
        <w:tc>
          <w:tcPr>
            <w:tcW w:w="1844" w:type="dxa"/>
            <w:tcBorders>
              <w:top w:val="single" w:sz="4" w:space="0" w:color="000000"/>
              <w:left w:val="single" w:sz="4" w:space="0" w:color="000000"/>
              <w:bottom w:val="single" w:sz="4" w:space="0" w:color="000000"/>
            </w:tcBorders>
            <w:shd w:val="clear" w:color="auto" w:fill="auto"/>
          </w:tcPr>
          <w:p w14:paraId="3D8F7790" w14:textId="77777777" w:rsidR="00816D20" w:rsidRPr="007B2963" w:rsidRDefault="00916365">
            <w:pPr>
              <w:spacing w:line="276" w:lineRule="auto"/>
              <w:rPr>
                <w:rFonts w:cs="Times New Roman"/>
                <w:color w:val="000000"/>
              </w:rPr>
            </w:pPr>
            <w:r w:rsidRPr="007B2963">
              <w:rPr>
                <w:rFonts w:cs="Times New Roman"/>
                <w:color w:val="000000"/>
              </w:rPr>
              <w:t>Forest</w:t>
            </w:r>
          </w:p>
        </w:tc>
        <w:tc>
          <w:tcPr>
            <w:tcW w:w="1850" w:type="dxa"/>
            <w:tcBorders>
              <w:top w:val="single" w:sz="4" w:space="0" w:color="000000"/>
              <w:left w:val="single" w:sz="4" w:space="0" w:color="000000"/>
              <w:bottom w:val="single" w:sz="4" w:space="0" w:color="000000"/>
            </w:tcBorders>
            <w:shd w:val="clear" w:color="auto" w:fill="auto"/>
          </w:tcPr>
          <w:p w14:paraId="43EA96B8" w14:textId="77777777" w:rsidR="00816D20" w:rsidRPr="007B2963" w:rsidRDefault="00916365">
            <w:pPr>
              <w:spacing w:line="276" w:lineRule="auto"/>
              <w:rPr>
                <w:rFonts w:cs="Times New Roman"/>
                <w:color w:val="000000"/>
              </w:rPr>
            </w:pPr>
            <w:r w:rsidRPr="007B2963">
              <w:rPr>
                <w:rFonts w:cs="Times New Roman"/>
                <w:color w:val="000000"/>
              </w:rPr>
              <w:t>Row Total</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9A4EEA8" w14:textId="77777777" w:rsidR="00816D20" w:rsidRPr="007B2963" w:rsidRDefault="00916365">
            <w:pPr>
              <w:spacing w:line="276" w:lineRule="auto"/>
              <w:rPr>
                <w:rFonts w:cs="Times New Roman"/>
                <w:color w:val="000000"/>
              </w:rPr>
            </w:pPr>
            <w:r w:rsidRPr="007B2963">
              <w:rPr>
                <w:rFonts w:cs="Times New Roman"/>
                <w:color w:val="000000"/>
              </w:rPr>
              <w:t>User Accuracy</w:t>
            </w:r>
          </w:p>
        </w:tc>
      </w:tr>
      <w:tr w:rsidR="00816D20" w:rsidRPr="007B2963" w14:paraId="41A23BB0" w14:textId="77777777">
        <w:tc>
          <w:tcPr>
            <w:tcW w:w="2013" w:type="dxa"/>
            <w:tcBorders>
              <w:left w:val="single" w:sz="4" w:space="0" w:color="000000"/>
              <w:bottom w:val="single" w:sz="4" w:space="0" w:color="000000"/>
            </w:tcBorders>
            <w:shd w:val="clear" w:color="auto" w:fill="auto"/>
          </w:tcPr>
          <w:p w14:paraId="11B8EF7C" w14:textId="77777777" w:rsidR="00816D20" w:rsidRPr="007B2963" w:rsidRDefault="00916365">
            <w:pPr>
              <w:spacing w:line="276" w:lineRule="auto"/>
              <w:rPr>
                <w:rFonts w:cs="Times New Roman"/>
                <w:color w:val="000000"/>
              </w:rPr>
            </w:pPr>
            <w:r w:rsidRPr="007B2963">
              <w:rPr>
                <w:rFonts w:cs="Times New Roman"/>
                <w:color w:val="000000"/>
              </w:rPr>
              <w:t>Non-forest</w:t>
            </w:r>
          </w:p>
        </w:tc>
        <w:tc>
          <w:tcPr>
            <w:tcW w:w="1722" w:type="dxa"/>
            <w:tcBorders>
              <w:left w:val="single" w:sz="4" w:space="0" w:color="000000"/>
              <w:bottom w:val="single" w:sz="4" w:space="0" w:color="000000"/>
            </w:tcBorders>
            <w:shd w:val="clear" w:color="auto" w:fill="auto"/>
            <w:vAlign w:val="bottom"/>
          </w:tcPr>
          <w:p w14:paraId="7EC823C3" w14:textId="77777777" w:rsidR="00816D20" w:rsidRPr="007B2963" w:rsidRDefault="00916365">
            <w:pPr>
              <w:spacing w:line="276" w:lineRule="auto"/>
              <w:rPr>
                <w:rFonts w:cs="Times New Roman"/>
                <w:color w:val="000000"/>
              </w:rPr>
            </w:pPr>
            <w:r w:rsidRPr="007B2963">
              <w:rPr>
                <w:rFonts w:cs="Times New Roman"/>
                <w:color w:val="000000"/>
              </w:rPr>
              <w:t>82</w:t>
            </w:r>
          </w:p>
        </w:tc>
        <w:tc>
          <w:tcPr>
            <w:tcW w:w="1844" w:type="dxa"/>
            <w:tcBorders>
              <w:left w:val="single" w:sz="4" w:space="0" w:color="000000"/>
              <w:bottom w:val="single" w:sz="4" w:space="0" w:color="000000"/>
            </w:tcBorders>
            <w:shd w:val="clear" w:color="auto" w:fill="auto"/>
            <w:vAlign w:val="bottom"/>
          </w:tcPr>
          <w:p w14:paraId="5F10E720" w14:textId="77777777" w:rsidR="00816D20" w:rsidRPr="007B2963" w:rsidRDefault="00916365">
            <w:pPr>
              <w:spacing w:line="276" w:lineRule="auto"/>
              <w:rPr>
                <w:rFonts w:cs="Times New Roman"/>
                <w:color w:val="000000"/>
              </w:rPr>
            </w:pPr>
            <w:r w:rsidRPr="007B2963">
              <w:rPr>
                <w:rFonts w:cs="Times New Roman"/>
                <w:color w:val="000000"/>
              </w:rPr>
              <w:t>0</w:t>
            </w:r>
          </w:p>
        </w:tc>
        <w:tc>
          <w:tcPr>
            <w:tcW w:w="1850" w:type="dxa"/>
            <w:tcBorders>
              <w:left w:val="single" w:sz="4" w:space="0" w:color="000000"/>
              <w:bottom w:val="single" w:sz="4" w:space="0" w:color="000000"/>
            </w:tcBorders>
            <w:shd w:val="clear" w:color="auto" w:fill="auto"/>
            <w:vAlign w:val="bottom"/>
          </w:tcPr>
          <w:p w14:paraId="267F970F" w14:textId="77777777" w:rsidR="00816D20" w:rsidRPr="007B2963" w:rsidRDefault="00916365">
            <w:pPr>
              <w:spacing w:line="276" w:lineRule="auto"/>
              <w:rPr>
                <w:rFonts w:cs="Times New Roman"/>
                <w:color w:val="000000"/>
              </w:rPr>
            </w:pPr>
            <w:r w:rsidRPr="007B2963">
              <w:rPr>
                <w:rFonts w:cs="Times New Roman"/>
                <w:color w:val="000000"/>
              </w:rPr>
              <w:t>82</w:t>
            </w:r>
          </w:p>
        </w:tc>
        <w:tc>
          <w:tcPr>
            <w:tcW w:w="1581" w:type="dxa"/>
            <w:tcBorders>
              <w:left w:val="single" w:sz="4" w:space="0" w:color="000000"/>
              <w:bottom w:val="single" w:sz="4" w:space="0" w:color="000000"/>
              <w:right w:val="single" w:sz="4" w:space="0" w:color="000000"/>
            </w:tcBorders>
            <w:shd w:val="clear" w:color="auto" w:fill="auto"/>
            <w:vAlign w:val="bottom"/>
          </w:tcPr>
          <w:p w14:paraId="07D2EB86" w14:textId="77777777" w:rsidR="00816D20" w:rsidRPr="007B2963" w:rsidRDefault="00916365">
            <w:pPr>
              <w:spacing w:line="276" w:lineRule="auto"/>
              <w:rPr>
                <w:rFonts w:cs="Times New Roman"/>
                <w:color w:val="000000"/>
              </w:rPr>
            </w:pPr>
            <w:r w:rsidRPr="007B2963">
              <w:rPr>
                <w:rFonts w:cs="Times New Roman"/>
                <w:color w:val="000000"/>
              </w:rPr>
              <w:t>100.0%</w:t>
            </w:r>
          </w:p>
        </w:tc>
      </w:tr>
      <w:tr w:rsidR="00816D20" w:rsidRPr="007B2963" w14:paraId="4879E558" w14:textId="77777777">
        <w:tc>
          <w:tcPr>
            <w:tcW w:w="2013" w:type="dxa"/>
            <w:tcBorders>
              <w:left w:val="single" w:sz="4" w:space="0" w:color="000000"/>
              <w:bottom w:val="single" w:sz="4" w:space="0" w:color="000000"/>
            </w:tcBorders>
            <w:shd w:val="clear" w:color="auto" w:fill="auto"/>
          </w:tcPr>
          <w:p w14:paraId="07D897C6" w14:textId="77777777" w:rsidR="00816D20" w:rsidRPr="007B2963" w:rsidRDefault="00916365">
            <w:pPr>
              <w:spacing w:line="276" w:lineRule="auto"/>
              <w:rPr>
                <w:rFonts w:cs="Times New Roman"/>
                <w:color w:val="000000"/>
              </w:rPr>
            </w:pPr>
            <w:r w:rsidRPr="007B2963">
              <w:rPr>
                <w:rFonts w:cs="Times New Roman"/>
                <w:color w:val="000000"/>
              </w:rPr>
              <w:t>Forest</w:t>
            </w:r>
          </w:p>
        </w:tc>
        <w:tc>
          <w:tcPr>
            <w:tcW w:w="1722" w:type="dxa"/>
            <w:tcBorders>
              <w:left w:val="single" w:sz="4" w:space="0" w:color="000000"/>
              <w:bottom w:val="single" w:sz="4" w:space="0" w:color="000000"/>
            </w:tcBorders>
            <w:shd w:val="clear" w:color="auto" w:fill="auto"/>
            <w:vAlign w:val="bottom"/>
          </w:tcPr>
          <w:p w14:paraId="1B432953" w14:textId="77777777" w:rsidR="00816D20" w:rsidRPr="007B2963" w:rsidRDefault="00916365">
            <w:pPr>
              <w:spacing w:line="276" w:lineRule="auto"/>
              <w:rPr>
                <w:rFonts w:cs="Times New Roman"/>
                <w:color w:val="000000"/>
              </w:rPr>
            </w:pPr>
            <w:r w:rsidRPr="007B2963">
              <w:rPr>
                <w:rFonts w:cs="Times New Roman"/>
                <w:color w:val="000000"/>
              </w:rPr>
              <w:t>5</w:t>
            </w:r>
          </w:p>
        </w:tc>
        <w:tc>
          <w:tcPr>
            <w:tcW w:w="1844" w:type="dxa"/>
            <w:tcBorders>
              <w:left w:val="single" w:sz="4" w:space="0" w:color="000000"/>
              <w:bottom w:val="single" w:sz="4" w:space="0" w:color="000000"/>
            </w:tcBorders>
            <w:shd w:val="clear" w:color="auto" w:fill="auto"/>
            <w:vAlign w:val="bottom"/>
          </w:tcPr>
          <w:p w14:paraId="7A9516F0" w14:textId="77777777" w:rsidR="00816D20" w:rsidRPr="007B2963" w:rsidRDefault="00916365">
            <w:pPr>
              <w:spacing w:line="276" w:lineRule="auto"/>
              <w:rPr>
                <w:rFonts w:cs="Times New Roman"/>
                <w:color w:val="000000"/>
              </w:rPr>
            </w:pPr>
            <w:r w:rsidRPr="007B2963">
              <w:rPr>
                <w:rFonts w:cs="Times New Roman"/>
                <w:color w:val="000000"/>
              </w:rPr>
              <w:t>38</w:t>
            </w:r>
          </w:p>
        </w:tc>
        <w:tc>
          <w:tcPr>
            <w:tcW w:w="1850" w:type="dxa"/>
            <w:tcBorders>
              <w:left w:val="single" w:sz="4" w:space="0" w:color="000000"/>
              <w:bottom w:val="single" w:sz="4" w:space="0" w:color="000000"/>
            </w:tcBorders>
            <w:shd w:val="clear" w:color="auto" w:fill="auto"/>
            <w:vAlign w:val="bottom"/>
          </w:tcPr>
          <w:p w14:paraId="449DE175" w14:textId="77777777" w:rsidR="00816D20" w:rsidRPr="007B2963" w:rsidRDefault="00916365">
            <w:pPr>
              <w:spacing w:line="276" w:lineRule="auto"/>
              <w:rPr>
                <w:rFonts w:cs="Times New Roman"/>
                <w:color w:val="000000"/>
              </w:rPr>
            </w:pPr>
            <w:r w:rsidRPr="007B2963">
              <w:rPr>
                <w:rFonts w:cs="Times New Roman"/>
                <w:color w:val="000000"/>
              </w:rPr>
              <w:t>43</w:t>
            </w:r>
          </w:p>
        </w:tc>
        <w:tc>
          <w:tcPr>
            <w:tcW w:w="1581" w:type="dxa"/>
            <w:tcBorders>
              <w:left w:val="single" w:sz="4" w:space="0" w:color="000000"/>
              <w:bottom w:val="single" w:sz="4" w:space="0" w:color="000000"/>
              <w:right w:val="single" w:sz="4" w:space="0" w:color="000000"/>
            </w:tcBorders>
            <w:shd w:val="clear" w:color="auto" w:fill="auto"/>
            <w:vAlign w:val="bottom"/>
          </w:tcPr>
          <w:p w14:paraId="77DF3179" w14:textId="77777777" w:rsidR="00816D20" w:rsidRPr="007B2963" w:rsidRDefault="00916365">
            <w:pPr>
              <w:spacing w:line="276" w:lineRule="auto"/>
              <w:rPr>
                <w:rFonts w:cs="Times New Roman"/>
                <w:color w:val="000000"/>
              </w:rPr>
            </w:pPr>
            <w:r w:rsidRPr="007B2963">
              <w:rPr>
                <w:rFonts w:cs="Times New Roman"/>
                <w:color w:val="000000"/>
              </w:rPr>
              <w:t>88.4%</w:t>
            </w:r>
          </w:p>
        </w:tc>
      </w:tr>
      <w:tr w:rsidR="00816D20" w:rsidRPr="007B2963" w14:paraId="42BB5F04" w14:textId="77777777">
        <w:tc>
          <w:tcPr>
            <w:tcW w:w="2013" w:type="dxa"/>
            <w:tcBorders>
              <w:left w:val="single" w:sz="4" w:space="0" w:color="000000"/>
              <w:bottom w:val="single" w:sz="4" w:space="0" w:color="000000"/>
            </w:tcBorders>
            <w:shd w:val="clear" w:color="auto" w:fill="auto"/>
          </w:tcPr>
          <w:p w14:paraId="07603A83" w14:textId="77777777" w:rsidR="00816D20" w:rsidRPr="007B2963" w:rsidRDefault="00916365">
            <w:pPr>
              <w:spacing w:line="276" w:lineRule="auto"/>
              <w:rPr>
                <w:rFonts w:cs="Times New Roman"/>
                <w:color w:val="000000"/>
              </w:rPr>
            </w:pPr>
            <w:r w:rsidRPr="007B2963">
              <w:rPr>
                <w:rFonts w:cs="Times New Roman"/>
                <w:color w:val="000000"/>
              </w:rPr>
              <w:t>Column Total</w:t>
            </w:r>
          </w:p>
        </w:tc>
        <w:tc>
          <w:tcPr>
            <w:tcW w:w="1722" w:type="dxa"/>
            <w:tcBorders>
              <w:left w:val="single" w:sz="4" w:space="0" w:color="000000"/>
              <w:bottom w:val="single" w:sz="4" w:space="0" w:color="000000"/>
            </w:tcBorders>
            <w:shd w:val="clear" w:color="auto" w:fill="auto"/>
            <w:vAlign w:val="bottom"/>
          </w:tcPr>
          <w:p w14:paraId="11B16964" w14:textId="77777777" w:rsidR="00816D20" w:rsidRPr="007B2963" w:rsidRDefault="00916365">
            <w:pPr>
              <w:spacing w:line="276" w:lineRule="auto"/>
              <w:rPr>
                <w:rFonts w:cs="Times New Roman"/>
                <w:color w:val="000000"/>
              </w:rPr>
            </w:pPr>
            <w:r w:rsidRPr="007B2963">
              <w:rPr>
                <w:rFonts w:cs="Times New Roman"/>
                <w:color w:val="000000"/>
              </w:rPr>
              <w:t>87</w:t>
            </w:r>
          </w:p>
        </w:tc>
        <w:tc>
          <w:tcPr>
            <w:tcW w:w="1844" w:type="dxa"/>
            <w:tcBorders>
              <w:left w:val="single" w:sz="4" w:space="0" w:color="000000"/>
              <w:bottom w:val="single" w:sz="4" w:space="0" w:color="000000"/>
            </w:tcBorders>
            <w:shd w:val="clear" w:color="auto" w:fill="auto"/>
            <w:vAlign w:val="bottom"/>
          </w:tcPr>
          <w:p w14:paraId="5E24E4D6" w14:textId="77777777" w:rsidR="00816D20" w:rsidRPr="007B2963" w:rsidRDefault="00916365">
            <w:pPr>
              <w:spacing w:line="276" w:lineRule="auto"/>
              <w:rPr>
                <w:rFonts w:cs="Times New Roman"/>
                <w:color w:val="000000"/>
              </w:rPr>
            </w:pPr>
            <w:r w:rsidRPr="007B2963">
              <w:rPr>
                <w:rFonts w:cs="Times New Roman"/>
                <w:color w:val="000000"/>
              </w:rPr>
              <w:t>38</w:t>
            </w:r>
          </w:p>
        </w:tc>
        <w:tc>
          <w:tcPr>
            <w:tcW w:w="1850" w:type="dxa"/>
            <w:tcBorders>
              <w:left w:val="single" w:sz="4" w:space="0" w:color="000000"/>
              <w:bottom w:val="single" w:sz="4" w:space="0" w:color="000000"/>
            </w:tcBorders>
            <w:shd w:val="clear" w:color="auto" w:fill="auto"/>
            <w:vAlign w:val="bottom"/>
          </w:tcPr>
          <w:p w14:paraId="486BD8D5" w14:textId="77777777" w:rsidR="00816D20" w:rsidRPr="007B2963" w:rsidRDefault="00916365">
            <w:pPr>
              <w:spacing w:line="276" w:lineRule="auto"/>
              <w:rPr>
                <w:rFonts w:cs="Times New Roman"/>
                <w:color w:val="000000"/>
              </w:rPr>
            </w:pPr>
            <w:r w:rsidRPr="007B2963">
              <w:rPr>
                <w:rFonts w:cs="Times New Roman"/>
                <w:color w:val="000000"/>
              </w:rPr>
              <w:t>125</w:t>
            </w:r>
          </w:p>
        </w:tc>
        <w:tc>
          <w:tcPr>
            <w:tcW w:w="1581" w:type="dxa"/>
            <w:tcBorders>
              <w:left w:val="single" w:sz="4" w:space="0" w:color="000000"/>
              <w:bottom w:val="single" w:sz="4" w:space="0" w:color="000000"/>
              <w:right w:val="single" w:sz="4" w:space="0" w:color="000000"/>
            </w:tcBorders>
            <w:shd w:val="clear" w:color="auto" w:fill="auto"/>
            <w:vAlign w:val="bottom"/>
          </w:tcPr>
          <w:p w14:paraId="6C6A3D37" w14:textId="77777777" w:rsidR="00816D20" w:rsidRPr="007B2963" w:rsidRDefault="00916365">
            <w:pPr>
              <w:spacing w:line="276" w:lineRule="auto"/>
              <w:rPr>
                <w:rFonts w:cs="Times New Roman"/>
                <w:color w:val="000000"/>
              </w:rPr>
            </w:pPr>
            <w:r w:rsidRPr="007B2963">
              <w:rPr>
                <w:rFonts w:cs="Times New Roman"/>
                <w:color w:val="000000"/>
              </w:rPr>
              <w:t> </w:t>
            </w:r>
          </w:p>
        </w:tc>
      </w:tr>
      <w:tr w:rsidR="00816D20" w:rsidRPr="007B2963" w14:paraId="2C5800D0" w14:textId="77777777">
        <w:tc>
          <w:tcPr>
            <w:tcW w:w="2013" w:type="dxa"/>
            <w:tcBorders>
              <w:left w:val="single" w:sz="4" w:space="0" w:color="000000"/>
              <w:bottom w:val="single" w:sz="4" w:space="0" w:color="000000"/>
            </w:tcBorders>
            <w:shd w:val="clear" w:color="auto" w:fill="auto"/>
          </w:tcPr>
          <w:p w14:paraId="2938F5FF" w14:textId="77777777" w:rsidR="00816D20" w:rsidRPr="007B2963" w:rsidRDefault="00916365">
            <w:pPr>
              <w:spacing w:line="276" w:lineRule="auto"/>
              <w:rPr>
                <w:rFonts w:cs="Times New Roman"/>
                <w:color w:val="000000"/>
              </w:rPr>
            </w:pPr>
            <w:r w:rsidRPr="007B2963">
              <w:rPr>
                <w:rFonts w:cs="Times New Roman"/>
                <w:color w:val="000000"/>
              </w:rPr>
              <w:t>Producer Accuracy</w:t>
            </w:r>
          </w:p>
        </w:tc>
        <w:tc>
          <w:tcPr>
            <w:tcW w:w="1722" w:type="dxa"/>
            <w:tcBorders>
              <w:left w:val="single" w:sz="4" w:space="0" w:color="000000"/>
              <w:bottom w:val="single" w:sz="4" w:space="0" w:color="000000"/>
            </w:tcBorders>
            <w:shd w:val="clear" w:color="auto" w:fill="auto"/>
            <w:vAlign w:val="bottom"/>
          </w:tcPr>
          <w:p w14:paraId="0941ED70" w14:textId="77777777" w:rsidR="00816D20" w:rsidRPr="007B2963" w:rsidRDefault="00916365">
            <w:pPr>
              <w:spacing w:line="276" w:lineRule="auto"/>
              <w:rPr>
                <w:rFonts w:cs="Times New Roman"/>
                <w:color w:val="000000"/>
              </w:rPr>
            </w:pPr>
            <w:r w:rsidRPr="007B2963">
              <w:rPr>
                <w:rFonts w:cs="Times New Roman"/>
                <w:color w:val="000000"/>
              </w:rPr>
              <w:t>94.3%</w:t>
            </w:r>
          </w:p>
        </w:tc>
        <w:tc>
          <w:tcPr>
            <w:tcW w:w="1844" w:type="dxa"/>
            <w:tcBorders>
              <w:left w:val="single" w:sz="4" w:space="0" w:color="000000"/>
              <w:bottom w:val="single" w:sz="4" w:space="0" w:color="000000"/>
            </w:tcBorders>
            <w:shd w:val="clear" w:color="auto" w:fill="auto"/>
            <w:vAlign w:val="bottom"/>
          </w:tcPr>
          <w:p w14:paraId="413EA533" w14:textId="77777777" w:rsidR="00816D20" w:rsidRPr="007B2963" w:rsidRDefault="00916365">
            <w:pPr>
              <w:spacing w:line="276" w:lineRule="auto"/>
              <w:rPr>
                <w:rFonts w:cs="Times New Roman"/>
                <w:color w:val="000000"/>
              </w:rPr>
            </w:pPr>
            <w:r w:rsidRPr="007B2963">
              <w:rPr>
                <w:rFonts w:cs="Times New Roman"/>
                <w:color w:val="000000"/>
              </w:rPr>
              <w:t>100.0%</w:t>
            </w:r>
          </w:p>
        </w:tc>
        <w:tc>
          <w:tcPr>
            <w:tcW w:w="1850" w:type="dxa"/>
            <w:tcBorders>
              <w:left w:val="single" w:sz="4" w:space="0" w:color="000000"/>
              <w:bottom w:val="single" w:sz="4" w:space="0" w:color="000000"/>
            </w:tcBorders>
            <w:shd w:val="clear" w:color="auto" w:fill="auto"/>
            <w:vAlign w:val="bottom"/>
          </w:tcPr>
          <w:p w14:paraId="1B546242" w14:textId="77777777" w:rsidR="00816D20" w:rsidRPr="007B2963" w:rsidRDefault="00916365">
            <w:pPr>
              <w:spacing w:line="276" w:lineRule="auto"/>
              <w:rPr>
                <w:rFonts w:cs="Times New Roman"/>
                <w:color w:val="000000"/>
              </w:rPr>
            </w:pPr>
            <w:r w:rsidRPr="007B2963">
              <w:rPr>
                <w:rFonts w:cs="Times New Roman"/>
                <w:color w:val="000000"/>
              </w:rPr>
              <w:t> </w:t>
            </w:r>
          </w:p>
        </w:tc>
        <w:tc>
          <w:tcPr>
            <w:tcW w:w="1581" w:type="dxa"/>
            <w:tcBorders>
              <w:left w:val="single" w:sz="4" w:space="0" w:color="000000"/>
              <w:bottom w:val="single" w:sz="4" w:space="0" w:color="000000"/>
              <w:right w:val="single" w:sz="4" w:space="0" w:color="000000"/>
            </w:tcBorders>
            <w:shd w:val="clear" w:color="auto" w:fill="auto"/>
            <w:vAlign w:val="bottom"/>
          </w:tcPr>
          <w:p w14:paraId="0F4A3175" w14:textId="77777777" w:rsidR="00816D20" w:rsidRPr="007B2963" w:rsidRDefault="00916365">
            <w:pPr>
              <w:spacing w:line="276" w:lineRule="auto"/>
              <w:rPr>
                <w:rFonts w:cs="Times New Roman"/>
                <w:color w:val="000000"/>
              </w:rPr>
            </w:pPr>
            <w:r w:rsidRPr="007B2963">
              <w:rPr>
                <w:rFonts w:cs="Times New Roman"/>
                <w:color w:val="000000"/>
              </w:rPr>
              <w:t> </w:t>
            </w:r>
          </w:p>
        </w:tc>
      </w:tr>
      <w:tr w:rsidR="00816D20" w:rsidRPr="007B2963" w14:paraId="3E4C5A67" w14:textId="77777777">
        <w:tc>
          <w:tcPr>
            <w:tcW w:w="2013" w:type="dxa"/>
            <w:tcBorders>
              <w:left w:val="single" w:sz="4" w:space="0" w:color="000000"/>
              <w:bottom w:val="single" w:sz="4" w:space="0" w:color="000000"/>
            </w:tcBorders>
            <w:shd w:val="clear" w:color="auto" w:fill="auto"/>
          </w:tcPr>
          <w:p w14:paraId="472404F4" w14:textId="77777777" w:rsidR="00816D20" w:rsidRPr="007B2963" w:rsidRDefault="00916365">
            <w:pPr>
              <w:spacing w:line="276" w:lineRule="auto"/>
              <w:rPr>
                <w:rFonts w:cs="Times New Roman"/>
                <w:color w:val="000000"/>
              </w:rPr>
            </w:pPr>
            <w:r w:rsidRPr="007B2963">
              <w:rPr>
                <w:rFonts w:cs="Times New Roman"/>
                <w:color w:val="000000"/>
              </w:rPr>
              <w:t>Kappa Coefficient</w:t>
            </w:r>
          </w:p>
        </w:tc>
        <w:tc>
          <w:tcPr>
            <w:tcW w:w="6997" w:type="dxa"/>
            <w:gridSpan w:val="4"/>
            <w:tcBorders>
              <w:left w:val="single" w:sz="4" w:space="0" w:color="000000"/>
              <w:bottom w:val="single" w:sz="4" w:space="0" w:color="000000"/>
              <w:right w:val="single" w:sz="4" w:space="0" w:color="000000"/>
            </w:tcBorders>
            <w:shd w:val="clear" w:color="auto" w:fill="auto"/>
          </w:tcPr>
          <w:p w14:paraId="4BDED2DE" w14:textId="77777777" w:rsidR="00816D20" w:rsidRPr="007B2963" w:rsidRDefault="00916365">
            <w:pPr>
              <w:spacing w:line="276" w:lineRule="auto"/>
              <w:rPr>
                <w:rFonts w:cs="Times New Roman"/>
                <w:color w:val="000000"/>
              </w:rPr>
            </w:pPr>
            <w:r w:rsidRPr="007B2963">
              <w:rPr>
                <w:rFonts w:cs="Times New Roman"/>
                <w:color w:val="000000"/>
              </w:rPr>
              <w:t>0.91</w:t>
            </w:r>
          </w:p>
        </w:tc>
      </w:tr>
    </w:tbl>
    <w:p w14:paraId="1234ED66" w14:textId="77777777" w:rsidR="00816D20" w:rsidRPr="007B2963" w:rsidRDefault="00816D20">
      <w:pPr>
        <w:spacing w:line="360" w:lineRule="auto"/>
        <w:rPr>
          <w:rFonts w:cs="Times New Roman"/>
          <w:color w:val="000000"/>
        </w:rPr>
      </w:pPr>
    </w:p>
    <w:p w14:paraId="13841C94" w14:textId="77777777" w:rsidR="00816D20" w:rsidRPr="007B2963" w:rsidRDefault="00816D20">
      <w:pPr>
        <w:spacing w:line="360" w:lineRule="auto"/>
        <w:rPr>
          <w:rFonts w:cs="Times New Roman"/>
          <w:b/>
        </w:rPr>
      </w:pPr>
    </w:p>
    <w:p w14:paraId="4E4907EC" w14:textId="77777777" w:rsidR="00816D20" w:rsidRPr="007B2963" w:rsidRDefault="00916365">
      <w:pPr>
        <w:spacing w:line="360" w:lineRule="auto"/>
        <w:rPr>
          <w:rFonts w:cs="Times New Roman"/>
          <w:smallCaps/>
        </w:rPr>
      </w:pPr>
      <w:r w:rsidRPr="007B2963">
        <w:br w:type="page"/>
      </w:r>
    </w:p>
    <w:p w14:paraId="62C1BE60" w14:textId="4F6D8F2F" w:rsidR="00816D20" w:rsidRPr="007B2963" w:rsidRDefault="00916365">
      <w:pPr>
        <w:spacing w:line="276" w:lineRule="auto"/>
      </w:pPr>
      <w:r w:rsidRPr="007B2963">
        <w:rPr>
          <w:rFonts w:cs="Times New Roman"/>
          <w:smallCaps/>
        </w:rPr>
        <w:lastRenderedPageBreak/>
        <w:t xml:space="preserve">Supplementary Table </w:t>
      </w:r>
      <w:r w:rsidRPr="007B2963">
        <w:rPr>
          <w:rFonts w:cs="Times New Roman"/>
          <w:smallCaps/>
          <w:color w:val="000000"/>
        </w:rPr>
        <w:t xml:space="preserve">2 </w:t>
      </w:r>
      <w:r w:rsidRPr="007B2963">
        <w:rPr>
          <w:rFonts w:cs="Times New Roman"/>
          <w:color w:val="000000"/>
        </w:rPr>
        <w:t>Total ward-level percent forest cover for the years 2001, 2010 and 2018, and the annual rate of change in forest cover before (2001</w:t>
      </w:r>
      <w:r w:rsidR="00AB494B">
        <w:rPr>
          <w:rFonts w:cs="Times New Roman"/>
          <w:color w:val="000000"/>
        </w:rPr>
        <w:t>–</w:t>
      </w:r>
      <w:r w:rsidRPr="007B2963">
        <w:rPr>
          <w:rFonts w:cs="Times New Roman"/>
          <w:color w:val="000000"/>
        </w:rPr>
        <w:t>2010) and after (2010</w:t>
      </w:r>
      <w:r w:rsidR="00AB494B">
        <w:rPr>
          <w:rFonts w:cs="Times New Roman"/>
          <w:color w:val="000000"/>
        </w:rPr>
        <w:t>–</w:t>
      </w:r>
      <w:r w:rsidRPr="007B2963">
        <w:rPr>
          <w:rFonts w:cs="Times New Roman"/>
          <w:color w:val="000000"/>
        </w:rPr>
        <w:t>2018) HIMA project implementation. Negative annual rates indicate deforestation and positive annual rates indicate reforestation. Wards that demonstrated an improved rate of annual forest cover change in the second time period as compared to the first are marked with a check box in the final column.</w:t>
      </w:r>
    </w:p>
    <w:p w14:paraId="3DB15A51" w14:textId="77777777" w:rsidR="00816D20" w:rsidRPr="007B2963" w:rsidRDefault="00816D20">
      <w:pPr>
        <w:spacing w:line="360" w:lineRule="auto"/>
        <w:rPr>
          <w:rFonts w:cs="Times New Roman"/>
          <w:b/>
          <w:color w:val="000000"/>
        </w:rPr>
      </w:pPr>
    </w:p>
    <w:tbl>
      <w:tblPr>
        <w:tblW w:w="9010" w:type="dxa"/>
        <w:tblCellMar>
          <w:top w:w="55" w:type="dxa"/>
          <w:left w:w="55" w:type="dxa"/>
          <w:bottom w:w="55" w:type="dxa"/>
          <w:right w:w="55" w:type="dxa"/>
        </w:tblCellMar>
        <w:tblLook w:val="0000" w:firstRow="0" w:lastRow="0" w:firstColumn="0" w:lastColumn="0" w:noHBand="0" w:noVBand="0"/>
      </w:tblPr>
      <w:tblGrid>
        <w:gridCol w:w="1497"/>
        <w:gridCol w:w="1135"/>
        <w:gridCol w:w="1135"/>
        <w:gridCol w:w="1135"/>
        <w:gridCol w:w="1362"/>
        <w:gridCol w:w="1362"/>
        <w:gridCol w:w="1384"/>
      </w:tblGrid>
      <w:tr w:rsidR="00816D20" w:rsidRPr="007B2963" w14:paraId="1FBDE3D5" w14:textId="77777777">
        <w:tc>
          <w:tcPr>
            <w:tcW w:w="1497" w:type="dxa"/>
            <w:tcBorders>
              <w:top w:val="single" w:sz="4" w:space="0" w:color="000000"/>
              <w:left w:val="single" w:sz="4" w:space="0" w:color="000000"/>
              <w:bottom w:val="single" w:sz="4" w:space="0" w:color="000000"/>
            </w:tcBorders>
            <w:shd w:val="clear" w:color="auto" w:fill="auto"/>
          </w:tcPr>
          <w:p w14:paraId="57E2AF6A" w14:textId="77777777" w:rsidR="00816D20" w:rsidRPr="007B2963" w:rsidRDefault="00916365">
            <w:pPr>
              <w:rPr>
                <w:rFonts w:cs="Times New Roman"/>
                <w:color w:val="000000"/>
                <w:sz w:val="21"/>
                <w:szCs w:val="21"/>
              </w:rPr>
            </w:pPr>
            <w:r w:rsidRPr="007B2963">
              <w:rPr>
                <w:rFonts w:cs="Times New Roman"/>
                <w:color w:val="000000"/>
                <w:sz w:val="21"/>
                <w:szCs w:val="21"/>
              </w:rPr>
              <w:t>Ward</w:t>
            </w:r>
          </w:p>
        </w:tc>
        <w:tc>
          <w:tcPr>
            <w:tcW w:w="1135" w:type="dxa"/>
            <w:tcBorders>
              <w:top w:val="single" w:sz="4" w:space="0" w:color="000000"/>
              <w:left w:val="single" w:sz="4" w:space="0" w:color="000000"/>
              <w:bottom w:val="single" w:sz="4" w:space="0" w:color="000000"/>
            </w:tcBorders>
            <w:shd w:val="clear" w:color="auto" w:fill="auto"/>
          </w:tcPr>
          <w:p w14:paraId="2E70551E" w14:textId="77777777" w:rsidR="00816D20" w:rsidRPr="007B2963" w:rsidRDefault="00916365">
            <w:pPr>
              <w:rPr>
                <w:rFonts w:cs="Times New Roman"/>
                <w:color w:val="000000"/>
                <w:sz w:val="21"/>
                <w:szCs w:val="21"/>
              </w:rPr>
            </w:pPr>
            <w:r w:rsidRPr="007B2963">
              <w:rPr>
                <w:rFonts w:cs="Times New Roman"/>
                <w:color w:val="000000"/>
                <w:sz w:val="21"/>
                <w:szCs w:val="21"/>
              </w:rPr>
              <w:t>2001 forest cover (%)</w:t>
            </w:r>
          </w:p>
        </w:tc>
        <w:tc>
          <w:tcPr>
            <w:tcW w:w="1135" w:type="dxa"/>
            <w:tcBorders>
              <w:top w:val="single" w:sz="4" w:space="0" w:color="000000"/>
              <w:left w:val="single" w:sz="4" w:space="0" w:color="000000"/>
              <w:bottom w:val="single" w:sz="4" w:space="0" w:color="000000"/>
            </w:tcBorders>
            <w:shd w:val="clear" w:color="auto" w:fill="auto"/>
          </w:tcPr>
          <w:p w14:paraId="267E310C" w14:textId="77777777" w:rsidR="00816D20" w:rsidRPr="007B2963" w:rsidRDefault="00916365">
            <w:pPr>
              <w:rPr>
                <w:rFonts w:cs="Times New Roman"/>
                <w:color w:val="000000"/>
                <w:sz w:val="21"/>
                <w:szCs w:val="21"/>
              </w:rPr>
            </w:pPr>
            <w:r w:rsidRPr="007B2963">
              <w:rPr>
                <w:rFonts w:cs="Times New Roman"/>
                <w:color w:val="000000"/>
                <w:sz w:val="21"/>
                <w:szCs w:val="21"/>
              </w:rPr>
              <w:t>2010 forest cover (%)</w:t>
            </w:r>
          </w:p>
        </w:tc>
        <w:tc>
          <w:tcPr>
            <w:tcW w:w="1135" w:type="dxa"/>
            <w:tcBorders>
              <w:top w:val="single" w:sz="4" w:space="0" w:color="000000"/>
              <w:left w:val="single" w:sz="4" w:space="0" w:color="000000"/>
              <w:bottom w:val="single" w:sz="4" w:space="0" w:color="000000"/>
            </w:tcBorders>
            <w:shd w:val="clear" w:color="auto" w:fill="auto"/>
          </w:tcPr>
          <w:p w14:paraId="522C6855" w14:textId="77777777" w:rsidR="00816D20" w:rsidRPr="007B2963" w:rsidRDefault="00916365">
            <w:pPr>
              <w:rPr>
                <w:rFonts w:cs="Times New Roman"/>
                <w:color w:val="000000"/>
                <w:sz w:val="21"/>
                <w:szCs w:val="21"/>
              </w:rPr>
            </w:pPr>
            <w:r w:rsidRPr="007B2963">
              <w:rPr>
                <w:rFonts w:cs="Times New Roman"/>
                <w:color w:val="000000"/>
                <w:sz w:val="21"/>
                <w:szCs w:val="21"/>
              </w:rPr>
              <w:t>2018 forest cover (%)</w:t>
            </w:r>
          </w:p>
        </w:tc>
        <w:tc>
          <w:tcPr>
            <w:tcW w:w="1362" w:type="dxa"/>
            <w:tcBorders>
              <w:top w:val="single" w:sz="4" w:space="0" w:color="000000"/>
              <w:left w:val="single" w:sz="4" w:space="0" w:color="000000"/>
              <w:bottom w:val="single" w:sz="4" w:space="0" w:color="000000"/>
            </w:tcBorders>
            <w:shd w:val="clear" w:color="auto" w:fill="auto"/>
          </w:tcPr>
          <w:p w14:paraId="0CAB6FF4" w14:textId="44DADD09" w:rsidR="00816D20" w:rsidRPr="007B2963" w:rsidRDefault="00916365" w:rsidP="00916EFD">
            <w:pPr>
              <w:rPr>
                <w:rFonts w:cs="Times New Roman"/>
                <w:color w:val="000000"/>
                <w:sz w:val="21"/>
                <w:szCs w:val="21"/>
              </w:rPr>
            </w:pPr>
            <w:r w:rsidRPr="007B2963">
              <w:rPr>
                <w:rFonts w:cs="Times New Roman"/>
                <w:color w:val="000000"/>
                <w:sz w:val="21"/>
                <w:szCs w:val="21"/>
              </w:rPr>
              <w:t>2001</w:t>
            </w:r>
            <w:r w:rsidR="00916EFD">
              <w:rPr>
                <w:rFonts w:cs="Times New Roman"/>
                <w:color w:val="000000"/>
                <w:sz w:val="21"/>
                <w:szCs w:val="21"/>
              </w:rPr>
              <w:t>–</w:t>
            </w:r>
            <w:r w:rsidRPr="007B2963">
              <w:rPr>
                <w:rFonts w:cs="Times New Roman"/>
                <w:color w:val="000000"/>
                <w:sz w:val="21"/>
                <w:szCs w:val="21"/>
              </w:rPr>
              <w:t>2010 mean annual forest cover change (%/yr)</w:t>
            </w:r>
          </w:p>
        </w:tc>
        <w:tc>
          <w:tcPr>
            <w:tcW w:w="1362" w:type="dxa"/>
            <w:tcBorders>
              <w:top w:val="single" w:sz="4" w:space="0" w:color="000000"/>
              <w:left w:val="single" w:sz="4" w:space="0" w:color="000000"/>
              <w:bottom w:val="single" w:sz="4" w:space="0" w:color="000000"/>
            </w:tcBorders>
            <w:shd w:val="clear" w:color="auto" w:fill="auto"/>
          </w:tcPr>
          <w:p w14:paraId="27F2ACC6" w14:textId="112582DC" w:rsidR="00816D20" w:rsidRPr="007B2963" w:rsidRDefault="00916365" w:rsidP="00916EFD">
            <w:pPr>
              <w:rPr>
                <w:rFonts w:cs="Times New Roman"/>
                <w:color w:val="000000"/>
                <w:sz w:val="21"/>
                <w:szCs w:val="21"/>
              </w:rPr>
            </w:pPr>
            <w:r w:rsidRPr="007B2963">
              <w:rPr>
                <w:rFonts w:cs="Times New Roman"/>
                <w:color w:val="000000"/>
                <w:sz w:val="21"/>
                <w:szCs w:val="21"/>
              </w:rPr>
              <w:t>2010</w:t>
            </w:r>
            <w:r w:rsidR="00916EFD">
              <w:rPr>
                <w:rFonts w:cs="Times New Roman"/>
                <w:color w:val="000000"/>
                <w:sz w:val="21"/>
                <w:szCs w:val="21"/>
              </w:rPr>
              <w:t>–</w:t>
            </w:r>
            <w:r w:rsidRPr="007B2963">
              <w:rPr>
                <w:rFonts w:cs="Times New Roman"/>
                <w:color w:val="000000"/>
                <w:sz w:val="21"/>
                <w:szCs w:val="21"/>
              </w:rPr>
              <w:t>2018 mean annual forest cover change (%/yr)</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23DAE632" w14:textId="663D7A57" w:rsidR="00816D20" w:rsidRPr="007B2963" w:rsidRDefault="00916365" w:rsidP="00916EFD">
            <w:pPr>
              <w:rPr>
                <w:rFonts w:cs="Times New Roman"/>
                <w:color w:val="000000"/>
                <w:sz w:val="21"/>
                <w:szCs w:val="21"/>
              </w:rPr>
            </w:pPr>
            <w:r w:rsidRPr="007B2963">
              <w:rPr>
                <w:rFonts w:cs="Times New Roman"/>
                <w:color w:val="000000"/>
                <w:sz w:val="21"/>
                <w:szCs w:val="21"/>
              </w:rPr>
              <w:t>Improved annual rate of forest cover change for the second time period: 2010</w:t>
            </w:r>
            <w:r w:rsidR="00916EFD">
              <w:rPr>
                <w:rFonts w:cs="Times New Roman"/>
                <w:color w:val="000000"/>
                <w:sz w:val="21"/>
                <w:szCs w:val="21"/>
              </w:rPr>
              <w:t>–</w:t>
            </w:r>
            <w:r w:rsidRPr="007B2963">
              <w:rPr>
                <w:rFonts w:cs="Times New Roman"/>
                <w:color w:val="000000"/>
                <w:sz w:val="21"/>
                <w:szCs w:val="21"/>
              </w:rPr>
              <w:t>2018  (Fig. 2)</w:t>
            </w:r>
          </w:p>
        </w:tc>
      </w:tr>
      <w:tr w:rsidR="00816D20" w:rsidRPr="007B2963" w14:paraId="715C3AEA" w14:textId="77777777">
        <w:trPr>
          <w:trHeight w:val="353"/>
        </w:trPr>
        <w:tc>
          <w:tcPr>
            <w:tcW w:w="1497" w:type="dxa"/>
            <w:tcBorders>
              <w:top w:val="single" w:sz="4" w:space="0" w:color="000000"/>
              <w:left w:val="single" w:sz="4" w:space="0" w:color="000000"/>
              <w:bottom w:val="single" w:sz="4" w:space="0" w:color="000000"/>
            </w:tcBorders>
            <w:shd w:val="clear" w:color="auto" w:fill="auto"/>
          </w:tcPr>
          <w:p w14:paraId="52DA29C9" w14:textId="77777777" w:rsidR="00816D20" w:rsidRPr="007B2963" w:rsidRDefault="00916365">
            <w:pPr>
              <w:rPr>
                <w:rFonts w:cs="Times New Roman"/>
                <w:color w:val="000000"/>
                <w:sz w:val="21"/>
                <w:szCs w:val="21"/>
              </w:rPr>
            </w:pPr>
            <w:r w:rsidRPr="007B2963">
              <w:rPr>
                <w:rFonts w:cs="Times New Roman"/>
                <w:color w:val="000000"/>
                <w:sz w:val="21"/>
                <w:szCs w:val="21"/>
              </w:rPr>
              <w:t>Changaweni</w:t>
            </w:r>
          </w:p>
        </w:tc>
        <w:tc>
          <w:tcPr>
            <w:tcW w:w="1135" w:type="dxa"/>
            <w:tcBorders>
              <w:top w:val="single" w:sz="4" w:space="0" w:color="000000"/>
              <w:left w:val="single" w:sz="4" w:space="0" w:color="000000"/>
              <w:bottom w:val="single" w:sz="4" w:space="0" w:color="000000"/>
            </w:tcBorders>
            <w:shd w:val="clear" w:color="auto" w:fill="auto"/>
            <w:vAlign w:val="bottom"/>
          </w:tcPr>
          <w:p w14:paraId="1681E1D5" w14:textId="77777777" w:rsidR="00816D20" w:rsidRPr="007B2963" w:rsidRDefault="00916365">
            <w:pPr>
              <w:rPr>
                <w:rFonts w:cs="Times New Roman"/>
                <w:color w:val="000000"/>
                <w:sz w:val="21"/>
                <w:szCs w:val="21"/>
              </w:rPr>
            </w:pPr>
            <w:r w:rsidRPr="007B2963">
              <w:rPr>
                <w:rFonts w:cs="Times New Roman"/>
                <w:color w:val="000000"/>
                <w:sz w:val="21"/>
                <w:szCs w:val="21"/>
              </w:rPr>
              <w:t>51.92</w:t>
            </w:r>
          </w:p>
        </w:tc>
        <w:tc>
          <w:tcPr>
            <w:tcW w:w="1135" w:type="dxa"/>
            <w:tcBorders>
              <w:top w:val="single" w:sz="4" w:space="0" w:color="000000"/>
              <w:left w:val="single" w:sz="4" w:space="0" w:color="000000"/>
              <w:bottom w:val="single" w:sz="4" w:space="0" w:color="000000"/>
            </w:tcBorders>
            <w:shd w:val="clear" w:color="auto" w:fill="auto"/>
            <w:vAlign w:val="bottom"/>
          </w:tcPr>
          <w:p w14:paraId="0FC16BBE" w14:textId="77777777" w:rsidR="00816D20" w:rsidRPr="007B2963" w:rsidRDefault="00916365">
            <w:pPr>
              <w:rPr>
                <w:rFonts w:cs="Times New Roman"/>
                <w:color w:val="000000"/>
                <w:sz w:val="21"/>
                <w:szCs w:val="21"/>
              </w:rPr>
            </w:pPr>
            <w:r w:rsidRPr="007B2963">
              <w:rPr>
                <w:rFonts w:cs="Times New Roman"/>
                <w:color w:val="000000"/>
                <w:sz w:val="21"/>
                <w:szCs w:val="21"/>
              </w:rPr>
              <w:t>31.14</w:t>
            </w:r>
          </w:p>
        </w:tc>
        <w:tc>
          <w:tcPr>
            <w:tcW w:w="1135" w:type="dxa"/>
            <w:tcBorders>
              <w:top w:val="single" w:sz="4" w:space="0" w:color="000000"/>
              <w:left w:val="single" w:sz="4" w:space="0" w:color="000000"/>
              <w:bottom w:val="single" w:sz="4" w:space="0" w:color="000000"/>
            </w:tcBorders>
            <w:shd w:val="clear" w:color="auto" w:fill="auto"/>
            <w:vAlign w:val="bottom"/>
          </w:tcPr>
          <w:p w14:paraId="0A4F16D1" w14:textId="77777777" w:rsidR="00816D20" w:rsidRPr="007B2963" w:rsidRDefault="00916365">
            <w:pPr>
              <w:rPr>
                <w:rFonts w:cs="Times New Roman"/>
                <w:color w:val="000000"/>
                <w:sz w:val="21"/>
                <w:szCs w:val="21"/>
              </w:rPr>
            </w:pPr>
            <w:r w:rsidRPr="007B2963">
              <w:rPr>
                <w:rFonts w:cs="Times New Roman"/>
                <w:color w:val="000000"/>
                <w:sz w:val="21"/>
                <w:szCs w:val="21"/>
              </w:rPr>
              <w:t>21.43</w:t>
            </w:r>
          </w:p>
        </w:tc>
        <w:tc>
          <w:tcPr>
            <w:tcW w:w="1362" w:type="dxa"/>
            <w:tcBorders>
              <w:top w:val="single" w:sz="4" w:space="0" w:color="000000"/>
              <w:left w:val="single" w:sz="4" w:space="0" w:color="000000"/>
              <w:bottom w:val="single" w:sz="4" w:space="0" w:color="000000"/>
            </w:tcBorders>
            <w:shd w:val="clear" w:color="auto" w:fill="auto"/>
            <w:vAlign w:val="bottom"/>
          </w:tcPr>
          <w:p w14:paraId="172B0BA5" w14:textId="77777777" w:rsidR="00816D20" w:rsidRPr="007B2963" w:rsidRDefault="00916365">
            <w:pPr>
              <w:rPr>
                <w:rFonts w:cs="Times New Roman"/>
                <w:color w:val="000000"/>
                <w:sz w:val="21"/>
                <w:szCs w:val="21"/>
              </w:rPr>
            </w:pPr>
            <w:r w:rsidRPr="007B2963">
              <w:rPr>
                <w:rFonts w:cs="Times New Roman"/>
                <w:color w:val="000000"/>
                <w:sz w:val="21"/>
                <w:szCs w:val="21"/>
              </w:rPr>
              <w:t>-5.2</w:t>
            </w:r>
          </w:p>
        </w:tc>
        <w:tc>
          <w:tcPr>
            <w:tcW w:w="1362" w:type="dxa"/>
            <w:tcBorders>
              <w:top w:val="single" w:sz="4" w:space="0" w:color="000000"/>
              <w:left w:val="single" w:sz="4" w:space="0" w:color="000000"/>
              <w:bottom w:val="single" w:sz="4" w:space="0" w:color="000000"/>
            </w:tcBorders>
            <w:shd w:val="clear" w:color="auto" w:fill="auto"/>
            <w:vAlign w:val="bottom"/>
          </w:tcPr>
          <w:p w14:paraId="696A89DD" w14:textId="77777777" w:rsidR="00816D20" w:rsidRPr="007B2963" w:rsidRDefault="00916365">
            <w:pPr>
              <w:rPr>
                <w:rFonts w:cs="Times New Roman"/>
                <w:color w:val="000000"/>
                <w:sz w:val="21"/>
                <w:szCs w:val="21"/>
              </w:rPr>
            </w:pPr>
            <w:r w:rsidRPr="007B2963">
              <w:rPr>
                <w:rFonts w:cs="Times New Roman"/>
                <w:color w:val="000000"/>
                <w:sz w:val="21"/>
                <w:szCs w:val="21"/>
              </w:rPr>
              <w:t>-5.0</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37C3B8" w14:textId="77777777" w:rsidR="00816D20" w:rsidRPr="007B2963" w:rsidRDefault="00916365">
            <w:pPr>
              <w:spacing w:line="360" w:lineRule="auto"/>
              <w:rPr>
                <w:rFonts w:ascii="Wingdings" w:eastAsia="Wingdings" w:hAnsi="Wingdings" w:cs="Wingdings"/>
                <w:color w:val="000000"/>
                <w:sz w:val="21"/>
                <w:szCs w:val="21"/>
              </w:rPr>
            </w:pPr>
            <w:r w:rsidRPr="007B2963">
              <w:rPr>
                <w:rFonts w:ascii="Wingdings" w:eastAsia="Wingdings" w:hAnsi="Wingdings" w:cs="Wingdings"/>
                <w:color w:val="000000"/>
                <w:sz w:val="21"/>
                <w:szCs w:val="21"/>
              </w:rPr>
              <w:t></w:t>
            </w:r>
          </w:p>
        </w:tc>
      </w:tr>
      <w:tr w:rsidR="00816D20" w:rsidRPr="007B2963" w14:paraId="72AAD190" w14:textId="77777777">
        <w:tc>
          <w:tcPr>
            <w:tcW w:w="1497" w:type="dxa"/>
            <w:tcBorders>
              <w:left w:val="single" w:sz="4" w:space="0" w:color="000000"/>
              <w:bottom w:val="single" w:sz="4" w:space="0" w:color="000000"/>
            </w:tcBorders>
            <w:shd w:val="clear" w:color="auto" w:fill="auto"/>
          </w:tcPr>
          <w:p w14:paraId="7A4D1160" w14:textId="77777777" w:rsidR="00816D20" w:rsidRPr="007B2963" w:rsidRDefault="00916365">
            <w:pPr>
              <w:rPr>
                <w:rFonts w:cs="Times New Roman"/>
                <w:color w:val="000000"/>
                <w:sz w:val="21"/>
                <w:szCs w:val="21"/>
              </w:rPr>
            </w:pPr>
            <w:r w:rsidRPr="007B2963">
              <w:rPr>
                <w:rFonts w:cs="Times New Roman"/>
                <w:color w:val="000000"/>
                <w:sz w:val="21"/>
                <w:szCs w:val="21"/>
              </w:rPr>
              <w:t>Fundo</w:t>
            </w:r>
          </w:p>
        </w:tc>
        <w:tc>
          <w:tcPr>
            <w:tcW w:w="1135" w:type="dxa"/>
            <w:tcBorders>
              <w:left w:val="single" w:sz="4" w:space="0" w:color="000000"/>
              <w:bottom w:val="single" w:sz="4" w:space="0" w:color="000000"/>
            </w:tcBorders>
            <w:shd w:val="clear" w:color="auto" w:fill="auto"/>
            <w:vAlign w:val="bottom"/>
          </w:tcPr>
          <w:p w14:paraId="79A07F24" w14:textId="77777777" w:rsidR="00816D20" w:rsidRPr="007B2963" w:rsidRDefault="00916365">
            <w:pPr>
              <w:rPr>
                <w:rFonts w:cs="Times New Roman"/>
                <w:color w:val="000000"/>
                <w:sz w:val="21"/>
                <w:szCs w:val="21"/>
              </w:rPr>
            </w:pPr>
            <w:r w:rsidRPr="007B2963">
              <w:rPr>
                <w:rFonts w:cs="Times New Roman"/>
                <w:color w:val="000000"/>
                <w:sz w:val="21"/>
                <w:szCs w:val="21"/>
              </w:rPr>
              <w:t>31.72</w:t>
            </w:r>
          </w:p>
        </w:tc>
        <w:tc>
          <w:tcPr>
            <w:tcW w:w="1135" w:type="dxa"/>
            <w:tcBorders>
              <w:left w:val="single" w:sz="4" w:space="0" w:color="000000"/>
              <w:bottom w:val="single" w:sz="4" w:space="0" w:color="000000"/>
            </w:tcBorders>
            <w:shd w:val="clear" w:color="auto" w:fill="auto"/>
            <w:vAlign w:val="bottom"/>
          </w:tcPr>
          <w:p w14:paraId="1D3A7E3E" w14:textId="77777777" w:rsidR="00816D20" w:rsidRPr="007B2963" w:rsidRDefault="00916365">
            <w:pPr>
              <w:rPr>
                <w:rFonts w:cs="Times New Roman"/>
                <w:color w:val="000000"/>
                <w:sz w:val="21"/>
                <w:szCs w:val="21"/>
              </w:rPr>
            </w:pPr>
            <w:r w:rsidRPr="007B2963">
              <w:rPr>
                <w:rFonts w:cs="Times New Roman"/>
                <w:color w:val="000000"/>
                <w:sz w:val="21"/>
                <w:szCs w:val="21"/>
              </w:rPr>
              <w:t>22.27</w:t>
            </w:r>
          </w:p>
        </w:tc>
        <w:tc>
          <w:tcPr>
            <w:tcW w:w="1135" w:type="dxa"/>
            <w:tcBorders>
              <w:left w:val="single" w:sz="4" w:space="0" w:color="000000"/>
              <w:bottom w:val="single" w:sz="4" w:space="0" w:color="000000"/>
            </w:tcBorders>
            <w:shd w:val="clear" w:color="auto" w:fill="auto"/>
            <w:vAlign w:val="bottom"/>
          </w:tcPr>
          <w:p w14:paraId="6809D53B" w14:textId="77777777" w:rsidR="00816D20" w:rsidRPr="007B2963" w:rsidRDefault="00916365">
            <w:pPr>
              <w:rPr>
                <w:rFonts w:cs="Times New Roman"/>
                <w:color w:val="000000"/>
                <w:sz w:val="21"/>
                <w:szCs w:val="21"/>
              </w:rPr>
            </w:pPr>
            <w:r w:rsidRPr="007B2963">
              <w:rPr>
                <w:rFonts w:cs="Times New Roman"/>
                <w:color w:val="000000"/>
                <w:sz w:val="21"/>
                <w:szCs w:val="21"/>
              </w:rPr>
              <w:t>13.44</w:t>
            </w:r>
          </w:p>
        </w:tc>
        <w:tc>
          <w:tcPr>
            <w:tcW w:w="1362" w:type="dxa"/>
            <w:tcBorders>
              <w:left w:val="single" w:sz="4" w:space="0" w:color="000000"/>
              <w:bottom w:val="single" w:sz="4" w:space="0" w:color="000000"/>
            </w:tcBorders>
            <w:shd w:val="clear" w:color="auto" w:fill="auto"/>
            <w:vAlign w:val="bottom"/>
          </w:tcPr>
          <w:p w14:paraId="5C4627ED" w14:textId="77777777" w:rsidR="00816D20" w:rsidRPr="007B2963" w:rsidRDefault="00916365">
            <w:pPr>
              <w:rPr>
                <w:rFonts w:cs="Times New Roman"/>
                <w:color w:val="000000"/>
                <w:sz w:val="21"/>
                <w:szCs w:val="21"/>
              </w:rPr>
            </w:pPr>
            <w:r w:rsidRPr="007B2963">
              <w:rPr>
                <w:rFonts w:cs="Times New Roman"/>
                <w:color w:val="000000"/>
                <w:sz w:val="21"/>
                <w:szCs w:val="21"/>
              </w:rPr>
              <w:t>-3.7</w:t>
            </w:r>
          </w:p>
        </w:tc>
        <w:tc>
          <w:tcPr>
            <w:tcW w:w="1362" w:type="dxa"/>
            <w:tcBorders>
              <w:left w:val="single" w:sz="4" w:space="0" w:color="000000"/>
              <w:bottom w:val="single" w:sz="4" w:space="0" w:color="000000"/>
            </w:tcBorders>
            <w:shd w:val="clear" w:color="auto" w:fill="auto"/>
            <w:vAlign w:val="bottom"/>
          </w:tcPr>
          <w:p w14:paraId="0A7693BB" w14:textId="77777777" w:rsidR="00816D20" w:rsidRPr="007B2963" w:rsidRDefault="00916365">
            <w:pPr>
              <w:rPr>
                <w:rFonts w:cs="Times New Roman"/>
                <w:color w:val="000000"/>
                <w:sz w:val="21"/>
                <w:szCs w:val="21"/>
              </w:rPr>
            </w:pPr>
            <w:r w:rsidRPr="007B2963">
              <w:rPr>
                <w:rFonts w:cs="Times New Roman"/>
                <w:color w:val="000000"/>
                <w:sz w:val="21"/>
                <w:szCs w:val="21"/>
              </w:rPr>
              <w:t>-6.7</w:t>
            </w:r>
          </w:p>
        </w:tc>
        <w:tc>
          <w:tcPr>
            <w:tcW w:w="1384" w:type="dxa"/>
            <w:tcBorders>
              <w:left w:val="single" w:sz="4" w:space="0" w:color="000000"/>
              <w:bottom w:val="single" w:sz="4" w:space="0" w:color="000000"/>
              <w:right w:val="single" w:sz="4" w:space="0" w:color="000000"/>
            </w:tcBorders>
            <w:shd w:val="clear" w:color="auto" w:fill="auto"/>
            <w:vAlign w:val="bottom"/>
          </w:tcPr>
          <w:p w14:paraId="020E1E3E" w14:textId="77777777" w:rsidR="00816D20" w:rsidRPr="007B2963" w:rsidRDefault="00816D20">
            <w:pPr>
              <w:rPr>
                <w:rFonts w:cs="Times New Roman"/>
                <w:color w:val="000000"/>
                <w:sz w:val="21"/>
                <w:szCs w:val="21"/>
              </w:rPr>
            </w:pPr>
          </w:p>
        </w:tc>
      </w:tr>
      <w:tr w:rsidR="00816D20" w:rsidRPr="007B2963" w14:paraId="2B9685BC" w14:textId="77777777">
        <w:tc>
          <w:tcPr>
            <w:tcW w:w="1497" w:type="dxa"/>
            <w:tcBorders>
              <w:left w:val="single" w:sz="4" w:space="0" w:color="000000"/>
              <w:bottom w:val="single" w:sz="4" w:space="0" w:color="000000"/>
            </w:tcBorders>
            <w:shd w:val="clear" w:color="auto" w:fill="auto"/>
          </w:tcPr>
          <w:p w14:paraId="1E36857E" w14:textId="77777777" w:rsidR="00816D20" w:rsidRPr="007B2963" w:rsidRDefault="00916365">
            <w:pPr>
              <w:rPr>
                <w:rFonts w:cs="Times New Roman"/>
                <w:color w:val="000000"/>
                <w:sz w:val="21"/>
                <w:szCs w:val="21"/>
              </w:rPr>
            </w:pPr>
            <w:r w:rsidRPr="007B2963">
              <w:rPr>
                <w:rFonts w:cs="Times New Roman"/>
                <w:color w:val="000000"/>
                <w:sz w:val="21"/>
                <w:szCs w:val="21"/>
              </w:rPr>
              <w:t>Gando</w:t>
            </w:r>
          </w:p>
        </w:tc>
        <w:tc>
          <w:tcPr>
            <w:tcW w:w="1135" w:type="dxa"/>
            <w:tcBorders>
              <w:left w:val="single" w:sz="4" w:space="0" w:color="000000"/>
              <w:bottom w:val="single" w:sz="4" w:space="0" w:color="000000"/>
            </w:tcBorders>
            <w:shd w:val="clear" w:color="auto" w:fill="auto"/>
            <w:vAlign w:val="bottom"/>
          </w:tcPr>
          <w:p w14:paraId="2CABE6DA" w14:textId="77777777" w:rsidR="00816D20" w:rsidRPr="007B2963" w:rsidRDefault="00916365">
            <w:pPr>
              <w:rPr>
                <w:rFonts w:cs="Times New Roman"/>
                <w:color w:val="000000"/>
                <w:sz w:val="21"/>
                <w:szCs w:val="21"/>
              </w:rPr>
            </w:pPr>
            <w:r w:rsidRPr="007B2963">
              <w:rPr>
                <w:rFonts w:cs="Times New Roman"/>
                <w:color w:val="000000"/>
                <w:sz w:val="21"/>
                <w:szCs w:val="21"/>
              </w:rPr>
              <w:t>40.37</w:t>
            </w:r>
          </w:p>
        </w:tc>
        <w:tc>
          <w:tcPr>
            <w:tcW w:w="1135" w:type="dxa"/>
            <w:tcBorders>
              <w:left w:val="single" w:sz="4" w:space="0" w:color="000000"/>
              <w:bottom w:val="single" w:sz="4" w:space="0" w:color="000000"/>
            </w:tcBorders>
            <w:shd w:val="clear" w:color="auto" w:fill="auto"/>
            <w:vAlign w:val="bottom"/>
          </w:tcPr>
          <w:p w14:paraId="59C3F5E3" w14:textId="77777777" w:rsidR="00816D20" w:rsidRPr="007B2963" w:rsidRDefault="00916365">
            <w:pPr>
              <w:rPr>
                <w:rFonts w:cs="Times New Roman"/>
                <w:color w:val="000000"/>
                <w:sz w:val="21"/>
                <w:szCs w:val="21"/>
              </w:rPr>
            </w:pPr>
            <w:r w:rsidRPr="007B2963">
              <w:rPr>
                <w:rFonts w:cs="Times New Roman"/>
                <w:color w:val="000000"/>
                <w:sz w:val="21"/>
                <w:szCs w:val="21"/>
              </w:rPr>
              <w:t>33.17</w:t>
            </w:r>
          </w:p>
        </w:tc>
        <w:tc>
          <w:tcPr>
            <w:tcW w:w="1135" w:type="dxa"/>
            <w:tcBorders>
              <w:left w:val="single" w:sz="4" w:space="0" w:color="000000"/>
              <w:bottom w:val="single" w:sz="4" w:space="0" w:color="000000"/>
            </w:tcBorders>
            <w:shd w:val="clear" w:color="auto" w:fill="auto"/>
            <w:vAlign w:val="bottom"/>
          </w:tcPr>
          <w:p w14:paraId="4DBCE440" w14:textId="77777777" w:rsidR="00816D20" w:rsidRPr="007B2963" w:rsidRDefault="00916365">
            <w:pPr>
              <w:rPr>
                <w:rFonts w:cs="Times New Roman"/>
                <w:color w:val="000000"/>
                <w:sz w:val="21"/>
                <w:szCs w:val="21"/>
              </w:rPr>
            </w:pPr>
            <w:r w:rsidRPr="007B2963">
              <w:rPr>
                <w:rFonts w:cs="Times New Roman"/>
                <w:color w:val="000000"/>
                <w:sz w:val="21"/>
                <w:szCs w:val="21"/>
              </w:rPr>
              <w:t>28.92</w:t>
            </w:r>
          </w:p>
        </w:tc>
        <w:tc>
          <w:tcPr>
            <w:tcW w:w="1362" w:type="dxa"/>
            <w:tcBorders>
              <w:left w:val="single" w:sz="4" w:space="0" w:color="000000"/>
              <w:bottom w:val="single" w:sz="4" w:space="0" w:color="000000"/>
            </w:tcBorders>
            <w:shd w:val="clear" w:color="auto" w:fill="auto"/>
            <w:vAlign w:val="bottom"/>
          </w:tcPr>
          <w:p w14:paraId="628D3C78" w14:textId="77777777" w:rsidR="00816D20" w:rsidRPr="007B2963" w:rsidRDefault="00916365">
            <w:pPr>
              <w:rPr>
                <w:rFonts w:cs="Times New Roman"/>
                <w:color w:val="000000"/>
                <w:sz w:val="21"/>
                <w:szCs w:val="21"/>
              </w:rPr>
            </w:pPr>
            <w:r w:rsidRPr="007B2963">
              <w:rPr>
                <w:rFonts w:cs="Times New Roman"/>
                <w:color w:val="000000"/>
                <w:sz w:val="21"/>
                <w:szCs w:val="21"/>
              </w:rPr>
              <w:t>-2.0</w:t>
            </w:r>
          </w:p>
        </w:tc>
        <w:tc>
          <w:tcPr>
            <w:tcW w:w="1362" w:type="dxa"/>
            <w:tcBorders>
              <w:left w:val="single" w:sz="4" w:space="0" w:color="000000"/>
              <w:bottom w:val="single" w:sz="4" w:space="0" w:color="000000"/>
            </w:tcBorders>
            <w:shd w:val="clear" w:color="auto" w:fill="auto"/>
            <w:vAlign w:val="bottom"/>
          </w:tcPr>
          <w:p w14:paraId="5F55C3E6" w14:textId="77777777" w:rsidR="00816D20" w:rsidRPr="007B2963" w:rsidRDefault="00916365">
            <w:pPr>
              <w:rPr>
                <w:rFonts w:cs="Times New Roman"/>
                <w:color w:val="000000"/>
                <w:sz w:val="21"/>
                <w:szCs w:val="21"/>
              </w:rPr>
            </w:pPr>
            <w:r w:rsidRPr="007B2963">
              <w:rPr>
                <w:rFonts w:cs="Times New Roman"/>
                <w:color w:val="000000"/>
                <w:sz w:val="21"/>
                <w:szCs w:val="21"/>
              </w:rPr>
              <w:t>-1.9</w:t>
            </w:r>
          </w:p>
        </w:tc>
        <w:tc>
          <w:tcPr>
            <w:tcW w:w="1384" w:type="dxa"/>
            <w:tcBorders>
              <w:left w:val="single" w:sz="4" w:space="0" w:color="000000"/>
              <w:bottom w:val="single" w:sz="4" w:space="0" w:color="000000"/>
              <w:right w:val="single" w:sz="4" w:space="0" w:color="000000"/>
            </w:tcBorders>
            <w:shd w:val="clear" w:color="auto" w:fill="auto"/>
            <w:vAlign w:val="bottom"/>
          </w:tcPr>
          <w:p w14:paraId="78493581" w14:textId="77777777" w:rsidR="00816D20" w:rsidRPr="007B2963" w:rsidRDefault="00916365">
            <w:pPr>
              <w:spacing w:line="360" w:lineRule="auto"/>
              <w:rPr>
                <w:rFonts w:ascii="Wingdings" w:eastAsia="Wingdings" w:hAnsi="Wingdings" w:cs="Wingdings"/>
                <w:color w:val="000000"/>
                <w:sz w:val="21"/>
                <w:szCs w:val="21"/>
              </w:rPr>
            </w:pPr>
            <w:r w:rsidRPr="007B2963">
              <w:rPr>
                <w:rFonts w:ascii="Wingdings" w:eastAsia="Wingdings" w:hAnsi="Wingdings" w:cs="Wingdings"/>
                <w:color w:val="000000"/>
                <w:sz w:val="21"/>
                <w:szCs w:val="21"/>
              </w:rPr>
              <w:t></w:t>
            </w:r>
          </w:p>
        </w:tc>
      </w:tr>
      <w:tr w:rsidR="00816D20" w:rsidRPr="007B2963" w14:paraId="33D8DA43" w14:textId="77777777">
        <w:tc>
          <w:tcPr>
            <w:tcW w:w="1497" w:type="dxa"/>
            <w:tcBorders>
              <w:left w:val="single" w:sz="4" w:space="0" w:color="000000"/>
              <w:bottom w:val="single" w:sz="4" w:space="0" w:color="000000"/>
            </w:tcBorders>
            <w:shd w:val="clear" w:color="auto" w:fill="auto"/>
          </w:tcPr>
          <w:p w14:paraId="4895381E" w14:textId="77777777" w:rsidR="00816D20" w:rsidRPr="007B2963" w:rsidRDefault="00916365">
            <w:pPr>
              <w:rPr>
                <w:rFonts w:cs="Times New Roman"/>
                <w:color w:val="000000"/>
                <w:sz w:val="21"/>
                <w:szCs w:val="21"/>
              </w:rPr>
            </w:pPr>
            <w:r w:rsidRPr="007B2963">
              <w:rPr>
                <w:rFonts w:cs="Times New Roman"/>
                <w:color w:val="000000"/>
                <w:sz w:val="21"/>
                <w:szCs w:val="21"/>
              </w:rPr>
              <w:t>Kambini</w:t>
            </w:r>
          </w:p>
        </w:tc>
        <w:tc>
          <w:tcPr>
            <w:tcW w:w="1135" w:type="dxa"/>
            <w:tcBorders>
              <w:left w:val="single" w:sz="4" w:space="0" w:color="000000"/>
              <w:bottom w:val="single" w:sz="4" w:space="0" w:color="000000"/>
            </w:tcBorders>
            <w:shd w:val="clear" w:color="auto" w:fill="auto"/>
            <w:vAlign w:val="bottom"/>
          </w:tcPr>
          <w:p w14:paraId="1F96A0EE" w14:textId="77777777" w:rsidR="00816D20" w:rsidRPr="007B2963" w:rsidRDefault="00916365">
            <w:pPr>
              <w:rPr>
                <w:rFonts w:cs="Times New Roman"/>
                <w:color w:val="000000"/>
                <w:sz w:val="21"/>
                <w:szCs w:val="21"/>
              </w:rPr>
            </w:pPr>
            <w:r w:rsidRPr="007B2963">
              <w:rPr>
                <w:rFonts w:cs="Times New Roman"/>
                <w:color w:val="000000"/>
                <w:sz w:val="21"/>
                <w:szCs w:val="21"/>
              </w:rPr>
              <w:t>10.64</w:t>
            </w:r>
          </w:p>
        </w:tc>
        <w:tc>
          <w:tcPr>
            <w:tcW w:w="1135" w:type="dxa"/>
            <w:tcBorders>
              <w:left w:val="single" w:sz="4" w:space="0" w:color="000000"/>
              <w:bottom w:val="single" w:sz="4" w:space="0" w:color="000000"/>
            </w:tcBorders>
            <w:shd w:val="clear" w:color="auto" w:fill="auto"/>
            <w:vAlign w:val="bottom"/>
          </w:tcPr>
          <w:p w14:paraId="70A88F9E" w14:textId="77777777" w:rsidR="00816D20" w:rsidRPr="007B2963" w:rsidRDefault="00916365">
            <w:pPr>
              <w:rPr>
                <w:rFonts w:cs="Times New Roman"/>
                <w:color w:val="000000"/>
                <w:sz w:val="21"/>
                <w:szCs w:val="21"/>
              </w:rPr>
            </w:pPr>
            <w:r w:rsidRPr="007B2963">
              <w:rPr>
                <w:rFonts w:cs="Times New Roman"/>
                <w:color w:val="000000"/>
                <w:sz w:val="21"/>
                <w:szCs w:val="21"/>
              </w:rPr>
              <w:t>9.78</w:t>
            </w:r>
          </w:p>
        </w:tc>
        <w:tc>
          <w:tcPr>
            <w:tcW w:w="1135" w:type="dxa"/>
            <w:tcBorders>
              <w:left w:val="single" w:sz="4" w:space="0" w:color="000000"/>
              <w:bottom w:val="single" w:sz="4" w:space="0" w:color="000000"/>
            </w:tcBorders>
            <w:shd w:val="clear" w:color="auto" w:fill="auto"/>
            <w:vAlign w:val="bottom"/>
          </w:tcPr>
          <w:p w14:paraId="0D9A9358" w14:textId="77777777" w:rsidR="00816D20" w:rsidRPr="007B2963" w:rsidRDefault="00916365">
            <w:pPr>
              <w:rPr>
                <w:rFonts w:cs="Times New Roman"/>
                <w:color w:val="000000"/>
                <w:sz w:val="21"/>
                <w:szCs w:val="21"/>
              </w:rPr>
            </w:pPr>
            <w:r w:rsidRPr="007B2963">
              <w:rPr>
                <w:rFonts w:cs="Times New Roman"/>
                <w:color w:val="000000"/>
                <w:sz w:val="21"/>
                <w:szCs w:val="21"/>
              </w:rPr>
              <w:t>5.93</w:t>
            </w:r>
          </w:p>
        </w:tc>
        <w:tc>
          <w:tcPr>
            <w:tcW w:w="1362" w:type="dxa"/>
            <w:tcBorders>
              <w:left w:val="single" w:sz="4" w:space="0" w:color="000000"/>
              <w:bottom w:val="single" w:sz="4" w:space="0" w:color="000000"/>
            </w:tcBorders>
            <w:shd w:val="clear" w:color="auto" w:fill="auto"/>
            <w:vAlign w:val="bottom"/>
          </w:tcPr>
          <w:p w14:paraId="7E133CA7" w14:textId="77777777" w:rsidR="00816D20" w:rsidRPr="007B2963" w:rsidRDefault="00916365">
            <w:pPr>
              <w:rPr>
                <w:rFonts w:cs="Times New Roman"/>
                <w:color w:val="000000"/>
                <w:sz w:val="21"/>
                <w:szCs w:val="21"/>
              </w:rPr>
            </w:pPr>
            <w:r w:rsidRPr="007B2963">
              <w:rPr>
                <w:rFonts w:cs="Times New Roman"/>
                <w:color w:val="000000"/>
                <w:sz w:val="21"/>
                <w:szCs w:val="21"/>
              </w:rPr>
              <w:t>-0.9</w:t>
            </w:r>
          </w:p>
        </w:tc>
        <w:tc>
          <w:tcPr>
            <w:tcW w:w="1362" w:type="dxa"/>
            <w:tcBorders>
              <w:left w:val="single" w:sz="4" w:space="0" w:color="000000"/>
              <w:bottom w:val="single" w:sz="4" w:space="0" w:color="000000"/>
            </w:tcBorders>
            <w:shd w:val="clear" w:color="auto" w:fill="auto"/>
            <w:vAlign w:val="bottom"/>
          </w:tcPr>
          <w:p w14:paraId="430AE0E2" w14:textId="77777777" w:rsidR="00816D20" w:rsidRPr="007B2963" w:rsidRDefault="00916365">
            <w:pPr>
              <w:rPr>
                <w:rFonts w:cs="Times New Roman"/>
                <w:color w:val="000000"/>
                <w:sz w:val="21"/>
                <w:szCs w:val="21"/>
              </w:rPr>
            </w:pPr>
            <w:r w:rsidRPr="007B2963">
              <w:rPr>
                <w:rFonts w:cs="Times New Roman"/>
                <w:color w:val="000000"/>
                <w:sz w:val="21"/>
                <w:szCs w:val="21"/>
              </w:rPr>
              <w:t>-6.7</w:t>
            </w:r>
          </w:p>
        </w:tc>
        <w:tc>
          <w:tcPr>
            <w:tcW w:w="1384" w:type="dxa"/>
            <w:tcBorders>
              <w:left w:val="single" w:sz="4" w:space="0" w:color="000000"/>
              <w:bottom w:val="single" w:sz="4" w:space="0" w:color="000000"/>
              <w:right w:val="single" w:sz="4" w:space="0" w:color="000000"/>
            </w:tcBorders>
            <w:shd w:val="clear" w:color="auto" w:fill="auto"/>
            <w:vAlign w:val="bottom"/>
          </w:tcPr>
          <w:p w14:paraId="13620EA7" w14:textId="77777777" w:rsidR="00816D20" w:rsidRPr="007B2963" w:rsidRDefault="00816D20">
            <w:pPr>
              <w:rPr>
                <w:rFonts w:cs="Times New Roman"/>
                <w:color w:val="000000"/>
                <w:sz w:val="21"/>
                <w:szCs w:val="21"/>
              </w:rPr>
            </w:pPr>
          </w:p>
        </w:tc>
      </w:tr>
      <w:tr w:rsidR="00816D20" w:rsidRPr="007B2963" w14:paraId="29DF127A" w14:textId="77777777">
        <w:tc>
          <w:tcPr>
            <w:tcW w:w="1497" w:type="dxa"/>
            <w:tcBorders>
              <w:left w:val="single" w:sz="4" w:space="0" w:color="000000"/>
              <w:bottom w:val="single" w:sz="4" w:space="0" w:color="000000"/>
            </w:tcBorders>
            <w:shd w:val="clear" w:color="auto" w:fill="auto"/>
          </w:tcPr>
          <w:p w14:paraId="2139FBA8" w14:textId="77777777" w:rsidR="00816D20" w:rsidRPr="007B2963" w:rsidRDefault="00916365">
            <w:pPr>
              <w:rPr>
                <w:rFonts w:cs="Times New Roman"/>
                <w:color w:val="000000"/>
                <w:sz w:val="21"/>
                <w:szCs w:val="21"/>
              </w:rPr>
            </w:pPr>
            <w:r w:rsidRPr="007B2963">
              <w:rPr>
                <w:rFonts w:cs="Times New Roman"/>
                <w:color w:val="000000"/>
                <w:sz w:val="21"/>
                <w:szCs w:val="21"/>
              </w:rPr>
              <w:t xml:space="preserve">Kangani </w:t>
            </w:r>
          </w:p>
        </w:tc>
        <w:tc>
          <w:tcPr>
            <w:tcW w:w="1135" w:type="dxa"/>
            <w:tcBorders>
              <w:left w:val="single" w:sz="4" w:space="0" w:color="000000"/>
              <w:bottom w:val="single" w:sz="4" w:space="0" w:color="000000"/>
            </w:tcBorders>
            <w:shd w:val="clear" w:color="auto" w:fill="auto"/>
            <w:vAlign w:val="bottom"/>
          </w:tcPr>
          <w:p w14:paraId="4878222A" w14:textId="77777777" w:rsidR="00816D20" w:rsidRPr="007B2963" w:rsidRDefault="00916365">
            <w:pPr>
              <w:rPr>
                <w:rFonts w:cs="Times New Roman"/>
                <w:color w:val="000000"/>
                <w:sz w:val="21"/>
                <w:szCs w:val="21"/>
              </w:rPr>
            </w:pPr>
            <w:r w:rsidRPr="007B2963">
              <w:rPr>
                <w:rFonts w:cs="Times New Roman"/>
                <w:color w:val="000000"/>
                <w:sz w:val="21"/>
                <w:szCs w:val="21"/>
              </w:rPr>
              <w:t>24.46</w:t>
            </w:r>
          </w:p>
        </w:tc>
        <w:tc>
          <w:tcPr>
            <w:tcW w:w="1135" w:type="dxa"/>
            <w:tcBorders>
              <w:left w:val="single" w:sz="4" w:space="0" w:color="000000"/>
              <w:bottom w:val="single" w:sz="4" w:space="0" w:color="000000"/>
            </w:tcBorders>
            <w:shd w:val="clear" w:color="auto" w:fill="auto"/>
            <w:vAlign w:val="bottom"/>
          </w:tcPr>
          <w:p w14:paraId="43C37FB2" w14:textId="77777777" w:rsidR="00816D20" w:rsidRPr="007B2963" w:rsidRDefault="00916365">
            <w:pPr>
              <w:rPr>
                <w:rFonts w:cs="Times New Roman"/>
                <w:color w:val="000000"/>
                <w:sz w:val="21"/>
                <w:szCs w:val="21"/>
              </w:rPr>
            </w:pPr>
            <w:r w:rsidRPr="007B2963">
              <w:rPr>
                <w:rFonts w:cs="Times New Roman"/>
                <w:color w:val="000000"/>
                <w:sz w:val="21"/>
                <w:szCs w:val="21"/>
              </w:rPr>
              <w:t>18.23</w:t>
            </w:r>
          </w:p>
        </w:tc>
        <w:tc>
          <w:tcPr>
            <w:tcW w:w="1135" w:type="dxa"/>
            <w:tcBorders>
              <w:left w:val="single" w:sz="4" w:space="0" w:color="000000"/>
              <w:bottom w:val="single" w:sz="4" w:space="0" w:color="000000"/>
            </w:tcBorders>
            <w:shd w:val="clear" w:color="auto" w:fill="auto"/>
            <w:vAlign w:val="bottom"/>
          </w:tcPr>
          <w:p w14:paraId="3E06B2B8" w14:textId="77777777" w:rsidR="00816D20" w:rsidRPr="007B2963" w:rsidRDefault="00916365">
            <w:pPr>
              <w:rPr>
                <w:rFonts w:cs="Times New Roman"/>
                <w:color w:val="000000"/>
                <w:sz w:val="21"/>
                <w:szCs w:val="21"/>
              </w:rPr>
            </w:pPr>
            <w:r w:rsidRPr="007B2963">
              <w:rPr>
                <w:rFonts w:cs="Times New Roman"/>
                <w:color w:val="000000"/>
                <w:sz w:val="21"/>
                <w:szCs w:val="21"/>
              </w:rPr>
              <w:t>15.53</w:t>
            </w:r>
          </w:p>
        </w:tc>
        <w:tc>
          <w:tcPr>
            <w:tcW w:w="1362" w:type="dxa"/>
            <w:tcBorders>
              <w:left w:val="single" w:sz="4" w:space="0" w:color="000000"/>
              <w:bottom w:val="single" w:sz="4" w:space="0" w:color="000000"/>
            </w:tcBorders>
            <w:shd w:val="clear" w:color="auto" w:fill="auto"/>
            <w:vAlign w:val="bottom"/>
          </w:tcPr>
          <w:p w14:paraId="22031BA1" w14:textId="77777777" w:rsidR="00816D20" w:rsidRPr="007B2963" w:rsidRDefault="00916365">
            <w:pPr>
              <w:rPr>
                <w:rFonts w:cs="Times New Roman"/>
                <w:color w:val="000000"/>
                <w:sz w:val="21"/>
                <w:szCs w:val="21"/>
              </w:rPr>
            </w:pPr>
            <w:r w:rsidRPr="007B2963">
              <w:rPr>
                <w:rFonts w:cs="Times New Roman"/>
                <w:color w:val="000000"/>
                <w:sz w:val="21"/>
                <w:szCs w:val="21"/>
              </w:rPr>
              <w:t>-3.0</w:t>
            </w:r>
          </w:p>
        </w:tc>
        <w:tc>
          <w:tcPr>
            <w:tcW w:w="1362" w:type="dxa"/>
            <w:tcBorders>
              <w:left w:val="single" w:sz="4" w:space="0" w:color="000000"/>
              <w:bottom w:val="single" w:sz="4" w:space="0" w:color="000000"/>
            </w:tcBorders>
            <w:shd w:val="clear" w:color="auto" w:fill="auto"/>
            <w:vAlign w:val="bottom"/>
          </w:tcPr>
          <w:p w14:paraId="6C47C0B5" w14:textId="77777777" w:rsidR="00816D20" w:rsidRPr="007B2963" w:rsidRDefault="00916365">
            <w:pPr>
              <w:rPr>
                <w:rFonts w:cs="Times New Roman"/>
                <w:color w:val="000000"/>
                <w:sz w:val="21"/>
                <w:szCs w:val="21"/>
              </w:rPr>
            </w:pPr>
            <w:r w:rsidRPr="007B2963">
              <w:rPr>
                <w:rFonts w:cs="Times New Roman"/>
                <w:color w:val="000000"/>
                <w:sz w:val="21"/>
                <w:szCs w:val="21"/>
              </w:rPr>
              <w:t>-2.2</w:t>
            </w:r>
          </w:p>
        </w:tc>
        <w:tc>
          <w:tcPr>
            <w:tcW w:w="1384" w:type="dxa"/>
            <w:tcBorders>
              <w:left w:val="single" w:sz="4" w:space="0" w:color="000000"/>
              <w:bottom w:val="single" w:sz="4" w:space="0" w:color="000000"/>
              <w:right w:val="single" w:sz="4" w:space="0" w:color="000000"/>
            </w:tcBorders>
            <w:shd w:val="clear" w:color="auto" w:fill="auto"/>
            <w:vAlign w:val="bottom"/>
          </w:tcPr>
          <w:p w14:paraId="17B8DC10" w14:textId="77777777" w:rsidR="00816D20" w:rsidRPr="007B2963" w:rsidRDefault="00916365">
            <w:pPr>
              <w:spacing w:line="360" w:lineRule="auto"/>
              <w:rPr>
                <w:rFonts w:ascii="Wingdings" w:eastAsia="Wingdings" w:hAnsi="Wingdings" w:cs="Wingdings"/>
                <w:color w:val="000000"/>
                <w:sz w:val="21"/>
                <w:szCs w:val="21"/>
              </w:rPr>
            </w:pPr>
            <w:r w:rsidRPr="007B2963">
              <w:rPr>
                <w:rFonts w:ascii="Wingdings" w:eastAsia="Wingdings" w:hAnsi="Wingdings" w:cs="Wingdings"/>
                <w:color w:val="000000"/>
                <w:sz w:val="21"/>
                <w:szCs w:val="21"/>
              </w:rPr>
              <w:t></w:t>
            </w:r>
          </w:p>
        </w:tc>
      </w:tr>
      <w:tr w:rsidR="00816D20" w:rsidRPr="007B2963" w14:paraId="44C78707" w14:textId="77777777">
        <w:tc>
          <w:tcPr>
            <w:tcW w:w="1497" w:type="dxa"/>
            <w:tcBorders>
              <w:left w:val="single" w:sz="4" w:space="0" w:color="000000"/>
              <w:bottom w:val="single" w:sz="4" w:space="0" w:color="000000"/>
            </w:tcBorders>
            <w:shd w:val="clear" w:color="auto" w:fill="auto"/>
          </w:tcPr>
          <w:p w14:paraId="6DD4A2CA" w14:textId="77777777" w:rsidR="00816D20" w:rsidRPr="007B2963" w:rsidRDefault="00916365">
            <w:pPr>
              <w:rPr>
                <w:rFonts w:cs="Times New Roman"/>
                <w:color w:val="000000"/>
                <w:sz w:val="21"/>
                <w:szCs w:val="21"/>
              </w:rPr>
            </w:pPr>
            <w:r w:rsidRPr="007B2963">
              <w:rPr>
                <w:rFonts w:cs="Times New Roman"/>
                <w:color w:val="000000"/>
                <w:sz w:val="21"/>
                <w:szCs w:val="21"/>
              </w:rPr>
              <w:t>Kifundi</w:t>
            </w:r>
          </w:p>
        </w:tc>
        <w:tc>
          <w:tcPr>
            <w:tcW w:w="1135" w:type="dxa"/>
            <w:tcBorders>
              <w:left w:val="single" w:sz="4" w:space="0" w:color="000000"/>
              <w:bottom w:val="single" w:sz="4" w:space="0" w:color="000000"/>
            </w:tcBorders>
            <w:shd w:val="clear" w:color="auto" w:fill="auto"/>
            <w:vAlign w:val="bottom"/>
          </w:tcPr>
          <w:p w14:paraId="117622BC" w14:textId="77777777" w:rsidR="00816D20" w:rsidRPr="007B2963" w:rsidRDefault="00916365">
            <w:pPr>
              <w:rPr>
                <w:rFonts w:cs="Times New Roman"/>
                <w:color w:val="000000"/>
                <w:sz w:val="21"/>
                <w:szCs w:val="21"/>
              </w:rPr>
            </w:pPr>
            <w:r w:rsidRPr="007B2963">
              <w:rPr>
                <w:rFonts w:cs="Times New Roman"/>
                <w:color w:val="000000"/>
                <w:sz w:val="21"/>
                <w:szCs w:val="21"/>
              </w:rPr>
              <w:t>27.27</w:t>
            </w:r>
          </w:p>
        </w:tc>
        <w:tc>
          <w:tcPr>
            <w:tcW w:w="1135" w:type="dxa"/>
            <w:tcBorders>
              <w:left w:val="single" w:sz="4" w:space="0" w:color="000000"/>
              <w:bottom w:val="single" w:sz="4" w:space="0" w:color="000000"/>
            </w:tcBorders>
            <w:shd w:val="clear" w:color="auto" w:fill="auto"/>
            <w:vAlign w:val="bottom"/>
          </w:tcPr>
          <w:p w14:paraId="7C1F49CE" w14:textId="77777777" w:rsidR="00816D20" w:rsidRPr="007B2963" w:rsidRDefault="00916365">
            <w:pPr>
              <w:rPr>
                <w:rFonts w:cs="Times New Roman"/>
                <w:color w:val="000000"/>
                <w:sz w:val="21"/>
                <w:szCs w:val="21"/>
              </w:rPr>
            </w:pPr>
            <w:r w:rsidRPr="007B2963">
              <w:rPr>
                <w:rFonts w:cs="Times New Roman"/>
                <w:color w:val="000000"/>
                <w:sz w:val="21"/>
                <w:szCs w:val="21"/>
              </w:rPr>
              <w:t>22.72</w:t>
            </w:r>
          </w:p>
        </w:tc>
        <w:tc>
          <w:tcPr>
            <w:tcW w:w="1135" w:type="dxa"/>
            <w:tcBorders>
              <w:left w:val="single" w:sz="4" w:space="0" w:color="000000"/>
              <w:bottom w:val="single" w:sz="4" w:space="0" w:color="000000"/>
            </w:tcBorders>
            <w:shd w:val="clear" w:color="auto" w:fill="auto"/>
            <w:vAlign w:val="bottom"/>
          </w:tcPr>
          <w:p w14:paraId="575F56ED" w14:textId="77777777" w:rsidR="00816D20" w:rsidRPr="007B2963" w:rsidRDefault="00916365">
            <w:pPr>
              <w:rPr>
                <w:rFonts w:cs="Times New Roman"/>
                <w:color w:val="000000"/>
                <w:sz w:val="21"/>
                <w:szCs w:val="21"/>
              </w:rPr>
            </w:pPr>
            <w:r w:rsidRPr="007B2963">
              <w:rPr>
                <w:rFonts w:cs="Times New Roman"/>
                <w:color w:val="000000"/>
                <w:sz w:val="21"/>
                <w:szCs w:val="21"/>
              </w:rPr>
              <w:t>17.83</w:t>
            </w:r>
          </w:p>
        </w:tc>
        <w:tc>
          <w:tcPr>
            <w:tcW w:w="1362" w:type="dxa"/>
            <w:tcBorders>
              <w:left w:val="single" w:sz="4" w:space="0" w:color="000000"/>
              <w:bottom w:val="single" w:sz="4" w:space="0" w:color="000000"/>
            </w:tcBorders>
            <w:shd w:val="clear" w:color="auto" w:fill="auto"/>
            <w:vAlign w:val="bottom"/>
          </w:tcPr>
          <w:p w14:paraId="7F969BEF" w14:textId="77777777" w:rsidR="00816D20" w:rsidRPr="007B2963" w:rsidRDefault="00916365">
            <w:pPr>
              <w:rPr>
                <w:rFonts w:cs="Times New Roman"/>
                <w:color w:val="000000"/>
                <w:sz w:val="21"/>
                <w:szCs w:val="21"/>
              </w:rPr>
            </w:pPr>
            <w:r w:rsidRPr="007B2963">
              <w:rPr>
                <w:rFonts w:cs="Times New Roman"/>
                <w:color w:val="000000"/>
                <w:sz w:val="21"/>
                <w:szCs w:val="21"/>
              </w:rPr>
              <w:t>-1.9</w:t>
            </w:r>
          </w:p>
        </w:tc>
        <w:tc>
          <w:tcPr>
            <w:tcW w:w="1362" w:type="dxa"/>
            <w:tcBorders>
              <w:left w:val="single" w:sz="4" w:space="0" w:color="000000"/>
              <w:bottom w:val="single" w:sz="4" w:space="0" w:color="000000"/>
            </w:tcBorders>
            <w:shd w:val="clear" w:color="auto" w:fill="auto"/>
            <w:vAlign w:val="bottom"/>
          </w:tcPr>
          <w:p w14:paraId="4FE917DC" w14:textId="77777777" w:rsidR="00816D20" w:rsidRPr="007B2963" w:rsidRDefault="00916365">
            <w:pPr>
              <w:rPr>
                <w:rFonts w:cs="Times New Roman"/>
                <w:color w:val="000000"/>
                <w:sz w:val="21"/>
                <w:szCs w:val="21"/>
              </w:rPr>
            </w:pPr>
            <w:r w:rsidRPr="007B2963">
              <w:rPr>
                <w:rFonts w:cs="Times New Roman"/>
                <w:color w:val="000000"/>
                <w:sz w:val="21"/>
                <w:szCs w:val="21"/>
              </w:rPr>
              <w:t>-3.3</w:t>
            </w:r>
          </w:p>
        </w:tc>
        <w:tc>
          <w:tcPr>
            <w:tcW w:w="1384" w:type="dxa"/>
            <w:tcBorders>
              <w:left w:val="single" w:sz="4" w:space="0" w:color="000000"/>
              <w:bottom w:val="single" w:sz="4" w:space="0" w:color="000000"/>
              <w:right w:val="single" w:sz="4" w:space="0" w:color="000000"/>
            </w:tcBorders>
            <w:shd w:val="clear" w:color="auto" w:fill="auto"/>
            <w:vAlign w:val="bottom"/>
          </w:tcPr>
          <w:p w14:paraId="3C452C76" w14:textId="77777777" w:rsidR="00816D20" w:rsidRPr="007B2963" w:rsidRDefault="00816D20">
            <w:pPr>
              <w:rPr>
                <w:rFonts w:cs="Times New Roman"/>
                <w:color w:val="000000"/>
                <w:sz w:val="21"/>
                <w:szCs w:val="21"/>
              </w:rPr>
            </w:pPr>
          </w:p>
        </w:tc>
      </w:tr>
      <w:tr w:rsidR="00816D20" w:rsidRPr="007B2963" w14:paraId="08AAC5FE" w14:textId="77777777">
        <w:tc>
          <w:tcPr>
            <w:tcW w:w="1497" w:type="dxa"/>
            <w:tcBorders>
              <w:left w:val="single" w:sz="4" w:space="0" w:color="000000"/>
              <w:bottom w:val="single" w:sz="4" w:space="0" w:color="000000"/>
            </w:tcBorders>
            <w:shd w:val="clear" w:color="auto" w:fill="auto"/>
          </w:tcPr>
          <w:p w14:paraId="3594016B" w14:textId="77777777" w:rsidR="00816D20" w:rsidRPr="007B2963" w:rsidRDefault="00916365">
            <w:pPr>
              <w:rPr>
                <w:rFonts w:cs="Times New Roman"/>
                <w:color w:val="000000"/>
                <w:sz w:val="21"/>
                <w:szCs w:val="21"/>
              </w:rPr>
            </w:pPr>
            <w:r w:rsidRPr="007B2963">
              <w:rPr>
                <w:rFonts w:cs="Times New Roman"/>
                <w:color w:val="000000"/>
                <w:sz w:val="21"/>
                <w:szCs w:val="21"/>
              </w:rPr>
              <w:t>Kisiwa Panza</w:t>
            </w:r>
          </w:p>
        </w:tc>
        <w:tc>
          <w:tcPr>
            <w:tcW w:w="1135" w:type="dxa"/>
            <w:tcBorders>
              <w:left w:val="single" w:sz="4" w:space="0" w:color="000000"/>
              <w:bottom w:val="single" w:sz="4" w:space="0" w:color="000000"/>
            </w:tcBorders>
            <w:shd w:val="clear" w:color="auto" w:fill="auto"/>
            <w:vAlign w:val="bottom"/>
          </w:tcPr>
          <w:p w14:paraId="0A07329A" w14:textId="77777777" w:rsidR="00816D20" w:rsidRPr="007B2963" w:rsidRDefault="00916365">
            <w:pPr>
              <w:rPr>
                <w:rFonts w:cs="Times New Roman"/>
                <w:color w:val="000000"/>
                <w:sz w:val="21"/>
                <w:szCs w:val="21"/>
              </w:rPr>
            </w:pPr>
            <w:r w:rsidRPr="007B2963">
              <w:rPr>
                <w:rFonts w:cs="Times New Roman"/>
                <w:color w:val="000000"/>
                <w:sz w:val="21"/>
                <w:szCs w:val="21"/>
              </w:rPr>
              <w:t>60.89</w:t>
            </w:r>
          </w:p>
        </w:tc>
        <w:tc>
          <w:tcPr>
            <w:tcW w:w="1135" w:type="dxa"/>
            <w:tcBorders>
              <w:left w:val="single" w:sz="4" w:space="0" w:color="000000"/>
              <w:bottom w:val="single" w:sz="4" w:space="0" w:color="000000"/>
            </w:tcBorders>
            <w:shd w:val="clear" w:color="auto" w:fill="auto"/>
            <w:vAlign w:val="bottom"/>
          </w:tcPr>
          <w:p w14:paraId="512CF16C" w14:textId="77777777" w:rsidR="00816D20" w:rsidRPr="007B2963" w:rsidRDefault="00916365">
            <w:pPr>
              <w:rPr>
                <w:rFonts w:cs="Times New Roman"/>
                <w:color w:val="000000"/>
                <w:sz w:val="21"/>
                <w:szCs w:val="21"/>
              </w:rPr>
            </w:pPr>
            <w:r w:rsidRPr="007B2963">
              <w:rPr>
                <w:rFonts w:cs="Times New Roman"/>
                <w:color w:val="000000"/>
                <w:sz w:val="21"/>
                <w:szCs w:val="21"/>
              </w:rPr>
              <w:t>59.45</w:t>
            </w:r>
          </w:p>
        </w:tc>
        <w:tc>
          <w:tcPr>
            <w:tcW w:w="1135" w:type="dxa"/>
            <w:tcBorders>
              <w:left w:val="single" w:sz="4" w:space="0" w:color="000000"/>
              <w:bottom w:val="single" w:sz="4" w:space="0" w:color="000000"/>
            </w:tcBorders>
            <w:shd w:val="clear" w:color="auto" w:fill="auto"/>
            <w:vAlign w:val="bottom"/>
          </w:tcPr>
          <w:p w14:paraId="44368DE8" w14:textId="77777777" w:rsidR="00816D20" w:rsidRPr="007B2963" w:rsidRDefault="00916365">
            <w:pPr>
              <w:rPr>
                <w:rFonts w:cs="Times New Roman"/>
                <w:color w:val="000000"/>
                <w:sz w:val="21"/>
                <w:szCs w:val="21"/>
              </w:rPr>
            </w:pPr>
            <w:r w:rsidRPr="007B2963">
              <w:rPr>
                <w:rFonts w:cs="Times New Roman"/>
                <w:color w:val="000000"/>
                <w:sz w:val="21"/>
                <w:szCs w:val="21"/>
              </w:rPr>
              <w:t>47.88</w:t>
            </w:r>
          </w:p>
        </w:tc>
        <w:tc>
          <w:tcPr>
            <w:tcW w:w="1362" w:type="dxa"/>
            <w:tcBorders>
              <w:left w:val="single" w:sz="4" w:space="0" w:color="000000"/>
              <w:bottom w:val="single" w:sz="4" w:space="0" w:color="000000"/>
            </w:tcBorders>
            <w:shd w:val="clear" w:color="auto" w:fill="auto"/>
            <w:vAlign w:val="bottom"/>
          </w:tcPr>
          <w:p w14:paraId="7BEED6AB" w14:textId="77777777" w:rsidR="00816D20" w:rsidRPr="007B2963" w:rsidRDefault="00916365">
            <w:pPr>
              <w:rPr>
                <w:rFonts w:cs="Times New Roman"/>
                <w:color w:val="000000"/>
                <w:sz w:val="21"/>
                <w:szCs w:val="21"/>
              </w:rPr>
            </w:pPr>
            <w:r w:rsidRPr="007B2963">
              <w:rPr>
                <w:rFonts w:cs="Times New Roman"/>
                <w:color w:val="000000"/>
                <w:sz w:val="21"/>
                <w:szCs w:val="21"/>
              </w:rPr>
              <w:t>-0.3</w:t>
            </w:r>
          </w:p>
        </w:tc>
        <w:tc>
          <w:tcPr>
            <w:tcW w:w="1362" w:type="dxa"/>
            <w:tcBorders>
              <w:left w:val="single" w:sz="4" w:space="0" w:color="000000"/>
              <w:bottom w:val="single" w:sz="4" w:space="0" w:color="000000"/>
            </w:tcBorders>
            <w:shd w:val="clear" w:color="auto" w:fill="auto"/>
            <w:vAlign w:val="bottom"/>
          </w:tcPr>
          <w:p w14:paraId="14AE52B6" w14:textId="77777777" w:rsidR="00816D20" w:rsidRPr="007B2963" w:rsidRDefault="00916365">
            <w:pPr>
              <w:rPr>
                <w:rFonts w:cs="Times New Roman"/>
                <w:color w:val="000000"/>
                <w:sz w:val="21"/>
                <w:szCs w:val="21"/>
              </w:rPr>
            </w:pPr>
            <w:r w:rsidRPr="007B2963">
              <w:rPr>
                <w:rFonts w:cs="Times New Roman"/>
                <w:color w:val="000000"/>
                <w:sz w:val="21"/>
                <w:szCs w:val="21"/>
              </w:rPr>
              <w:t>-2.9</w:t>
            </w:r>
          </w:p>
        </w:tc>
        <w:tc>
          <w:tcPr>
            <w:tcW w:w="1384" w:type="dxa"/>
            <w:tcBorders>
              <w:left w:val="single" w:sz="4" w:space="0" w:color="000000"/>
              <w:bottom w:val="single" w:sz="4" w:space="0" w:color="000000"/>
              <w:right w:val="single" w:sz="4" w:space="0" w:color="000000"/>
            </w:tcBorders>
            <w:shd w:val="clear" w:color="auto" w:fill="auto"/>
            <w:vAlign w:val="bottom"/>
          </w:tcPr>
          <w:p w14:paraId="7EA7DBDE" w14:textId="77777777" w:rsidR="00816D20" w:rsidRPr="007B2963" w:rsidRDefault="00816D20">
            <w:pPr>
              <w:rPr>
                <w:rFonts w:cs="Times New Roman"/>
                <w:color w:val="000000"/>
                <w:sz w:val="21"/>
                <w:szCs w:val="21"/>
              </w:rPr>
            </w:pPr>
          </w:p>
        </w:tc>
      </w:tr>
      <w:tr w:rsidR="00816D20" w:rsidRPr="007B2963" w14:paraId="0C0139C7" w14:textId="77777777">
        <w:tc>
          <w:tcPr>
            <w:tcW w:w="1497" w:type="dxa"/>
            <w:tcBorders>
              <w:left w:val="single" w:sz="4" w:space="0" w:color="000000"/>
              <w:bottom w:val="single" w:sz="4" w:space="0" w:color="000000"/>
            </w:tcBorders>
            <w:shd w:val="clear" w:color="auto" w:fill="auto"/>
          </w:tcPr>
          <w:p w14:paraId="1A7A5BF2" w14:textId="77777777" w:rsidR="00816D20" w:rsidRPr="007B2963" w:rsidRDefault="00916365">
            <w:pPr>
              <w:rPr>
                <w:rFonts w:cs="Times New Roman"/>
                <w:color w:val="000000"/>
                <w:sz w:val="21"/>
                <w:szCs w:val="21"/>
              </w:rPr>
            </w:pPr>
            <w:r w:rsidRPr="007B2963">
              <w:rPr>
                <w:rFonts w:cs="Times New Roman"/>
                <w:color w:val="000000"/>
                <w:sz w:val="21"/>
                <w:szCs w:val="21"/>
              </w:rPr>
              <w:t>Mgelema</w:t>
            </w:r>
          </w:p>
        </w:tc>
        <w:tc>
          <w:tcPr>
            <w:tcW w:w="1135" w:type="dxa"/>
            <w:tcBorders>
              <w:left w:val="single" w:sz="4" w:space="0" w:color="000000"/>
              <w:bottom w:val="single" w:sz="4" w:space="0" w:color="000000"/>
            </w:tcBorders>
            <w:shd w:val="clear" w:color="auto" w:fill="auto"/>
            <w:vAlign w:val="bottom"/>
          </w:tcPr>
          <w:p w14:paraId="63260F01" w14:textId="77777777" w:rsidR="00816D20" w:rsidRPr="007B2963" w:rsidRDefault="00916365">
            <w:pPr>
              <w:rPr>
                <w:rFonts w:cs="Times New Roman"/>
                <w:color w:val="000000"/>
                <w:sz w:val="21"/>
                <w:szCs w:val="21"/>
              </w:rPr>
            </w:pPr>
            <w:r w:rsidRPr="007B2963">
              <w:rPr>
                <w:rFonts w:cs="Times New Roman"/>
                <w:color w:val="000000"/>
                <w:sz w:val="21"/>
                <w:szCs w:val="21"/>
              </w:rPr>
              <w:t>57.43</w:t>
            </w:r>
          </w:p>
        </w:tc>
        <w:tc>
          <w:tcPr>
            <w:tcW w:w="1135" w:type="dxa"/>
            <w:tcBorders>
              <w:left w:val="single" w:sz="4" w:space="0" w:color="000000"/>
              <w:bottom w:val="single" w:sz="4" w:space="0" w:color="000000"/>
            </w:tcBorders>
            <w:shd w:val="clear" w:color="auto" w:fill="auto"/>
            <w:vAlign w:val="bottom"/>
          </w:tcPr>
          <w:p w14:paraId="461A8D21" w14:textId="77777777" w:rsidR="00816D20" w:rsidRPr="007B2963" w:rsidRDefault="00916365">
            <w:pPr>
              <w:rPr>
                <w:rFonts w:cs="Times New Roman"/>
                <w:color w:val="000000"/>
                <w:sz w:val="21"/>
                <w:szCs w:val="21"/>
              </w:rPr>
            </w:pPr>
            <w:r w:rsidRPr="007B2963">
              <w:rPr>
                <w:rFonts w:cs="Times New Roman"/>
                <w:color w:val="000000"/>
                <w:sz w:val="21"/>
                <w:szCs w:val="21"/>
              </w:rPr>
              <w:t>36.52</w:t>
            </w:r>
          </w:p>
        </w:tc>
        <w:tc>
          <w:tcPr>
            <w:tcW w:w="1135" w:type="dxa"/>
            <w:tcBorders>
              <w:left w:val="single" w:sz="4" w:space="0" w:color="000000"/>
              <w:bottom w:val="single" w:sz="4" w:space="0" w:color="000000"/>
            </w:tcBorders>
            <w:shd w:val="clear" w:color="auto" w:fill="auto"/>
            <w:vAlign w:val="bottom"/>
          </w:tcPr>
          <w:p w14:paraId="03A4F6D2" w14:textId="77777777" w:rsidR="00816D20" w:rsidRPr="007B2963" w:rsidRDefault="00916365">
            <w:pPr>
              <w:rPr>
                <w:rFonts w:cs="Times New Roman"/>
                <w:color w:val="000000"/>
                <w:sz w:val="21"/>
                <w:szCs w:val="21"/>
              </w:rPr>
            </w:pPr>
            <w:r w:rsidRPr="007B2963">
              <w:rPr>
                <w:rFonts w:cs="Times New Roman"/>
                <w:color w:val="000000"/>
                <w:sz w:val="21"/>
                <w:szCs w:val="21"/>
              </w:rPr>
              <w:t>30.80</w:t>
            </w:r>
          </w:p>
        </w:tc>
        <w:tc>
          <w:tcPr>
            <w:tcW w:w="1362" w:type="dxa"/>
            <w:tcBorders>
              <w:left w:val="single" w:sz="4" w:space="0" w:color="000000"/>
              <w:bottom w:val="single" w:sz="4" w:space="0" w:color="000000"/>
            </w:tcBorders>
            <w:shd w:val="clear" w:color="auto" w:fill="auto"/>
            <w:vAlign w:val="bottom"/>
          </w:tcPr>
          <w:p w14:paraId="6A9D82DE" w14:textId="77777777" w:rsidR="00816D20" w:rsidRPr="007B2963" w:rsidRDefault="00916365">
            <w:pPr>
              <w:rPr>
                <w:rFonts w:cs="Times New Roman"/>
                <w:color w:val="000000"/>
                <w:sz w:val="21"/>
                <w:szCs w:val="21"/>
              </w:rPr>
            </w:pPr>
            <w:r w:rsidRPr="007B2963">
              <w:rPr>
                <w:rFonts w:cs="Times New Roman"/>
                <w:color w:val="000000"/>
                <w:sz w:val="21"/>
                <w:szCs w:val="21"/>
              </w:rPr>
              <w:t>-4.7</w:t>
            </w:r>
          </w:p>
        </w:tc>
        <w:tc>
          <w:tcPr>
            <w:tcW w:w="1362" w:type="dxa"/>
            <w:tcBorders>
              <w:left w:val="single" w:sz="4" w:space="0" w:color="000000"/>
              <w:bottom w:val="single" w:sz="4" w:space="0" w:color="000000"/>
            </w:tcBorders>
            <w:shd w:val="clear" w:color="auto" w:fill="auto"/>
            <w:vAlign w:val="bottom"/>
          </w:tcPr>
          <w:p w14:paraId="37B281C6" w14:textId="77777777" w:rsidR="00816D20" w:rsidRPr="007B2963" w:rsidRDefault="00916365">
            <w:pPr>
              <w:rPr>
                <w:rFonts w:cs="Times New Roman"/>
                <w:color w:val="000000"/>
                <w:sz w:val="21"/>
                <w:szCs w:val="21"/>
              </w:rPr>
            </w:pPr>
            <w:r w:rsidRPr="007B2963">
              <w:rPr>
                <w:rFonts w:cs="Times New Roman"/>
                <w:color w:val="000000"/>
                <w:sz w:val="21"/>
                <w:szCs w:val="21"/>
              </w:rPr>
              <w:t>-2.3</w:t>
            </w:r>
          </w:p>
        </w:tc>
        <w:tc>
          <w:tcPr>
            <w:tcW w:w="1384" w:type="dxa"/>
            <w:tcBorders>
              <w:left w:val="single" w:sz="4" w:space="0" w:color="000000"/>
              <w:bottom w:val="single" w:sz="4" w:space="0" w:color="000000"/>
              <w:right w:val="single" w:sz="4" w:space="0" w:color="000000"/>
            </w:tcBorders>
            <w:shd w:val="clear" w:color="auto" w:fill="auto"/>
            <w:vAlign w:val="bottom"/>
          </w:tcPr>
          <w:p w14:paraId="56295DD3" w14:textId="77777777" w:rsidR="00816D20" w:rsidRPr="007B2963" w:rsidRDefault="00916365">
            <w:pPr>
              <w:spacing w:line="360" w:lineRule="auto"/>
              <w:rPr>
                <w:rFonts w:ascii="Wingdings" w:eastAsia="Wingdings" w:hAnsi="Wingdings" w:cs="Wingdings"/>
                <w:color w:val="000000"/>
                <w:sz w:val="21"/>
                <w:szCs w:val="21"/>
              </w:rPr>
            </w:pPr>
            <w:r w:rsidRPr="007B2963">
              <w:rPr>
                <w:rFonts w:ascii="Wingdings" w:eastAsia="Wingdings" w:hAnsi="Wingdings" w:cs="Wingdings"/>
                <w:color w:val="000000"/>
                <w:sz w:val="21"/>
                <w:szCs w:val="21"/>
              </w:rPr>
              <w:t></w:t>
            </w:r>
          </w:p>
        </w:tc>
      </w:tr>
      <w:tr w:rsidR="00816D20" w:rsidRPr="007B2963" w14:paraId="46F747C9" w14:textId="77777777">
        <w:tc>
          <w:tcPr>
            <w:tcW w:w="1497" w:type="dxa"/>
            <w:tcBorders>
              <w:left w:val="single" w:sz="4" w:space="0" w:color="000000"/>
              <w:bottom w:val="single" w:sz="4" w:space="0" w:color="000000"/>
            </w:tcBorders>
            <w:shd w:val="clear" w:color="auto" w:fill="auto"/>
          </w:tcPr>
          <w:p w14:paraId="26123DC5" w14:textId="77777777" w:rsidR="00816D20" w:rsidRPr="007B2963" w:rsidRDefault="00916365">
            <w:pPr>
              <w:rPr>
                <w:rFonts w:cs="Times New Roman"/>
                <w:color w:val="000000"/>
                <w:sz w:val="21"/>
                <w:szCs w:val="21"/>
              </w:rPr>
            </w:pPr>
            <w:r w:rsidRPr="007B2963">
              <w:rPr>
                <w:rFonts w:cs="Times New Roman"/>
                <w:color w:val="000000"/>
                <w:sz w:val="21"/>
                <w:szCs w:val="21"/>
              </w:rPr>
              <w:t>Mgogoni</w:t>
            </w:r>
          </w:p>
        </w:tc>
        <w:tc>
          <w:tcPr>
            <w:tcW w:w="1135" w:type="dxa"/>
            <w:tcBorders>
              <w:left w:val="single" w:sz="4" w:space="0" w:color="000000"/>
              <w:bottom w:val="single" w:sz="4" w:space="0" w:color="000000"/>
            </w:tcBorders>
            <w:shd w:val="clear" w:color="auto" w:fill="auto"/>
            <w:vAlign w:val="bottom"/>
          </w:tcPr>
          <w:p w14:paraId="24D86411" w14:textId="77777777" w:rsidR="00816D20" w:rsidRPr="007B2963" w:rsidRDefault="00916365">
            <w:pPr>
              <w:rPr>
                <w:rFonts w:cs="Times New Roman"/>
                <w:color w:val="000000"/>
                <w:sz w:val="21"/>
                <w:szCs w:val="21"/>
              </w:rPr>
            </w:pPr>
            <w:r w:rsidRPr="007B2963">
              <w:rPr>
                <w:rFonts w:cs="Times New Roman"/>
                <w:color w:val="000000"/>
                <w:sz w:val="21"/>
                <w:szCs w:val="21"/>
              </w:rPr>
              <w:t>26.73</w:t>
            </w:r>
          </w:p>
        </w:tc>
        <w:tc>
          <w:tcPr>
            <w:tcW w:w="1135" w:type="dxa"/>
            <w:tcBorders>
              <w:left w:val="single" w:sz="4" w:space="0" w:color="000000"/>
              <w:bottom w:val="single" w:sz="4" w:space="0" w:color="000000"/>
            </w:tcBorders>
            <w:shd w:val="clear" w:color="auto" w:fill="auto"/>
            <w:vAlign w:val="bottom"/>
          </w:tcPr>
          <w:p w14:paraId="1C83AE2E" w14:textId="77777777" w:rsidR="00816D20" w:rsidRPr="007B2963" w:rsidRDefault="00916365">
            <w:pPr>
              <w:rPr>
                <w:rFonts w:cs="Times New Roman"/>
                <w:color w:val="000000"/>
                <w:sz w:val="21"/>
                <w:szCs w:val="21"/>
              </w:rPr>
            </w:pPr>
            <w:r w:rsidRPr="007B2963">
              <w:rPr>
                <w:rFonts w:cs="Times New Roman"/>
                <w:color w:val="000000"/>
                <w:sz w:val="21"/>
                <w:szCs w:val="21"/>
              </w:rPr>
              <w:t>11.63</w:t>
            </w:r>
          </w:p>
        </w:tc>
        <w:tc>
          <w:tcPr>
            <w:tcW w:w="1135" w:type="dxa"/>
            <w:tcBorders>
              <w:left w:val="single" w:sz="4" w:space="0" w:color="000000"/>
              <w:bottom w:val="single" w:sz="4" w:space="0" w:color="000000"/>
            </w:tcBorders>
            <w:shd w:val="clear" w:color="auto" w:fill="auto"/>
            <w:vAlign w:val="bottom"/>
          </w:tcPr>
          <w:p w14:paraId="02BDD190" w14:textId="77777777" w:rsidR="00816D20" w:rsidRPr="007B2963" w:rsidRDefault="00916365">
            <w:pPr>
              <w:rPr>
                <w:rFonts w:cs="Times New Roman"/>
                <w:color w:val="000000"/>
                <w:sz w:val="21"/>
                <w:szCs w:val="21"/>
              </w:rPr>
            </w:pPr>
            <w:r w:rsidRPr="007B2963">
              <w:rPr>
                <w:rFonts w:cs="Times New Roman"/>
                <w:color w:val="000000"/>
                <w:sz w:val="21"/>
                <w:szCs w:val="21"/>
              </w:rPr>
              <w:t>7.12</w:t>
            </w:r>
          </w:p>
        </w:tc>
        <w:tc>
          <w:tcPr>
            <w:tcW w:w="1362" w:type="dxa"/>
            <w:tcBorders>
              <w:left w:val="single" w:sz="4" w:space="0" w:color="000000"/>
              <w:bottom w:val="single" w:sz="4" w:space="0" w:color="000000"/>
            </w:tcBorders>
            <w:shd w:val="clear" w:color="auto" w:fill="auto"/>
            <w:vAlign w:val="bottom"/>
          </w:tcPr>
          <w:p w14:paraId="471D334A" w14:textId="77777777" w:rsidR="00816D20" w:rsidRPr="007B2963" w:rsidRDefault="00916365">
            <w:pPr>
              <w:rPr>
                <w:rFonts w:cs="Times New Roman"/>
                <w:color w:val="000000"/>
                <w:sz w:val="21"/>
                <w:szCs w:val="21"/>
              </w:rPr>
            </w:pPr>
            <w:r w:rsidRPr="007B2963">
              <w:rPr>
                <w:rFonts w:cs="Times New Roman"/>
                <w:color w:val="000000"/>
                <w:sz w:val="21"/>
                <w:szCs w:val="21"/>
              </w:rPr>
              <w:t>-8.4</w:t>
            </w:r>
          </w:p>
        </w:tc>
        <w:tc>
          <w:tcPr>
            <w:tcW w:w="1362" w:type="dxa"/>
            <w:tcBorders>
              <w:left w:val="single" w:sz="4" w:space="0" w:color="000000"/>
              <w:bottom w:val="single" w:sz="4" w:space="0" w:color="000000"/>
            </w:tcBorders>
            <w:shd w:val="clear" w:color="auto" w:fill="auto"/>
            <w:vAlign w:val="bottom"/>
          </w:tcPr>
          <w:p w14:paraId="46457DA5" w14:textId="77777777" w:rsidR="00816D20" w:rsidRPr="007B2963" w:rsidRDefault="00916365">
            <w:pPr>
              <w:rPr>
                <w:rFonts w:cs="Times New Roman"/>
                <w:color w:val="000000"/>
                <w:sz w:val="21"/>
                <w:szCs w:val="21"/>
              </w:rPr>
            </w:pPr>
            <w:r w:rsidRPr="007B2963">
              <w:rPr>
                <w:rFonts w:cs="Times New Roman"/>
                <w:color w:val="000000"/>
                <w:sz w:val="21"/>
                <w:szCs w:val="21"/>
              </w:rPr>
              <w:t>-6.5</w:t>
            </w:r>
          </w:p>
        </w:tc>
        <w:tc>
          <w:tcPr>
            <w:tcW w:w="1384" w:type="dxa"/>
            <w:tcBorders>
              <w:left w:val="single" w:sz="4" w:space="0" w:color="000000"/>
              <w:bottom w:val="single" w:sz="4" w:space="0" w:color="000000"/>
              <w:right w:val="single" w:sz="4" w:space="0" w:color="000000"/>
            </w:tcBorders>
            <w:shd w:val="clear" w:color="auto" w:fill="auto"/>
            <w:vAlign w:val="bottom"/>
          </w:tcPr>
          <w:p w14:paraId="72F1F2AA" w14:textId="77777777" w:rsidR="00816D20" w:rsidRPr="007B2963" w:rsidRDefault="00916365">
            <w:pPr>
              <w:spacing w:line="360" w:lineRule="auto"/>
              <w:rPr>
                <w:rFonts w:ascii="Wingdings" w:eastAsia="Wingdings" w:hAnsi="Wingdings" w:cs="Wingdings"/>
                <w:color w:val="000000"/>
                <w:sz w:val="21"/>
                <w:szCs w:val="21"/>
              </w:rPr>
            </w:pPr>
            <w:r w:rsidRPr="007B2963">
              <w:rPr>
                <w:rFonts w:ascii="Wingdings" w:eastAsia="Wingdings" w:hAnsi="Wingdings" w:cs="Wingdings"/>
                <w:color w:val="000000"/>
                <w:sz w:val="21"/>
                <w:szCs w:val="21"/>
              </w:rPr>
              <w:t></w:t>
            </w:r>
          </w:p>
        </w:tc>
      </w:tr>
      <w:tr w:rsidR="00816D20" w:rsidRPr="007B2963" w14:paraId="4131A459" w14:textId="77777777">
        <w:tc>
          <w:tcPr>
            <w:tcW w:w="1497" w:type="dxa"/>
            <w:tcBorders>
              <w:left w:val="single" w:sz="4" w:space="0" w:color="000000"/>
              <w:bottom w:val="single" w:sz="4" w:space="0" w:color="000000"/>
            </w:tcBorders>
            <w:shd w:val="clear" w:color="auto" w:fill="auto"/>
          </w:tcPr>
          <w:p w14:paraId="1789D6BE" w14:textId="77777777" w:rsidR="00816D20" w:rsidRPr="007B2963" w:rsidRDefault="00916365">
            <w:pPr>
              <w:rPr>
                <w:rFonts w:cs="Times New Roman"/>
                <w:color w:val="000000"/>
                <w:sz w:val="21"/>
                <w:szCs w:val="21"/>
              </w:rPr>
            </w:pPr>
            <w:r w:rsidRPr="007B2963">
              <w:rPr>
                <w:rFonts w:cs="Times New Roman"/>
                <w:color w:val="000000"/>
                <w:sz w:val="21"/>
                <w:szCs w:val="21"/>
              </w:rPr>
              <w:t>Michenzani</w:t>
            </w:r>
          </w:p>
        </w:tc>
        <w:tc>
          <w:tcPr>
            <w:tcW w:w="1135" w:type="dxa"/>
            <w:tcBorders>
              <w:left w:val="single" w:sz="4" w:space="0" w:color="000000"/>
              <w:bottom w:val="single" w:sz="4" w:space="0" w:color="000000"/>
            </w:tcBorders>
            <w:shd w:val="clear" w:color="auto" w:fill="auto"/>
            <w:vAlign w:val="bottom"/>
          </w:tcPr>
          <w:p w14:paraId="1E000002" w14:textId="77777777" w:rsidR="00816D20" w:rsidRPr="007B2963" w:rsidRDefault="00916365">
            <w:pPr>
              <w:rPr>
                <w:rFonts w:cs="Times New Roman"/>
                <w:color w:val="000000"/>
                <w:sz w:val="21"/>
                <w:szCs w:val="21"/>
              </w:rPr>
            </w:pPr>
            <w:r w:rsidRPr="007B2963">
              <w:rPr>
                <w:rFonts w:cs="Times New Roman"/>
                <w:color w:val="000000"/>
                <w:sz w:val="21"/>
                <w:szCs w:val="21"/>
              </w:rPr>
              <w:t>23.34</w:t>
            </w:r>
          </w:p>
        </w:tc>
        <w:tc>
          <w:tcPr>
            <w:tcW w:w="1135" w:type="dxa"/>
            <w:tcBorders>
              <w:left w:val="single" w:sz="4" w:space="0" w:color="000000"/>
              <w:bottom w:val="single" w:sz="4" w:space="0" w:color="000000"/>
            </w:tcBorders>
            <w:shd w:val="clear" w:color="auto" w:fill="auto"/>
            <w:vAlign w:val="bottom"/>
          </w:tcPr>
          <w:p w14:paraId="010CFD0F" w14:textId="77777777" w:rsidR="00816D20" w:rsidRPr="007B2963" w:rsidRDefault="00916365">
            <w:pPr>
              <w:rPr>
                <w:rFonts w:cs="Times New Roman"/>
                <w:color w:val="000000"/>
                <w:sz w:val="21"/>
                <w:szCs w:val="21"/>
              </w:rPr>
            </w:pPr>
            <w:r w:rsidRPr="007B2963">
              <w:rPr>
                <w:rFonts w:cs="Times New Roman"/>
                <w:color w:val="000000"/>
                <w:sz w:val="21"/>
                <w:szCs w:val="21"/>
              </w:rPr>
              <w:t>20.34</w:t>
            </w:r>
          </w:p>
        </w:tc>
        <w:tc>
          <w:tcPr>
            <w:tcW w:w="1135" w:type="dxa"/>
            <w:tcBorders>
              <w:left w:val="single" w:sz="4" w:space="0" w:color="000000"/>
              <w:bottom w:val="single" w:sz="4" w:space="0" w:color="000000"/>
            </w:tcBorders>
            <w:shd w:val="clear" w:color="auto" w:fill="auto"/>
            <w:vAlign w:val="bottom"/>
          </w:tcPr>
          <w:p w14:paraId="6A54E1FE" w14:textId="77777777" w:rsidR="00816D20" w:rsidRPr="007B2963" w:rsidRDefault="00916365">
            <w:pPr>
              <w:rPr>
                <w:rFonts w:cs="Times New Roman"/>
                <w:color w:val="000000"/>
                <w:sz w:val="21"/>
                <w:szCs w:val="21"/>
              </w:rPr>
            </w:pPr>
            <w:r w:rsidRPr="007B2963">
              <w:rPr>
                <w:rFonts w:cs="Times New Roman"/>
                <w:color w:val="000000"/>
                <w:sz w:val="21"/>
                <w:szCs w:val="21"/>
              </w:rPr>
              <w:t>15.98</w:t>
            </w:r>
          </w:p>
        </w:tc>
        <w:tc>
          <w:tcPr>
            <w:tcW w:w="1362" w:type="dxa"/>
            <w:tcBorders>
              <w:left w:val="single" w:sz="4" w:space="0" w:color="000000"/>
              <w:bottom w:val="single" w:sz="4" w:space="0" w:color="000000"/>
            </w:tcBorders>
            <w:shd w:val="clear" w:color="auto" w:fill="auto"/>
            <w:vAlign w:val="bottom"/>
          </w:tcPr>
          <w:p w14:paraId="556EBA4B" w14:textId="77777777" w:rsidR="00816D20" w:rsidRPr="007B2963" w:rsidRDefault="00916365">
            <w:pPr>
              <w:rPr>
                <w:rFonts w:cs="Times New Roman"/>
                <w:color w:val="000000"/>
                <w:sz w:val="21"/>
                <w:szCs w:val="21"/>
              </w:rPr>
            </w:pPr>
            <w:r w:rsidRPr="007B2963">
              <w:rPr>
                <w:rFonts w:cs="Times New Roman"/>
                <w:color w:val="000000"/>
                <w:sz w:val="21"/>
                <w:szCs w:val="21"/>
              </w:rPr>
              <w:t>-1.4</w:t>
            </w:r>
          </w:p>
        </w:tc>
        <w:tc>
          <w:tcPr>
            <w:tcW w:w="1362" w:type="dxa"/>
            <w:tcBorders>
              <w:left w:val="single" w:sz="4" w:space="0" w:color="000000"/>
              <w:bottom w:val="single" w:sz="4" w:space="0" w:color="000000"/>
            </w:tcBorders>
            <w:shd w:val="clear" w:color="auto" w:fill="auto"/>
            <w:vAlign w:val="bottom"/>
          </w:tcPr>
          <w:p w14:paraId="13EDBF91" w14:textId="77777777" w:rsidR="00816D20" w:rsidRPr="007B2963" w:rsidRDefault="00916365">
            <w:pPr>
              <w:rPr>
                <w:rFonts w:cs="Times New Roman"/>
                <w:color w:val="000000"/>
                <w:sz w:val="21"/>
                <w:szCs w:val="21"/>
              </w:rPr>
            </w:pPr>
            <w:r w:rsidRPr="007B2963">
              <w:rPr>
                <w:rFonts w:cs="Times New Roman"/>
                <w:color w:val="000000"/>
                <w:sz w:val="21"/>
                <w:szCs w:val="21"/>
              </w:rPr>
              <w:t>-3.3</w:t>
            </w:r>
          </w:p>
        </w:tc>
        <w:tc>
          <w:tcPr>
            <w:tcW w:w="1384" w:type="dxa"/>
            <w:tcBorders>
              <w:left w:val="single" w:sz="4" w:space="0" w:color="000000"/>
              <w:bottom w:val="single" w:sz="4" w:space="0" w:color="000000"/>
              <w:right w:val="single" w:sz="4" w:space="0" w:color="000000"/>
            </w:tcBorders>
            <w:shd w:val="clear" w:color="auto" w:fill="auto"/>
            <w:vAlign w:val="bottom"/>
          </w:tcPr>
          <w:p w14:paraId="22DADBDE" w14:textId="77777777" w:rsidR="00816D20" w:rsidRPr="007B2963" w:rsidRDefault="00816D20">
            <w:pPr>
              <w:rPr>
                <w:rFonts w:cs="Times New Roman"/>
                <w:color w:val="000000"/>
                <w:sz w:val="21"/>
                <w:szCs w:val="21"/>
              </w:rPr>
            </w:pPr>
          </w:p>
        </w:tc>
      </w:tr>
      <w:tr w:rsidR="00816D20" w:rsidRPr="007B2963" w14:paraId="2FD9D4DB" w14:textId="77777777">
        <w:tc>
          <w:tcPr>
            <w:tcW w:w="1497" w:type="dxa"/>
            <w:tcBorders>
              <w:left w:val="single" w:sz="4" w:space="0" w:color="000000"/>
              <w:bottom w:val="single" w:sz="4" w:space="0" w:color="000000"/>
            </w:tcBorders>
            <w:shd w:val="clear" w:color="auto" w:fill="auto"/>
          </w:tcPr>
          <w:p w14:paraId="287AB5DD" w14:textId="77777777" w:rsidR="00816D20" w:rsidRPr="007B2963" w:rsidRDefault="00916365">
            <w:pPr>
              <w:rPr>
                <w:rFonts w:cs="Times New Roman"/>
                <w:color w:val="000000"/>
                <w:sz w:val="21"/>
                <w:szCs w:val="21"/>
              </w:rPr>
            </w:pPr>
            <w:r w:rsidRPr="007B2963">
              <w:rPr>
                <w:rFonts w:cs="Times New Roman"/>
                <w:color w:val="000000"/>
                <w:sz w:val="21"/>
                <w:szCs w:val="21"/>
              </w:rPr>
              <w:t>Mjimbini</w:t>
            </w:r>
          </w:p>
        </w:tc>
        <w:tc>
          <w:tcPr>
            <w:tcW w:w="1135" w:type="dxa"/>
            <w:tcBorders>
              <w:left w:val="single" w:sz="4" w:space="0" w:color="000000"/>
              <w:bottom w:val="single" w:sz="4" w:space="0" w:color="000000"/>
            </w:tcBorders>
            <w:shd w:val="clear" w:color="auto" w:fill="auto"/>
            <w:vAlign w:val="bottom"/>
          </w:tcPr>
          <w:p w14:paraId="069F965C" w14:textId="77777777" w:rsidR="00816D20" w:rsidRPr="007B2963" w:rsidRDefault="00916365">
            <w:pPr>
              <w:rPr>
                <w:rFonts w:cs="Times New Roman"/>
                <w:color w:val="000000"/>
                <w:sz w:val="21"/>
                <w:szCs w:val="21"/>
              </w:rPr>
            </w:pPr>
            <w:r w:rsidRPr="007B2963">
              <w:rPr>
                <w:rFonts w:cs="Times New Roman"/>
                <w:color w:val="000000"/>
                <w:sz w:val="21"/>
                <w:szCs w:val="21"/>
              </w:rPr>
              <w:t>30.32</w:t>
            </w:r>
          </w:p>
        </w:tc>
        <w:tc>
          <w:tcPr>
            <w:tcW w:w="1135" w:type="dxa"/>
            <w:tcBorders>
              <w:left w:val="single" w:sz="4" w:space="0" w:color="000000"/>
              <w:bottom w:val="single" w:sz="4" w:space="0" w:color="000000"/>
            </w:tcBorders>
            <w:shd w:val="clear" w:color="auto" w:fill="auto"/>
            <w:vAlign w:val="bottom"/>
          </w:tcPr>
          <w:p w14:paraId="33580E4E" w14:textId="77777777" w:rsidR="00816D20" w:rsidRPr="007B2963" w:rsidRDefault="00916365">
            <w:pPr>
              <w:rPr>
                <w:rFonts w:cs="Times New Roman"/>
                <w:color w:val="000000"/>
                <w:sz w:val="21"/>
                <w:szCs w:val="21"/>
              </w:rPr>
            </w:pPr>
            <w:r w:rsidRPr="007B2963">
              <w:rPr>
                <w:rFonts w:cs="Times New Roman"/>
                <w:color w:val="000000"/>
                <w:sz w:val="21"/>
                <w:szCs w:val="21"/>
              </w:rPr>
              <w:t>16.37</w:t>
            </w:r>
          </w:p>
        </w:tc>
        <w:tc>
          <w:tcPr>
            <w:tcW w:w="1135" w:type="dxa"/>
            <w:tcBorders>
              <w:left w:val="single" w:sz="4" w:space="0" w:color="000000"/>
              <w:bottom w:val="single" w:sz="4" w:space="0" w:color="000000"/>
            </w:tcBorders>
            <w:shd w:val="clear" w:color="auto" w:fill="auto"/>
            <w:vAlign w:val="bottom"/>
          </w:tcPr>
          <w:p w14:paraId="542999BB" w14:textId="77777777" w:rsidR="00816D20" w:rsidRPr="007B2963" w:rsidRDefault="00916365">
            <w:pPr>
              <w:rPr>
                <w:rFonts w:cs="Times New Roman"/>
                <w:color w:val="000000"/>
                <w:sz w:val="21"/>
                <w:szCs w:val="21"/>
              </w:rPr>
            </w:pPr>
            <w:r w:rsidRPr="007B2963">
              <w:rPr>
                <w:rFonts w:cs="Times New Roman"/>
                <w:color w:val="000000"/>
                <w:sz w:val="21"/>
                <w:szCs w:val="21"/>
              </w:rPr>
              <w:t>9.53</w:t>
            </w:r>
          </w:p>
        </w:tc>
        <w:tc>
          <w:tcPr>
            <w:tcW w:w="1362" w:type="dxa"/>
            <w:tcBorders>
              <w:left w:val="single" w:sz="4" w:space="0" w:color="000000"/>
              <w:bottom w:val="single" w:sz="4" w:space="0" w:color="000000"/>
            </w:tcBorders>
            <w:shd w:val="clear" w:color="auto" w:fill="auto"/>
            <w:vAlign w:val="bottom"/>
          </w:tcPr>
          <w:p w14:paraId="5AFB7B24" w14:textId="77777777" w:rsidR="00816D20" w:rsidRPr="007B2963" w:rsidRDefault="00916365">
            <w:pPr>
              <w:rPr>
                <w:rFonts w:cs="Times New Roman"/>
                <w:color w:val="000000"/>
                <w:sz w:val="21"/>
                <w:szCs w:val="21"/>
              </w:rPr>
            </w:pPr>
            <w:r w:rsidRPr="007B2963">
              <w:rPr>
                <w:rFonts w:cs="Times New Roman"/>
                <w:color w:val="000000"/>
                <w:sz w:val="21"/>
                <w:szCs w:val="21"/>
              </w:rPr>
              <w:t>-6.3</w:t>
            </w:r>
          </w:p>
        </w:tc>
        <w:tc>
          <w:tcPr>
            <w:tcW w:w="1362" w:type="dxa"/>
            <w:tcBorders>
              <w:left w:val="single" w:sz="4" w:space="0" w:color="000000"/>
              <w:bottom w:val="single" w:sz="4" w:space="0" w:color="000000"/>
            </w:tcBorders>
            <w:shd w:val="clear" w:color="auto" w:fill="auto"/>
            <w:vAlign w:val="bottom"/>
          </w:tcPr>
          <w:p w14:paraId="7CAFF69B" w14:textId="77777777" w:rsidR="00816D20" w:rsidRPr="007B2963" w:rsidRDefault="00916365">
            <w:pPr>
              <w:rPr>
                <w:rFonts w:cs="Times New Roman"/>
                <w:color w:val="000000"/>
                <w:sz w:val="21"/>
                <w:szCs w:val="21"/>
              </w:rPr>
            </w:pPr>
            <w:r w:rsidRPr="007B2963">
              <w:rPr>
                <w:rFonts w:cs="Times New Roman"/>
                <w:color w:val="000000"/>
                <w:sz w:val="21"/>
                <w:szCs w:val="21"/>
              </w:rPr>
              <w:t>-7.2</w:t>
            </w:r>
          </w:p>
        </w:tc>
        <w:tc>
          <w:tcPr>
            <w:tcW w:w="1384" w:type="dxa"/>
            <w:tcBorders>
              <w:left w:val="single" w:sz="4" w:space="0" w:color="000000"/>
              <w:bottom w:val="single" w:sz="4" w:space="0" w:color="000000"/>
              <w:right w:val="single" w:sz="4" w:space="0" w:color="000000"/>
            </w:tcBorders>
            <w:shd w:val="clear" w:color="auto" w:fill="auto"/>
            <w:vAlign w:val="bottom"/>
          </w:tcPr>
          <w:p w14:paraId="0594930C" w14:textId="77777777" w:rsidR="00816D20" w:rsidRPr="007B2963" w:rsidRDefault="00816D20">
            <w:pPr>
              <w:rPr>
                <w:rFonts w:cs="Times New Roman"/>
                <w:color w:val="000000"/>
                <w:sz w:val="21"/>
                <w:szCs w:val="21"/>
              </w:rPr>
            </w:pPr>
          </w:p>
        </w:tc>
      </w:tr>
      <w:tr w:rsidR="00816D20" w:rsidRPr="007B2963" w14:paraId="10B4E577" w14:textId="77777777">
        <w:tc>
          <w:tcPr>
            <w:tcW w:w="1497" w:type="dxa"/>
            <w:tcBorders>
              <w:left w:val="single" w:sz="4" w:space="0" w:color="000000"/>
              <w:bottom w:val="single" w:sz="4" w:space="0" w:color="000000"/>
            </w:tcBorders>
            <w:shd w:val="clear" w:color="auto" w:fill="auto"/>
          </w:tcPr>
          <w:p w14:paraId="52C79074" w14:textId="77777777" w:rsidR="00816D20" w:rsidRPr="007B2963" w:rsidRDefault="00916365">
            <w:pPr>
              <w:rPr>
                <w:rFonts w:cs="Times New Roman"/>
                <w:color w:val="000000"/>
                <w:sz w:val="21"/>
                <w:szCs w:val="21"/>
              </w:rPr>
            </w:pPr>
            <w:r w:rsidRPr="007B2963">
              <w:rPr>
                <w:rFonts w:cs="Times New Roman"/>
                <w:color w:val="000000"/>
                <w:sz w:val="21"/>
                <w:szCs w:val="21"/>
              </w:rPr>
              <w:t>Mjini Wingwi</w:t>
            </w:r>
          </w:p>
        </w:tc>
        <w:tc>
          <w:tcPr>
            <w:tcW w:w="1135" w:type="dxa"/>
            <w:tcBorders>
              <w:left w:val="single" w:sz="4" w:space="0" w:color="000000"/>
              <w:bottom w:val="single" w:sz="4" w:space="0" w:color="000000"/>
            </w:tcBorders>
            <w:shd w:val="clear" w:color="auto" w:fill="auto"/>
            <w:vAlign w:val="bottom"/>
          </w:tcPr>
          <w:p w14:paraId="4CFD8323" w14:textId="77777777" w:rsidR="00816D20" w:rsidRPr="007B2963" w:rsidRDefault="00916365">
            <w:pPr>
              <w:rPr>
                <w:rFonts w:cs="Times New Roman"/>
                <w:color w:val="000000"/>
                <w:sz w:val="21"/>
                <w:szCs w:val="21"/>
              </w:rPr>
            </w:pPr>
            <w:r w:rsidRPr="007B2963">
              <w:rPr>
                <w:rFonts w:cs="Times New Roman"/>
                <w:color w:val="000000"/>
                <w:sz w:val="21"/>
                <w:szCs w:val="21"/>
              </w:rPr>
              <w:t>26.09</w:t>
            </w:r>
          </w:p>
        </w:tc>
        <w:tc>
          <w:tcPr>
            <w:tcW w:w="1135" w:type="dxa"/>
            <w:tcBorders>
              <w:left w:val="single" w:sz="4" w:space="0" w:color="000000"/>
              <w:bottom w:val="single" w:sz="4" w:space="0" w:color="000000"/>
            </w:tcBorders>
            <w:shd w:val="clear" w:color="auto" w:fill="auto"/>
            <w:vAlign w:val="bottom"/>
          </w:tcPr>
          <w:p w14:paraId="349CBD1E" w14:textId="77777777" w:rsidR="00816D20" w:rsidRPr="007B2963" w:rsidRDefault="00916365">
            <w:pPr>
              <w:rPr>
                <w:rFonts w:cs="Times New Roman"/>
                <w:color w:val="000000"/>
                <w:sz w:val="21"/>
                <w:szCs w:val="21"/>
              </w:rPr>
            </w:pPr>
            <w:r w:rsidRPr="007B2963">
              <w:rPr>
                <w:rFonts w:cs="Times New Roman"/>
                <w:color w:val="000000"/>
                <w:sz w:val="21"/>
                <w:szCs w:val="21"/>
              </w:rPr>
              <w:t>21.42</w:t>
            </w:r>
          </w:p>
        </w:tc>
        <w:tc>
          <w:tcPr>
            <w:tcW w:w="1135" w:type="dxa"/>
            <w:tcBorders>
              <w:left w:val="single" w:sz="4" w:space="0" w:color="000000"/>
              <w:bottom w:val="single" w:sz="4" w:space="0" w:color="000000"/>
            </w:tcBorders>
            <w:shd w:val="clear" w:color="auto" w:fill="auto"/>
            <w:vAlign w:val="bottom"/>
          </w:tcPr>
          <w:p w14:paraId="7C0FF4D9" w14:textId="77777777" w:rsidR="00816D20" w:rsidRPr="007B2963" w:rsidRDefault="00916365">
            <w:pPr>
              <w:rPr>
                <w:rFonts w:cs="Times New Roman"/>
                <w:color w:val="000000"/>
                <w:sz w:val="21"/>
                <w:szCs w:val="21"/>
              </w:rPr>
            </w:pPr>
            <w:r w:rsidRPr="007B2963">
              <w:rPr>
                <w:rFonts w:cs="Times New Roman"/>
                <w:color w:val="000000"/>
                <w:sz w:val="21"/>
                <w:szCs w:val="21"/>
              </w:rPr>
              <w:t>14.86</w:t>
            </w:r>
          </w:p>
        </w:tc>
        <w:tc>
          <w:tcPr>
            <w:tcW w:w="1362" w:type="dxa"/>
            <w:tcBorders>
              <w:left w:val="single" w:sz="4" w:space="0" w:color="000000"/>
              <w:bottom w:val="single" w:sz="4" w:space="0" w:color="000000"/>
            </w:tcBorders>
            <w:shd w:val="clear" w:color="auto" w:fill="auto"/>
            <w:vAlign w:val="bottom"/>
          </w:tcPr>
          <w:p w14:paraId="0B311794" w14:textId="77777777" w:rsidR="00816D20" w:rsidRPr="007B2963" w:rsidRDefault="00916365">
            <w:pPr>
              <w:rPr>
                <w:rFonts w:cs="Times New Roman"/>
                <w:color w:val="000000"/>
                <w:sz w:val="21"/>
                <w:szCs w:val="21"/>
              </w:rPr>
            </w:pPr>
            <w:r w:rsidRPr="007B2963">
              <w:rPr>
                <w:rFonts w:cs="Times New Roman"/>
                <w:color w:val="000000"/>
                <w:sz w:val="21"/>
                <w:szCs w:val="21"/>
              </w:rPr>
              <w:t>-2.1</w:t>
            </w:r>
          </w:p>
        </w:tc>
        <w:tc>
          <w:tcPr>
            <w:tcW w:w="1362" w:type="dxa"/>
            <w:tcBorders>
              <w:left w:val="single" w:sz="4" w:space="0" w:color="000000"/>
              <w:bottom w:val="single" w:sz="4" w:space="0" w:color="000000"/>
            </w:tcBorders>
            <w:shd w:val="clear" w:color="auto" w:fill="auto"/>
            <w:vAlign w:val="bottom"/>
          </w:tcPr>
          <w:p w14:paraId="75624E39" w14:textId="77777777" w:rsidR="00816D20" w:rsidRPr="007B2963" w:rsidRDefault="00916365">
            <w:pPr>
              <w:rPr>
                <w:rFonts w:cs="Times New Roman"/>
                <w:color w:val="000000"/>
                <w:sz w:val="21"/>
                <w:szCs w:val="21"/>
              </w:rPr>
            </w:pPr>
            <w:r w:rsidRPr="007B2963">
              <w:rPr>
                <w:rFonts w:cs="Times New Roman"/>
                <w:color w:val="000000"/>
                <w:sz w:val="21"/>
                <w:szCs w:val="21"/>
              </w:rPr>
              <w:t>-4.9</w:t>
            </w:r>
          </w:p>
        </w:tc>
        <w:tc>
          <w:tcPr>
            <w:tcW w:w="1384" w:type="dxa"/>
            <w:tcBorders>
              <w:left w:val="single" w:sz="4" w:space="0" w:color="000000"/>
              <w:bottom w:val="single" w:sz="4" w:space="0" w:color="000000"/>
              <w:right w:val="single" w:sz="4" w:space="0" w:color="000000"/>
            </w:tcBorders>
            <w:shd w:val="clear" w:color="auto" w:fill="auto"/>
            <w:vAlign w:val="bottom"/>
          </w:tcPr>
          <w:p w14:paraId="575FC928" w14:textId="77777777" w:rsidR="00816D20" w:rsidRPr="007B2963" w:rsidRDefault="00816D20">
            <w:pPr>
              <w:rPr>
                <w:rFonts w:cs="Times New Roman"/>
                <w:color w:val="000000"/>
                <w:sz w:val="21"/>
                <w:szCs w:val="21"/>
              </w:rPr>
            </w:pPr>
          </w:p>
        </w:tc>
      </w:tr>
      <w:tr w:rsidR="00816D20" w:rsidRPr="007B2963" w14:paraId="48CA1756" w14:textId="77777777">
        <w:tc>
          <w:tcPr>
            <w:tcW w:w="1497" w:type="dxa"/>
            <w:tcBorders>
              <w:left w:val="single" w:sz="4" w:space="0" w:color="000000"/>
              <w:bottom w:val="single" w:sz="4" w:space="0" w:color="000000"/>
            </w:tcBorders>
            <w:shd w:val="clear" w:color="auto" w:fill="auto"/>
          </w:tcPr>
          <w:p w14:paraId="06D3C938" w14:textId="77777777" w:rsidR="00816D20" w:rsidRPr="007B2963" w:rsidRDefault="00916365">
            <w:pPr>
              <w:rPr>
                <w:rFonts w:cs="Times New Roman"/>
                <w:color w:val="000000"/>
                <w:sz w:val="21"/>
                <w:szCs w:val="21"/>
              </w:rPr>
            </w:pPr>
            <w:r w:rsidRPr="007B2963">
              <w:rPr>
                <w:rFonts w:cs="Times New Roman"/>
                <w:color w:val="000000"/>
                <w:sz w:val="21"/>
                <w:szCs w:val="21"/>
              </w:rPr>
              <w:t>Msuka Magharibi</w:t>
            </w:r>
          </w:p>
        </w:tc>
        <w:tc>
          <w:tcPr>
            <w:tcW w:w="1135" w:type="dxa"/>
            <w:tcBorders>
              <w:left w:val="single" w:sz="4" w:space="0" w:color="000000"/>
              <w:bottom w:val="single" w:sz="4" w:space="0" w:color="000000"/>
            </w:tcBorders>
            <w:shd w:val="clear" w:color="auto" w:fill="auto"/>
            <w:vAlign w:val="bottom"/>
          </w:tcPr>
          <w:p w14:paraId="05DB2BA9" w14:textId="77777777" w:rsidR="00816D20" w:rsidRPr="007B2963" w:rsidRDefault="00916365">
            <w:pPr>
              <w:rPr>
                <w:rFonts w:cs="Times New Roman"/>
                <w:color w:val="000000"/>
                <w:sz w:val="21"/>
                <w:szCs w:val="21"/>
              </w:rPr>
            </w:pPr>
            <w:r w:rsidRPr="007B2963">
              <w:rPr>
                <w:rFonts w:cs="Times New Roman"/>
                <w:color w:val="000000"/>
                <w:sz w:val="21"/>
                <w:szCs w:val="21"/>
              </w:rPr>
              <w:t>7.89</w:t>
            </w:r>
          </w:p>
        </w:tc>
        <w:tc>
          <w:tcPr>
            <w:tcW w:w="1135" w:type="dxa"/>
            <w:tcBorders>
              <w:left w:val="single" w:sz="4" w:space="0" w:color="000000"/>
              <w:bottom w:val="single" w:sz="4" w:space="0" w:color="000000"/>
            </w:tcBorders>
            <w:shd w:val="clear" w:color="auto" w:fill="auto"/>
            <w:vAlign w:val="bottom"/>
          </w:tcPr>
          <w:p w14:paraId="44269C5B" w14:textId="77777777" w:rsidR="00816D20" w:rsidRPr="007B2963" w:rsidRDefault="00916365">
            <w:pPr>
              <w:rPr>
                <w:rFonts w:cs="Times New Roman"/>
                <w:color w:val="000000"/>
                <w:sz w:val="21"/>
                <w:szCs w:val="21"/>
              </w:rPr>
            </w:pPr>
            <w:r w:rsidRPr="007B2963">
              <w:rPr>
                <w:rFonts w:cs="Times New Roman"/>
                <w:color w:val="000000"/>
                <w:sz w:val="21"/>
                <w:szCs w:val="21"/>
              </w:rPr>
              <w:t>5.27</w:t>
            </w:r>
          </w:p>
        </w:tc>
        <w:tc>
          <w:tcPr>
            <w:tcW w:w="1135" w:type="dxa"/>
            <w:tcBorders>
              <w:left w:val="single" w:sz="4" w:space="0" w:color="000000"/>
              <w:bottom w:val="single" w:sz="4" w:space="0" w:color="000000"/>
            </w:tcBorders>
            <w:shd w:val="clear" w:color="auto" w:fill="auto"/>
            <w:vAlign w:val="bottom"/>
          </w:tcPr>
          <w:p w14:paraId="18491E1C" w14:textId="77777777" w:rsidR="00816D20" w:rsidRPr="007B2963" w:rsidRDefault="00916365">
            <w:pPr>
              <w:rPr>
                <w:rFonts w:cs="Times New Roman"/>
                <w:color w:val="000000"/>
                <w:sz w:val="21"/>
                <w:szCs w:val="21"/>
              </w:rPr>
            </w:pPr>
            <w:r w:rsidRPr="007B2963">
              <w:rPr>
                <w:rFonts w:cs="Times New Roman"/>
                <w:color w:val="000000"/>
                <w:sz w:val="21"/>
                <w:szCs w:val="21"/>
              </w:rPr>
              <w:t>3.14</w:t>
            </w:r>
          </w:p>
        </w:tc>
        <w:tc>
          <w:tcPr>
            <w:tcW w:w="1362" w:type="dxa"/>
            <w:tcBorders>
              <w:left w:val="single" w:sz="4" w:space="0" w:color="000000"/>
              <w:bottom w:val="single" w:sz="4" w:space="0" w:color="000000"/>
            </w:tcBorders>
            <w:shd w:val="clear" w:color="auto" w:fill="auto"/>
            <w:vAlign w:val="bottom"/>
          </w:tcPr>
          <w:p w14:paraId="4814E3D9" w14:textId="77777777" w:rsidR="00816D20" w:rsidRPr="007B2963" w:rsidRDefault="00916365">
            <w:pPr>
              <w:rPr>
                <w:rFonts w:cs="Times New Roman"/>
                <w:color w:val="000000"/>
                <w:sz w:val="21"/>
                <w:szCs w:val="21"/>
              </w:rPr>
            </w:pPr>
            <w:r w:rsidRPr="007B2963">
              <w:rPr>
                <w:rFonts w:cs="Times New Roman"/>
                <w:color w:val="000000"/>
                <w:sz w:val="21"/>
                <w:szCs w:val="21"/>
              </w:rPr>
              <w:t>-4.2</w:t>
            </w:r>
          </w:p>
        </w:tc>
        <w:tc>
          <w:tcPr>
            <w:tcW w:w="1362" w:type="dxa"/>
            <w:tcBorders>
              <w:left w:val="single" w:sz="4" w:space="0" w:color="000000"/>
              <w:bottom w:val="single" w:sz="4" w:space="0" w:color="000000"/>
            </w:tcBorders>
            <w:shd w:val="clear" w:color="auto" w:fill="auto"/>
            <w:vAlign w:val="bottom"/>
          </w:tcPr>
          <w:p w14:paraId="6475E734" w14:textId="77777777" w:rsidR="00816D20" w:rsidRPr="007B2963" w:rsidRDefault="00916365">
            <w:pPr>
              <w:rPr>
                <w:rFonts w:cs="Times New Roman"/>
                <w:color w:val="000000"/>
                <w:sz w:val="21"/>
                <w:szCs w:val="21"/>
              </w:rPr>
            </w:pPr>
            <w:r w:rsidRPr="007B2963">
              <w:rPr>
                <w:rFonts w:cs="Times New Roman"/>
                <w:color w:val="000000"/>
                <w:sz w:val="21"/>
                <w:szCs w:val="21"/>
              </w:rPr>
              <w:t>-6.9</w:t>
            </w:r>
          </w:p>
        </w:tc>
        <w:tc>
          <w:tcPr>
            <w:tcW w:w="1384" w:type="dxa"/>
            <w:tcBorders>
              <w:left w:val="single" w:sz="4" w:space="0" w:color="000000"/>
              <w:bottom w:val="single" w:sz="4" w:space="0" w:color="000000"/>
              <w:right w:val="single" w:sz="4" w:space="0" w:color="000000"/>
            </w:tcBorders>
            <w:shd w:val="clear" w:color="auto" w:fill="auto"/>
            <w:vAlign w:val="bottom"/>
          </w:tcPr>
          <w:p w14:paraId="1A339AE6" w14:textId="77777777" w:rsidR="00816D20" w:rsidRPr="007B2963" w:rsidRDefault="00816D20">
            <w:pPr>
              <w:rPr>
                <w:rFonts w:cs="Times New Roman"/>
                <w:color w:val="000000"/>
                <w:sz w:val="21"/>
                <w:szCs w:val="21"/>
              </w:rPr>
            </w:pPr>
          </w:p>
        </w:tc>
      </w:tr>
      <w:tr w:rsidR="00816D20" w:rsidRPr="007B2963" w14:paraId="152B9DC5" w14:textId="77777777">
        <w:trPr>
          <w:trHeight w:val="395"/>
        </w:trPr>
        <w:tc>
          <w:tcPr>
            <w:tcW w:w="1497" w:type="dxa"/>
            <w:tcBorders>
              <w:left w:val="single" w:sz="4" w:space="0" w:color="000000"/>
              <w:bottom w:val="single" w:sz="4" w:space="0" w:color="000000"/>
            </w:tcBorders>
            <w:shd w:val="clear" w:color="auto" w:fill="auto"/>
          </w:tcPr>
          <w:p w14:paraId="0BEE1769" w14:textId="77777777" w:rsidR="00816D20" w:rsidRPr="007B2963" w:rsidRDefault="00916365">
            <w:pPr>
              <w:rPr>
                <w:rFonts w:cs="Times New Roman"/>
                <w:color w:val="000000"/>
                <w:sz w:val="21"/>
                <w:szCs w:val="21"/>
              </w:rPr>
            </w:pPr>
            <w:r w:rsidRPr="007B2963">
              <w:rPr>
                <w:rFonts w:cs="Times New Roman"/>
                <w:color w:val="000000"/>
                <w:sz w:val="21"/>
                <w:szCs w:val="21"/>
              </w:rPr>
              <w:t>Mtambwe North</w:t>
            </w:r>
          </w:p>
        </w:tc>
        <w:tc>
          <w:tcPr>
            <w:tcW w:w="1135" w:type="dxa"/>
            <w:tcBorders>
              <w:left w:val="single" w:sz="4" w:space="0" w:color="000000"/>
              <w:bottom w:val="single" w:sz="4" w:space="0" w:color="000000"/>
            </w:tcBorders>
            <w:shd w:val="clear" w:color="auto" w:fill="auto"/>
            <w:vAlign w:val="bottom"/>
          </w:tcPr>
          <w:p w14:paraId="4804D077" w14:textId="77777777" w:rsidR="00816D20" w:rsidRPr="007B2963" w:rsidRDefault="00916365">
            <w:pPr>
              <w:rPr>
                <w:rFonts w:cs="Times New Roman"/>
                <w:color w:val="000000"/>
                <w:sz w:val="21"/>
                <w:szCs w:val="21"/>
              </w:rPr>
            </w:pPr>
            <w:r w:rsidRPr="007B2963">
              <w:rPr>
                <w:rFonts w:cs="Times New Roman"/>
                <w:color w:val="000000"/>
                <w:sz w:val="21"/>
                <w:szCs w:val="21"/>
              </w:rPr>
              <w:t>44.07</w:t>
            </w:r>
          </w:p>
        </w:tc>
        <w:tc>
          <w:tcPr>
            <w:tcW w:w="1135" w:type="dxa"/>
            <w:tcBorders>
              <w:left w:val="single" w:sz="4" w:space="0" w:color="000000"/>
              <w:bottom w:val="single" w:sz="4" w:space="0" w:color="000000"/>
            </w:tcBorders>
            <w:shd w:val="clear" w:color="auto" w:fill="auto"/>
            <w:vAlign w:val="bottom"/>
          </w:tcPr>
          <w:p w14:paraId="7BBE3D58" w14:textId="77777777" w:rsidR="00816D20" w:rsidRPr="007B2963" w:rsidRDefault="00916365">
            <w:pPr>
              <w:rPr>
                <w:rFonts w:cs="Times New Roman"/>
                <w:color w:val="000000"/>
                <w:sz w:val="21"/>
                <w:szCs w:val="21"/>
              </w:rPr>
            </w:pPr>
            <w:r w:rsidRPr="007B2963">
              <w:rPr>
                <w:rFonts w:cs="Times New Roman"/>
                <w:color w:val="000000"/>
                <w:sz w:val="21"/>
                <w:szCs w:val="21"/>
              </w:rPr>
              <w:t>29.80</w:t>
            </w:r>
          </w:p>
        </w:tc>
        <w:tc>
          <w:tcPr>
            <w:tcW w:w="1135" w:type="dxa"/>
            <w:tcBorders>
              <w:left w:val="single" w:sz="4" w:space="0" w:color="000000"/>
              <w:bottom w:val="single" w:sz="4" w:space="0" w:color="000000"/>
            </w:tcBorders>
            <w:shd w:val="clear" w:color="auto" w:fill="auto"/>
            <w:vAlign w:val="bottom"/>
          </w:tcPr>
          <w:p w14:paraId="4C444A2F" w14:textId="77777777" w:rsidR="00816D20" w:rsidRPr="007B2963" w:rsidRDefault="00916365">
            <w:pPr>
              <w:rPr>
                <w:rFonts w:cs="Times New Roman"/>
                <w:color w:val="000000"/>
                <w:sz w:val="21"/>
                <w:szCs w:val="21"/>
              </w:rPr>
            </w:pPr>
            <w:r w:rsidRPr="007B2963">
              <w:rPr>
                <w:rFonts w:cs="Times New Roman"/>
                <w:color w:val="000000"/>
                <w:sz w:val="21"/>
                <w:szCs w:val="21"/>
              </w:rPr>
              <w:t>29.98</w:t>
            </w:r>
          </w:p>
        </w:tc>
        <w:tc>
          <w:tcPr>
            <w:tcW w:w="1362" w:type="dxa"/>
            <w:tcBorders>
              <w:left w:val="single" w:sz="4" w:space="0" w:color="000000"/>
              <w:bottom w:val="single" w:sz="4" w:space="0" w:color="000000"/>
            </w:tcBorders>
            <w:shd w:val="clear" w:color="auto" w:fill="auto"/>
            <w:vAlign w:val="bottom"/>
          </w:tcPr>
          <w:p w14:paraId="72DED898" w14:textId="77777777" w:rsidR="00816D20" w:rsidRPr="007B2963" w:rsidRDefault="00916365">
            <w:pPr>
              <w:rPr>
                <w:rFonts w:cs="Times New Roman"/>
                <w:color w:val="000000"/>
                <w:sz w:val="21"/>
                <w:szCs w:val="21"/>
              </w:rPr>
            </w:pPr>
            <w:r w:rsidRPr="007B2963">
              <w:rPr>
                <w:rFonts w:cs="Times New Roman"/>
                <w:color w:val="000000"/>
                <w:sz w:val="21"/>
                <w:szCs w:val="21"/>
              </w:rPr>
              <w:t>-4.0</w:t>
            </w:r>
          </w:p>
        </w:tc>
        <w:tc>
          <w:tcPr>
            <w:tcW w:w="1362" w:type="dxa"/>
            <w:tcBorders>
              <w:left w:val="single" w:sz="4" w:space="0" w:color="000000"/>
              <w:bottom w:val="single" w:sz="4" w:space="0" w:color="000000"/>
            </w:tcBorders>
            <w:shd w:val="clear" w:color="auto" w:fill="auto"/>
            <w:vAlign w:val="bottom"/>
          </w:tcPr>
          <w:p w14:paraId="6A283228" w14:textId="77777777" w:rsidR="00816D20" w:rsidRPr="007B2963" w:rsidRDefault="00916365">
            <w:pPr>
              <w:rPr>
                <w:rFonts w:cs="Times New Roman"/>
                <w:color w:val="000000"/>
                <w:sz w:val="21"/>
                <w:szCs w:val="21"/>
              </w:rPr>
            </w:pPr>
            <w:r w:rsidRPr="007B2963">
              <w:rPr>
                <w:rFonts w:cs="Times New Roman"/>
                <w:color w:val="000000"/>
                <w:sz w:val="21"/>
                <w:szCs w:val="21"/>
              </w:rPr>
              <w:t>0.1</w:t>
            </w:r>
          </w:p>
        </w:tc>
        <w:tc>
          <w:tcPr>
            <w:tcW w:w="1384" w:type="dxa"/>
            <w:tcBorders>
              <w:left w:val="single" w:sz="4" w:space="0" w:color="000000"/>
              <w:bottom w:val="single" w:sz="4" w:space="0" w:color="000000"/>
              <w:right w:val="single" w:sz="4" w:space="0" w:color="000000"/>
            </w:tcBorders>
            <w:shd w:val="clear" w:color="auto" w:fill="auto"/>
            <w:vAlign w:val="bottom"/>
          </w:tcPr>
          <w:p w14:paraId="23191AF3" w14:textId="77777777" w:rsidR="00816D20" w:rsidRPr="007B2963" w:rsidRDefault="00916365">
            <w:pPr>
              <w:spacing w:line="360" w:lineRule="auto"/>
              <w:rPr>
                <w:rFonts w:ascii="Wingdings" w:eastAsia="Wingdings" w:hAnsi="Wingdings" w:cs="Wingdings"/>
                <w:color w:val="000000"/>
                <w:sz w:val="21"/>
                <w:szCs w:val="21"/>
              </w:rPr>
            </w:pPr>
            <w:r w:rsidRPr="007B2963">
              <w:rPr>
                <w:rFonts w:ascii="Wingdings" w:eastAsia="Wingdings" w:hAnsi="Wingdings" w:cs="Wingdings"/>
                <w:color w:val="000000"/>
                <w:sz w:val="21"/>
                <w:szCs w:val="21"/>
              </w:rPr>
              <w:t></w:t>
            </w:r>
          </w:p>
        </w:tc>
      </w:tr>
      <w:tr w:rsidR="00816D20" w:rsidRPr="007B2963" w14:paraId="24AFE100" w14:textId="77777777">
        <w:tc>
          <w:tcPr>
            <w:tcW w:w="1497" w:type="dxa"/>
            <w:tcBorders>
              <w:left w:val="single" w:sz="4" w:space="0" w:color="000000"/>
              <w:bottom w:val="single" w:sz="4" w:space="0" w:color="000000"/>
            </w:tcBorders>
            <w:shd w:val="clear" w:color="auto" w:fill="auto"/>
          </w:tcPr>
          <w:p w14:paraId="4550389A" w14:textId="77777777" w:rsidR="00816D20" w:rsidRPr="007B2963" w:rsidRDefault="00916365">
            <w:pPr>
              <w:rPr>
                <w:rFonts w:cs="Times New Roman"/>
                <w:color w:val="000000"/>
                <w:sz w:val="21"/>
                <w:szCs w:val="21"/>
              </w:rPr>
            </w:pPr>
            <w:r w:rsidRPr="007B2963">
              <w:rPr>
                <w:rFonts w:cs="Times New Roman"/>
                <w:color w:val="000000"/>
                <w:sz w:val="21"/>
                <w:szCs w:val="21"/>
              </w:rPr>
              <w:t>Mtambwe South</w:t>
            </w:r>
          </w:p>
        </w:tc>
        <w:tc>
          <w:tcPr>
            <w:tcW w:w="1135" w:type="dxa"/>
            <w:tcBorders>
              <w:left w:val="single" w:sz="4" w:space="0" w:color="000000"/>
              <w:bottom w:val="single" w:sz="4" w:space="0" w:color="000000"/>
            </w:tcBorders>
            <w:shd w:val="clear" w:color="auto" w:fill="auto"/>
            <w:vAlign w:val="bottom"/>
          </w:tcPr>
          <w:p w14:paraId="319841F7" w14:textId="77777777" w:rsidR="00816D20" w:rsidRPr="007B2963" w:rsidRDefault="00916365">
            <w:pPr>
              <w:rPr>
                <w:rFonts w:cs="Times New Roman"/>
                <w:color w:val="000000"/>
                <w:sz w:val="21"/>
                <w:szCs w:val="21"/>
              </w:rPr>
            </w:pPr>
            <w:r w:rsidRPr="007B2963">
              <w:rPr>
                <w:rFonts w:cs="Times New Roman"/>
                <w:color w:val="000000"/>
                <w:sz w:val="21"/>
                <w:szCs w:val="21"/>
              </w:rPr>
              <w:t>55.01</w:t>
            </w:r>
          </w:p>
        </w:tc>
        <w:tc>
          <w:tcPr>
            <w:tcW w:w="1135" w:type="dxa"/>
            <w:tcBorders>
              <w:left w:val="single" w:sz="4" w:space="0" w:color="000000"/>
              <w:bottom w:val="single" w:sz="4" w:space="0" w:color="000000"/>
            </w:tcBorders>
            <w:shd w:val="clear" w:color="auto" w:fill="auto"/>
            <w:vAlign w:val="bottom"/>
          </w:tcPr>
          <w:p w14:paraId="3927684A" w14:textId="77777777" w:rsidR="00816D20" w:rsidRPr="007B2963" w:rsidRDefault="00916365">
            <w:pPr>
              <w:rPr>
                <w:rFonts w:cs="Times New Roman"/>
                <w:color w:val="000000"/>
                <w:sz w:val="21"/>
                <w:szCs w:val="21"/>
              </w:rPr>
            </w:pPr>
            <w:r w:rsidRPr="007B2963">
              <w:rPr>
                <w:rFonts w:cs="Times New Roman"/>
                <w:color w:val="000000"/>
                <w:sz w:val="21"/>
                <w:szCs w:val="21"/>
              </w:rPr>
              <w:t>39.34</w:t>
            </w:r>
          </w:p>
        </w:tc>
        <w:tc>
          <w:tcPr>
            <w:tcW w:w="1135" w:type="dxa"/>
            <w:tcBorders>
              <w:left w:val="single" w:sz="4" w:space="0" w:color="000000"/>
              <w:bottom w:val="single" w:sz="4" w:space="0" w:color="000000"/>
            </w:tcBorders>
            <w:shd w:val="clear" w:color="auto" w:fill="auto"/>
            <w:vAlign w:val="bottom"/>
          </w:tcPr>
          <w:p w14:paraId="37D8A444" w14:textId="77777777" w:rsidR="00816D20" w:rsidRPr="007B2963" w:rsidRDefault="00916365">
            <w:pPr>
              <w:rPr>
                <w:rFonts w:cs="Times New Roman"/>
                <w:color w:val="000000"/>
                <w:sz w:val="21"/>
                <w:szCs w:val="21"/>
              </w:rPr>
            </w:pPr>
            <w:r w:rsidRPr="007B2963">
              <w:rPr>
                <w:rFonts w:cs="Times New Roman"/>
                <w:color w:val="000000"/>
                <w:sz w:val="21"/>
                <w:szCs w:val="21"/>
              </w:rPr>
              <w:t>39.51</w:t>
            </w:r>
          </w:p>
        </w:tc>
        <w:tc>
          <w:tcPr>
            <w:tcW w:w="1362" w:type="dxa"/>
            <w:tcBorders>
              <w:left w:val="single" w:sz="4" w:space="0" w:color="000000"/>
              <w:bottom w:val="single" w:sz="4" w:space="0" w:color="000000"/>
            </w:tcBorders>
            <w:shd w:val="clear" w:color="auto" w:fill="auto"/>
            <w:vAlign w:val="bottom"/>
          </w:tcPr>
          <w:p w14:paraId="0D22A630" w14:textId="77777777" w:rsidR="00816D20" w:rsidRPr="007B2963" w:rsidRDefault="00916365">
            <w:pPr>
              <w:rPr>
                <w:rFonts w:cs="Times New Roman"/>
                <w:color w:val="000000"/>
                <w:sz w:val="21"/>
                <w:szCs w:val="21"/>
              </w:rPr>
            </w:pPr>
            <w:r w:rsidRPr="007B2963">
              <w:rPr>
                <w:rFonts w:cs="Times New Roman"/>
                <w:color w:val="000000"/>
                <w:sz w:val="21"/>
                <w:szCs w:val="21"/>
              </w:rPr>
              <w:t>-3.5</w:t>
            </w:r>
          </w:p>
        </w:tc>
        <w:tc>
          <w:tcPr>
            <w:tcW w:w="1362" w:type="dxa"/>
            <w:tcBorders>
              <w:left w:val="single" w:sz="4" w:space="0" w:color="000000"/>
              <w:bottom w:val="single" w:sz="4" w:space="0" w:color="000000"/>
            </w:tcBorders>
            <w:shd w:val="clear" w:color="auto" w:fill="auto"/>
            <w:vAlign w:val="bottom"/>
          </w:tcPr>
          <w:p w14:paraId="054E3EFB" w14:textId="77777777" w:rsidR="00816D20" w:rsidRPr="007B2963" w:rsidRDefault="00916365">
            <w:pPr>
              <w:rPr>
                <w:rFonts w:cs="Times New Roman"/>
                <w:color w:val="000000"/>
                <w:sz w:val="21"/>
                <w:szCs w:val="21"/>
              </w:rPr>
            </w:pPr>
            <w:r w:rsidRPr="007B2963">
              <w:rPr>
                <w:rFonts w:cs="Times New Roman"/>
                <w:color w:val="000000"/>
                <w:sz w:val="21"/>
                <w:szCs w:val="21"/>
              </w:rPr>
              <w:t>0.1</w:t>
            </w:r>
          </w:p>
        </w:tc>
        <w:tc>
          <w:tcPr>
            <w:tcW w:w="1384" w:type="dxa"/>
            <w:tcBorders>
              <w:left w:val="single" w:sz="4" w:space="0" w:color="000000"/>
              <w:bottom w:val="single" w:sz="4" w:space="0" w:color="000000"/>
              <w:right w:val="single" w:sz="4" w:space="0" w:color="000000"/>
            </w:tcBorders>
            <w:shd w:val="clear" w:color="auto" w:fill="auto"/>
            <w:vAlign w:val="bottom"/>
          </w:tcPr>
          <w:p w14:paraId="25D2D7DC" w14:textId="77777777" w:rsidR="00816D20" w:rsidRPr="007B2963" w:rsidRDefault="00916365">
            <w:pPr>
              <w:spacing w:line="360" w:lineRule="auto"/>
              <w:rPr>
                <w:rFonts w:ascii="Wingdings" w:eastAsia="Wingdings" w:hAnsi="Wingdings" w:cs="Wingdings"/>
                <w:color w:val="000000"/>
                <w:sz w:val="21"/>
                <w:szCs w:val="21"/>
              </w:rPr>
            </w:pPr>
            <w:r w:rsidRPr="007B2963">
              <w:rPr>
                <w:rFonts w:ascii="Wingdings" w:eastAsia="Wingdings" w:hAnsi="Wingdings" w:cs="Wingdings"/>
                <w:color w:val="000000"/>
                <w:sz w:val="21"/>
                <w:szCs w:val="21"/>
              </w:rPr>
              <w:t></w:t>
            </w:r>
          </w:p>
        </w:tc>
      </w:tr>
      <w:tr w:rsidR="00816D20" w:rsidRPr="007B2963" w14:paraId="6C4544CD" w14:textId="77777777">
        <w:tc>
          <w:tcPr>
            <w:tcW w:w="1497" w:type="dxa"/>
            <w:tcBorders>
              <w:left w:val="single" w:sz="4" w:space="0" w:color="000000"/>
              <w:bottom w:val="single" w:sz="4" w:space="0" w:color="000000"/>
            </w:tcBorders>
            <w:shd w:val="clear" w:color="auto" w:fill="auto"/>
          </w:tcPr>
          <w:p w14:paraId="0A577AD2" w14:textId="77777777" w:rsidR="00816D20" w:rsidRPr="007B2963" w:rsidRDefault="00916365">
            <w:pPr>
              <w:rPr>
                <w:rFonts w:cs="Times New Roman"/>
                <w:color w:val="000000"/>
                <w:sz w:val="21"/>
                <w:szCs w:val="21"/>
              </w:rPr>
            </w:pPr>
            <w:r w:rsidRPr="007B2963">
              <w:rPr>
                <w:rFonts w:cs="Times New Roman"/>
                <w:color w:val="000000"/>
                <w:sz w:val="21"/>
                <w:szCs w:val="21"/>
              </w:rPr>
              <w:t xml:space="preserve">Shumba Mjini </w:t>
            </w:r>
          </w:p>
        </w:tc>
        <w:tc>
          <w:tcPr>
            <w:tcW w:w="1135" w:type="dxa"/>
            <w:tcBorders>
              <w:left w:val="single" w:sz="4" w:space="0" w:color="000000"/>
              <w:bottom w:val="single" w:sz="4" w:space="0" w:color="000000"/>
            </w:tcBorders>
            <w:shd w:val="clear" w:color="auto" w:fill="auto"/>
            <w:vAlign w:val="bottom"/>
          </w:tcPr>
          <w:p w14:paraId="590F7825" w14:textId="77777777" w:rsidR="00816D20" w:rsidRPr="007B2963" w:rsidRDefault="00916365">
            <w:pPr>
              <w:rPr>
                <w:rFonts w:cs="Times New Roman"/>
                <w:color w:val="000000"/>
                <w:sz w:val="21"/>
                <w:szCs w:val="21"/>
              </w:rPr>
            </w:pPr>
            <w:r w:rsidRPr="007B2963">
              <w:rPr>
                <w:rFonts w:cs="Times New Roman"/>
                <w:color w:val="000000"/>
                <w:sz w:val="21"/>
                <w:szCs w:val="21"/>
              </w:rPr>
              <w:t>52.48</w:t>
            </w:r>
          </w:p>
        </w:tc>
        <w:tc>
          <w:tcPr>
            <w:tcW w:w="1135" w:type="dxa"/>
            <w:tcBorders>
              <w:left w:val="single" w:sz="4" w:space="0" w:color="000000"/>
              <w:bottom w:val="single" w:sz="4" w:space="0" w:color="000000"/>
            </w:tcBorders>
            <w:shd w:val="clear" w:color="auto" w:fill="auto"/>
            <w:vAlign w:val="bottom"/>
          </w:tcPr>
          <w:p w14:paraId="41810393" w14:textId="77777777" w:rsidR="00816D20" w:rsidRPr="007B2963" w:rsidRDefault="00916365">
            <w:pPr>
              <w:rPr>
                <w:rFonts w:cs="Times New Roman"/>
                <w:color w:val="000000"/>
                <w:sz w:val="21"/>
                <w:szCs w:val="21"/>
              </w:rPr>
            </w:pPr>
            <w:r w:rsidRPr="007B2963">
              <w:rPr>
                <w:rFonts w:cs="Times New Roman"/>
                <w:color w:val="000000"/>
                <w:sz w:val="21"/>
                <w:szCs w:val="21"/>
              </w:rPr>
              <w:t>44.60</w:t>
            </w:r>
          </w:p>
        </w:tc>
        <w:tc>
          <w:tcPr>
            <w:tcW w:w="1135" w:type="dxa"/>
            <w:tcBorders>
              <w:left w:val="single" w:sz="4" w:space="0" w:color="000000"/>
              <w:bottom w:val="single" w:sz="4" w:space="0" w:color="000000"/>
            </w:tcBorders>
            <w:shd w:val="clear" w:color="auto" w:fill="auto"/>
            <w:vAlign w:val="bottom"/>
          </w:tcPr>
          <w:p w14:paraId="0D72F9F8" w14:textId="77777777" w:rsidR="00816D20" w:rsidRPr="007B2963" w:rsidRDefault="00916365">
            <w:pPr>
              <w:rPr>
                <w:rFonts w:cs="Times New Roman"/>
                <w:color w:val="000000"/>
                <w:sz w:val="21"/>
                <w:szCs w:val="21"/>
              </w:rPr>
            </w:pPr>
            <w:r w:rsidRPr="007B2963">
              <w:rPr>
                <w:rFonts w:cs="Times New Roman"/>
                <w:color w:val="000000"/>
                <w:sz w:val="21"/>
                <w:szCs w:val="21"/>
              </w:rPr>
              <w:t>35.84</w:t>
            </w:r>
          </w:p>
        </w:tc>
        <w:tc>
          <w:tcPr>
            <w:tcW w:w="1362" w:type="dxa"/>
            <w:tcBorders>
              <w:left w:val="single" w:sz="4" w:space="0" w:color="000000"/>
              <w:bottom w:val="single" w:sz="4" w:space="0" w:color="000000"/>
            </w:tcBorders>
            <w:shd w:val="clear" w:color="auto" w:fill="auto"/>
            <w:vAlign w:val="bottom"/>
          </w:tcPr>
          <w:p w14:paraId="0EEC5139" w14:textId="77777777" w:rsidR="00816D20" w:rsidRPr="007B2963" w:rsidRDefault="00916365">
            <w:pPr>
              <w:rPr>
                <w:rFonts w:cs="Times New Roman"/>
                <w:color w:val="000000"/>
                <w:sz w:val="21"/>
                <w:szCs w:val="21"/>
              </w:rPr>
            </w:pPr>
            <w:r w:rsidRPr="007B2963">
              <w:rPr>
                <w:rFonts w:cs="Times New Roman"/>
                <w:color w:val="000000"/>
                <w:sz w:val="21"/>
                <w:szCs w:val="21"/>
              </w:rPr>
              <w:t>-1.7</w:t>
            </w:r>
          </w:p>
        </w:tc>
        <w:tc>
          <w:tcPr>
            <w:tcW w:w="1362" w:type="dxa"/>
            <w:tcBorders>
              <w:left w:val="single" w:sz="4" w:space="0" w:color="000000"/>
              <w:bottom w:val="single" w:sz="4" w:space="0" w:color="000000"/>
            </w:tcBorders>
            <w:shd w:val="clear" w:color="auto" w:fill="auto"/>
            <w:vAlign w:val="bottom"/>
          </w:tcPr>
          <w:p w14:paraId="1AF4BF0B" w14:textId="77777777" w:rsidR="00816D20" w:rsidRPr="007B2963" w:rsidRDefault="00916365">
            <w:pPr>
              <w:rPr>
                <w:rFonts w:cs="Times New Roman"/>
                <w:color w:val="000000"/>
                <w:sz w:val="21"/>
                <w:szCs w:val="21"/>
              </w:rPr>
            </w:pPr>
            <w:r w:rsidRPr="007B2963">
              <w:rPr>
                <w:rFonts w:cs="Times New Roman"/>
                <w:color w:val="000000"/>
                <w:sz w:val="21"/>
                <w:szCs w:val="21"/>
              </w:rPr>
              <w:t>-3.0</w:t>
            </w:r>
          </w:p>
        </w:tc>
        <w:tc>
          <w:tcPr>
            <w:tcW w:w="1384" w:type="dxa"/>
            <w:tcBorders>
              <w:left w:val="single" w:sz="4" w:space="0" w:color="000000"/>
              <w:bottom w:val="single" w:sz="4" w:space="0" w:color="000000"/>
              <w:right w:val="single" w:sz="4" w:space="0" w:color="000000"/>
            </w:tcBorders>
            <w:shd w:val="clear" w:color="auto" w:fill="auto"/>
            <w:vAlign w:val="bottom"/>
          </w:tcPr>
          <w:p w14:paraId="3A51B97A" w14:textId="77777777" w:rsidR="00816D20" w:rsidRPr="007B2963" w:rsidRDefault="00816D20">
            <w:pPr>
              <w:rPr>
                <w:rFonts w:cs="Times New Roman"/>
                <w:color w:val="000000"/>
                <w:sz w:val="21"/>
                <w:szCs w:val="21"/>
              </w:rPr>
            </w:pPr>
          </w:p>
        </w:tc>
      </w:tr>
      <w:tr w:rsidR="00816D20" w:rsidRPr="007B2963" w14:paraId="759F00E5" w14:textId="77777777">
        <w:tc>
          <w:tcPr>
            <w:tcW w:w="1497" w:type="dxa"/>
            <w:tcBorders>
              <w:left w:val="single" w:sz="4" w:space="0" w:color="000000"/>
              <w:bottom w:val="single" w:sz="4" w:space="0" w:color="000000"/>
            </w:tcBorders>
            <w:shd w:val="clear" w:color="auto" w:fill="auto"/>
          </w:tcPr>
          <w:p w14:paraId="386D5141" w14:textId="77777777" w:rsidR="00816D20" w:rsidRPr="007B2963" w:rsidRDefault="00916365">
            <w:pPr>
              <w:rPr>
                <w:rFonts w:cs="Times New Roman"/>
                <w:color w:val="000000"/>
                <w:sz w:val="21"/>
                <w:szCs w:val="21"/>
              </w:rPr>
            </w:pPr>
            <w:r w:rsidRPr="007B2963">
              <w:rPr>
                <w:rFonts w:cs="Times New Roman"/>
                <w:color w:val="000000"/>
                <w:sz w:val="21"/>
                <w:szCs w:val="21"/>
              </w:rPr>
              <w:t>Tondooni</w:t>
            </w:r>
          </w:p>
        </w:tc>
        <w:tc>
          <w:tcPr>
            <w:tcW w:w="1135" w:type="dxa"/>
            <w:tcBorders>
              <w:left w:val="single" w:sz="4" w:space="0" w:color="000000"/>
              <w:bottom w:val="single" w:sz="4" w:space="0" w:color="000000"/>
            </w:tcBorders>
            <w:shd w:val="clear" w:color="auto" w:fill="auto"/>
            <w:vAlign w:val="bottom"/>
          </w:tcPr>
          <w:p w14:paraId="54D2E9ED" w14:textId="77777777" w:rsidR="00816D20" w:rsidRPr="007B2963" w:rsidRDefault="00916365">
            <w:pPr>
              <w:rPr>
                <w:rFonts w:cs="Times New Roman"/>
                <w:color w:val="000000"/>
                <w:sz w:val="21"/>
                <w:szCs w:val="21"/>
              </w:rPr>
            </w:pPr>
            <w:r w:rsidRPr="007B2963">
              <w:rPr>
                <w:rFonts w:cs="Times New Roman"/>
                <w:color w:val="000000"/>
                <w:sz w:val="21"/>
                <w:szCs w:val="21"/>
              </w:rPr>
              <w:t>24.76</w:t>
            </w:r>
          </w:p>
        </w:tc>
        <w:tc>
          <w:tcPr>
            <w:tcW w:w="1135" w:type="dxa"/>
            <w:tcBorders>
              <w:left w:val="single" w:sz="4" w:space="0" w:color="000000"/>
              <w:bottom w:val="single" w:sz="4" w:space="0" w:color="000000"/>
            </w:tcBorders>
            <w:shd w:val="clear" w:color="auto" w:fill="auto"/>
            <w:vAlign w:val="bottom"/>
          </w:tcPr>
          <w:p w14:paraId="3A651598" w14:textId="77777777" w:rsidR="00816D20" w:rsidRPr="007B2963" w:rsidRDefault="00916365">
            <w:pPr>
              <w:rPr>
                <w:rFonts w:cs="Times New Roman"/>
                <w:color w:val="000000"/>
                <w:sz w:val="21"/>
                <w:szCs w:val="21"/>
              </w:rPr>
            </w:pPr>
            <w:r w:rsidRPr="007B2963">
              <w:rPr>
                <w:rFonts w:cs="Times New Roman"/>
                <w:color w:val="000000"/>
                <w:sz w:val="21"/>
                <w:szCs w:val="21"/>
              </w:rPr>
              <w:t>20.99</w:t>
            </w:r>
          </w:p>
        </w:tc>
        <w:tc>
          <w:tcPr>
            <w:tcW w:w="1135" w:type="dxa"/>
            <w:tcBorders>
              <w:left w:val="single" w:sz="4" w:space="0" w:color="000000"/>
              <w:bottom w:val="single" w:sz="4" w:space="0" w:color="000000"/>
            </w:tcBorders>
            <w:shd w:val="clear" w:color="auto" w:fill="auto"/>
            <w:vAlign w:val="bottom"/>
          </w:tcPr>
          <w:p w14:paraId="52FA42A8" w14:textId="77777777" w:rsidR="00816D20" w:rsidRPr="007B2963" w:rsidRDefault="00916365">
            <w:pPr>
              <w:rPr>
                <w:rFonts w:cs="Times New Roman"/>
                <w:color w:val="000000"/>
                <w:sz w:val="21"/>
                <w:szCs w:val="21"/>
              </w:rPr>
            </w:pPr>
            <w:r w:rsidRPr="007B2963">
              <w:rPr>
                <w:rFonts w:cs="Times New Roman"/>
                <w:color w:val="000000"/>
                <w:sz w:val="21"/>
                <w:szCs w:val="21"/>
              </w:rPr>
              <w:t>16.08</w:t>
            </w:r>
          </w:p>
        </w:tc>
        <w:tc>
          <w:tcPr>
            <w:tcW w:w="1362" w:type="dxa"/>
            <w:tcBorders>
              <w:left w:val="single" w:sz="4" w:space="0" w:color="000000"/>
              <w:bottom w:val="single" w:sz="4" w:space="0" w:color="000000"/>
            </w:tcBorders>
            <w:shd w:val="clear" w:color="auto" w:fill="auto"/>
            <w:vAlign w:val="bottom"/>
          </w:tcPr>
          <w:p w14:paraId="65DC0A16" w14:textId="77777777" w:rsidR="00816D20" w:rsidRPr="007B2963" w:rsidRDefault="00916365">
            <w:pPr>
              <w:rPr>
                <w:rFonts w:cs="Times New Roman"/>
                <w:color w:val="000000"/>
                <w:sz w:val="21"/>
                <w:szCs w:val="21"/>
              </w:rPr>
            </w:pPr>
            <w:r w:rsidRPr="007B2963">
              <w:rPr>
                <w:rFonts w:cs="Times New Roman"/>
                <w:color w:val="000000"/>
                <w:sz w:val="21"/>
                <w:szCs w:val="21"/>
              </w:rPr>
              <w:t>-1.7</w:t>
            </w:r>
          </w:p>
        </w:tc>
        <w:tc>
          <w:tcPr>
            <w:tcW w:w="1362" w:type="dxa"/>
            <w:tcBorders>
              <w:left w:val="single" w:sz="4" w:space="0" w:color="000000"/>
              <w:bottom w:val="single" w:sz="4" w:space="0" w:color="000000"/>
            </w:tcBorders>
            <w:shd w:val="clear" w:color="auto" w:fill="auto"/>
            <w:vAlign w:val="bottom"/>
          </w:tcPr>
          <w:p w14:paraId="457BCCC7" w14:textId="77777777" w:rsidR="00816D20" w:rsidRPr="007B2963" w:rsidRDefault="00916365">
            <w:pPr>
              <w:rPr>
                <w:rFonts w:cs="Times New Roman"/>
                <w:color w:val="000000"/>
                <w:sz w:val="21"/>
                <w:szCs w:val="21"/>
              </w:rPr>
            </w:pPr>
            <w:r w:rsidRPr="007B2963">
              <w:rPr>
                <w:rFonts w:cs="Times New Roman"/>
                <w:color w:val="000000"/>
                <w:sz w:val="21"/>
                <w:szCs w:val="21"/>
              </w:rPr>
              <w:t>-3.6</w:t>
            </w:r>
          </w:p>
        </w:tc>
        <w:tc>
          <w:tcPr>
            <w:tcW w:w="1384" w:type="dxa"/>
            <w:tcBorders>
              <w:left w:val="single" w:sz="4" w:space="0" w:color="000000"/>
              <w:bottom w:val="single" w:sz="4" w:space="0" w:color="000000"/>
              <w:right w:val="single" w:sz="4" w:space="0" w:color="000000"/>
            </w:tcBorders>
            <w:shd w:val="clear" w:color="auto" w:fill="auto"/>
            <w:vAlign w:val="bottom"/>
          </w:tcPr>
          <w:p w14:paraId="396BBF84" w14:textId="77777777" w:rsidR="00816D20" w:rsidRPr="007B2963" w:rsidRDefault="00816D20">
            <w:pPr>
              <w:rPr>
                <w:rFonts w:cs="Times New Roman"/>
                <w:color w:val="000000"/>
                <w:sz w:val="21"/>
                <w:szCs w:val="21"/>
              </w:rPr>
            </w:pPr>
          </w:p>
        </w:tc>
      </w:tr>
      <w:tr w:rsidR="00816D20" w:rsidRPr="007B2963" w14:paraId="1E5C25D3" w14:textId="77777777">
        <w:tc>
          <w:tcPr>
            <w:tcW w:w="1497" w:type="dxa"/>
            <w:tcBorders>
              <w:left w:val="single" w:sz="4" w:space="0" w:color="000000"/>
              <w:bottom w:val="single" w:sz="4" w:space="0" w:color="000000"/>
            </w:tcBorders>
            <w:shd w:val="clear" w:color="auto" w:fill="auto"/>
          </w:tcPr>
          <w:p w14:paraId="6FF23824" w14:textId="77777777" w:rsidR="00816D20" w:rsidRPr="007B2963" w:rsidRDefault="00916365">
            <w:pPr>
              <w:rPr>
                <w:rFonts w:cs="Times New Roman"/>
                <w:color w:val="000000"/>
                <w:sz w:val="21"/>
                <w:szCs w:val="21"/>
              </w:rPr>
            </w:pPr>
            <w:r w:rsidRPr="007B2963">
              <w:rPr>
                <w:rFonts w:cs="Times New Roman"/>
                <w:color w:val="000000"/>
                <w:sz w:val="21"/>
                <w:szCs w:val="21"/>
              </w:rPr>
              <w:t>Tumbe Magharibi</w:t>
            </w:r>
          </w:p>
        </w:tc>
        <w:tc>
          <w:tcPr>
            <w:tcW w:w="1135" w:type="dxa"/>
            <w:tcBorders>
              <w:left w:val="single" w:sz="4" w:space="0" w:color="000000"/>
              <w:bottom w:val="single" w:sz="4" w:space="0" w:color="000000"/>
            </w:tcBorders>
            <w:shd w:val="clear" w:color="auto" w:fill="auto"/>
            <w:vAlign w:val="bottom"/>
          </w:tcPr>
          <w:p w14:paraId="3A60AD19" w14:textId="77777777" w:rsidR="00816D20" w:rsidRPr="007B2963" w:rsidRDefault="00916365">
            <w:pPr>
              <w:rPr>
                <w:rFonts w:cs="Times New Roman"/>
                <w:color w:val="000000"/>
                <w:sz w:val="21"/>
                <w:szCs w:val="21"/>
              </w:rPr>
            </w:pPr>
            <w:r w:rsidRPr="007B2963">
              <w:rPr>
                <w:rFonts w:cs="Times New Roman"/>
                <w:color w:val="000000"/>
                <w:sz w:val="21"/>
                <w:szCs w:val="21"/>
              </w:rPr>
              <w:t>18.47</w:t>
            </w:r>
          </w:p>
        </w:tc>
        <w:tc>
          <w:tcPr>
            <w:tcW w:w="1135" w:type="dxa"/>
            <w:tcBorders>
              <w:left w:val="single" w:sz="4" w:space="0" w:color="000000"/>
              <w:bottom w:val="single" w:sz="4" w:space="0" w:color="000000"/>
            </w:tcBorders>
            <w:shd w:val="clear" w:color="auto" w:fill="auto"/>
            <w:vAlign w:val="bottom"/>
          </w:tcPr>
          <w:p w14:paraId="29DD60D7" w14:textId="77777777" w:rsidR="00816D20" w:rsidRPr="007B2963" w:rsidRDefault="00916365">
            <w:pPr>
              <w:rPr>
                <w:rFonts w:cs="Times New Roman"/>
                <w:color w:val="000000"/>
                <w:sz w:val="21"/>
                <w:szCs w:val="21"/>
              </w:rPr>
            </w:pPr>
            <w:r w:rsidRPr="007B2963">
              <w:rPr>
                <w:rFonts w:cs="Times New Roman"/>
                <w:color w:val="000000"/>
                <w:sz w:val="21"/>
                <w:szCs w:val="21"/>
              </w:rPr>
              <w:t>12.64</w:t>
            </w:r>
          </w:p>
        </w:tc>
        <w:tc>
          <w:tcPr>
            <w:tcW w:w="1135" w:type="dxa"/>
            <w:tcBorders>
              <w:left w:val="single" w:sz="4" w:space="0" w:color="000000"/>
              <w:bottom w:val="single" w:sz="4" w:space="0" w:color="000000"/>
            </w:tcBorders>
            <w:shd w:val="clear" w:color="auto" w:fill="auto"/>
            <w:vAlign w:val="bottom"/>
          </w:tcPr>
          <w:p w14:paraId="2CD8D9E5" w14:textId="77777777" w:rsidR="00816D20" w:rsidRPr="007B2963" w:rsidRDefault="00916365">
            <w:pPr>
              <w:rPr>
                <w:rFonts w:cs="Times New Roman"/>
                <w:color w:val="000000"/>
                <w:sz w:val="21"/>
                <w:szCs w:val="21"/>
              </w:rPr>
            </w:pPr>
            <w:r w:rsidRPr="007B2963">
              <w:rPr>
                <w:rFonts w:cs="Times New Roman"/>
                <w:color w:val="000000"/>
                <w:sz w:val="21"/>
                <w:szCs w:val="21"/>
              </w:rPr>
              <w:t>9.58</w:t>
            </w:r>
          </w:p>
        </w:tc>
        <w:tc>
          <w:tcPr>
            <w:tcW w:w="1362" w:type="dxa"/>
            <w:tcBorders>
              <w:left w:val="single" w:sz="4" w:space="0" w:color="000000"/>
              <w:bottom w:val="single" w:sz="4" w:space="0" w:color="000000"/>
            </w:tcBorders>
            <w:shd w:val="clear" w:color="auto" w:fill="auto"/>
            <w:vAlign w:val="bottom"/>
          </w:tcPr>
          <w:p w14:paraId="162BEC1A" w14:textId="77777777" w:rsidR="00816D20" w:rsidRPr="007B2963" w:rsidRDefault="00916365">
            <w:pPr>
              <w:rPr>
                <w:rFonts w:cs="Times New Roman"/>
                <w:color w:val="000000"/>
                <w:sz w:val="21"/>
                <w:szCs w:val="21"/>
              </w:rPr>
            </w:pPr>
            <w:r w:rsidRPr="007B2963">
              <w:rPr>
                <w:rFonts w:cs="Times New Roman"/>
                <w:color w:val="000000"/>
                <w:sz w:val="21"/>
                <w:szCs w:val="21"/>
              </w:rPr>
              <w:t>-3.9</w:t>
            </w:r>
          </w:p>
        </w:tc>
        <w:tc>
          <w:tcPr>
            <w:tcW w:w="1362" w:type="dxa"/>
            <w:tcBorders>
              <w:left w:val="single" w:sz="4" w:space="0" w:color="000000"/>
              <w:bottom w:val="single" w:sz="4" w:space="0" w:color="000000"/>
            </w:tcBorders>
            <w:shd w:val="clear" w:color="auto" w:fill="auto"/>
            <w:vAlign w:val="bottom"/>
          </w:tcPr>
          <w:p w14:paraId="2E0D66FB" w14:textId="77777777" w:rsidR="00816D20" w:rsidRPr="007B2963" w:rsidRDefault="00916365">
            <w:pPr>
              <w:rPr>
                <w:rFonts w:cs="Times New Roman"/>
                <w:color w:val="000000"/>
                <w:sz w:val="21"/>
                <w:szCs w:val="21"/>
              </w:rPr>
            </w:pPr>
            <w:r w:rsidRPr="007B2963">
              <w:rPr>
                <w:rFonts w:cs="Times New Roman"/>
                <w:color w:val="000000"/>
                <w:sz w:val="21"/>
                <w:szCs w:val="21"/>
              </w:rPr>
              <w:t>-3.7</w:t>
            </w:r>
          </w:p>
        </w:tc>
        <w:tc>
          <w:tcPr>
            <w:tcW w:w="1384" w:type="dxa"/>
            <w:tcBorders>
              <w:left w:val="single" w:sz="4" w:space="0" w:color="000000"/>
              <w:bottom w:val="single" w:sz="4" w:space="0" w:color="000000"/>
              <w:right w:val="single" w:sz="4" w:space="0" w:color="000000"/>
            </w:tcBorders>
            <w:shd w:val="clear" w:color="auto" w:fill="auto"/>
            <w:vAlign w:val="bottom"/>
          </w:tcPr>
          <w:p w14:paraId="5334743D" w14:textId="77777777" w:rsidR="00816D20" w:rsidRPr="007B2963" w:rsidRDefault="00916365">
            <w:pPr>
              <w:spacing w:line="360" w:lineRule="auto"/>
              <w:rPr>
                <w:rFonts w:ascii="Wingdings" w:eastAsia="Wingdings" w:hAnsi="Wingdings" w:cs="Wingdings"/>
                <w:color w:val="000000"/>
                <w:sz w:val="21"/>
                <w:szCs w:val="21"/>
              </w:rPr>
            </w:pPr>
            <w:r w:rsidRPr="007B2963">
              <w:rPr>
                <w:rFonts w:ascii="Wingdings" w:eastAsia="Wingdings" w:hAnsi="Wingdings" w:cs="Wingdings"/>
                <w:color w:val="000000"/>
                <w:sz w:val="21"/>
                <w:szCs w:val="21"/>
              </w:rPr>
              <w:t></w:t>
            </w:r>
          </w:p>
        </w:tc>
      </w:tr>
    </w:tbl>
    <w:p w14:paraId="5023C513" w14:textId="77777777" w:rsidR="00816D20" w:rsidRPr="007B2963" w:rsidRDefault="00916365">
      <w:pPr>
        <w:spacing w:line="360" w:lineRule="auto"/>
        <w:rPr>
          <w:rStyle w:val="Surname"/>
          <w:smallCaps/>
          <w:color w:val="000000"/>
          <w:sz w:val="24"/>
        </w:rPr>
      </w:pPr>
      <w:r w:rsidRPr="007B2963">
        <w:br w:type="page"/>
      </w:r>
    </w:p>
    <w:p w14:paraId="074C574D" w14:textId="77777777" w:rsidR="00816D20" w:rsidRPr="007B2963" w:rsidRDefault="00916365">
      <w:pPr>
        <w:spacing w:line="276" w:lineRule="auto"/>
        <w:rPr>
          <w:rFonts w:asciiTheme="minorHAnsi" w:hAnsiTheme="minorHAnsi" w:cstheme="minorHAnsi"/>
          <w:b/>
        </w:rPr>
      </w:pPr>
      <w:r w:rsidRPr="007B2963">
        <w:rPr>
          <w:rFonts w:asciiTheme="minorHAnsi" w:hAnsiTheme="minorHAnsi" w:cstheme="minorHAnsi"/>
          <w:b/>
        </w:rPr>
        <w:lastRenderedPageBreak/>
        <w:t>References</w:t>
      </w:r>
    </w:p>
    <w:p w14:paraId="0D44F885" w14:textId="30FCB428" w:rsidR="00816D20" w:rsidRPr="007B2963" w:rsidRDefault="00916365">
      <w:pPr>
        <w:spacing w:line="276" w:lineRule="auto"/>
        <w:ind w:left="283" w:hanging="283"/>
      </w:pPr>
      <w:r w:rsidRPr="007B2963">
        <w:rPr>
          <w:rFonts w:cs="Times New Roman"/>
          <w:smallCaps/>
        </w:rPr>
        <w:t>Benjaminsen</w:t>
      </w:r>
      <w:r w:rsidR="00DC613B" w:rsidRPr="007B2963">
        <w:rPr>
          <w:rFonts w:cs="Times New Roman"/>
        </w:rPr>
        <w:t>,</w:t>
      </w:r>
      <w:r w:rsidRPr="007B2963">
        <w:rPr>
          <w:rFonts w:cs="Times New Roman"/>
        </w:rPr>
        <w:t xml:space="preserve"> G. (2014</w:t>
      </w:r>
      <w:r w:rsidR="004A62A7" w:rsidRPr="007B2963">
        <w:rPr>
          <w:rFonts w:cs="Times New Roman"/>
        </w:rPr>
        <w:t>)</w:t>
      </w:r>
      <w:r w:rsidRPr="007B2963">
        <w:rPr>
          <w:rFonts w:cs="Times New Roman"/>
        </w:rPr>
        <w:t xml:space="preserve"> Between </w:t>
      </w:r>
      <w:r w:rsidR="009D1456" w:rsidRPr="007B2963">
        <w:rPr>
          <w:rFonts w:cs="Times New Roman"/>
        </w:rPr>
        <w:t>resistance and consent: p</w:t>
      </w:r>
      <w:r w:rsidR="00222448" w:rsidRPr="007B2963">
        <w:rPr>
          <w:rFonts w:cs="Times New Roman"/>
        </w:rPr>
        <w:t>roject–</w:t>
      </w:r>
      <w:r w:rsidRPr="007B2963">
        <w:rPr>
          <w:rFonts w:cs="Times New Roman"/>
        </w:rPr>
        <w:t xml:space="preserve">village relationships when introducing REDD in Zanzibar. </w:t>
      </w:r>
      <w:r w:rsidRPr="007B2963">
        <w:rPr>
          <w:rFonts w:cs="Times New Roman"/>
          <w:i/>
        </w:rPr>
        <w:t>Forum for Development Studies</w:t>
      </w:r>
      <w:r w:rsidRPr="007B2963">
        <w:rPr>
          <w:rFonts w:cs="Times New Roman"/>
        </w:rPr>
        <w:t>, 41</w:t>
      </w:r>
      <w:r w:rsidRPr="007B2963">
        <w:rPr>
          <w:rFonts w:cs="Times New Roman"/>
          <w:b/>
        </w:rPr>
        <w:t>,</w:t>
      </w:r>
      <w:r w:rsidR="00916EFD">
        <w:rPr>
          <w:rFonts w:cs="Times New Roman"/>
        </w:rPr>
        <w:t xml:space="preserve"> 377</w:t>
      </w:r>
      <w:r w:rsidR="00916EFD" w:rsidRPr="007B2963">
        <w:rPr>
          <w:rFonts w:cs="Times New Roman"/>
        </w:rPr>
        <w:t>–</w:t>
      </w:r>
      <w:r w:rsidRPr="007B2963">
        <w:rPr>
          <w:rFonts w:cs="Times New Roman"/>
        </w:rPr>
        <w:t>398</w:t>
      </w:r>
      <w:r w:rsidR="004A62A7" w:rsidRPr="007B2963">
        <w:rPr>
          <w:rFonts w:cs="Times New Roman"/>
        </w:rPr>
        <w:t>.</w:t>
      </w:r>
    </w:p>
    <w:p w14:paraId="29FEC33C" w14:textId="25CC0403" w:rsidR="00816D20" w:rsidRPr="007B2963" w:rsidRDefault="00754A6A">
      <w:pPr>
        <w:spacing w:line="276" w:lineRule="auto"/>
        <w:ind w:left="283" w:hanging="283"/>
      </w:pPr>
      <w:r w:rsidRPr="007B2963">
        <w:rPr>
          <w:smallCaps/>
        </w:rPr>
        <w:t>Cohen, B. &amp; Goward</w:t>
      </w:r>
      <w:r w:rsidRPr="007B2963">
        <w:t xml:space="preserve">, S.N. (2004) Landsat’s role in </w:t>
      </w:r>
      <w:r w:rsidR="006376CA" w:rsidRPr="007B2963">
        <w:t>e</w:t>
      </w:r>
      <w:r w:rsidRPr="007B2963">
        <w:t xml:space="preserve">cological </w:t>
      </w:r>
      <w:r w:rsidR="006376CA" w:rsidRPr="007B2963">
        <w:t>applications of remote s</w:t>
      </w:r>
      <w:r w:rsidRPr="007B2963">
        <w:t xml:space="preserve">ensing. </w:t>
      </w:r>
      <w:r w:rsidRPr="007B2963">
        <w:rPr>
          <w:i/>
        </w:rPr>
        <w:t>BioScience</w:t>
      </w:r>
      <w:r w:rsidRPr="007B2963">
        <w:t>, 54, 535–545.</w:t>
      </w:r>
    </w:p>
    <w:p w14:paraId="2D94A220" w14:textId="0FFD4C59" w:rsidR="00816D20" w:rsidRPr="007B2963" w:rsidRDefault="001A1DFF">
      <w:pPr>
        <w:spacing w:line="276" w:lineRule="auto"/>
        <w:ind w:left="283" w:hanging="283"/>
      </w:pPr>
      <w:r w:rsidRPr="007B2963">
        <w:rPr>
          <w:rFonts w:cs="Times New Roman"/>
          <w:smallCaps/>
        </w:rPr>
        <w:t>Congalton</w:t>
      </w:r>
      <w:r w:rsidRPr="007B2963">
        <w:rPr>
          <w:rFonts w:cs="Times New Roman"/>
        </w:rPr>
        <w:t>, R.</w:t>
      </w:r>
      <w:r w:rsidR="00916365" w:rsidRPr="007B2963">
        <w:rPr>
          <w:rFonts w:cs="Times New Roman"/>
        </w:rPr>
        <w:t>G. (1991</w:t>
      </w:r>
      <w:r w:rsidR="004A62A7" w:rsidRPr="007B2963">
        <w:rPr>
          <w:rFonts w:cs="Times New Roman"/>
        </w:rPr>
        <w:t>)</w:t>
      </w:r>
      <w:r w:rsidR="00916365" w:rsidRPr="007B2963">
        <w:rPr>
          <w:rFonts w:cs="Times New Roman"/>
        </w:rPr>
        <w:t xml:space="preserve"> A Review of </w:t>
      </w:r>
      <w:r w:rsidRPr="007B2963">
        <w:rPr>
          <w:rFonts w:cs="Times New Roman"/>
        </w:rPr>
        <w:t>a</w:t>
      </w:r>
      <w:r w:rsidR="00916365" w:rsidRPr="007B2963">
        <w:rPr>
          <w:rFonts w:cs="Times New Roman"/>
        </w:rPr>
        <w:t xml:space="preserve">ssessing the </w:t>
      </w:r>
      <w:r w:rsidRPr="007B2963">
        <w:rPr>
          <w:rFonts w:cs="Times New Roman"/>
        </w:rPr>
        <w:t>a</w:t>
      </w:r>
      <w:r w:rsidR="00916365" w:rsidRPr="007B2963">
        <w:rPr>
          <w:rFonts w:cs="Times New Roman"/>
        </w:rPr>
        <w:t xml:space="preserve">ccuracy of </w:t>
      </w:r>
      <w:r w:rsidRPr="007B2963">
        <w:rPr>
          <w:rFonts w:cs="Times New Roman"/>
        </w:rPr>
        <w:t>c</w:t>
      </w:r>
      <w:r w:rsidR="00916365" w:rsidRPr="007B2963">
        <w:rPr>
          <w:rFonts w:cs="Times New Roman"/>
        </w:rPr>
        <w:t xml:space="preserve">lassifications of </w:t>
      </w:r>
      <w:r w:rsidRPr="007B2963">
        <w:rPr>
          <w:rFonts w:cs="Times New Roman"/>
        </w:rPr>
        <w:t>r</w:t>
      </w:r>
      <w:r w:rsidR="00916365" w:rsidRPr="007B2963">
        <w:rPr>
          <w:rFonts w:cs="Times New Roman"/>
        </w:rPr>
        <w:t xml:space="preserve">emotely </w:t>
      </w:r>
      <w:r w:rsidRPr="007B2963">
        <w:rPr>
          <w:rFonts w:cs="Times New Roman"/>
        </w:rPr>
        <w:t>s</w:t>
      </w:r>
      <w:r w:rsidR="00916365" w:rsidRPr="007B2963">
        <w:rPr>
          <w:rFonts w:cs="Times New Roman"/>
        </w:rPr>
        <w:t xml:space="preserve">ensed </w:t>
      </w:r>
      <w:r w:rsidRPr="007B2963">
        <w:rPr>
          <w:rFonts w:cs="Times New Roman"/>
        </w:rPr>
        <w:t>d</w:t>
      </w:r>
      <w:r w:rsidR="00916365" w:rsidRPr="007B2963">
        <w:rPr>
          <w:rFonts w:cs="Times New Roman"/>
        </w:rPr>
        <w:t xml:space="preserve">ata. </w:t>
      </w:r>
      <w:r w:rsidR="00916365" w:rsidRPr="007B2963">
        <w:rPr>
          <w:rFonts w:cs="Times New Roman"/>
          <w:i/>
          <w:iCs/>
        </w:rPr>
        <w:t>Remote Sensing of Environment</w:t>
      </w:r>
      <w:r w:rsidR="00916365" w:rsidRPr="007B2963">
        <w:rPr>
          <w:rFonts w:cs="Times New Roman"/>
        </w:rPr>
        <w:t xml:space="preserve">, </w:t>
      </w:r>
      <w:r w:rsidR="00916365" w:rsidRPr="007B2963">
        <w:rPr>
          <w:rFonts w:cs="Times New Roman"/>
          <w:iCs/>
        </w:rPr>
        <w:t>37</w:t>
      </w:r>
      <w:r w:rsidR="00916365" w:rsidRPr="007B2963">
        <w:rPr>
          <w:rFonts w:cs="Times New Roman"/>
        </w:rPr>
        <w:t>, 35–46.</w:t>
      </w:r>
    </w:p>
    <w:p w14:paraId="3A1C6A7C" w14:textId="17B296B7" w:rsidR="00816D20" w:rsidRPr="007B2963" w:rsidRDefault="00924C94">
      <w:pPr>
        <w:spacing w:line="276" w:lineRule="auto"/>
        <w:ind w:left="283" w:hanging="283"/>
      </w:pPr>
      <w:r w:rsidRPr="007B2963">
        <w:rPr>
          <w:rFonts w:cs="Times New Roman"/>
          <w:smallCaps/>
        </w:rPr>
        <w:t>Foga, S., Scaramuzza, P.</w:t>
      </w:r>
      <w:r w:rsidR="00916365" w:rsidRPr="007B2963">
        <w:rPr>
          <w:rFonts w:cs="Times New Roman"/>
          <w:smallCaps/>
        </w:rPr>
        <w:t>L</w:t>
      </w:r>
      <w:r w:rsidRPr="007B2963">
        <w:rPr>
          <w:rFonts w:cs="Times New Roman"/>
          <w:smallCaps/>
        </w:rPr>
        <w:t>., Guo, S., Zhu, Z., Dilley, R.</w:t>
      </w:r>
      <w:r w:rsidR="00916365" w:rsidRPr="007B2963">
        <w:rPr>
          <w:rFonts w:cs="Times New Roman"/>
          <w:smallCaps/>
        </w:rPr>
        <w:t>D., Beckmann, T.</w:t>
      </w:r>
      <w:r w:rsidRPr="007B2963">
        <w:rPr>
          <w:rFonts w:cs="Times New Roman"/>
          <w:smallCaps/>
        </w:rPr>
        <w:t xml:space="preserve"> &amp;</w:t>
      </w:r>
      <w:r w:rsidR="00916365" w:rsidRPr="007B2963">
        <w:rPr>
          <w:rFonts w:cs="Times New Roman"/>
          <w:smallCaps/>
        </w:rPr>
        <w:t xml:space="preserve"> Laue, B.</w:t>
      </w:r>
      <w:r w:rsidR="00916365" w:rsidRPr="007B2963">
        <w:rPr>
          <w:rFonts w:cs="Times New Roman"/>
        </w:rPr>
        <w:t xml:space="preserve"> (2017</w:t>
      </w:r>
      <w:r w:rsidR="004A62A7" w:rsidRPr="007B2963">
        <w:rPr>
          <w:rFonts w:cs="Times New Roman"/>
        </w:rPr>
        <w:t>)</w:t>
      </w:r>
      <w:r w:rsidRPr="007B2963">
        <w:rPr>
          <w:rFonts w:cs="Times New Roman"/>
        </w:rPr>
        <w:t xml:space="preserve"> </w:t>
      </w:r>
      <w:r w:rsidR="00F83422" w:rsidRPr="007B2963">
        <w:rPr>
          <w:rFonts w:cs="Times New Roman"/>
        </w:rPr>
        <w:t>C</w:t>
      </w:r>
      <w:r w:rsidR="00916365" w:rsidRPr="007B2963">
        <w:rPr>
          <w:rFonts w:cs="Times New Roman"/>
        </w:rPr>
        <w:t xml:space="preserve">loud detection algorithm comparison and validation for operational Landsat data products. </w:t>
      </w:r>
      <w:r w:rsidR="00916365" w:rsidRPr="007B2963">
        <w:rPr>
          <w:rFonts w:cs="Times New Roman"/>
          <w:i/>
          <w:iCs/>
        </w:rPr>
        <w:t>Remote Sensing of Environment</w:t>
      </w:r>
      <w:r w:rsidR="00916365" w:rsidRPr="007B2963">
        <w:rPr>
          <w:rFonts w:cs="Times New Roman"/>
        </w:rPr>
        <w:t xml:space="preserve">, </w:t>
      </w:r>
      <w:r w:rsidR="00916365" w:rsidRPr="007B2963">
        <w:rPr>
          <w:rFonts w:cs="Times New Roman"/>
          <w:iCs/>
        </w:rPr>
        <w:t>194</w:t>
      </w:r>
      <w:r w:rsidR="00916365" w:rsidRPr="007B2963">
        <w:rPr>
          <w:rFonts w:cs="Times New Roman"/>
        </w:rPr>
        <w:t>, 379–390.</w:t>
      </w:r>
    </w:p>
    <w:p w14:paraId="6F2DEE1C" w14:textId="6EF2BD16" w:rsidR="00816D20" w:rsidRPr="007B2963" w:rsidRDefault="00F83422">
      <w:pPr>
        <w:spacing w:line="276" w:lineRule="auto"/>
        <w:ind w:left="283" w:hanging="283"/>
        <w:rPr>
          <w:rFonts w:cs="Times New Roman"/>
        </w:rPr>
      </w:pPr>
      <w:r w:rsidRPr="007B2963">
        <w:rPr>
          <w:rFonts w:cs="Times New Roman"/>
        </w:rPr>
        <w:t>GADM</w:t>
      </w:r>
      <w:r w:rsidR="00916365" w:rsidRPr="007B2963">
        <w:rPr>
          <w:rFonts w:cs="Times New Roman"/>
        </w:rPr>
        <w:t xml:space="preserve"> </w:t>
      </w:r>
      <w:r w:rsidRPr="007B2963">
        <w:rPr>
          <w:rFonts w:cs="Times New Roman"/>
          <w:smallCaps/>
        </w:rPr>
        <w:t>(Database of Global Administrative Areas</w:t>
      </w:r>
      <w:r w:rsidR="004A04AB" w:rsidRPr="007B2963">
        <w:rPr>
          <w:rFonts w:cs="Times New Roman"/>
          <w:smallCaps/>
        </w:rPr>
        <w:t>)</w:t>
      </w:r>
      <w:r w:rsidRPr="007B2963">
        <w:rPr>
          <w:rFonts w:cs="Times New Roman"/>
          <w:smallCaps/>
        </w:rPr>
        <w:t xml:space="preserve"> </w:t>
      </w:r>
      <w:r w:rsidR="00916365" w:rsidRPr="007B2963">
        <w:rPr>
          <w:rFonts w:cs="Times New Roman"/>
        </w:rPr>
        <w:t>(2018</w:t>
      </w:r>
      <w:r w:rsidR="004A62A7" w:rsidRPr="007B2963">
        <w:rPr>
          <w:rFonts w:cs="Times New Roman"/>
        </w:rPr>
        <w:t>)</w:t>
      </w:r>
      <w:r w:rsidR="00916365" w:rsidRPr="007B2963">
        <w:rPr>
          <w:rFonts w:cs="Times New Roman"/>
        </w:rPr>
        <w:t xml:space="preserve"> </w:t>
      </w:r>
      <w:r w:rsidR="004A04AB" w:rsidRPr="007B2963">
        <w:rPr>
          <w:rFonts w:cs="Times New Roman"/>
          <w:i/>
        </w:rPr>
        <w:t>D</w:t>
      </w:r>
      <w:r w:rsidR="00916365" w:rsidRPr="007B2963">
        <w:rPr>
          <w:rFonts w:cs="Times New Roman"/>
          <w:i/>
        </w:rPr>
        <w:t>atabase of Global Administrative Areas 3.6.</w:t>
      </w:r>
      <w:r w:rsidR="00916365" w:rsidRPr="007B2963">
        <w:rPr>
          <w:rFonts w:cs="Times New Roman"/>
        </w:rPr>
        <w:t xml:space="preserve"> </w:t>
      </w:r>
      <w:hyperlink r:id="rId9" w:history="1">
        <w:r w:rsidR="00916365" w:rsidRPr="007B2963">
          <w:rPr>
            <w:rStyle w:val="Hyperlink"/>
            <w:rFonts w:cs="Times New Roman"/>
          </w:rPr>
          <w:t>gadm.org</w:t>
        </w:r>
      </w:hyperlink>
      <w:r w:rsidR="004A04AB" w:rsidRPr="007B2963">
        <w:rPr>
          <w:rFonts w:cs="Times New Roman"/>
        </w:rPr>
        <w:t xml:space="preserve"> [accessed March 2020].</w:t>
      </w:r>
    </w:p>
    <w:p w14:paraId="5014AAEC" w14:textId="1E7A01ED" w:rsidR="00816D20" w:rsidRPr="007B2963" w:rsidRDefault="00916365">
      <w:pPr>
        <w:spacing w:line="276" w:lineRule="auto"/>
        <w:ind w:left="283" w:hanging="283"/>
      </w:pPr>
      <w:r w:rsidRPr="007B2963">
        <w:rPr>
          <w:rFonts w:cs="Times New Roman"/>
          <w:smallCaps/>
        </w:rPr>
        <w:t>Gorelick, N., Hancher, M., Dixon,</w:t>
      </w:r>
      <w:r w:rsidR="00723ABA" w:rsidRPr="007B2963">
        <w:rPr>
          <w:rFonts w:cs="Times New Roman"/>
          <w:smallCaps/>
        </w:rPr>
        <w:t xml:space="preserve"> M., Ilyushchenko, S., Thau, D.</w:t>
      </w:r>
      <w:r w:rsidRPr="007B2963">
        <w:rPr>
          <w:rFonts w:cs="Times New Roman"/>
          <w:smallCaps/>
        </w:rPr>
        <w:t xml:space="preserve"> &amp; Moore, R.</w:t>
      </w:r>
      <w:r w:rsidRPr="007B2963">
        <w:rPr>
          <w:rFonts w:cs="Times New Roman"/>
        </w:rPr>
        <w:t xml:space="preserve"> (2017</w:t>
      </w:r>
      <w:r w:rsidR="004A62A7" w:rsidRPr="007B2963">
        <w:rPr>
          <w:rFonts w:cs="Times New Roman"/>
        </w:rPr>
        <w:t>)</w:t>
      </w:r>
      <w:r w:rsidR="00723ABA" w:rsidRPr="007B2963">
        <w:rPr>
          <w:rFonts w:cs="Times New Roman"/>
        </w:rPr>
        <w:t xml:space="preserve"> Google Earth Engine: p</w:t>
      </w:r>
      <w:r w:rsidRPr="007B2963">
        <w:rPr>
          <w:rFonts w:cs="Times New Roman"/>
        </w:rPr>
        <w:t xml:space="preserve">lanetary-scale geospatial analysis for everyone. </w:t>
      </w:r>
      <w:r w:rsidRPr="007B2963">
        <w:rPr>
          <w:rFonts w:cs="Times New Roman"/>
          <w:i/>
          <w:iCs/>
        </w:rPr>
        <w:t>Remote Sensing of Environment</w:t>
      </w:r>
      <w:r w:rsidRPr="007B2963">
        <w:rPr>
          <w:rFonts w:cs="Times New Roman"/>
        </w:rPr>
        <w:t xml:space="preserve">, </w:t>
      </w:r>
      <w:r w:rsidRPr="007B2963">
        <w:rPr>
          <w:rFonts w:cs="Times New Roman"/>
          <w:iCs/>
        </w:rPr>
        <w:t>202</w:t>
      </w:r>
      <w:r w:rsidRPr="007B2963">
        <w:rPr>
          <w:rFonts w:cs="Times New Roman"/>
        </w:rPr>
        <w:t xml:space="preserve">, 18–27. </w:t>
      </w:r>
    </w:p>
    <w:p w14:paraId="43EDF83A" w14:textId="123F64D0" w:rsidR="00816D20" w:rsidRPr="007B2963" w:rsidRDefault="006153EB">
      <w:pPr>
        <w:spacing w:line="276" w:lineRule="auto"/>
        <w:ind w:left="283" w:hanging="283"/>
        <w:rPr>
          <w:rFonts w:cs="Times New Roman"/>
        </w:rPr>
      </w:pPr>
      <w:r w:rsidRPr="007B2963">
        <w:rPr>
          <w:rFonts w:cs="Times New Roman"/>
          <w:smallCaps/>
        </w:rPr>
        <w:t>Hijmans, R.J.</w:t>
      </w:r>
      <w:r w:rsidR="00916365" w:rsidRPr="007B2963">
        <w:rPr>
          <w:rFonts w:cs="Times New Roman"/>
          <w:smallCaps/>
        </w:rPr>
        <w:t xml:space="preserve"> &amp; van Etten,</w:t>
      </w:r>
      <w:r w:rsidR="00916365" w:rsidRPr="007B2963">
        <w:rPr>
          <w:rFonts w:cs="Times New Roman"/>
        </w:rPr>
        <w:t xml:space="preserve"> J. (2012</w:t>
      </w:r>
      <w:r w:rsidR="004A62A7" w:rsidRPr="007B2963">
        <w:rPr>
          <w:rFonts w:cs="Times New Roman"/>
        </w:rPr>
        <w:t>)</w:t>
      </w:r>
      <w:r w:rsidR="00916365" w:rsidRPr="007B2963">
        <w:rPr>
          <w:rFonts w:cs="Times New Roman"/>
        </w:rPr>
        <w:t xml:space="preserve"> </w:t>
      </w:r>
      <w:r w:rsidR="00916365" w:rsidRPr="007B2963">
        <w:rPr>
          <w:rFonts w:cs="Times New Roman"/>
          <w:i/>
        </w:rPr>
        <w:t>raster</w:t>
      </w:r>
      <w:r w:rsidR="00916365" w:rsidRPr="007B2963">
        <w:rPr>
          <w:rFonts w:cs="Times New Roman"/>
        </w:rPr>
        <w:t xml:space="preserve">: Geographic analysis and modeling with raster data. </w:t>
      </w:r>
      <w:r w:rsidR="00916365" w:rsidRPr="007B2963">
        <w:rPr>
          <w:rFonts w:cs="Times New Roman"/>
          <w:i/>
        </w:rPr>
        <w:t xml:space="preserve">R </w:t>
      </w:r>
      <w:r w:rsidR="00916365" w:rsidRPr="007B2963">
        <w:rPr>
          <w:rFonts w:cs="Times New Roman"/>
        </w:rPr>
        <w:t>package version 2.0–12.</w:t>
      </w:r>
      <w:r w:rsidR="004861DB" w:rsidRPr="007B2963">
        <w:rPr>
          <w:rFonts w:cs="Times New Roman"/>
        </w:rPr>
        <w:t xml:space="preserve"> </w:t>
      </w:r>
      <w:hyperlink r:id="rId10" w:history="1">
        <w:r w:rsidR="004861DB" w:rsidRPr="007B2963">
          <w:rPr>
            <w:rStyle w:val="Hyperlink"/>
          </w:rPr>
          <w:t>cran.r-project.org/web/packages/raster/index.html</w:t>
        </w:r>
      </w:hyperlink>
      <w:r w:rsidR="004861DB" w:rsidRPr="007B2963">
        <w:t xml:space="preserve"> [accessed March 2020].</w:t>
      </w:r>
    </w:p>
    <w:p w14:paraId="1B589068" w14:textId="278746A9" w:rsidR="00816D20" w:rsidRPr="007B2963" w:rsidRDefault="00916365">
      <w:pPr>
        <w:spacing w:line="276" w:lineRule="auto"/>
        <w:ind w:left="283" w:hanging="283"/>
        <w:rPr>
          <w:rFonts w:cs="Times New Roman"/>
        </w:rPr>
      </w:pPr>
      <w:r w:rsidRPr="007B2963">
        <w:rPr>
          <w:rFonts w:cs="Times New Roman"/>
        </w:rPr>
        <w:t>MacDicken, K., Jonsson, Ö., Piña, L., Maulo, S., Contessa, V., Adikari, Y., … D’Annunzio, R. (2016</w:t>
      </w:r>
      <w:r w:rsidR="004A62A7" w:rsidRPr="007B2963">
        <w:rPr>
          <w:rFonts w:cs="Times New Roman"/>
        </w:rPr>
        <w:t>)</w:t>
      </w:r>
      <w:r w:rsidRPr="007B2963">
        <w:rPr>
          <w:rFonts w:cs="Times New Roman"/>
        </w:rPr>
        <w:t xml:space="preserve"> </w:t>
      </w:r>
      <w:r w:rsidRPr="007B2963">
        <w:rPr>
          <w:rFonts w:cs="Times New Roman"/>
          <w:i/>
        </w:rPr>
        <w:t>Global For</w:t>
      </w:r>
      <w:r w:rsidR="00C07E76" w:rsidRPr="007B2963">
        <w:rPr>
          <w:rFonts w:cs="Times New Roman"/>
          <w:i/>
        </w:rPr>
        <w:t>est Resources Assessment 2015: How are the World’s Forests C</w:t>
      </w:r>
      <w:r w:rsidRPr="007B2963">
        <w:rPr>
          <w:rFonts w:cs="Times New Roman"/>
          <w:i/>
        </w:rPr>
        <w:t>hanging?</w:t>
      </w:r>
      <w:r w:rsidR="00DA2240" w:rsidRPr="007B2963">
        <w:rPr>
          <w:rFonts w:cs="Times New Roman"/>
        </w:rPr>
        <w:t xml:space="preserve"> Food and Agriculture Organisation of the United Nations, </w:t>
      </w:r>
      <w:r w:rsidR="00C07E76" w:rsidRPr="007B2963">
        <w:rPr>
          <w:rFonts w:cs="Times New Roman"/>
        </w:rPr>
        <w:t>Rome, Italy.</w:t>
      </w:r>
    </w:p>
    <w:p w14:paraId="2FA89643" w14:textId="391AE121" w:rsidR="00816D20" w:rsidRPr="007B2963" w:rsidRDefault="00916365">
      <w:pPr>
        <w:spacing w:line="276" w:lineRule="auto"/>
        <w:ind w:left="283" w:hanging="283"/>
      </w:pPr>
      <w:r w:rsidRPr="00AB494B">
        <w:rPr>
          <w:rFonts w:cs="Times New Roman"/>
          <w:smallCaps/>
        </w:rPr>
        <w:t>Pakenham</w:t>
      </w:r>
      <w:r w:rsidR="00AB494B">
        <w:rPr>
          <w:rFonts w:cs="Times New Roman"/>
        </w:rPr>
        <w:t>,</w:t>
      </w:r>
      <w:r w:rsidRPr="00AB494B">
        <w:rPr>
          <w:rFonts w:cs="Times New Roman"/>
        </w:rPr>
        <w:t xml:space="preserve"> </w:t>
      </w:r>
      <w:r w:rsidRPr="007B2963">
        <w:rPr>
          <w:rFonts w:cs="Times New Roman"/>
        </w:rPr>
        <w:t>R.H.W. (1947</w:t>
      </w:r>
      <w:r w:rsidR="004A62A7" w:rsidRPr="007B2963">
        <w:rPr>
          <w:rFonts w:cs="Times New Roman"/>
        </w:rPr>
        <w:t>)</w:t>
      </w:r>
      <w:r w:rsidRPr="007B2963">
        <w:rPr>
          <w:rFonts w:cs="Times New Roman"/>
        </w:rPr>
        <w:t xml:space="preserve"> </w:t>
      </w:r>
      <w:r w:rsidRPr="00AB494B">
        <w:rPr>
          <w:rFonts w:cs="Times New Roman"/>
          <w:i/>
        </w:rPr>
        <w:t>Land Tenure among the Wahadimu at Chwaka, Zanzibar Island</w:t>
      </w:r>
      <w:r w:rsidRPr="007B2963">
        <w:rPr>
          <w:rFonts w:cs="Times New Roman"/>
        </w:rPr>
        <w:t xml:space="preserve">. </w:t>
      </w:r>
      <w:r w:rsidRPr="00AB494B">
        <w:rPr>
          <w:rFonts w:cs="Times New Roman"/>
        </w:rPr>
        <w:t>The Government Printer, Zanzib</w:t>
      </w:r>
      <w:r w:rsidRPr="007B2963">
        <w:rPr>
          <w:rFonts w:cs="Times New Roman"/>
        </w:rPr>
        <w:t>ar Protectorate.</w:t>
      </w:r>
    </w:p>
    <w:p w14:paraId="20556C5B" w14:textId="77777777" w:rsidR="009078BD" w:rsidRPr="007B2963" w:rsidRDefault="009078BD" w:rsidP="009078BD">
      <w:pPr>
        <w:spacing w:line="276" w:lineRule="auto"/>
        <w:ind w:left="283" w:hanging="283"/>
        <w:rPr>
          <w:rFonts w:cs="Times New Roman"/>
        </w:rPr>
      </w:pPr>
      <w:r w:rsidRPr="007B2963">
        <w:rPr>
          <w:rFonts w:cs="Times New Roman"/>
          <w:smallCaps/>
        </w:rPr>
        <w:t xml:space="preserve">QGIS Development Team </w:t>
      </w:r>
      <w:r w:rsidRPr="007B2963">
        <w:rPr>
          <w:rFonts w:cs="Times New Roman"/>
        </w:rPr>
        <w:t xml:space="preserve">(2018) </w:t>
      </w:r>
      <w:r w:rsidRPr="007B2963">
        <w:rPr>
          <w:rFonts w:cs="Times New Roman"/>
          <w:i/>
        </w:rPr>
        <w:t>QGIS Geographic Information System.</w:t>
      </w:r>
      <w:r w:rsidRPr="007B2963">
        <w:rPr>
          <w:rFonts w:cs="Times New Roman"/>
        </w:rPr>
        <w:t xml:space="preserve"> Open Source Geospatial Foundation Project. </w:t>
      </w:r>
      <w:hyperlink r:id="rId11" w:history="1">
        <w:r w:rsidRPr="007B2963">
          <w:rPr>
            <w:rStyle w:val="Hyperlink"/>
          </w:rPr>
          <w:t>qgis.org/en/site</w:t>
        </w:r>
      </w:hyperlink>
      <w:r w:rsidRPr="007B2963">
        <w:t xml:space="preserve"> [accessed March 2020].</w:t>
      </w:r>
    </w:p>
    <w:p w14:paraId="71994FD2" w14:textId="0876DC35" w:rsidR="00816D20" w:rsidRPr="007B2963" w:rsidRDefault="00916365">
      <w:pPr>
        <w:spacing w:line="276" w:lineRule="auto"/>
        <w:ind w:left="283" w:hanging="283"/>
        <w:rPr>
          <w:rFonts w:cs="Times New Roman"/>
        </w:rPr>
      </w:pPr>
      <w:r w:rsidRPr="007B2963">
        <w:rPr>
          <w:rFonts w:cs="Times New Roman"/>
          <w:smallCaps/>
        </w:rPr>
        <w:t>R</w:t>
      </w:r>
      <w:r w:rsidR="004A62A7" w:rsidRPr="007B2963">
        <w:rPr>
          <w:rFonts w:cs="Times New Roman"/>
          <w:smallCaps/>
        </w:rPr>
        <w:t>S</w:t>
      </w:r>
      <w:r w:rsidR="009078BD" w:rsidRPr="007B2963">
        <w:rPr>
          <w:rFonts w:cs="Times New Roman"/>
          <w:smallCaps/>
        </w:rPr>
        <w:t>tudio</w:t>
      </w:r>
      <w:r w:rsidR="004A62A7" w:rsidRPr="007B2963">
        <w:rPr>
          <w:rFonts w:cs="Times New Roman"/>
          <w:smallCaps/>
        </w:rPr>
        <w:t xml:space="preserve"> T</w:t>
      </w:r>
      <w:r w:rsidR="009078BD" w:rsidRPr="007B2963">
        <w:rPr>
          <w:rFonts w:cs="Times New Roman"/>
          <w:smallCaps/>
        </w:rPr>
        <w:t>eam</w:t>
      </w:r>
      <w:r w:rsidRPr="007B2963">
        <w:rPr>
          <w:rFonts w:cs="Times New Roman"/>
        </w:rPr>
        <w:t xml:space="preserve"> (2015</w:t>
      </w:r>
      <w:r w:rsidR="004A62A7" w:rsidRPr="007B2963">
        <w:rPr>
          <w:rFonts w:cs="Times New Roman"/>
        </w:rPr>
        <w:t>)</w:t>
      </w:r>
      <w:r w:rsidRPr="007B2963">
        <w:rPr>
          <w:rFonts w:cs="Times New Roman"/>
        </w:rPr>
        <w:t xml:space="preserve"> </w:t>
      </w:r>
      <w:r w:rsidRPr="007B2963">
        <w:rPr>
          <w:rFonts w:cs="Times New Roman"/>
          <w:i/>
        </w:rPr>
        <w:t xml:space="preserve">RStudio: Integrated Development for R. </w:t>
      </w:r>
      <w:r w:rsidRPr="007B2963">
        <w:rPr>
          <w:rFonts w:cs="Times New Roman"/>
        </w:rPr>
        <w:t>RStudio, Inc</w:t>
      </w:r>
      <w:r w:rsidR="006153EB" w:rsidRPr="007B2963">
        <w:rPr>
          <w:rFonts w:cs="Times New Roman"/>
        </w:rPr>
        <w:t>, Boston, USA</w:t>
      </w:r>
      <w:r w:rsidRPr="007B2963">
        <w:rPr>
          <w:rFonts w:cs="Times New Roman"/>
        </w:rPr>
        <w:t xml:space="preserve">. </w:t>
      </w:r>
      <w:hyperlink r:id="rId12" w:history="1">
        <w:r w:rsidR="00F46C39" w:rsidRPr="007B2963">
          <w:rPr>
            <w:rStyle w:val="Hyperlink"/>
            <w:rFonts w:cs="Times New Roman"/>
          </w:rPr>
          <w:t>rstudio.com</w:t>
        </w:r>
      </w:hyperlink>
      <w:r w:rsidR="004A62A7" w:rsidRPr="007B2963">
        <w:rPr>
          <w:rFonts w:cs="Times New Roman"/>
        </w:rPr>
        <w:t xml:space="preserve"> [accessed 30 October 2019]</w:t>
      </w:r>
      <w:r w:rsidR="00F46C39" w:rsidRPr="007B2963">
        <w:rPr>
          <w:rFonts w:cs="Times New Roman"/>
        </w:rPr>
        <w:t>.</w:t>
      </w:r>
    </w:p>
    <w:p w14:paraId="21981012" w14:textId="1A2FF0CB" w:rsidR="00816D20" w:rsidRPr="007B2963" w:rsidRDefault="00916365">
      <w:pPr>
        <w:spacing w:line="276" w:lineRule="auto"/>
        <w:ind w:left="283" w:hanging="283"/>
        <w:rPr>
          <w:rFonts w:cs="Times New Roman"/>
        </w:rPr>
      </w:pPr>
      <w:r w:rsidRPr="007B2963">
        <w:rPr>
          <w:rFonts w:cs="Times New Roman"/>
          <w:smallCaps/>
        </w:rPr>
        <w:t>Shao</w:t>
      </w:r>
      <w:r w:rsidR="009078BD" w:rsidRPr="007B2963">
        <w:rPr>
          <w:rFonts w:cs="Times New Roman"/>
          <w:smallCaps/>
        </w:rPr>
        <w:t>,</w:t>
      </w:r>
      <w:r w:rsidRPr="007B2963">
        <w:rPr>
          <w:rFonts w:cs="Times New Roman"/>
        </w:rPr>
        <w:t xml:space="preserve"> I.F. (1992</w:t>
      </w:r>
      <w:r w:rsidR="004A62A7" w:rsidRPr="007B2963">
        <w:rPr>
          <w:rFonts w:cs="Times New Roman"/>
        </w:rPr>
        <w:t>)</w:t>
      </w:r>
      <w:r w:rsidRPr="007B2963">
        <w:rPr>
          <w:rFonts w:cs="Times New Roman"/>
        </w:rPr>
        <w:t xml:space="preserve"> The Political Economy of Land Reforms in Zanzibar: Before and After the Revolution. University of Dar es Salaam Press, Dar es Salaam</w:t>
      </w:r>
      <w:r w:rsidR="00F40937">
        <w:rPr>
          <w:rFonts w:cs="Times New Roman"/>
        </w:rPr>
        <w:t>, Tanzania</w:t>
      </w:r>
      <w:r w:rsidRPr="007B2963">
        <w:rPr>
          <w:rFonts w:cs="Times New Roman"/>
        </w:rPr>
        <w:t>.</w:t>
      </w:r>
    </w:p>
    <w:p w14:paraId="61AD41DA" w14:textId="0F97A654" w:rsidR="00816D20" w:rsidRPr="007B2963" w:rsidRDefault="00916365" w:rsidP="004D5CB4">
      <w:pPr>
        <w:spacing w:line="276" w:lineRule="auto"/>
        <w:ind w:left="283" w:hanging="283"/>
        <w:rPr>
          <w:rFonts w:cs="Times New Roman"/>
        </w:rPr>
      </w:pPr>
      <w:r w:rsidRPr="007B2963">
        <w:rPr>
          <w:rFonts w:cs="Times New Roman"/>
          <w:smallCaps/>
        </w:rPr>
        <w:t>Siex</w:t>
      </w:r>
      <w:r w:rsidR="009078BD" w:rsidRPr="007B2963">
        <w:rPr>
          <w:rFonts w:cs="Times New Roman"/>
        </w:rPr>
        <w:t>,</w:t>
      </w:r>
      <w:r w:rsidRPr="007B2963">
        <w:rPr>
          <w:rFonts w:cs="Times New Roman"/>
        </w:rPr>
        <w:t xml:space="preserve"> K.S. (2011</w:t>
      </w:r>
      <w:r w:rsidR="004A62A7" w:rsidRPr="007B2963">
        <w:rPr>
          <w:rFonts w:cs="Times New Roman"/>
        </w:rPr>
        <w:t>)</w:t>
      </w:r>
      <w:r w:rsidRPr="007B2963">
        <w:rPr>
          <w:rFonts w:cs="Times New Roman"/>
        </w:rPr>
        <w:t xml:space="preserve"> </w:t>
      </w:r>
      <w:r w:rsidRPr="004D5CB4">
        <w:rPr>
          <w:rFonts w:cs="Times New Roman"/>
          <w:i/>
        </w:rPr>
        <w:t>Protected Area Spatial Planning for Unguja and Pemba Islands, Zanzibar.</w:t>
      </w:r>
      <w:r w:rsidR="00F40937">
        <w:rPr>
          <w:rFonts w:cs="Times New Roman"/>
        </w:rPr>
        <w:t xml:space="preserve"> </w:t>
      </w:r>
      <w:r w:rsidR="004D5CB4">
        <w:rPr>
          <w:rFonts w:cs="Times New Roman"/>
        </w:rPr>
        <w:t>Final Consultancy Report submitted to World Wide Fund for Nature</w:t>
      </w:r>
      <w:r w:rsidR="004D5CB4" w:rsidRPr="004D5CB4">
        <w:rPr>
          <w:rFonts w:cs="Times New Roman"/>
        </w:rPr>
        <w:t xml:space="preserve"> (WWF)</w:t>
      </w:r>
      <w:r w:rsidR="004D5CB4">
        <w:rPr>
          <w:rFonts w:cs="Times New Roman"/>
        </w:rPr>
        <w:t xml:space="preserve"> from Wildlife Conservation Society (WCS), New York, USA.</w:t>
      </w:r>
    </w:p>
    <w:p w14:paraId="4EC434B1" w14:textId="4F47439F" w:rsidR="00816D20" w:rsidRPr="007B2963" w:rsidRDefault="00916365">
      <w:pPr>
        <w:spacing w:line="276" w:lineRule="auto"/>
        <w:ind w:left="283" w:hanging="283"/>
      </w:pPr>
      <w:r w:rsidRPr="007B2963">
        <w:rPr>
          <w:rFonts w:cs="Times New Roman"/>
          <w:smallCaps/>
        </w:rPr>
        <w:t>Stehman</w:t>
      </w:r>
      <w:r w:rsidRPr="007B2963">
        <w:rPr>
          <w:rFonts w:cs="Times New Roman"/>
        </w:rPr>
        <w:t>, S.V. (1997</w:t>
      </w:r>
      <w:r w:rsidR="004A62A7" w:rsidRPr="007B2963">
        <w:rPr>
          <w:rFonts w:cs="Times New Roman"/>
        </w:rPr>
        <w:t>)</w:t>
      </w:r>
      <w:r w:rsidRPr="007B2963">
        <w:rPr>
          <w:rFonts w:cs="Times New Roman"/>
        </w:rPr>
        <w:t xml:space="preserve"> Selecting and interpreting measures of thematic classification accuracy. </w:t>
      </w:r>
      <w:r w:rsidRPr="007B2963">
        <w:rPr>
          <w:rFonts w:cs="Times New Roman"/>
          <w:i/>
          <w:iCs/>
        </w:rPr>
        <w:t>Remote Sensing of Environment</w:t>
      </w:r>
      <w:r w:rsidRPr="007B2963">
        <w:rPr>
          <w:rFonts w:cs="Times New Roman"/>
        </w:rPr>
        <w:t xml:space="preserve">, </w:t>
      </w:r>
      <w:r w:rsidRPr="007B2963">
        <w:rPr>
          <w:rFonts w:cs="Times New Roman"/>
          <w:iCs/>
        </w:rPr>
        <w:t>62</w:t>
      </w:r>
      <w:r w:rsidRPr="007B2963">
        <w:rPr>
          <w:rFonts w:cs="Times New Roman"/>
        </w:rPr>
        <w:t>, 77–89.</w:t>
      </w:r>
    </w:p>
    <w:p w14:paraId="4F27E9B7" w14:textId="77777777" w:rsidR="00816D20" w:rsidRPr="007B2963" w:rsidRDefault="00816D20">
      <w:pPr>
        <w:spacing w:line="276" w:lineRule="auto"/>
        <w:rPr>
          <w:rStyle w:val="Surname"/>
          <w:b/>
          <w:smallCaps/>
          <w:color w:val="000000"/>
          <w:sz w:val="24"/>
        </w:rPr>
      </w:pPr>
    </w:p>
    <w:sectPr w:rsidR="00816D20" w:rsidRPr="007B2963">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1EFF8" w14:textId="77777777" w:rsidR="00D37E73" w:rsidRDefault="00D37E73" w:rsidP="00916365">
      <w:r>
        <w:separator/>
      </w:r>
    </w:p>
  </w:endnote>
  <w:endnote w:type="continuationSeparator" w:id="0">
    <w:p w14:paraId="284FF1EC" w14:textId="77777777" w:rsidR="00D37E73" w:rsidRDefault="00D37E73" w:rsidP="0091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FE25B" w14:textId="77777777" w:rsidR="00D37E73" w:rsidRDefault="00D37E73" w:rsidP="00916365">
      <w:r>
        <w:separator/>
      </w:r>
    </w:p>
  </w:footnote>
  <w:footnote w:type="continuationSeparator" w:id="0">
    <w:p w14:paraId="463BE76A" w14:textId="77777777" w:rsidR="00D37E73" w:rsidRDefault="00D37E73" w:rsidP="00916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20"/>
    <w:rsid w:val="001A1DFF"/>
    <w:rsid w:val="00222448"/>
    <w:rsid w:val="003E26CD"/>
    <w:rsid w:val="004861DB"/>
    <w:rsid w:val="004A04AB"/>
    <w:rsid w:val="004A62A7"/>
    <w:rsid w:val="004D5CB4"/>
    <w:rsid w:val="00535856"/>
    <w:rsid w:val="006153EB"/>
    <w:rsid w:val="006376CA"/>
    <w:rsid w:val="00660470"/>
    <w:rsid w:val="006A0DBB"/>
    <w:rsid w:val="00723ABA"/>
    <w:rsid w:val="00754A6A"/>
    <w:rsid w:val="007B2963"/>
    <w:rsid w:val="00816D20"/>
    <w:rsid w:val="009078BD"/>
    <w:rsid w:val="00916365"/>
    <w:rsid w:val="00916EFD"/>
    <w:rsid w:val="00924C94"/>
    <w:rsid w:val="009D1456"/>
    <w:rsid w:val="00A119F9"/>
    <w:rsid w:val="00AB494B"/>
    <w:rsid w:val="00AD746A"/>
    <w:rsid w:val="00B40573"/>
    <w:rsid w:val="00C07E76"/>
    <w:rsid w:val="00C32F38"/>
    <w:rsid w:val="00C5035E"/>
    <w:rsid w:val="00C604F4"/>
    <w:rsid w:val="00D37E73"/>
    <w:rsid w:val="00D626C0"/>
    <w:rsid w:val="00DA2240"/>
    <w:rsid w:val="00DC613B"/>
    <w:rsid w:val="00F40937"/>
    <w:rsid w:val="00F46C39"/>
    <w:rsid w:val="00F83422"/>
    <w:rsid w:val="00FD2759"/>
    <w:rsid w:val="00FE3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731EC"/>
  <w15:docId w15:val="{D78266AD-7426-4BB9-B07A-42FE405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oto Serif CJK SC" w:hAnsi="Times New Roman" w:cs="Lohit Devanagari"/>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name">
    <w:name w:val="Firstname"/>
    <w:qFormat/>
    <w:rPr>
      <w:rFonts w:ascii="Times New Roman" w:hAnsi="Times New Roman" w:cs="Times New Roman"/>
      <w:color w:val="0000FF"/>
      <w:sz w:val="20"/>
    </w:rPr>
  </w:style>
  <w:style w:type="character" w:customStyle="1" w:styleId="Delim">
    <w:name w:val="Delim"/>
    <w:qFormat/>
    <w:rPr>
      <w:color w:val="FF0000"/>
    </w:rPr>
  </w:style>
  <w:style w:type="character" w:customStyle="1" w:styleId="Surname">
    <w:name w:val="Surname"/>
    <w:qFormat/>
    <w:rPr>
      <w:rFonts w:ascii="Times New Roman" w:hAnsi="Times New Roman" w:cs="Times New Roman"/>
      <w:color w:val="FF00FF"/>
      <w:sz w:val="20"/>
    </w:rPr>
  </w:style>
  <w:style w:type="character" w:customStyle="1" w:styleId="Afflink">
    <w:name w:val="Afflink"/>
    <w:qFormat/>
    <w:rPr>
      <w:strike w:val="0"/>
      <w:dstrike w:val="0"/>
      <w:color w:val="FF0000"/>
      <w:highlight w:val="lightGray"/>
      <w:vertAlign w:val="superscript"/>
    </w:rPr>
  </w:style>
  <w:style w:type="character" w:customStyle="1" w:styleId="Label">
    <w:name w:val="Label"/>
    <w:qFormat/>
    <w:rPr>
      <w:color w:val="FF0000"/>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Keywords">
    <w:name w:val="Keywords"/>
    <w:next w:val="Normal"/>
    <w:qFormat/>
    <w:pPr>
      <w:spacing w:before="60" w:after="60"/>
    </w:pPr>
    <w:rPr>
      <w:rFonts w:eastAsia="Times New Roman" w:cs="Times New Roman"/>
      <w:sz w:val="20"/>
      <w:lang w:val="en-US" w:bidi="ar-SA"/>
    </w:rPr>
  </w:style>
  <w:style w:type="paragraph" w:customStyle="1" w:styleId="AuthorGroup">
    <w:name w:val="AuthorGroup"/>
    <w:basedOn w:val="Keywords"/>
    <w:qFormat/>
  </w:style>
  <w:style w:type="paragraph" w:customStyle="1" w:styleId="ArticleTitle">
    <w:name w:val="ArticleTitle"/>
    <w:basedOn w:val="Normal"/>
    <w:qFormat/>
    <w:pPr>
      <w:spacing w:line="480" w:lineRule="auto"/>
      <w:jc w:val="center"/>
    </w:pPr>
    <w:rPr>
      <w:bCs/>
    </w:rPr>
  </w:style>
  <w:style w:type="paragraph" w:styleId="ListParagraph">
    <w:name w:val="List Paragraph"/>
    <w:basedOn w:val="Normal"/>
    <w:qFormat/>
    <w:pPr>
      <w:ind w:left="720"/>
      <w:contextualSpacing/>
    </w:pPr>
  </w:style>
  <w:style w:type="paragraph" w:customStyle="1" w:styleId="Default">
    <w:name w:val="Default"/>
    <w:qFormat/>
    <w:rPr>
      <w:rFonts w:ascii="Maiandra GD" w:hAnsi="Maiandra GD" w:cs="Maiandra GD"/>
      <w:color w:val="000000"/>
      <w:lang w:val="en-US"/>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4A6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studi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gis.org/en/site/" TargetMode="External"/><Relationship Id="rId5" Type="http://schemas.openxmlformats.org/officeDocument/2006/relationships/settings" Target="settings.xml"/><Relationship Id="rId10" Type="http://schemas.openxmlformats.org/officeDocument/2006/relationships/hyperlink" Target="https://cran.r-project.org/web/packages/raster/index.html" TargetMode="External"/><Relationship Id="rId4" Type="http://schemas.openxmlformats.org/officeDocument/2006/relationships/styles" Target="styles.xml"/><Relationship Id="rId9" Type="http://schemas.openxmlformats.org/officeDocument/2006/relationships/hyperlink" Target="https://gad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19CA6EF94DFB48B57A30137595E123" ma:contentTypeVersion="10" ma:contentTypeDescription="Create a new document." ma:contentTypeScope="" ma:versionID="e218ad25df93a9d86ca32899ef200998">
  <xsd:schema xmlns:xsd="http://www.w3.org/2001/XMLSchema" xmlns:xs="http://www.w3.org/2001/XMLSchema" xmlns:p="http://schemas.microsoft.com/office/2006/metadata/properties" xmlns:ns3="51a29dac-0252-4b1d-a7a6-a315e956eb82" targetNamespace="http://schemas.microsoft.com/office/2006/metadata/properties" ma:root="true" ma:fieldsID="47465c47c7d830283a10cabbda1b8789" ns3:_="">
    <xsd:import namespace="51a29dac-0252-4b1d-a7a6-a315e956eb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29dac-0252-4b1d-a7a6-a315e956e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3847A-774E-4C42-B71F-5A6C82F82899}">
  <ds:schemaRefs>
    <ds:schemaRef ds:uri="http://schemas.microsoft.com/sharepoint/v3/contenttype/forms"/>
  </ds:schemaRefs>
</ds:datastoreItem>
</file>

<file path=customXml/itemProps2.xml><?xml version="1.0" encoding="utf-8"?>
<ds:datastoreItem xmlns:ds="http://schemas.openxmlformats.org/officeDocument/2006/customXml" ds:itemID="{B8265617-6B6F-4AE8-80F9-3BADA5FA6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5DFBC-B1BF-4334-A9D8-F3AC1F96A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29dac-0252-4b1d-a7a6-a315e956e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Caro</dc:creator>
  <dc:description/>
  <cp:lastModifiedBy>Julia Hochbach</cp:lastModifiedBy>
  <cp:revision>4</cp:revision>
  <dcterms:created xsi:type="dcterms:W3CDTF">2020-03-03T11:51:00Z</dcterms:created>
  <dcterms:modified xsi:type="dcterms:W3CDTF">2020-03-30T17:41:00Z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0x0101005519CA6EF94DFB48B57A30137595E123</vt:lpwstr>
  </property>
</Properties>
</file>