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D7" w:rsidRDefault="00A42FD7" w:rsidP="00A42FD7">
      <w:pPr>
        <w:pStyle w:val="ArticleTitle"/>
        <w:spacing w:line="240" w:lineRule="auto"/>
        <w:jc w:val="left"/>
      </w:pPr>
      <w:r>
        <w:rPr>
          <w:b/>
          <w:sz w:val="24"/>
        </w:rPr>
        <w:t>Maintaining standing stones benefits biodiversity in lowland heathland</w:t>
      </w:r>
    </w:p>
    <w:p w:rsidR="00A42FD7" w:rsidRDefault="00A42FD7" w:rsidP="00A42FD7">
      <w:pPr>
        <w:pStyle w:val="AuthorGroup"/>
        <w:jc w:val="right"/>
      </w:pPr>
      <w:r>
        <w:rPr>
          <w:rStyle w:val="Firstname"/>
          <w:color w:val="00000A"/>
          <w:sz w:val="24"/>
          <w:lang w:val="en-GB"/>
        </w:rPr>
        <w:t>E</w:t>
      </w:r>
      <w:r>
        <w:rPr>
          <w:rStyle w:val="Firstname"/>
          <w:smallCaps/>
          <w:color w:val="00000A"/>
          <w:sz w:val="24"/>
          <w:lang w:val="en-GB"/>
        </w:rPr>
        <w:t>mma</w:t>
      </w:r>
      <w:r>
        <w:rPr>
          <w:rStyle w:val="Delim"/>
          <w:color w:val="00000A"/>
          <w:sz w:val="24"/>
          <w:lang w:val="en-GB"/>
        </w:rPr>
        <w:t xml:space="preserve"> </w:t>
      </w:r>
      <w:r>
        <w:rPr>
          <w:rStyle w:val="Surname"/>
          <w:color w:val="00000A"/>
          <w:sz w:val="24"/>
          <w:lang w:val="en-GB"/>
        </w:rPr>
        <w:t>S</w:t>
      </w:r>
      <w:r>
        <w:rPr>
          <w:rStyle w:val="Surname"/>
          <w:smallCaps/>
          <w:color w:val="00000A"/>
          <w:sz w:val="24"/>
          <w:lang w:val="en-GB"/>
        </w:rPr>
        <w:t>hepheard</w:t>
      </w:r>
      <w:r>
        <w:rPr>
          <w:rStyle w:val="Surname"/>
          <w:color w:val="00000A"/>
          <w:sz w:val="24"/>
          <w:lang w:val="en-GB"/>
        </w:rPr>
        <w:t>-</w:t>
      </w:r>
      <w:proofErr w:type="spellStart"/>
      <w:r>
        <w:rPr>
          <w:rStyle w:val="Surname"/>
          <w:color w:val="00000A"/>
          <w:sz w:val="24"/>
          <w:lang w:val="en-GB"/>
        </w:rPr>
        <w:t>W</w:t>
      </w:r>
      <w:r>
        <w:rPr>
          <w:rStyle w:val="Surname"/>
          <w:smallCaps/>
          <w:color w:val="00000A"/>
          <w:sz w:val="24"/>
          <w:lang w:val="en-GB"/>
        </w:rPr>
        <w:t>alwyn</w:t>
      </w:r>
      <w:proofErr w:type="spellEnd"/>
      <w:r>
        <w:rPr>
          <w:rStyle w:val="Delim"/>
          <w:color w:val="00000A"/>
          <w:sz w:val="24"/>
          <w:lang w:val="en-GB"/>
        </w:rPr>
        <w:t xml:space="preserve"> and </w:t>
      </w:r>
      <w:proofErr w:type="spellStart"/>
      <w:r>
        <w:rPr>
          <w:rStyle w:val="Firstname"/>
          <w:color w:val="00000A"/>
          <w:sz w:val="24"/>
          <w:lang w:val="en-GB"/>
        </w:rPr>
        <w:t>S</w:t>
      </w:r>
      <w:r>
        <w:rPr>
          <w:rStyle w:val="Firstname"/>
          <w:smallCaps/>
          <w:color w:val="00000A"/>
          <w:sz w:val="24"/>
          <w:lang w:val="en-GB"/>
        </w:rPr>
        <w:t>honil</w:t>
      </w:r>
      <w:proofErr w:type="spellEnd"/>
      <w:r>
        <w:rPr>
          <w:rStyle w:val="Firstname"/>
          <w:color w:val="00000A"/>
          <w:sz w:val="24"/>
          <w:lang w:val="en-GB"/>
        </w:rPr>
        <w:t xml:space="preserve"> A.</w:t>
      </w:r>
      <w:r>
        <w:rPr>
          <w:rStyle w:val="Delim"/>
          <w:color w:val="00000A"/>
          <w:sz w:val="24"/>
          <w:lang w:val="en-GB"/>
        </w:rPr>
        <w:t xml:space="preserve"> </w:t>
      </w:r>
      <w:r>
        <w:rPr>
          <w:rStyle w:val="Surname"/>
          <w:color w:val="00000A"/>
          <w:sz w:val="24"/>
          <w:lang w:val="en-GB"/>
        </w:rPr>
        <w:t>B</w:t>
      </w:r>
      <w:r>
        <w:rPr>
          <w:rStyle w:val="Surname"/>
          <w:smallCaps/>
          <w:color w:val="00000A"/>
          <w:sz w:val="24"/>
          <w:lang w:val="en-GB"/>
        </w:rPr>
        <w:t>hagwat</w:t>
      </w:r>
    </w:p>
    <w:p w:rsidR="00A42FD7" w:rsidRDefault="00A42FD7"/>
    <w:p w:rsidR="00A42FD7" w:rsidRPr="00A42FD7" w:rsidRDefault="00A42FD7">
      <w:pPr>
        <w:rPr>
          <w:rFonts w:ascii="Times New Roman" w:hAnsi="Times New Roman"/>
          <w:sz w:val="24"/>
          <w:szCs w:val="24"/>
        </w:rPr>
      </w:pPr>
      <w:r w:rsidRPr="00A42FD7">
        <w:rPr>
          <w:rFonts w:ascii="Times New Roman" w:hAnsi="Times New Roman"/>
          <w:smallCaps/>
          <w:sz w:val="24"/>
          <w:szCs w:val="24"/>
        </w:rPr>
        <w:t>Supplementary Table</w:t>
      </w:r>
      <w:r w:rsidRPr="00A42FD7">
        <w:rPr>
          <w:rFonts w:ascii="Times New Roman" w:hAnsi="Times New Roman"/>
          <w:sz w:val="24"/>
          <w:szCs w:val="24"/>
        </w:rPr>
        <w:t xml:space="preserve"> 1: </w:t>
      </w:r>
      <w:r>
        <w:rPr>
          <w:rFonts w:ascii="Times New Roman" w:hAnsi="Times New Roman"/>
          <w:sz w:val="24"/>
          <w:szCs w:val="24"/>
        </w:rPr>
        <w:t>H</w:t>
      </w:r>
      <w:r w:rsidRPr="00A42FD7">
        <w:rPr>
          <w:rFonts w:ascii="Times New Roman" w:hAnsi="Times New Roman"/>
          <w:sz w:val="24"/>
          <w:szCs w:val="24"/>
        </w:rPr>
        <w:t xml:space="preserve">eathland species in the UK which have habitat requirements that are provided by the existence of </w:t>
      </w:r>
      <w:r w:rsidR="00821EB7">
        <w:rPr>
          <w:rFonts w:ascii="Times New Roman" w:hAnsi="Times New Roman"/>
          <w:sz w:val="24"/>
          <w:szCs w:val="24"/>
        </w:rPr>
        <w:t>N</w:t>
      </w:r>
      <w:r w:rsidR="00821EB7" w:rsidRPr="00A42FD7">
        <w:rPr>
          <w:rFonts w:ascii="Times New Roman" w:hAnsi="Times New Roman"/>
          <w:sz w:val="24"/>
          <w:szCs w:val="24"/>
        </w:rPr>
        <w:t>eolithic</w:t>
      </w:r>
      <w:r w:rsidRPr="00A42FD7">
        <w:rPr>
          <w:rFonts w:ascii="Times New Roman" w:hAnsi="Times New Roman"/>
          <w:sz w:val="24"/>
          <w:szCs w:val="24"/>
        </w:rPr>
        <w:t xml:space="preserve"> </w:t>
      </w:r>
      <w:r w:rsidR="00821EB7">
        <w:rPr>
          <w:rFonts w:ascii="Times New Roman" w:hAnsi="Times New Roman"/>
          <w:sz w:val="24"/>
          <w:szCs w:val="24"/>
        </w:rPr>
        <w:t>s</w:t>
      </w:r>
      <w:r w:rsidRPr="00A42FD7">
        <w:rPr>
          <w:rFonts w:ascii="Times New Roman" w:hAnsi="Times New Roman"/>
          <w:sz w:val="24"/>
          <w:szCs w:val="24"/>
        </w:rPr>
        <w:t xml:space="preserve">acred </w:t>
      </w:r>
      <w:r w:rsidR="00821EB7">
        <w:rPr>
          <w:rFonts w:ascii="Times New Roman" w:hAnsi="Times New Roman"/>
          <w:sz w:val="24"/>
          <w:szCs w:val="24"/>
        </w:rPr>
        <w:t>s</w:t>
      </w:r>
      <w:r w:rsidRPr="00A42FD7">
        <w:rPr>
          <w:rFonts w:ascii="Times New Roman" w:hAnsi="Times New Roman"/>
          <w:sz w:val="24"/>
          <w:szCs w:val="24"/>
        </w:rPr>
        <w:t>ites that occur within the heathland matrix in Cornwall, UK. This information indicates that the sacred monuments</w:t>
      </w:r>
      <w:r w:rsidR="005F23BC">
        <w:rPr>
          <w:rFonts w:ascii="Times New Roman" w:hAnsi="Times New Roman"/>
          <w:sz w:val="24"/>
          <w:szCs w:val="24"/>
        </w:rPr>
        <w:t xml:space="preserve">, </w:t>
      </w:r>
      <w:r w:rsidR="005F23BC" w:rsidRPr="00133F7D">
        <w:rPr>
          <w:rFonts w:ascii="Times New Roman" w:hAnsi="Times New Roman"/>
          <w:sz w:val="24"/>
          <w:szCs w:val="24"/>
        </w:rPr>
        <w:t>and their maintenance/use,</w:t>
      </w:r>
      <w:r w:rsidRPr="00A42FD7">
        <w:rPr>
          <w:rFonts w:ascii="Times New Roman" w:hAnsi="Times New Roman"/>
          <w:sz w:val="24"/>
          <w:szCs w:val="24"/>
        </w:rPr>
        <w:t xml:space="preserve"> provide habitat types which are not typically found within mature heathland, and therefore provide benefit to biodiversity within the lowland heathland matrix in Cornwall, UK. (ARKIVE, 2016; Arc Trust, 2016; Butterfly Conservation, 2016; Devon County Council, 2016; Pembrokeshire County Council, 2016; RSPB, 2016; Robinson, 2017).</w:t>
      </w:r>
    </w:p>
    <w:tbl>
      <w:tblPr>
        <w:tblW w:w="5261" w:type="pct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27"/>
      </w:tblGrid>
      <w:tr w:rsidR="00A27E4C" w:rsidRPr="00885420" w:rsidTr="00A27E4C">
        <w:trPr>
          <w:trHeight w:val="255"/>
        </w:trPr>
        <w:tc>
          <w:tcPr>
            <w:tcW w:w="20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Habitat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r</w:t>
            </w:r>
            <w:r w:rsidRPr="00B41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equirements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p</w:t>
            </w:r>
            <w:r w:rsidRPr="00B41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rovided by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Neolithic sacred sites</w:t>
            </w:r>
          </w:p>
        </w:tc>
      </w:tr>
      <w:tr w:rsidR="00A27E4C" w:rsidRPr="00885420" w:rsidTr="00A27E4C">
        <w:trPr>
          <w:trHeight w:val="60"/>
        </w:trPr>
        <w:tc>
          <w:tcPr>
            <w:tcW w:w="209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7E4C" w:rsidRPr="00A23B91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A23B9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Birds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27E4C" w:rsidRPr="00885420" w:rsidTr="00A27E4C">
        <w:trPr>
          <w:trHeight w:val="60"/>
        </w:trPr>
        <w:tc>
          <w:tcPr>
            <w:tcW w:w="2090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A27E4C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Nightjar</w:t>
            </w:r>
            <w:r w:rsidRPr="00A23B9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23B9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Caprimulgus</w:t>
            </w:r>
            <w:proofErr w:type="spellEnd"/>
            <w:r w:rsidRPr="00A23B9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23B9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europaeus</w:t>
            </w:r>
            <w:proofErr w:type="spellEnd"/>
          </w:p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pct"/>
            <w:tcBorders>
              <w:top w:val="nil"/>
              <w:left w:val="nil"/>
            </w:tcBorders>
            <w:shd w:val="clear" w:color="auto" w:fill="auto"/>
            <w:hideMark/>
          </w:tcPr>
          <w:p w:rsidR="00A27E4C" w:rsidRPr="00B410DF" w:rsidRDefault="00A27E4C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Open ground;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ow, sparse vegetation;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atches of bare ground;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ravely or sandy soils</w:t>
            </w:r>
          </w:p>
        </w:tc>
      </w:tr>
      <w:tr w:rsidR="00A27E4C" w:rsidRPr="00885420" w:rsidTr="00A27E4C">
        <w:trPr>
          <w:trHeight w:val="161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382C88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Red-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acked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hrike</w:t>
            </w:r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Lanius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collurio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Open ground</w:t>
            </w:r>
          </w:p>
        </w:tc>
      </w:tr>
      <w:tr w:rsidR="00A27E4C" w:rsidRPr="00885420" w:rsidTr="00A27E4C">
        <w:trPr>
          <w:trHeight w:val="7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Skylark</w:t>
            </w:r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Alauda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arvensis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A23B91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Short vegetation;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atches of bare ground</w:t>
            </w:r>
          </w:p>
        </w:tc>
      </w:tr>
      <w:tr w:rsidR="00A27E4C" w:rsidRPr="00885420" w:rsidTr="00A27E4C">
        <w:trPr>
          <w:trHeight w:val="203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Stone 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curlew</w:t>
            </w:r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Burhinus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oedicnemus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A23B91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Semi-natural grassland;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rass heaths;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tony ground;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hort or patchy vegetation;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ry, open places</w:t>
            </w:r>
          </w:p>
        </w:tc>
      </w:tr>
      <w:tr w:rsidR="00A27E4C" w:rsidRPr="00885420" w:rsidTr="00A27E4C">
        <w:trPr>
          <w:trHeight w:val="8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382C88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Tree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ipit</w:t>
            </w:r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Anthus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trivialis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A23B91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Patchy areas,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ow canopy, grass and bracken </w:t>
            </w:r>
          </w:p>
        </w:tc>
      </w:tr>
      <w:tr w:rsidR="00A27E4C" w:rsidRPr="00885420" w:rsidTr="00A27E4C">
        <w:trPr>
          <w:trHeight w:val="77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Woodlark</w:t>
            </w:r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Lullula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arborea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Bare ground;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ery short vegetation;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reas of long grass</w:t>
            </w:r>
          </w:p>
        </w:tc>
      </w:tr>
      <w:tr w:rsidR="00A27E4C" w:rsidRPr="00885420" w:rsidTr="00A27E4C">
        <w:trPr>
          <w:trHeight w:val="399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</w:tcPr>
          <w:p w:rsidR="00A27E4C" w:rsidRPr="00A23B91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A23B9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Herptiles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27E4C" w:rsidRPr="00885420" w:rsidTr="00A27E4C">
        <w:trPr>
          <w:trHeight w:val="399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Adder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Vipera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berus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Sunny glades or slopes;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pen areas in direct sunlight;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arm sites under cover;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ow vegetation cover;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egetation cover and open areas in close proximity to each other </w:t>
            </w:r>
          </w:p>
        </w:tc>
      </w:tr>
      <w:tr w:rsidR="00A27E4C" w:rsidRPr="00885420" w:rsidTr="00A27E4C">
        <w:trPr>
          <w:trHeight w:val="383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382C88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Common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izard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Zootoca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vivipara</w:t>
            </w:r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Sunny glades or slopes;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pen areas in direct sunlight;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arm sites under cover;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ow vegetation cover;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egetation cover and open areas in close proximity to each other</w:t>
            </w:r>
          </w:p>
        </w:tc>
      </w:tr>
      <w:tr w:rsidR="00A27E4C" w:rsidRPr="00885420" w:rsidTr="00A27E4C">
        <w:trPr>
          <w:trHeight w:val="69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Common toad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Bufo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bufo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Rough grasslands</w:t>
            </w:r>
          </w:p>
        </w:tc>
      </w:tr>
      <w:tr w:rsidR="00A27E4C" w:rsidRPr="00885420" w:rsidTr="00A27E4C">
        <w:trPr>
          <w:trHeight w:val="129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Grass snake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Natrix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natrix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Areas with sunshine;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helter;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ough grassland</w:t>
            </w:r>
          </w:p>
        </w:tc>
      </w:tr>
      <w:tr w:rsidR="00A27E4C" w:rsidRPr="00885420" w:rsidTr="00A27E4C">
        <w:trPr>
          <w:trHeight w:val="189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Great crested newt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Triturus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cristatus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Ditches with permanent stagnant water;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vailability of refuges</w:t>
            </w:r>
          </w:p>
        </w:tc>
      </w:tr>
      <w:tr w:rsidR="00A27E4C" w:rsidRPr="00885420" w:rsidTr="00A27E4C">
        <w:trPr>
          <w:trHeight w:val="153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Natterjack</w:t>
            </w:r>
            <w:proofErr w:type="spellEnd"/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toad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Epidalea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calamita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Open and unshaded light sandy soils;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eaps of stones;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egetation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ebris </w:t>
            </w:r>
          </w:p>
        </w:tc>
      </w:tr>
      <w:tr w:rsidR="00A27E4C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Pool frog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Pelophylax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lessonae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Ditches;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an occur in slightly modified </w:t>
            </w:r>
            <w:r w:rsidR="009A07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habitats</w:t>
            </w:r>
            <w:bookmarkStart w:id="0" w:name="_GoBack"/>
            <w:bookmarkEnd w:id="0"/>
          </w:p>
        </w:tc>
      </w:tr>
      <w:tr w:rsidR="00A27E4C" w:rsidRPr="00885420" w:rsidTr="00A27E4C">
        <w:trPr>
          <w:trHeight w:val="60"/>
        </w:trPr>
        <w:tc>
          <w:tcPr>
            <w:tcW w:w="2090" w:type="pct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B410D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Sand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izard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Lacerta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agilis</w:t>
            </w:r>
            <w:proofErr w:type="spellEnd"/>
          </w:p>
        </w:tc>
        <w:tc>
          <w:tcPr>
            <w:tcW w:w="2910" w:type="pct"/>
            <w:tcBorders>
              <w:left w:val="nil"/>
              <w:bottom w:val="nil"/>
            </w:tcBorders>
            <w:shd w:val="clear" w:color="auto" w:fill="auto"/>
            <w:hideMark/>
          </w:tcPr>
          <w:p w:rsidR="00A27E4C" w:rsidRPr="00B410DF" w:rsidRDefault="00A27E4C" w:rsidP="006C5AF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 variety of structural and temperature conditions required</w:t>
            </w:r>
          </w:p>
        </w:tc>
      </w:tr>
      <w:tr w:rsidR="00A27E4C" w:rsidRPr="00885420" w:rsidTr="00A27E4C">
        <w:trPr>
          <w:trHeight w:val="60"/>
        </w:trPr>
        <w:tc>
          <w:tcPr>
            <w:tcW w:w="2090" w:type="pct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B410D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worm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Anguis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fragilis</w:t>
            </w:r>
            <w:proofErr w:type="spellEnd"/>
          </w:p>
        </w:tc>
        <w:tc>
          <w:tcPr>
            <w:tcW w:w="2910" w:type="pct"/>
            <w:tcBorders>
              <w:left w:val="nil"/>
              <w:bottom w:val="nil"/>
            </w:tcBorders>
            <w:shd w:val="clear" w:color="auto" w:fill="auto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Open habitats;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tones</w:t>
            </w:r>
          </w:p>
        </w:tc>
      </w:tr>
      <w:tr w:rsidR="00A27E4C" w:rsidRPr="00885420" w:rsidTr="00A27E4C">
        <w:trPr>
          <w:trHeight w:val="60"/>
        </w:trPr>
        <w:tc>
          <w:tcPr>
            <w:tcW w:w="2090" w:type="pct"/>
            <w:tcBorders>
              <w:top w:val="nil"/>
              <w:right w:val="nil"/>
            </w:tcBorders>
            <w:shd w:val="clear" w:color="auto" w:fill="auto"/>
            <w:noWrap/>
          </w:tcPr>
          <w:p w:rsidR="00A27E4C" w:rsidRPr="00A23B91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A23B9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Insects</w:t>
            </w:r>
          </w:p>
        </w:tc>
        <w:tc>
          <w:tcPr>
            <w:tcW w:w="2910" w:type="pct"/>
            <w:tcBorders>
              <w:top w:val="nil"/>
              <w:left w:val="nil"/>
            </w:tcBorders>
            <w:shd w:val="clear" w:color="auto" w:fill="auto"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27E4C" w:rsidRPr="00885420" w:rsidTr="00A27E4C">
        <w:trPr>
          <w:trHeight w:val="60"/>
        </w:trPr>
        <w:tc>
          <w:tcPr>
            <w:tcW w:w="2090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A27E4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Kugelann's</w:t>
            </w:r>
            <w:proofErr w:type="spellEnd"/>
            <w:r w:rsidRPr="00A27E4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round beetle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27E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Poecilus</w:t>
            </w:r>
            <w:proofErr w:type="spellEnd"/>
            <w:r w:rsidRPr="00A27E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27E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kugelanni</w:t>
            </w:r>
            <w:proofErr w:type="spellEnd"/>
          </w:p>
        </w:tc>
        <w:tc>
          <w:tcPr>
            <w:tcW w:w="2910" w:type="pct"/>
            <w:tcBorders>
              <w:top w:val="nil"/>
              <w:left w:val="nil"/>
            </w:tcBorders>
            <w:shd w:val="clear" w:color="auto" w:fill="auto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Sandy or gravelly soil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and wet patches</w:t>
            </w:r>
          </w:p>
        </w:tc>
      </w:tr>
      <w:tr w:rsidR="00A27E4C" w:rsidRPr="00885420" w:rsidTr="00A27E4C">
        <w:trPr>
          <w:trHeight w:val="304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A27E4C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7E4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Early </w:t>
            </w:r>
            <w:proofErr w:type="spellStart"/>
            <w:r w:rsidRPr="00A27E4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Sunshiner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Amara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famelica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Mosaic of vegetation types;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are ground;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reas dominated by mosses and lichens;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ow herbs on disturbed ground;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rasses;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lower-rich areas</w:t>
            </w:r>
          </w:p>
        </w:tc>
      </w:tr>
      <w:tr w:rsidR="00A27E4C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Dark guest ant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Anergates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atratulus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Sparse vegetation cover and short, dry, acidic turf</w:t>
            </w:r>
          </w:p>
        </w:tc>
      </w:tr>
      <w:tr w:rsidR="00A27E4C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Grayling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Hipparchia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semele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Sparse vegetation;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are ground;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pen areas</w:t>
            </w:r>
          </w:p>
        </w:tc>
      </w:tr>
      <w:tr w:rsidR="00A27E4C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Dingy mocha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Cyclophora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pendularia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Open heathland;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amp grassland</w:t>
            </w:r>
          </w:p>
        </w:tc>
      </w:tr>
      <w:tr w:rsidR="00A27E4C" w:rsidRPr="00885420" w:rsidTr="009A070F">
        <w:trPr>
          <w:trHeight w:val="60"/>
        </w:trPr>
        <w:tc>
          <w:tcPr>
            <w:tcW w:w="2090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Galium</w:t>
            </w:r>
            <w:proofErr w:type="spellEnd"/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carpet</w:t>
            </w:r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Epirrhoe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galiata</w:t>
            </w:r>
            <w:proofErr w:type="spellEnd"/>
          </w:p>
        </w:tc>
        <w:tc>
          <w:tcPr>
            <w:tcW w:w="2910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7E4C" w:rsidRPr="00B410DF" w:rsidRDefault="00A27E4C" w:rsidP="00821EB7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Open areas</w:t>
            </w:r>
          </w:p>
        </w:tc>
      </w:tr>
      <w:tr w:rsidR="009A070F" w:rsidRPr="00885420" w:rsidTr="009A070F">
        <w:trPr>
          <w:trHeight w:val="117"/>
        </w:trPr>
        <w:tc>
          <w:tcPr>
            <w:tcW w:w="20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lastRenderedPageBreak/>
              <w:t>Species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Habitat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r</w:t>
            </w:r>
            <w:r w:rsidRPr="00B41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equirements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p</w:t>
            </w:r>
            <w:r w:rsidRPr="00B41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rovided by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Neolithic sacred sites</w:t>
            </w:r>
          </w:p>
        </w:tc>
      </w:tr>
      <w:tr w:rsidR="009A070F" w:rsidRPr="00885420" w:rsidTr="009A070F">
        <w:trPr>
          <w:trHeight w:val="117"/>
        </w:trPr>
        <w:tc>
          <w:tcPr>
            <w:tcW w:w="2090" w:type="pct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9A070F" w:rsidRPr="009A070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9A070F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Insects (continued)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9A070F" w:rsidRPr="00885420" w:rsidTr="00A27E4C">
        <w:trPr>
          <w:trHeight w:val="117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Heath bee-fly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Bombylius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minor</w:t>
            </w:r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Exposed sandy banks and bluffs along the edges of paths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Heath tiger beetle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Cicindela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sylvatica</w:t>
            </w:r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Dry, open and sandy soils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Hornet </w:t>
            </w:r>
            <w:proofErr w:type="spellStart"/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robberfly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Asilus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crabroniformis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Unimproved grassland and heath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Ladybird spider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Eresus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sandaliatus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Sparse heather and lichen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Latticed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eath</w:t>
            </w:r>
            <w:r w:rsidRPr="00B410DF">
              <w:rPr>
                <w:rFonts w:ascii="Times New Roman" w:eastAsia="Times New Roman" w:hAnsi="Times New Roman"/>
                <w:i/>
                <w:iCs/>
                <w:color w:val="211C08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11C08"/>
                <w:sz w:val="20"/>
                <w:szCs w:val="20"/>
                <w:lang w:eastAsia="en-GB"/>
              </w:rPr>
              <w:t>Chiasmia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211C08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11C08"/>
                <w:sz w:val="20"/>
                <w:szCs w:val="20"/>
                <w:lang w:eastAsia="en-GB"/>
              </w:rPr>
              <w:t>clathrata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Edges and clearings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Lunar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y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ellow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Noctua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orbona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nderwing</w:t>
            </w:r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Open grassy sites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Moss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arder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ee</w:t>
            </w:r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Bombus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muscorum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Large areas of open, flower-rich areas</w:t>
            </w:r>
          </w:p>
        </w:tc>
      </w:tr>
      <w:tr w:rsidR="009A070F" w:rsidRPr="00885420" w:rsidTr="00A27E4C">
        <w:trPr>
          <w:trHeight w:val="301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Mottled bee-fly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Thyridanthrax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fenestratus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Open heathland preferably in a matrix of heather of varying age classes;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parse vegetation;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are sand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Narrow-headed ant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Formica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exsecta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Open areas within heathland</w:t>
            </w:r>
          </w:p>
        </w:tc>
      </w:tr>
      <w:tr w:rsidR="009A070F" w:rsidRPr="00885420" w:rsidTr="00A27E4C">
        <w:trPr>
          <w:trHeight w:val="278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Purbeck mason wasp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Pseudepipona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herrichii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Exposed ground</w:t>
            </w:r>
          </w:p>
        </w:tc>
      </w:tr>
      <w:tr w:rsidR="009A070F" w:rsidRPr="00885420" w:rsidTr="00A27E4C">
        <w:trPr>
          <w:trHeight w:val="115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Shrill carder bee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Bombus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sylvarum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Open areas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Silver-studded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lue</w:t>
            </w:r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Plebejus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argus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Short vegetation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Small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eath</w:t>
            </w:r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Coenonympha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pamphilus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Short grazed turf;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andy soils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Speckled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ootman</w:t>
            </w:r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Coscinia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cribraria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Various species of grass</w:t>
            </w:r>
          </w:p>
        </w:tc>
      </w:tr>
      <w:tr w:rsidR="009A070F" w:rsidRPr="00885420" w:rsidTr="00A27E4C">
        <w:trPr>
          <w:trHeight w:val="131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Tormentil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m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ining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bee</w:t>
            </w:r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 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Andrena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eastAsia="en-GB"/>
              </w:rPr>
              <w:t>tarsata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Bare ground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Wart-biter bush cricket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Decticus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verrucivorus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Mosaic of bare ground and short turf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Wood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iger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eetle</w:t>
            </w:r>
            <w:r w:rsidRPr="00B410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410DF">
              <w:rPr>
                <w:rFonts w:ascii="Times New Roman" w:hAnsi="Times New Roman"/>
                <w:i/>
                <w:sz w:val="20"/>
                <w:szCs w:val="20"/>
              </w:rPr>
              <w:t>Cicindela</w:t>
            </w:r>
            <w:proofErr w:type="spellEnd"/>
            <w:r w:rsidRPr="00A23B91">
              <w:rPr>
                <w:rFonts w:ascii="Times New Roman" w:hAnsi="Times New Roman"/>
                <w:i/>
                <w:sz w:val="20"/>
                <w:szCs w:val="20"/>
              </w:rPr>
              <w:t xml:space="preserve"> sylvatica</w:t>
            </w:r>
          </w:p>
        </w:tc>
        <w:tc>
          <w:tcPr>
            <w:tcW w:w="2910" w:type="pct"/>
            <w:tcBorders>
              <w:left w:val="nil"/>
            </w:tcBorders>
            <w:shd w:val="clear" w:color="auto" w:fill="auto"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Bare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round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</w:tcPr>
          <w:p w:rsidR="009A070F" w:rsidRPr="00A23B91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A23B91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Plants</w:t>
            </w:r>
          </w:p>
        </w:tc>
        <w:tc>
          <w:tcPr>
            <w:tcW w:w="2910" w:type="pct"/>
            <w:tcBorders>
              <w:left w:val="nil"/>
            </w:tcBorders>
            <w:shd w:val="clear" w:color="auto" w:fill="auto"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Glandular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yebright</w:t>
            </w:r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Euphrasia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anglica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Grazed habitats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Heath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obelia</w:t>
            </w:r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Lobelia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urens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Grassy heathlands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Lesser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utterfly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rchid</w:t>
            </w:r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Platanthera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bifolia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Heathy pastures, grassland, open scrub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Lesser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moothcap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Atrichum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angustatum</w:t>
            </w:r>
            <w:proofErr w:type="spellEnd"/>
          </w:p>
        </w:tc>
        <w:tc>
          <w:tcPr>
            <w:tcW w:w="2910" w:type="pct"/>
            <w:tcBorders>
              <w:left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Bare, loamy or sandy soils;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eath grassland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Marsh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lubmoss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Lycopodiella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inundata</w:t>
            </w:r>
            <w:proofErr w:type="spellEnd"/>
          </w:p>
        </w:tc>
        <w:tc>
          <w:tcPr>
            <w:tcW w:w="2910" w:type="pct"/>
            <w:tcBorders>
              <w:left w:val="nil"/>
              <w:bottom w:val="nil"/>
            </w:tcBorders>
            <w:shd w:val="clear" w:color="auto" w:fill="auto"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Areas of disturbance</w:t>
            </w:r>
          </w:p>
        </w:tc>
      </w:tr>
      <w:tr w:rsidR="009A070F" w:rsidRPr="00885420" w:rsidTr="00A27E4C">
        <w:trPr>
          <w:trHeight w:val="60"/>
        </w:trPr>
        <w:tc>
          <w:tcPr>
            <w:tcW w:w="2090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Red-tipped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</w:t>
            </w:r>
            <w:r w:rsidRPr="00B410D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udweed</w:t>
            </w:r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Filago</w:t>
            </w:r>
            <w:proofErr w:type="spellEnd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410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lutescens</w:t>
            </w:r>
            <w:proofErr w:type="spellEnd"/>
          </w:p>
        </w:tc>
        <w:tc>
          <w:tcPr>
            <w:tcW w:w="2910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A070F" w:rsidRPr="00B410DF" w:rsidRDefault="009A070F" w:rsidP="009A070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410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Open, sandy or gravelly soil</w:t>
            </w:r>
          </w:p>
        </w:tc>
      </w:tr>
    </w:tbl>
    <w:p w:rsidR="003F33CF" w:rsidRDefault="003F33CF"/>
    <w:sectPr w:rsidR="003F3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D7"/>
    <w:rsid w:val="00133F7D"/>
    <w:rsid w:val="001A6A89"/>
    <w:rsid w:val="00223091"/>
    <w:rsid w:val="00382C88"/>
    <w:rsid w:val="003F33CF"/>
    <w:rsid w:val="005F23BC"/>
    <w:rsid w:val="00821EB7"/>
    <w:rsid w:val="009A070F"/>
    <w:rsid w:val="00A23B91"/>
    <w:rsid w:val="00A27E4C"/>
    <w:rsid w:val="00A42FD7"/>
    <w:rsid w:val="00B410DF"/>
    <w:rsid w:val="00C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3B4A9-257A-4116-B49D-DF3210E5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7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rstname">
    <w:name w:val="Firstname"/>
    <w:qFormat/>
    <w:rsid w:val="00A42FD7"/>
    <w:rPr>
      <w:rFonts w:ascii="Times New Roman" w:hAnsi="Times New Roman"/>
      <w:color w:val="0000FF"/>
      <w:sz w:val="20"/>
    </w:rPr>
  </w:style>
  <w:style w:type="character" w:customStyle="1" w:styleId="Surname">
    <w:name w:val="Surname"/>
    <w:qFormat/>
    <w:rsid w:val="00A42FD7"/>
    <w:rPr>
      <w:rFonts w:ascii="Times New Roman" w:hAnsi="Times New Roman"/>
      <w:color w:val="FF00FF"/>
      <w:sz w:val="20"/>
    </w:rPr>
  </w:style>
  <w:style w:type="character" w:customStyle="1" w:styleId="Delim">
    <w:name w:val="Delim"/>
    <w:qFormat/>
    <w:rsid w:val="00A42FD7"/>
    <w:rPr>
      <w:color w:val="FF0000"/>
    </w:rPr>
  </w:style>
  <w:style w:type="paragraph" w:customStyle="1" w:styleId="ArticleTitle">
    <w:name w:val="ArticleTitle"/>
    <w:basedOn w:val="Normal"/>
    <w:qFormat/>
    <w:rsid w:val="00A42FD7"/>
    <w:pPr>
      <w:spacing w:line="480" w:lineRule="auto"/>
      <w:jc w:val="center"/>
    </w:pPr>
    <w:rPr>
      <w:rFonts w:ascii="Times New Roman" w:eastAsia="Times New Roman" w:hAnsi="Times New Roman"/>
      <w:bCs/>
      <w:sz w:val="20"/>
      <w:szCs w:val="24"/>
      <w:lang w:eastAsia="en-US"/>
    </w:rPr>
  </w:style>
  <w:style w:type="paragraph" w:customStyle="1" w:styleId="AuthorGroup">
    <w:name w:val="AuthorGroup"/>
    <w:basedOn w:val="Normal"/>
    <w:qFormat/>
    <w:rsid w:val="00A42FD7"/>
    <w:pPr>
      <w:spacing w:before="60" w:after="60"/>
    </w:pPr>
    <w:rPr>
      <w:rFonts w:ascii="Times New Roman" w:eastAsia="Times New Roman" w:hAnsi="Times New Roman"/>
      <w:sz w:val="20"/>
      <w:szCs w:val="24"/>
      <w:lang w:val="en-US" w:eastAsia="en-US"/>
    </w:rPr>
  </w:style>
  <w:style w:type="paragraph" w:customStyle="1" w:styleId="RunningAuthor">
    <w:name w:val="RunningAuthor"/>
    <w:basedOn w:val="Normal"/>
    <w:qFormat/>
    <w:rsid w:val="00A42FD7"/>
    <w:rPr>
      <w:rFonts w:ascii="Times New Roman" w:eastAsia="Times New Roman" w:hAnsi="Times New Roman"/>
      <w:color w:val="FF9900"/>
      <w:sz w:val="20"/>
      <w:szCs w:val="24"/>
      <w:lang w:val="en-US" w:eastAsia="en-US"/>
    </w:rPr>
  </w:style>
  <w:style w:type="paragraph" w:customStyle="1" w:styleId="RunningTitle">
    <w:name w:val="RunningTitle"/>
    <w:basedOn w:val="Normal"/>
    <w:qFormat/>
    <w:rsid w:val="00A42FD7"/>
    <w:rPr>
      <w:rFonts w:ascii="Times New Roman" w:eastAsia="Times New Roman" w:hAnsi="Times New Roman"/>
      <w:color w:val="800080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Hochbach</dc:creator>
  <cp:keywords/>
  <dc:description/>
  <cp:lastModifiedBy>Julia Hochbach</cp:lastModifiedBy>
  <cp:revision>3</cp:revision>
  <dcterms:created xsi:type="dcterms:W3CDTF">2018-01-18T10:34:00Z</dcterms:created>
  <dcterms:modified xsi:type="dcterms:W3CDTF">2018-01-18T10:39:00Z</dcterms:modified>
</cp:coreProperties>
</file>