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35" w:rsidRPr="00024135" w:rsidRDefault="00024135" w:rsidP="0033692D">
      <w:pPr>
        <w:pStyle w:val="Thesis"/>
        <w:rPr>
          <w:rFonts w:ascii="Arial" w:hAnsi="Arial" w:cs="Arial"/>
          <w:b/>
          <w:sz w:val="22"/>
          <w:u w:val="single"/>
        </w:rPr>
      </w:pPr>
      <w:r w:rsidRPr="00024135">
        <w:rPr>
          <w:rFonts w:ascii="Arial" w:hAnsi="Arial" w:cs="Arial"/>
          <w:b/>
          <w:sz w:val="22"/>
          <w:u w:val="single"/>
        </w:rPr>
        <w:t>Supplementary Data</w:t>
      </w:r>
    </w:p>
    <w:p w:rsidR="0033692D" w:rsidRPr="0033692D" w:rsidRDefault="0033692D" w:rsidP="0033692D">
      <w:pPr>
        <w:pStyle w:val="Thesis"/>
        <w:rPr>
          <w:rFonts w:ascii="Arial" w:hAnsi="Arial" w:cs="Arial"/>
          <w:sz w:val="20"/>
        </w:rPr>
      </w:pPr>
      <w:proofErr w:type="gramStart"/>
      <w:r w:rsidRPr="000D2ABB">
        <w:rPr>
          <w:rFonts w:ascii="Arial" w:hAnsi="Arial" w:cs="Arial"/>
          <w:b/>
          <w:sz w:val="20"/>
        </w:rPr>
        <w:t>Table 1:</w:t>
      </w:r>
      <w:r w:rsidRPr="0033692D">
        <w:rPr>
          <w:rFonts w:ascii="Arial" w:hAnsi="Arial" w:cs="Arial"/>
          <w:sz w:val="20"/>
        </w:rPr>
        <w:t xml:space="preserve"> </w:t>
      </w:r>
      <w:r w:rsidR="005B0C84">
        <w:rPr>
          <w:rFonts w:ascii="Arial" w:hAnsi="Arial" w:cs="Arial"/>
          <w:sz w:val="20"/>
        </w:rPr>
        <w:t xml:space="preserve">Prospective </w:t>
      </w:r>
      <w:r w:rsidR="00024135">
        <w:rPr>
          <w:rFonts w:ascii="Arial" w:hAnsi="Arial" w:cs="Arial"/>
          <w:sz w:val="20"/>
        </w:rPr>
        <w:t>s</w:t>
      </w:r>
      <w:r w:rsidR="005B0C84">
        <w:rPr>
          <w:rFonts w:ascii="Arial" w:hAnsi="Arial" w:cs="Arial"/>
          <w:sz w:val="20"/>
        </w:rPr>
        <w:t xml:space="preserve">tudies </w:t>
      </w:r>
      <w:r w:rsidR="00024135">
        <w:rPr>
          <w:rFonts w:ascii="Arial" w:hAnsi="Arial" w:cs="Arial"/>
          <w:sz w:val="20"/>
        </w:rPr>
        <w:t>evaluating associations between f</w:t>
      </w:r>
      <w:r w:rsidR="005B0C84">
        <w:rPr>
          <w:rFonts w:ascii="Arial" w:hAnsi="Arial" w:cs="Arial"/>
          <w:sz w:val="20"/>
        </w:rPr>
        <w:t>railty and outcomes after general surgery.</w:t>
      </w:r>
      <w:proofErr w:type="gram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756"/>
        <w:gridCol w:w="3756"/>
        <w:gridCol w:w="4820"/>
      </w:tblGrid>
      <w:tr w:rsidR="00AD7DB3" w:rsidRPr="00A0507F" w:rsidTr="0033692D">
        <w:tc>
          <w:tcPr>
            <w:tcW w:w="1668" w:type="dxa"/>
            <w:tcBorders>
              <w:top w:val="single" w:sz="4" w:space="0" w:color="auto"/>
              <w:bottom w:val="single" w:sz="4" w:space="0" w:color="auto"/>
            </w:tcBorders>
          </w:tcPr>
          <w:p w:rsidR="0033692D" w:rsidRPr="00633046" w:rsidRDefault="0033692D" w:rsidP="00EE148C">
            <w:pPr>
              <w:pStyle w:val="Thesis"/>
              <w:spacing w:line="276" w:lineRule="auto"/>
              <w:rPr>
                <w:rFonts w:ascii="Arial" w:hAnsi="Arial" w:cs="Arial"/>
                <w:b/>
                <w:sz w:val="18"/>
              </w:rPr>
            </w:pPr>
            <w:r w:rsidRPr="00633046">
              <w:rPr>
                <w:rFonts w:ascii="Arial" w:hAnsi="Arial" w:cs="Arial"/>
                <w:b/>
                <w:sz w:val="18"/>
              </w:rPr>
              <w:t xml:space="preserve">Author </w:t>
            </w:r>
            <w:r>
              <w:rPr>
                <w:rFonts w:ascii="Arial" w:hAnsi="Arial" w:cs="Arial"/>
                <w:b/>
                <w:sz w:val="18"/>
              </w:rPr>
              <w:t>and location</w:t>
            </w:r>
          </w:p>
        </w:tc>
        <w:tc>
          <w:tcPr>
            <w:tcW w:w="3756" w:type="dxa"/>
            <w:tcBorders>
              <w:top w:val="single" w:sz="4" w:space="0" w:color="auto"/>
              <w:bottom w:val="single" w:sz="4" w:space="0" w:color="auto"/>
            </w:tcBorders>
          </w:tcPr>
          <w:p w:rsidR="0033692D" w:rsidRPr="00633046" w:rsidRDefault="0033692D" w:rsidP="00EE148C">
            <w:pPr>
              <w:pStyle w:val="Thesis"/>
              <w:spacing w:line="276" w:lineRule="auto"/>
              <w:rPr>
                <w:rFonts w:ascii="Arial" w:hAnsi="Arial" w:cs="Arial"/>
                <w:b/>
                <w:sz w:val="18"/>
              </w:rPr>
            </w:pPr>
            <w:r w:rsidRPr="00633046">
              <w:rPr>
                <w:rFonts w:ascii="Arial" w:hAnsi="Arial" w:cs="Arial"/>
                <w:b/>
                <w:sz w:val="18"/>
              </w:rPr>
              <w:t>Study population</w:t>
            </w:r>
          </w:p>
        </w:tc>
        <w:tc>
          <w:tcPr>
            <w:tcW w:w="3756" w:type="dxa"/>
            <w:tcBorders>
              <w:top w:val="single" w:sz="4" w:space="0" w:color="auto"/>
              <w:bottom w:val="single" w:sz="4" w:space="0" w:color="auto"/>
            </w:tcBorders>
          </w:tcPr>
          <w:p w:rsidR="0033692D" w:rsidRPr="00633046" w:rsidRDefault="0033692D" w:rsidP="009F38A4">
            <w:pPr>
              <w:pStyle w:val="Thesis"/>
              <w:spacing w:line="276" w:lineRule="auto"/>
              <w:rPr>
                <w:rFonts w:ascii="Arial" w:hAnsi="Arial" w:cs="Arial"/>
                <w:b/>
                <w:sz w:val="18"/>
              </w:rPr>
            </w:pPr>
            <w:r>
              <w:rPr>
                <w:rFonts w:ascii="Arial" w:hAnsi="Arial" w:cs="Arial"/>
                <w:b/>
                <w:sz w:val="18"/>
              </w:rPr>
              <w:t>Frailty Measure</w:t>
            </w:r>
            <w:r w:rsidR="009F38A4">
              <w:rPr>
                <w:rFonts w:ascii="Arial" w:hAnsi="Arial" w:cs="Arial"/>
                <w:b/>
                <w:sz w:val="18"/>
              </w:rPr>
              <w:t xml:space="preserve"> Used</w:t>
            </w:r>
          </w:p>
        </w:tc>
        <w:tc>
          <w:tcPr>
            <w:tcW w:w="4820" w:type="dxa"/>
            <w:tcBorders>
              <w:top w:val="single" w:sz="4" w:space="0" w:color="auto"/>
              <w:bottom w:val="single" w:sz="4" w:space="0" w:color="auto"/>
            </w:tcBorders>
          </w:tcPr>
          <w:p w:rsidR="0033692D" w:rsidRPr="00633046" w:rsidRDefault="00CA7A29" w:rsidP="00EE148C">
            <w:pPr>
              <w:pStyle w:val="Thesis"/>
              <w:spacing w:line="276" w:lineRule="auto"/>
              <w:rPr>
                <w:rFonts w:ascii="Arial" w:hAnsi="Arial" w:cs="Arial"/>
                <w:b/>
                <w:sz w:val="18"/>
              </w:rPr>
            </w:pPr>
            <w:r>
              <w:rPr>
                <w:rFonts w:ascii="Arial" w:hAnsi="Arial" w:cs="Arial"/>
                <w:b/>
                <w:sz w:val="18"/>
              </w:rPr>
              <w:t xml:space="preserve">Association of Frailty with Surgical </w:t>
            </w:r>
            <w:r w:rsidR="0033692D" w:rsidRPr="00633046">
              <w:rPr>
                <w:rFonts w:ascii="Arial" w:hAnsi="Arial" w:cs="Arial"/>
                <w:b/>
                <w:sz w:val="18"/>
              </w:rPr>
              <w:t xml:space="preserve">Outcome </w:t>
            </w:r>
          </w:p>
        </w:tc>
      </w:tr>
      <w:tr w:rsidR="00AD7DB3" w:rsidRPr="00A0507F" w:rsidTr="0033692D">
        <w:tc>
          <w:tcPr>
            <w:tcW w:w="1668" w:type="dxa"/>
          </w:tcPr>
          <w:p w:rsidR="0033692D" w:rsidRPr="00B95A0B" w:rsidRDefault="006641A0" w:rsidP="00EE148C">
            <w:pPr>
              <w:pStyle w:val="Thesis"/>
              <w:spacing w:line="276" w:lineRule="auto"/>
              <w:rPr>
                <w:rFonts w:ascii="Arial" w:hAnsi="Arial" w:cs="Arial"/>
                <w:sz w:val="18"/>
                <w:lang w:val="fr-FR"/>
              </w:rPr>
            </w:pPr>
            <w:r w:rsidRPr="00B95A0B">
              <w:rPr>
                <w:rFonts w:ascii="Arial" w:hAnsi="Arial" w:cs="Arial"/>
                <w:sz w:val="18"/>
                <w:lang w:val="fr-FR"/>
              </w:rPr>
              <w:t>*</w:t>
            </w:r>
            <w:r w:rsidR="0033692D" w:rsidRPr="00B95A0B">
              <w:rPr>
                <w:rFonts w:ascii="Arial" w:hAnsi="Arial" w:cs="Arial"/>
                <w:sz w:val="18"/>
                <w:lang w:val="fr-FR"/>
              </w:rPr>
              <w:t>Robinson et al, 2009</w:t>
            </w:r>
            <w:r w:rsidR="0033692D" w:rsidRPr="00633046">
              <w:rPr>
                <w:rFonts w:ascii="Arial" w:hAnsi="Arial" w:cs="Arial"/>
                <w:sz w:val="18"/>
              </w:rPr>
              <w:fldChar w:fldCharType="begin" w:fldLock="1"/>
            </w:r>
            <w:r w:rsidR="00AD7DB3">
              <w:rPr>
                <w:rFonts w:ascii="Arial" w:hAnsi="Arial" w:cs="Arial"/>
                <w:sz w:val="18"/>
                <w:lang w:val="fr-FR"/>
              </w:rPr>
              <w:instrText>ADDIN CSL_CITATION { "citationItems" : [ { "id" : "ITEM-1", "itemData" : { "DOI" : "10.1097/SLA.0b013e3181b45598", "ISSN" : "1528-1140", "PMID" : "19730176", "abstract" : "OBJECTIVES: (1) Determine the relationship of geriatric assessment markers to 6-month postoperative mortality in elderly patients. (2) Create a clinical prediction rule using geriatric markers from preoperative assessment.\n\nBACKGROUND: Geriatric surgery patients have unique physiologic vulnerability requiring preoperative assessment beyond the traditional evaluation of older adults. The constellation of frailty, disability and comorbidity predict poor outcomes in elderly hospitalized patients.\n\nMETHODS: Prospectively, subjects &gt; or =65 years undergoing a major operation requiring postoperative intensive care unit admission were enrolled. Preoperative geriatric assessments included: Mini-Cog Test (cognition), albumin, having fallen in the past 6-months, hematocrit, Katz Score (function), and Charlson Index (comorbidities). Outcome measures included 6-month mortality (primary) and postdischarge institutionalization (secondary).\n\nRESULTS: One hundred ten subjects (age 74 +/- 6 years) were studied. Six-month mortality was 15% (16/110). Preoperative markers related to 6-month mortality included: impaired cognition (P &lt; 0.01), recent falls (P &lt; 0.01), lower albumin (P &lt; 0.01), greater anemia (P &lt; 0.01), functional dependence (P &lt; 0.01), and increased comorbidities (P &lt; 0.01). Similar statistical relationships were found for all 6 markers and postdischarge institutionalization. Logistic regression identified any functional dependence (odds ratio 13.9) as the strongest predictor of 6-month mortality. Four or more markers in any one patient predicted 6-month mortality with a sensitivity of 81% (13/16) and specificity of 86% (81/94).\n\nCONCLUSIONS: Geriatric assessment markers for frailty, disability and comorbidity predict 6-month postoperative mortality and postdischarge institutionalization. The preoperative presence of &gt; or =4 geriatric-specific markers has high sensitivity and specificity for 6-month mortality. Preoperative assessment using geriatric-specific markers is a substantial paradigm shift from the traditional preoperative evaluation of older adults.", "author" : [ { "dropping-particle" : "", "family" : "Robinson", "given" : "Thomas N", "non-dropping-particle" : "", "parse-names" : false, "suffix" : "" }, { "dropping-particle" : "", "family" : "Eiseman", "given" : "Ben", "non-dropping-particle" : "", "parse-names" : false, "suffix" : "" }, { "dropping-particle" : "", "family" : "Wallace", "given" : "Jeffrey I", "non-dropping-particle" : "", "parse-names" : false, "suffix" : "" }, { "dropping-particle" : "", "family" : "Church", "given" : "Skotti D", "non-dropping-particle" : "", "parse-names" : false, "suffix" : "" }, { "dropping-particle" : "", "family" : "McFann", "given" : "Kim K", "non-dropping-particle" : "", "parse-names" : false, "suffix" : "" }, { "dropping-particle" : "", "family" : "Pfister", "given" : "Shirley M", "non-dropping-particle" : "", "parse-names" : false, "suffix" : "" }, { "dropping-particle" : "", "family" : "Sharp", "given" : "Terra J", "non-dropping-particle" : "", "parse-names" : false, "suffix" : "" }, { "dropping-particle" : "", "family" : "Moss", "given" : "Marc", "non-dropping-particle" : "", "parse-names" : false, "suffix" : "" } ], "container-title" : "Annals of surgery", "id" : "ITEM-1", "issue" : "3", "issued" : { "date-parts" : [ [ "2009", "9" ] ] }, "page" : "449-55", "title" : "Redefining geriatric preoperative assessment using frailty, disability and co-morbidity.", "type" : "article-journal", "volume" : "250" }, "uris" : [ "http://www.mendeley.com/documents/?uuid=beff6648-5fe5-45e8-91e9-e5b6bd141dbf" ] } ], "mendeley" : { "previouslyFormattedCitation" : "&lt;sup&gt;(1)&lt;/sup&gt;" }, "properties" : { "noteIndex" : 0 }, "schema" : "https://github.com/citation-style-language/schema/raw/master/csl-citation.json" }</w:instrText>
            </w:r>
            <w:r w:rsidR="0033692D" w:rsidRPr="00633046">
              <w:rPr>
                <w:rFonts w:ascii="Arial" w:hAnsi="Arial" w:cs="Arial"/>
                <w:sz w:val="18"/>
              </w:rPr>
              <w:fldChar w:fldCharType="separate"/>
            </w:r>
            <w:r w:rsidR="00AD7DB3" w:rsidRPr="00AD7DB3">
              <w:rPr>
                <w:rFonts w:ascii="Arial" w:hAnsi="Arial" w:cs="Arial"/>
                <w:noProof/>
                <w:sz w:val="18"/>
                <w:vertAlign w:val="superscript"/>
                <w:lang w:val="fr-FR"/>
              </w:rPr>
              <w:t>(1</w:t>
            </w:r>
            <w:bookmarkStart w:id="0" w:name="_GoBack"/>
            <w:bookmarkEnd w:id="0"/>
            <w:r w:rsidR="00AD7DB3" w:rsidRPr="00AD7DB3">
              <w:rPr>
                <w:rFonts w:ascii="Arial" w:hAnsi="Arial" w:cs="Arial"/>
                <w:noProof/>
                <w:sz w:val="18"/>
                <w:vertAlign w:val="superscript"/>
                <w:lang w:val="fr-FR"/>
              </w:rPr>
              <w:t>)</w:t>
            </w:r>
            <w:r w:rsidR="0033692D" w:rsidRPr="00633046">
              <w:rPr>
                <w:rFonts w:ascii="Arial" w:hAnsi="Arial" w:cs="Arial"/>
                <w:sz w:val="18"/>
              </w:rPr>
              <w:fldChar w:fldCharType="end"/>
            </w:r>
          </w:p>
          <w:p w:rsidR="0033692D" w:rsidRPr="00B95A0B" w:rsidRDefault="0033692D" w:rsidP="00EE148C">
            <w:pPr>
              <w:pStyle w:val="Thesis"/>
              <w:spacing w:line="276" w:lineRule="auto"/>
              <w:rPr>
                <w:rFonts w:ascii="Arial" w:hAnsi="Arial" w:cs="Arial"/>
                <w:sz w:val="18"/>
                <w:lang w:val="fr-FR"/>
              </w:rPr>
            </w:pPr>
          </w:p>
          <w:p w:rsidR="0033692D" w:rsidRPr="00B95A0B" w:rsidRDefault="0033692D" w:rsidP="00EE148C">
            <w:pPr>
              <w:pStyle w:val="Thesis"/>
              <w:spacing w:line="276" w:lineRule="auto"/>
              <w:rPr>
                <w:rFonts w:ascii="Arial" w:hAnsi="Arial" w:cs="Arial"/>
                <w:sz w:val="18"/>
                <w:lang w:val="fr-FR"/>
              </w:rPr>
            </w:pPr>
            <w:r w:rsidRPr="00B95A0B">
              <w:rPr>
                <w:rFonts w:ascii="Arial" w:hAnsi="Arial" w:cs="Arial"/>
                <w:sz w:val="18"/>
                <w:lang w:val="fr-FR"/>
              </w:rPr>
              <w:t>USA</w:t>
            </w:r>
          </w:p>
        </w:tc>
        <w:tc>
          <w:tcPr>
            <w:tcW w:w="3756" w:type="dxa"/>
          </w:tcPr>
          <w:p w:rsidR="0033692D" w:rsidRDefault="0033692D" w:rsidP="00EE148C">
            <w:pPr>
              <w:pStyle w:val="Thesis"/>
              <w:spacing w:line="276" w:lineRule="auto"/>
              <w:rPr>
                <w:rFonts w:ascii="Arial" w:hAnsi="Arial" w:cs="Arial"/>
                <w:sz w:val="18"/>
              </w:rPr>
            </w:pPr>
            <w:r w:rsidRPr="00633046">
              <w:rPr>
                <w:rFonts w:ascii="Arial" w:hAnsi="Arial" w:cs="Arial"/>
                <w:sz w:val="18"/>
              </w:rPr>
              <w:t xml:space="preserve">110 patients undergoing major elective </w:t>
            </w:r>
            <w:r w:rsidR="001D13EC">
              <w:rPr>
                <w:rFonts w:ascii="Arial" w:hAnsi="Arial" w:cs="Arial"/>
                <w:sz w:val="18"/>
              </w:rPr>
              <w:t>colorectal or cardiac surgery.</w:t>
            </w:r>
            <w:r w:rsidRPr="00633046">
              <w:rPr>
                <w:rFonts w:ascii="Arial" w:hAnsi="Arial" w:cs="Arial"/>
                <w:sz w:val="18"/>
              </w:rPr>
              <w:t xml:space="preserve">  </w:t>
            </w:r>
          </w:p>
          <w:p w:rsidR="001D13EC" w:rsidRDefault="001D13EC" w:rsidP="00EE148C">
            <w:pPr>
              <w:pStyle w:val="Thesis"/>
              <w:spacing w:line="276" w:lineRule="auto"/>
              <w:rPr>
                <w:rFonts w:ascii="Arial" w:hAnsi="Arial" w:cs="Arial"/>
                <w:sz w:val="18"/>
              </w:rPr>
            </w:pPr>
          </w:p>
          <w:p w:rsidR="0033692D" w:rsidRPr="00633046" w:rsidRDefault="001D13EC" w:rsidP="00EE148C">
            <w:pPr>
              <w:pStyle w:val="Thesis"/>
              <w:spacing w:line="276" w:lineRule="auto"/>
              <w:rPr>
                <w:rFonts w:ascii="Arial" w:hAnsi="Arial" w:cs="Arial"/>
                <w:sz w:val="18"/>
              </w:rPr>
            </w:pPr>
            <w:r w:rsidRPr="00633046">
              <w:rPr>
                <w:rFonts w:ascii="Arial" w:hAnsi="Arial" w:cs="Arial"/>
                <w:sz w:val="18"/>
              </w:rPr>
              <w:t>Age</w:t>
            </w:r>
            <w:r>
              <w:rPr>
                <w:rFonts w:ascii="Arial" w:hAnsi="Arial" w:cs="Arial"/>
                <w:sz w:val="18"/>
              </w:rPr>
              <w:t xml:space="preserve"> group:</w:t>
            </w:r>
            <w:r w:rsidRPr="00633046">
              <w:rPr>
                <w:rFonts w:ascii="Arial" w:hAnsi="Arial" w:cs="Arial"/>
                <w:sz w:val="18"/>
              </w:rPr>
              <w:t xml:space="preserve"> </w:t>
            </w:r>
            <w:r w:rsidRPr="00633046">
              <w:rPr>
                <w:rFonts w:ascii="Arial" w:hAnsi="Arial" w:cs="Arial"/>
                <w:sz w:val="18"/>
                <w:u w:val="single"/>
              </w:rPr>
              <w:t>&gt;</w:t>
            </w:r>
            <w:r w:rsidRPr="00633046">
              <w:rPr>
                <w:rFonts w:ascii="Arial" w:hAnsi="Arial" w:cs="Arial"/>
                <w:sz w:val="18"/>
              </w:rPr>
              <w:t>65 years</w:t>
            </w:r>
            <w:r>
              <w:rPr>
                <w:rFonts w:ascii="Arial" w:hAnsi="Arial" w:cs="Arial"/>
                <w:sz w:val="18"/>
              </w:rPr>
              <w:t xml:space="preserve">; </w:t>
            </w:r>
            <w:r w:rsidR="0033692D">
              <w:rPr>
                <w:rFonts w:ascii="Arial" w:hAnsi="Arial" w:cs="Arial"/>
                <w:sz w:val="18"/>
              </w:rPr>
              <w:t>95% men</w:t>
            </w:r>
          </w:p>
        </w:tc>
        <w:tc>
          <w:tcPr>
            <w:tcW w:w="3756" w:type="dxa"/>
          </w:tcPr>
          <w:p w:rsidR="0033692D" w:rsidRPr="00633046" w:rsidRDefault="0033692D" w:rsidP="00EE148C">
            <w:pPr>
              <w:pStyle w:val="Thesis"/>
              <w:spacing w:line="276" w:lineRule="auto"/>
              <w:rPr>
                <w:rFonts w:ascii="Arial" w:hAnsi="Arial" w:cs="Arial"/>
                <w:sz w:val="18"/>
              </w:rPr>
            </w:pPr>
            <w:r w:rsidRPr="00633046">
              <w:rPr>
                <w:rFonts w:ascii="Arial" w:hAnsi="Arial" w:cs="Arial"/>
                <w:sz w:val="18"/>
              </w:rPr>
              <w:t>Novel point-based risk score combini</w:t>
            </w:r>
            <w:r>
              <w:rPr>
                <w:rFonts w:ascii="Arial" w:hAnsi="Arial" w:cs="Arial"/>
                <w:sz w:val="18"/>
              </w:rPr>
              <w:t>n</w:t>
            </w:r>
            <w:r w:rsidRPr="00633046">
              <w:rPr>
                <w:rFonts w:ascii="Arial" w:hAnsi="Arial" w:cs="Arial"/>
                <w:sz w:val="18"/>
              </w:rPr>
              <w:t>g frailty (cognition, albumin, falls, haematocrit), disability (Katz score) and co-morbidity (</w:t>
            </w:r>
            <w:proofErr w:type="spellStart"/>
            <w:r w:rsidRPr="00633046">
              <w:rPr>
                <w:rFonts w:ascii="Arial" w:hAnsi="Arial" w:cs="Arial"/>
                <w:sz w:val="18"/>
              </w:rPr>
              <w:t>Charlson</w:t>
            </w:r>
            <w:proofErr w:type="spellEnd"/>
            <w:r w:rsidRPr="00633046">
              <w:rPr>
                <w:rFonts w:ascii="Arial" w:hAnsi="Arial" w:cs="Arial"/>
                <w:sz w:val="18"/>
              </w:rPr>
              <w:t xml:space="preserve"> index)</w:t>
            </w:r>
          </w:p>
        </w:tc>
        <w:tc>
          <w:tcPr>
            <w:tcW w:w="4820" w:type="dxa"/>
          </w:tcPr>
          <w:p w:rsidR="0033692D" w:rsidRDefault="00F663AA" w:rsidP="00EE148C">
            <w:pPr>
              <w:pStyle w:val="Thesis"/>
              <w:spacing w:line="276" w:lineRule="auto"/>
              <w:rPr>
                <w:rFonts w:ascii="Arial" w:hAnsi="Arial" w:cs="Arial"/>
                <w:sz w:val="18"/>
              </w:rPr>
            </w:pPr>
            <w:r w:rsidRPr="00F663AA">
              <w:rPr>
                <w:rFonts w:ascii="Arial" w:hAnsi="Arial" w:cs="Arial"/>
                <w:sz w:val="18"/>
              </w:rPr>
              <w:t>A frailty score of</w:t>
            </w:r>
            <w:r>
              <w:rPr>
                <w:rFonts w:ascii="Arial" w:hAnsi="Arial" w:cs="Arial"/>
                <w:sz w:val="18"/>
              </w:rPr>
              <w:t xml:space="preserve"> </w:t>
            </w:r>
            <w:r w:rsidR="0033692D" w:rsidRPr="00633046">
              <w:rPr>
                <w:rFonts w:ascii="Arial" w:hAnsi="Arial" w:cs="Arial"/>
                <w:sz w:val="18"/>
                <w:u w:val="single"/>
              </w:rPr>
              <w:t>&gt;</w:t>
            </w:r>
            <w:r w:rsidR="0033692D">
              <w:rPr>
                <w:rFonts w:ascii="Arial" w:hAnsi="Arial" w:cs="Arial"/>
                <w:sz w:val="18"/>
              </w:rPr>
              <w:t>4 points</w:t>
            </w:r>
            <w:r w:rsidR="009E0CD6">
              <w:rPr>
                <w:rFonts w:ascii="Arial" w:hAnsi="Arial" w:cs="Arial"/>
                <w:sz w:val="18"/>
              </w:rPr>
              <w:t xml:space="preserve"> </w:t>
            </w:r>
            <w:r w:rsidR="00CA7A29">
              <w:rPr>
                <w:rFonts w:ascii="Arial" w:hAnsi="Arial" w:cs="Arial"/>
                <w:sz w:val="18"/>
              </w:rPr>
              <w:t>was associated with higher</w:t>
            </w:r>
            <w:r w:rsidR="009E0CD6">
              <w:rPr>
                <w:rFonts w:ascii="Arial" w:hAnsi="Arial" w:cs="Arial"/>
                <w:sz w:val="18"/>
              </w:rPr>
              <w:t xml:space="preserve"> 6-month mortality</w:t>
            </w:r>
            <w:r w:rsidR="00CA7A29">
              <w:rPr>
                <w:rFonts w:ascii="Arial" w:hAnsi="Arial" w:cs="Arial"/>
                <w:sz w:val="18"/>
              </w:rPr>
              <w:t>.</w:t>
            </w:r>
            <w:r w:rsidR="0033692D">
              <w:rPr>
                <w:rFonts w:ascii="Arial" w:hAnsi="Arial" w:cs="Arial"/>
                <w:sz w:val="18"/>
              </w:rPr>
              <w:t xml:space="preserve"> </w:t>
            </w:r>
          </w:p>
          <w:p w:rsidR="0033692D" w:rsidRPr="00633046" w:rsidRDefault="0033692D" w:rsidP="00CA7A29">
            <w:pPr>
              <w:pStyle w:val="Thesis"/>
              <w:spacing w:after="40" w:line="276" w:lineRule="auto"/>
              <w:rPr>
                <w:rFonts w:ascii="Arial" w:hAnsi="Arial" w:cs="Arial"/>
                <w:sz w:val="18"/>
                <w:u w:val="single"/>
              </w:rPr>
            </w:pPr>
            <w:r>
              <w:rPr>
                <w:rFonts w:ascii="Arial" w:hAnsi="Arial" w:cs="Arial"/>
                <w:sz w:val="18"/>
              </w:rPr>
              <w:t>Each component also strongly associated with discharge to institution</w:t>
            </w:r>
            <w:r w:rsidR="00CA7A29">
              <w:rPr>
                <w:rFonts w:ascii="Arial" w:hAnsi="Arial" w:cs="Arial"/>
                <w:sz w:val="18"/>
              </w:rPr>
              <w:t>al care</w:t>
            </w:r>
            <w:r>
              <w:rPr>
                <w:rFonts w:ascii="Arial" w:hAnsi="Arial" w:cs="Arial"/>
                <w:sz w:val="18"/>
              </w:rPr>
              <w:t>.</w:t>
            </w:r>
          </w:p>
        </w:tc>
      </w:tr>
      <w:tr w:rsidR="00AD7DB3" w:rsidRPr="00A0507F" w:rsidTr="0033692D">
        <w:tc>
          <w:tcPr>
            <w:tcW w:w="1668" w:type="dxa"/>
          </w:tcPr>
          <w:p w:rsidR="007E423A" w:rsidRDefault="007E423A" w:rsidP="007E423A">
            <w:pPr>
              <w:pStyle w:val="Thesis"/>
              <w:spacing w:line="276" w:lineRule="auto"/>
              <w:rPr>
                <w:rFonts w:ascii="Arial" w:hAnsi="Arial" w:cs="Arial"/>
                <w:sz w:val="18"/>
              </w:rPr>
            </w:pPr>
            <w:r>
              <w:rPr>
                <w:rFonts w:ascii="Arial" w:hAnsi="Arial" w:cs="Arial"/>
                <w:sz w:val="18"/>
              </w:rPr>
              <w:t>*Robinson et al., 2011</w:t>
            </w:r>
            <w:r w:rsidR="00B95A0B">
              <w:rPr>
                <w:rFonts w:ascii="Arial" w:hAnsi="Arial" w:cs="Arial"/>
                <w:sz w:val="18"/>
              </w:rPr>
              <w:fldChar w:fldCharType="begin" w:fldLock="1"/>
            </w:r>
            <w:r w:rsidR="00AD7DB3">
              <w:rPr>
                <w:rFonts w:ascii="Arial" w:hAnsi="Arial" w:cs="Arial"/>
                <w:sz w:val="18"/>
              </w:rPr>
              <w:instrText>ADDIN CSL_CITATION { "citationItems" : [ { "id" : "ITEM-1", "itemData" : { "DOI" : "10.1016/j.jamcollsurg.2011.01.056.Accumulated", "author" : [ { "dropping-particle" : "", "family" : "Robinson", "given" : "TN", "non-dropping-particle" : "", "parse-names" : false, "suffix" : "" }, { "dropping-particle" : "", "family" : "Wallace", "given" : "JI", "non-dropping-particle" : "", "parse-names" : false, "suffix" : "" }, { "dropping-particle" : "", "family" : "Wu", "given" : "DS", "non-dropping-particle" : "", "parse-names" : false, "suffix" : "" } ], "container-title" : "Journal of the American College of Surgeons", "id" : "ITEM-1", "issue" : "November 2010", "issued" : { "date-parts" : [ [ "2011" ] ] }, "page" : "37-42", "title" : "Accumulated frailty characteristics predict postoperative discharge institutionalization in the geriatric patient", "type" : "article-journal", "volume" : "213" }, "uris" : [ "http://www.mendeley.com/documents/?uuid=429544f3-b17c-4918-90eb-adb45a2a22c4" ] } ], "mendeley" : { "previouslyFormattedCitation" : "&lt;sup&gt;(2)&lt;/sup&gt;" }, "properties" : { "noteIndex" : 0 }, "schema" : "https://github.com/citation-style-language/schema/raw/master/csl-citation.json" }</w:instrText>
            </w:r>
            <w:r w:rsidR="00B95A0B">
              <w:rPr>
                <w:rFonts w:ascii="Arial" w:hAnsi="Arial" w:cs="Arial"/>
                <w:sz w:val="18"/>
              </w:rPr>
              <w:fldChar w:fldCharType="separate"/>
            </w:r>
            <w:r w:rsidR="00AD7DB3" w:rsidRPr="00AD7DB3">
              <w:rPr>
                <w:rFonts w:ascii="Arial" w:hAnsi="Arial" w:cs="Arial"/>
                <w:noProof/>
                <w:sz w:val="18"/>
                <w:vertAlign w:val="superscript"/>
              </w:rPr>
              <w:t>(2)</w:t>
            </w:r>
            <w:r w:rsidR="00B95A0B">
              <w:rPr>
                <w:rFonts w:ascii="Arial" w:hAnsi="Arial" w:cs="Arial"/>
                <w:sz w:val="18"/>
              </w:rPr>
              <w:fldChar w:fldCharType="end"/>
            </w:r>
          </w:p>
          <w:p w:rsidR="007E423A" w:rsidRDefault="007E423A" w:rsidP="007E423A">
            <w:pPr>
              <w:pStyle w:val="Thesis"/>
              <w:spacing w:line="276" w:lineRule="auto"/>
              <w:rPr>
                <w:rFonts w:ascii="Arial" w:hAnsi="Arial" w:cs="Arial"/>
                <w:sz w:val="18"/>
              </w:rPr>
            </w:pPr>
          </w:p>
          <w:p w:rsidR="007E423A" w:rsidRDefault="007E423A" w:rsidP="007E423A">
            <w:pPr>
              <w:pStyle w:val="Thesis"/>
              <w:spacing w:line="276" w:lineRule="auto"/>
              <w:rPr>
                <w:rFonts w:ascii="Arial" w:hAnsi="Arial" w:cs="Arial"/>
                <w:sz w:val="18"/>
              </w:rPr>
            </w:pPr>
            <w:r>
              <w:rPr>
                <w:rFonts w:ascii="Arial" w:hAnsi="Arial" w:cs="Arial"/>
                <w:sz w:val="18"/>
              </w:rPr>
              <w:t>USA</w:t>
            </w:r>
          </w:p>
        </w:tc>
        <w:tc>
          <w:tcPr>
            <w:tcW w:w="3756" w:type="dxa"/>
          </w:tcPr>
          <w:p w:rsidR="007E423A" w:rsidRDefault="007E423A" w:rsidP="00EE148C">
            <w:pPr>
              <w:pStyle w:val="Thesis"/>
              <w:spacing w:line="276" w:lineRule="auto"/>
              <w:rPr>
                <w:rFonts w:ascii="Arial" w:hAnsi="Arial" w:cs="Arial"/>
                <w:sz w:val="18"/>
              </w:rPr>
            </w:pPr>
            <w:r>
              <w:rPr>
                <w:rFonts w:ascii="Arial" w:hAnsi="Arial" w:cs="Arial"/>
                <w:sz w:val="18"/>
              </w:rPr>
              <w:t xml:space="preserve">223 patients </w:t>
            </w:r>
            <w:r w:rsidRPr="00633046">
              <w:rPr>
                <w:rFonts w:ascii="Arial" w:hAnsi="Arial" w:cs="Arial"/>
                <w:sz w:val="18"/>
              </w:rPr>
              <w:t xml:space="preserve">undergoing major elective </w:t>
            </w:r>
            <w:r w:rsidR="001D13EC">
              <w:rPr>
                <w:rFonts w:ascii="Arial" w:hAnsi="Arial" w:cs="Arial"/>
                <w:sz w:val="18"/>
              </w:rPr>
              <w:t>colorectal or cardiac surgery.</w:t>
            </w:r>
            <w:r w:rsidRPr="00633046">
              <w:rPr>
                <w:rFonts w:ascii="Arial" w:hAnsi="Arial" w:cs="Arial"/>
                <w:sz w:val="18"/>
              </w:rPr>
              <w:t xml:space="preserve">  </w:t>
            </w:r>
          </w:p>
          <w:p w:rsidR="007E423A" w:rsidRDefault="007E423A" w:rsidP="00EE148C">
            <w:pPr>
              <w:pStyle w:val="Thesis"/>
              <w:spacing w:line="276" w:lineRule="auto"/>
              <w:rPr>
                <w:rFonts w:ascii="Arial" w:hAnsi="Arial" w:cs="Arial"/>
                <w:sz w:val="18"/>
              </w:rPr>
            </w:pPr>
          </w:p>
          <w:p w:rsidR="007E423A" w:rsidRDefault="001D13EC" w:rsidP="00EE148C">
            <w:pPr>
              <w:pStyle w:val="Thesis"/>
              <w:spacing w:line="276" w:lineRule="auto"/>
              <w:rPr>
                <w:rFonts w:ascii="Arial" w:hAnsi="Arial" w:cs="Arial"/>
                <w:sz w:val="18"/>
              </w:rPr>
            </w:pPr>
            <w:r w:rsidRPr="00633046">
              <w:rPr>
                <w:rFonts w:ascii="Arial" w:hAnsi="Arial" w:cs="Arial"/>
                <w:sz w:val="18"/>
              </w:rPr>
              <w:t>Age</w:t>
            </w:r>
            <w:r>
              <w:rPr>
                <w:rFonts w:ascii="Arial" w:hAnsi="Arial" w:cs="Arial"/>
                <w:sz w:val="18"/>
              </w:rPr>
              <w:t xml:space="preserve"> group:</w:t>
            </w:r>
            <w:r w:rsidRPr="00633046">
              <w:rPr>
                <w:rFonts w:ascii="Arial" w:hAnsi="Arial" w:cs="Arial"/>
                <w:sz w:val="18"/>
              </w:rPr>
              <w:t xml:space="preserve"> </w:t>
            </w:r>
            <w:r w:rsidRPr="00633046">
              <w:rPr>
                <w:rFonts w:ascii="Arial" w:hAnsi="Arial" w:cs="Arial"/>
                <w:sz w:val="18"/>
                <w:u w:val="single"/>
              </w:rPr>
              <w:t>&gt;</w:t>
            </w:r>
            <w:r w:rsidRPr="00633046">
              <w:rPr>
                <w:rFonts w:ascii="Arial" w:hAnsi="Arial" w:cs="Arial"/>
                <w:sz w:val="18"/>
              </w:rPr>
              <w:t>65 years</w:t>
            </w:r>
            <w:r>
              <w:rPr>
                <w:rFonts w:ascii="Arial" w:hAnsi="Arial" w:cs="Arial"/>
                <w:sz w:val="18"/>
              </w:rPr>
              <w:t xml:space="preserve">; </w:t>
            </w:r>
            <w:r w:rsidR="007E423A">
              <w:rPr>
                <w:rFonts w:ascii="Arial" w:hAnsi="Arial" w:cs="Arial"/>
                <w:sz w:val="18"/>
              </w:rPr>
              <w:t>96% men</w:t>
            </w:r>
          </w:p>
        </w:tc>
        <w:tc>
          <w:tcPr>
            <w:tcW w:w="3756" w:type="dxa"/>
          </w:tcPr>
          <w:p w:rsidR="007E423A" w:rsidRPr="00633046" w:rsidRDefault="007E53E8" w:rsidP="00EE148C">
            <w:pPr>
              <w:pStyle w:val="Thesis"/>
              <w:spacing w:line="276" w:lineRule="auto"/>
              <w:rPr>
                <w:rFonts w:ascii="Arial" w:hAnsi="Arial" w:cs="Arial"/>
                <w:sz w:val="18"/>
              </w:rPr>
            </w:pPr>
            <w:r w:rsidRPr="00633046">
              <w:rPr>
                <w:rFonts w:ascii="Arial" w:hAnsi="Arial" w:cs="Arial"/>
                <w:sz w:val="18"/>
              </w:rPr>
              <w:t>Novel point-based risk score combini</w:t>
            </w:r>
            <w:r>
              <w:rPr>
                <w:rFonts w:ascii="Arial" w:hAnsi="Arial" w:cs="Arial"/>
                <w:sz w:val="18"/>
              </w:rPr>
              <w:t>n</w:t>
            </w:r>
            <w:r w:rsidRPr="00633046">
              <w:rPr>
                <w:rFonts w:ascii="Arial" w:hAnsi="Arial" w:cs="Arial"/>
                <w:sz w:val="18"/>
              </w:rPr>
              <w:t>g frailty (cognition, albumin, falls, haematocrit</w:t>
            </w:r>
            <w:r>
              <w:rPr>
                <w:rFonts w:ascii="Arial" w:hAnsi="Arial" w:cs="Arial"/>
                <w:sz w:val="18"/>
              </w:rPr>
              <w:t>, timed-up-and-go</w:t>
            </w:r>
            <w:r w:rsidRPr="00633046">
              <w:rPr>
                <w:rFonts w:ascii="Arial" w:hAnsi="Arial" w:cs="Arial"/>
                <w:sz w:val="18"/>
              </w:rPr>
              <w:t>), disability (Katz score) and co-morbidity (</w:t>
            </w:r>
            <w:proofErr w:type="spellStart"/>
            <w:r w:rsidRPr="00633046">
              <w:rPr>
                <w:rFonts w:ascii="Arial" w:hAnsi="Arial" w:cs="Arial"/>
                <w:sz w:val="18"/>
              </w:rPr>
              <w:t>Charlson</w:t>
            </w:r>
            <w:proofErr w:type="spellEnd"/>
            <w:r w:rsidRPr="00633046">
              <w:rPr>
                <w:rFonts w:ascii="Arial" w:hAnsi="Arial" w:cs="Arial"/>
                <w:sz w:val="18"/>
              </w:rPr>
              <w:t xml:space="preserve"> index)</w:t>
            </w:r>
          </w:p>
        </w:tc>
        <w:tc>
          <w:tcPr>
            <w:tcW w:w="4820" w:type="dxa"/>
          </w:tcPr>
          <w:p w:rsidR="007E423A" w:rsidRPr="00F663AA" w:rsidRDefault="009E0CD6" w:rsidP="00CA7A29">
            <w:pPr>
              <w:pStyle w:val="Thesis"/>
              <w:spacing w:line="276" w:lineRule="auto"/>
              <w:rPr>
                <w:rFonts w:ascii="Arial" w:hAnsi="Arial" w:cs="Arial"/>
                <w:sz w:val="18"/>
              </w:rPr>
            </w:pPr>
            <w:r>
              <w:rPr>
                <w:rFonts w:ascii="Arial" w:hAnsi="Arial" w:cs="Arial"/>
                <w:sz w:val="18"/>
              </w:rPr>
              <w:t xml:space="preserve">A frailty score of </w:t>
            </w:r>
            <w:r w:rsidRPr="009E0CD6">
              <w:rPr>
                <w:rFonts w:ascii="Arial" w:hAnsi="Arial" w:cs="Arial"/>
                <w:sz w:val="18"/>
                <w:u w:val="single"/>
              </w:rPr>
              <w:t>&gt;</w:t>
            </w:r>
            <w:r>
              <w:rPr>
                <w:rFonts w:ascii="Arial" w:hAnsi="Arial" w:cs="Arial"/>
                <w:sz w:val="18"/>
              </w:rPr>
              <w:t xml:space="preserve">3 points </w:t>
            </w:r>
            <w:r w:rsidR="00CA7A29">
              <w:rPr>
                <w:rFonts w:ascii="Arial" w:hAnsi="Arial" w:cs="Arial"/>
                <w:sz w:val="18"/>
              </w:rPr>
              <w:t>was associated with discharge to institutional care.</w:t>
            </w:r>
          </w:p>
        </w:tc>
      </w:tr>
      <w:tr w:rsidR="00AD7DB3" w:rsidRPr="00A0507F" w:rsidTr="0033692D">
        <w:tc>
          <w:tcPr>
            <w:tcW w:w="1668" w:type="dxa"/>
          </w:tcPr>
          <w:p w:rsidR="006641A0" w:rsidRDefault="006641A0" w:rsidP="006641A0">
            <w:pPr>
              <w:pStyle w:val="Thesis"/>
              <w:spacing w:line="276" w:lineRule="auto"/>
              <w:rPr>
                <w:rFonts w:ascii="Arial" w:hAnsi="Arial" w:cs="Arial"/>
                <w:sz w:val="18"/>
              </w:rPr>
            </w:pPr>
            <w:r>
              <w:rPr>
                <w:rFonts w:ascii="Arial" w:hAnsi="Arial" w:cs="Arial"/>
                <w:sz w:val="18"/>
              </w:rPr>
              <w:t>*Robinson et al., 2013</w:t>
            </w:r>
            <w:r w:rsidR="00B95A0B">
              <w:rPr>
                <w:rFonts w:ascii="Arial" w:hAnsi="Arial" w:cs="Arial"/>
                <w:sz w:val="18"/>
              </w:rPr>
              <w:fldChar w:fldCharType="begin" w:fldLock="1"/>
            </w:r>
            <w:r w:rsidR="00AD7DB3">
              <w:rPr>
                <w:rFonts w:ascii="Arial" w:hAnsi="Arial" w:cs="Arial"/>
                <w:sz w:val="18"/>
              </w:rPr>
              <w:instrText>ADDIN CSL_CITATION { "citationItems" : [ { "id" : "ITEM-1", "itemData" : { "DOI" : "10.1016/j.amjsurg.2013.03.012", "ISSN" : "1879-1883", "PMID" : "23880071", "abstract" : "BACKGROUND: Our purpose was to determine the relationship between preoperative frailty and the occurrence of postoperative complications after colorectal and cardiac operations. METHODS: Patients 65 years or older undergoing elective colorectal or cardiac surgery were enrolled. Seven baseline frailty traits were measured preoperatively: Katz score less than or equal to 5, Timed Up and Go test greater than or equal to 15 seconds, Charlson Index greater than or equal to 3, anemia less than 35%, Mini-Cog score less than or equal to 3, albumin less than 3.4 g/dL, and 1 or more falls within 6 months. Patients were categorized by the number of positive traits as follows: nonfrail: 0 to 1 traits, prefrail: 2 to 3 traits, and frail: 4 or more traits. RESULTS: Two hundred one subjects (age 74 \u00b1 6 years) were studied. Preoperative frailty was associated with increased postoperative complications after colorectal (nonfrail: 21%, prefrail: 40%, frail: 58%; P = .016) and cardiac operations (nonfrail: 17%, prefrail: 28%, frail: 56%; P &lt; .001). This finding in both groups was independent of advancing age. Frail individuals in both groups had longer hospital stays and higher 30-day readmission rates. Receiver operating characteristic curves examining frailty's ability to forecast complications were colorectal (.702, P = .004) and cardiac (.711, P &lt; .001). CONCLUSIONS: A simple preoperative frailty score defines older adults at higher risk for postoperative complications across surgical specialties.", "author" : [ { "dropping-particle" : "", "family" : "Robinson", "given" : "Thomas N", "non-dropping-particle" : "", "parse-names" : false, "suffix" : "" }, { "dropping-particle" : "", "family" : "Wu", "given" : "Daniel S", "non-dropping-particle" : "", "parse-names" : false, "suffix" : "" }, { "dropping-particle" : "", "family" : "Pointer", "given" : "Lauren", "non-dropping-particle" : "", "parse-names" : false, "suffix" : "" }, { "dropping-particle" : "", "family" : "Dunn", "given" : "Christina L", "non-dropping-particle" : "", "parse-names" : false, "suffix" : "" }, { "dropping-particle" : "", "family" : "Cleveland", "given" : "Joseph C", "non-dropping-particle" : "", "parse-names" : false, "suffix" : "" }, { "dropping-particle" : "", "family" : "Moss", "given" : "Marc", "non-dropping-particle" : "", "parse-names" : false, "suffix" : "" } ], "container-title" : "American journal of surgery", "id" : "ITEM-1", "issue" : "4", "issued" : { "date-parts" : [ [ "2013", "10" ] ] }, "page" : "544-50", "title" : "Simple frailty score predicts postoperative complications across surgical specialties.", "type" : "article-journal", "volume" : "206" }, "uris" : [ "http://www.mendeley.com/documents/?uuid=fb205b2b-6aec-43ba-a769-f693ce4f0201" ] } ], "mendeley" : { "previouslyFormattedCitation" : "&lt;sup&gt;(3)&lt;/sup&gt;" }, "properties" : { "noteIndex" : 0 }, "schema" : "https://github.com/citation-style-language/schema/raw/master/csl-citation.json" }</w:instrText>
            </w:r>
            <w:r w:rsidR="00B95A0B">
              <w:rPr>
                <w:rFonts w:ascii="Arial" w:hAnsi="Arial" w:cs="Arial"/>
                <w:sz w:val="18"/>
              </w:rPr>
              <w:fldChar w:fldCharType="separate"/>
            </w:r>
            <w:r w:rsidR="00AD7DB3" w:rsidRPr="00AD7DB3">
              <w:rPr>
                <w:rFonts w:ascii="Arial" w:hAnsi="Arial" w:cs="Arial"/>
                <w:noProof/>
                <w:sz w:val="18"/>
                <w:vertAlign w:val="superscript"/>
              </w:rPr>
              <w:t>(3)</w:t>
            </w:r>
            <w:r w:rsidR="00B95A0B">
              <w:rPr>
                <w:rFonts w:ascii="Arial" w:hAnsi="Arial" w:cs="Arial"/>
                <w:sz w:val="18"/>
              </w:rPr>
              <w:fldChar w:fldCharType="end"/>
            </w:r>
          </w:p>
          <w:p w:rsidR="006641A0" w:rsidRDefault="006641A0" w:rsidP="006641A0">
            <w:pPr>
              <w:pStyle w:val="Thesis"/>
              <w:spacing w:line="276" w:lineRule="auto"/>
              <w:rPr>
                <w:rFonts w:ascii="Arial" w:hAnsi="Arial" w:cs="Arial"/>
                <w:sz w:val="18"/>
              </w:rPr>
            </w:pPr>
          </w:p>
          <w:p w:rsidR="006641A0" w:rsidRDefault="006641A0" w:rsidP="006641A0">
            <w:pPr>
              <w:pStyle w:val="Thesis"/>
              <w:spacing w:line="276" w:lineRule="auto"/>
              <w:rPr>
                <w:rFonts w:ascii="Arial" w:hAnsi="Arial" w:cs="Arial"/>
                <w:sz w:val="18"/>
              </w:rPr>
            </w:pPr>
            <w:r>
              <w:rPr>
                <w:rFonts w:ascii="Arial" w:hAnsi="Arial" w:cs="Arial"/>
                <w:sz w:val="18"/>
              </w:rPr>
              <w:t>USA</w:t>
            </w:r>
          </w:p>
        </w:tc>
        <w:tc>
          <w:tcPr>
            <w:tcW w:w="3756" w:type="dxa"/>
          </w:tcPr>
          <w:p w:rsidR="006641A0" w:rsidRDefault="006641A0" w:rsidP="00EE148C">
            <w:pPr>
              <w:pStyle w:val="Thesis"/>
              <w:spacing w:line="276" w:lineRule="auto"/>
              <w:rPr>
                <w:rFonts w:ascii="Arial" w:hAnsi="Arial" w:cs="Arial"/>
                <w:sz w:val="18"/>
              </w:rPr>
            </w:pPr>
            <w:r>
              <w:rPr>
                <w:rFonts w:ascii="Arial" w:hAnsi="Arial" w:cs="Arial"/>
                <w:sz w:val="18"/>
              </w:rPr>
              <w:t>201 patients admitted for elective colorectal or cardiac surgery.</w:t>
            </w:r>
          </w:p>
          <w:p w:rsidR="006641A0" w:rsidRDefault="006641A0" w:rsidP="00EE148C">
            <w:pPr>
              <w:pStyle w:val="Thesis"/>
              <w:spacing w:line="276" w:lineRule="auto"/>
              <w:rPr>
                <w:rFonts w:ascii="Arial" w:hAnsi="Arial" w:cs="Arial"/>
                <w:sz w:val="18"/>
              </w:rPr>
            </w:pPr>
          </w:p>
          <w:p w:rsidR="006641A0" w:rsidRDefault="001D13EC" w:rsidP="00EE148C">
            <w:pPr>
              <w:pStyle w:val="Thesis"/>
              <w:spacing w:line="276" w:lineRule="auto"/>
              <w:rPr>
                <w:rFonts w:ascii="Arial" w:hAnsi="Arial" w:cs="Arial"/>
                <w:sz w:val="18"/>
              </w:rPr>
            </w:pPr>
            <w:r w:rsidRPr="00633046">
              <w:rPr>
                <w:rFonts w:ascii="Arial" w:hAnsi="Arial" w:cs="Arial"/>
                <w:sz w:val="18"/>
              </w:rPr>
              <w:t>Age</w:t>
            </w:r>
            <w:r>
              <w:rPr>
                <w:rFonts w:ascii="Arial" w:hAnsi="Arial" w:cs="Arial"/>
                <w:sz w:val="18"/>
              </w:rPr>
              <w:t xml:space="preserve"> group:</w:t>
            </w:r>
            <w:r w:rsidRPr="00633046">
              <w:rPr>
                <w:rFonts w:ascii="Arial" w:hAnsi="Arial" w:cs="Arial"/>
                <w:sz w:val="18"/>
              </w:rPr>
              <w:t xml:space="preserve"> </w:t>
            </w:r>
            <w:r w:rsidRPr="00633046">
              <w:rPr>
                <w:rFonts w:ascii="Arial" w:hAnsi="Arial" w:cs="Arial"/>
                <w:sz w:val="18"/>
                <w:u w:val="single"/>
              </w:rPr>
              <w:t>&gt;</w:t>
            </w:r>
            <w:r w:rsidRPr="00633046">
              <w:rPr>
                <w:rFonts w:ascii="Arial" w:hAnsi="Arial" w:cs="Arial"/>
                <w:sz w:val="18"/>
              </w:rPr>
              <w:t>65 years</w:t>
            </w:r>
            <w:r>
              <w:rPr>
                <w:rFonts w:ascii="Arial" w:hAnsi="Arial" w:cs="Arial"/>
                <w:sz w:val="18"/>
              </w:rPr>
              <w:t xml:space="preserve">; </w:t>
            </w:r>
            <w:r w:rsidR="006641A0">
              <w:rPr>
                <w:rFonts w:ascii="Arial" w:hAnsi="Arial" w:cs="Arial"/>
                <w:sz w:val="18"/>
              </w:rPr>
              <w:t>98% men</w:t>
            </w:r>
          </w:p>
        </w:tc>
        <w:tc>
          <w:tcPr>
            <w:tcW w:w="3756" w:type="dxa"/>
          </w:tcPr>
          <w:p w:rsidR="006641A0" w:rsidRDefault="006641A0" w:rsidP="00EE148C">
            <w:pPr>
              <w:pStyle w:val="Thesis"/>
              <w:spacing w:line="276" w:lineRule="auto"/>
              <w:rPr>
                <w:rFonts w:ascii="Arial" w:hAnsi="Arial" w:cs="Arial"/>
                <w:sz w:val="18"/>
              </w:rPr>
            </w:pPr>
            <w:r w:rsidRPr="00633046">
              <w:rPr>
                <w:rFonts w:ascii="Arial" w:hAnsi="Arial" w:cs="Arial"/>
                <w:sz w:val="18"/>
              </w:rPr>
              <w:t>Novel point-based risk score combini</w:t>
            </w:r>
            <w:r>
              <w:rPr>
                <w:rFonts w:ascii="Arial" w:hAnsi="Arial" w:cs="Arial"/>
                <w:sz w:val="18"/>
              </w:rPr>
              <w:t>n</w:t>
            </w:r>
            <w:r w:rsidRPr="00633046">
              <w:rPr>
                <w:rFonts w:ascii="Arial" w:hAnsi="Arial" w:cs="Arial"/>
                <w:sz w:val="18"/>
              </w:rPr>
              <w:t>g frailty (cognition, albumin, falls, haematocrit</w:t>
            </w:r>
            <w:r w:rsidR="007E53E8">
              <w:rPr>
                <w:rFonts w:ascii="Arial" w:hAnsi="Arial" w:cs="Arial"/>
                <w:sz w:val="18"/>
              </w:rPr>
              <w:t>, timed-up-and-go</w:t>
            </w:r>
            <w:r w:rsidRPr="00633046">
              <w:rPr>
                <w:rFonts w:ascii="Arial" w:hAnsi="Arial" w:cs="Arial"/>
                <w:sz w:val="18"/>
              </w:rPr>
              <w:t>), disability (Katz score) and co-morbidity (</w:t>
            </w:r>
            <w:proofErr w:type="spellStart"/>
            <w:r w:rsidRPr="00633046">
              <w:rPr>
                <w:rFonts w:ascii="Arial" w:hAnsi="Arial" w:cs="Arial"/>
                <w:sz w:val="18"/>
              </w:rPr>
              <w:t>Charlson</w:t>
            </w:r>
            <w:proofErr w:type="spellEnd"/>
            <w:r w:rsidRPr="00633046">
              <w:rPr>
                <w:rFonts w:ascii="Arial" w:hAnsi="Arial" w:cs="Arial"/>
                <w:sz w:val="18"/>
              </w:rPr>
              <w:t xml:space="preserve"> index</w:t>
            </w:r>
            <w:r w:rsidR="007E53E8">
              <w:rPr>
                <w:rFonts w:ascii="Arial" w:hAnsi="Arial" w:cs="Arial"/>
                <w:sz w:val="18"/>
              </w:rPr>
              <w:t>)</w:t>
            </w:r>
          </w:p>
        </w:tc>
        <w:tc>
          <w:tcPr>
            <w:tcW w:w="4820" w:type="dxa"/>
          </w:tcPr>
          <w:p w:rsidR="00CA7A29" w:rsidRDefault="00F128DD" w:rsidP="00CA7A29">
            <w:pPr>
              <w:pStyle w:val="Thesis"/>
              <w:spacing w:line="276" w:lineRule="auto"/>
              <w:rPr>
                <w:rFonts w:ascii="Arial" w:hAnsi="Arial" w:cs="Arial"/>
                <w:sz w:val="18"/>
              </w:rPr>
            </w:pPr>
            <w:r w:rsidRPr="00F663AA">
              <w:rPr>
                <w:rFonts w:ascii="Arial" w:hAnsi="Arial" w:cs="Arial"/>
                <w:sz w:val="18"/>
              </w:rPr>
              <w:t>A frailty score of</w:t>
            </w:r>
            <w:r w:rsidR="00477484">
              <w:rPr>
                <w:rFonts w:ascii="Arial" w:hAnsi="Arial" w:cs="Arial"/>
                <w:sz w:val="18"/>
              </w:rPr>
              <w:t xml:space="preserve"> </w:t>
            </w:r>
            <w:r w:rsidRPr="00633046">
              <w:rPr>
                <w:rFonts w:ascii="Arial" w:hAnsi="Arial" w:cs="Arial"/>
                <w:sz w:val="18"/>
                <w:u w:val="single"/>
              </w:rPr>
              <w:t>&gt;</w:t>
            </w:r>
            <w:r>
              <w:rPr>
                <w:rFonts w:ascii="Arial" w:hAnsi="Arial" w:cs="Arial"/>
                <w:sz w:val="18"/>
              </w:rPr>
              <w:t xml:space="preserve">4 </w:t>
            </w:r>
            <w:r w:rsidR="000B19D0">
              <w:rPr>
                <w:rFonts w:ascii="Arial" w:hAnsi="Arial" w:cs="Arial"/>
                <w:sz w:val="18"/>
              </w:rPr>
              <w:t xml:space="preserve">points </w:t>
            </w:r>
            <w:r w:rsidR="00CA7A29">
              <w:rPr>
                <w:rFonts w:ascii="Arial" w:hAnsi="Arial" w:cs="Arial"/>
                <w:sz w:val="18"/>
              </w:rPr>
              <w:t>was associated with higher</w:t>
            </w:r>
            <w:r w:rsidR="000B19D0">
              <w:rPr>
                <w:rFonts w:ascii="Arial" w:hAnsi="Arial" w:cs="Arial"/>
                <w:sz w:val="18"/>
              </w:rPr>
              <w:t xml:space="preserve"> </w:t>
            </w:r>
            <w:r w:rsidR="00CA7A29">
              <w:rPr>
                <w:rFonts w:ascii="Arial" w:hAnsi="Arial" w:cs="Arial"/>
                <w:sz w:val="18"/>
              </w:rPr>
              <w:t xml:space="preserve">incidence of at least 1 </w:t>
            </w:r>
            <w:r w:rsidR="000B19D0">
              <w:rPr>
                <w:rFonts w:ascii="Arial" w:hAnsi="Arial" w:cs="Arial"/>
                <w:sz w:val="18"/>
              </w:rPr>
              <w:t xml:space="preserve">post-operative </w:t>
            </w:r>
            <w:r w:rsidR="00CA7A29">
              <w:rPr>
                <w:rFonts w:ascii="Arial" w:hAnsi="Arial" w:cs="Arial"/>
                <w:sz w:val="18"/>
              </w:rPr>
              <w:t>complication.</w:t>
            </w:r>
          </w:p>
          <w:p w:rsidR="006641A0" w:rsidRDefault="006641A0" w:rsidP="00AB1A24">
            <w:pPr>
              <w:pStyle w:val="Thesis"/>
              <w:spacing w:line="276" w:lineRule="auto"/>
              <w:rPr>
                <w:rFonts w:ascii="Arial" w:hAnsi="Arial" w:cs="Arial"/>
                <w:sz w:val="18"/>
              </w:rPr>
            </w:pPr>
          </w:p>
        </w:tc>
      </w:tr>
      <w:tr w:rsidR="00AD7DB3" w:rsidRPr="00A0507F" w:rsidTr="0033692D">
        <w:tc>
          <w:tcPr>
            <w:tcW w:w="1668" w:type="dxa"/>
          </w:tcPr>
          <w:p w:rsidR="006641A0" w:rsidRDefault="006641A0" w:rsidP="00EE148C">
            <w:pPr>
              <w:pStyle w:val="Thesis"/>
              <w:spacing w:line="276" w:lineRule="auto"/>
              <w:rPr>
                <w:rFonts w:ascii="Arial" w:hAnsi="Arial" w:cs="Arial"/>
                <w:sz w:val="18"/>
              </w:rPr>
            </w:pPr>
            <w:r>
              <w:rPr>
                <w:rFonts w:ascii="Arial" w:hAnsi="Arial" w:cs="Arial"/>
                <w:sz w:val="18"/>
              </w:rPr>
              <w:t>*Robinson et al., 2013</w:t>
            </w:r>
            <w:r w:rsidR="008272D5">
              <w:rPr>
                <w:rFonts w:ascii="Arial" w:hAnsi="Arial" w:cs="Arial"/>
                <w:sz w:val="18"/>
              </w:rPr>
              <w:fldChar w:fldCharType="begin" w:fldLock="1"/>
            </w:r>
            <w:r w:rsidR="00AD7DB3">
              <w:rPr>
                <w:rFonts w:ascii="Arial" w:hAnsi="Arial" w:cs="Arial"/>
                <w:sz w:val="18"/>
              </w:rPr>
              <w:instrText>ADDIN CSL_CITATION { "citationItems" : [ { "id" : "ITEM-1", "itemData" : { "DOI" : "10.1097/SLA.0b013e3182a4e96c", "ISSN" : "1528-1140", "PMID" : "23979272", "abstract" : "OBJECTIVE: The purpose of this study was to determine the relationship between the Timed Up and Go test and postoperative morbidity and 1-year mortality, and to compare the Timed Up and Go to the standard-of-care surgical risk calculators for prediction of postoperative complications. METHODS: In this prospective cohort study, patients 65 years and older undergoing elective colorectal and cardiac operations with a minimum of 1-year follow-up were included. The Timed Up and Go test was performed preoperatively. This timed test starts with the subject standing from a chair, walking 10 feet, returning to the chair, and ends after the subject sits. Timed Up and Go results were grouped as fast \u2264 10 seconds, intermediate = 11-14 seconds, and slow \u2265 15 seconds. Receiver operating characteristic curves were used to compare the 3 Timed Up and Go groups to current standard-of-care surgical risk calculators at forecasting postoperative complications. RESULTS: This study included 272 subjects (mean age of 74 \u00b1 6 years). Slower Timed Up and Go was associated with increased postoperative complications after colorectal (fast 13%, intermediate 29%, and slow 77%; P &lt; 0.001) and cardiac (fast 11%, intermediate 26%, and slow 52%; P &lt; 0.001) operations. Slower Timed Up and Go was associated with increased 1-year mortality following both colorectal (fast 3%, intermediate 10%, and slow 31%; P = 0.006) and cardiac (fast 2%, intermediate 3%, and slow 12%; P = 0.039) operations. Receiver operating characteristic area under curve of the Timed Up and Go and the risk calculators for the colorectal group was 0.775 (95% CI: 0.670-0.880) and 0.554 (95% CI: 0.499-0.609), and for the cardiac group was 0.684 (95% CI: 0.603-0.766) and 0.552 (95% CI: 0.477-0.626). CONCLUSIONS: Slower Timed Up and Go forecasted increased postoperative complications and 1-year mortality across surgical specialties. Regardless of operation performed, the Timed Up and Go compared favorably to the more complex risk calculators at forecasting postoperative complications.", "author" : [ { "dropping-particle" : "", "family" : "Robinson", "given" : "Thomas N", "non-dropping-particle" : "", "parse-names" : false, "suffix" : "" }, { "dropping-particle" : "", "family" : "Wu", "given" : "Daniel S", "non-dropping-particle" : "", "parse-names" : false, "suffix" : "" }, { "dropping-particle" : "", "family" : "Sauaia", "given" : "Angela", "non-dropping-particle" : "", "parse-names" : false, "suffix" : "" }, { "dropping-particle" : "", "family" : "Dunn", "given" : "Christina L", "non-dropping-particle" : "", "parse-names" : false, "suffix" : "" }, { "dropping-particle" : "", "family" : "Stevens-Lapsley", "given" : "Jennifer E", "non-dropping-particle" : "", "parse-names" : false, "suffix" : "" }, { "dropping-particle" : "", "family" : "Moss", "given" : "Marc", "non-dropping-particle" : "", "parse-names" : false, "suffix" : "" }, { "dropping-particle" : "V", "family" : "Stiegmann", "given" : "Greg", "non-dropping-particle" : "", "parse-names" : false, "suffix" : "" }, { "dropping-particle" : "", "family" : "Gajdos", "given" : "Csaba", "non-dropping-particle" : "", "parse-names" : false, "suffix" : "" }, { "dropping-particle" : "", "family" : "Cleveland", "given" : "Joseph C", "non-dropping-particle" : "", "parse-names" : false, "suffix" : "" }, { "dropping-particle" : "", "family" : "Inouye", "given" : "Sharon K", "non-dropping-particle" : "", "parse-names" : false, "suffix" : "" } ], "container-title" : "Annals of surgery", "id" : "ITEM-1", "issue" : "4", "issued" : { "date-parts" : [ [ "2013", "10" ] ] }, "page" : "582-8; discussion 588-90", "title" : "Slower walking speed forecasts increased postoperative morbidity and 1-year mortality across surgical specialties.", "type" : "article-journal", "volume" : "258" }, "uris" : [ "http://www.mendeley.com/documents/?uuid=2b4a4b6b-dce0-4e49-a1ae-4bf341b26a1b" ] } ], "mendeley" : { "previouslyFormattedCitation" : "&lt;sup&gt;(4)&lt;/sup&gt;" }, "properties" : { "noteIndex" : 0 }, "schema" : "https://github.com/citation-style-language/schema/raw/master/csl-citation.json" }</w:instrText>
            </w:r>
            <w:r w:rsidR="008272D5">
              <w:rPr>
                <w:rFonts w:ascii="Arial" w:hAnsi="Arial" w:cs="Arial"/>
                <w:sz w:val="18"/>
              </w:rPr>
              <w:fldChar w:fldCharType="separate"/>
            </w:r>
            <w:r w:rsidR="00AD7DB3" w:rsidRPr="00AD7DB3">
              <w:rPr>
                <w:rFonts w:ascii="Arial" w:hAnsi="Arial" w:cs="Arial"/>
                <w:noProof/>
                <w:sz w:val="18"/>
                <w:vertAlign w:val="superscript"/>
              </w:rPr>
              <w:t>(4)</w:t>
            </w:r>
            <w:r w:rsidR="008272D5">
              <w:rPr>
                <w:rFonts w:ascii="Arial" w:hAnsi="Arial" w:cs="Arial"/>
                <w:sz w:val="18"/>
              </w:rPr>
              <w:fldChar w:fldCharType="end"/>
            </w:r>
          </w:p>
          <w:p w:rsidR="006641A0" w:rsidRDefault="006641A0" w:rsidP="00EE148C">
            <w:pPr>
              <w:pStyle w:val="Thesis"/>
              <w:spacing w:line="276" w:lineRule="auto"/>
              <w:rPr>
                <w:rFonts w:ascii="Arial" w:hAnsi="Arial" w:cs="Arial"/>
                <w:sz w:val="18"/>
              </w:rPr>
            </w:pPr>
          </w:p>
          <w:p w:rsidR="006641A0" w:rsidRPr="00633046" w:rsidRDefault="006641A0" w:rsidP="00EE148C">
            <w:pPr>
              <w:pStyle w:val="Thesis"/>
              <w:spacing w:line="276" w:lineRule="auto"/>
              <w:rPr>
                <w:rFonts w:ascii="Arial" w:hAnsi="Arial" w:cs="Arial"/>
                <w:sz w:val="18"/>
              </w:rPr>
            </w:pPr>
            <w:r>
              <w:rPr>
                <w:rFonts w:ascii="Arial" w:hAnsi="Arial" w:cs="Arial"/>
                <w:sz w:val="18"/>
              </w:rPr>
              <w:t>USA</w:t>
            </w:r>
          </w:p>
        </w:tc>
        <w:tc>
          <w:tcPr>
            <w:tcW w:w="3756" w:type="dxa"/>
          </w:tcPr>
          <w:p w:rsidR="006641A0" w:rsidRDefault="006641A0" w:rsidP="00EE148C">
            <w:pPr>
              <w:pStyle w:val="Thesis"/>
              <w:spacing w:line="276" w:lineRule="auto"/>
              <w:rPr>
                <w:rFonts w:ascii="Arial" w:hAnsi="Arial" w:cs="Arial"/>
                <w:sz w:val="18"/>
              </w:rPr>
            </w:pPr>
            <w:r>
              <w:rPr>
                <w:rFonts w:ascii="Arial" w:hAnsi="Arial" w:cs="Arial"/>
                <w:sz w:val="18"/>
              </w:rPr>
              <w:t>272 patients admitted for elective colorectal and cardiac surgery.</w:t>
            </w:r>
          </w:p>
          <w:p w:rsidR="006641A0" w:rsidRDefault="006641A0" w:rsidP="00EE148C">
            <w:pPr>
              <w:pStyle w:val="Thesis"/>
              <w:spacing w:line="276" w:lineRule="auto"/>
              <w:rPr>
                <w:rFonts w:ascii="Arial" w:hAnsi="Arial" w:cs="Arial"/>
                <w:sz w:val="18"/>
              </w:rPr>
            </w:pPr>
          </w:p>
          <w:p w:rsidR="006641A0" w:rsidRPr="00633046" w:rsidRDefault="001D13EC" w:rsidP="00EE148C">
            <w:pPr>
              <w:pStyle w:val="Thesis"/>
              <w:spacing w:line="276" w:lineRule="auto"/>
              <w:rPr>
                <w:rFonts w:ascii="Arial" w:hAnsi="Arial" w:cs="Arial"/>
                <w:sz w:val="18"/>
              </w:rPr>
            </w:pPr>
            <w:r w:rsidRPr="00633046">
              <w:rPr>
                <w:rFonts w:ascii="Arial" w:hAnsi="Arial" w:cs="Arial"/>
                <w:sz w:val="18"/>
              </w:rPr>
              <w:t>Age</w:t>
            </w:r>
            <w:r>
              <w:rPr>
                <w:rFonts w:ascii="Arial" w:hAnsi="Arial" w:cs="Arial"/>
                <w:sz w:val="18"/>
              </w:rPr>
              <w:t xml:space="preserve"> group:</w:t>
            </w:r>
            <w:r w:rsidRPr="00633046">
              <w:rPr>
                <w:rFonts w:ascii="Arial" w:hAnsi="Arial" w:cs="Arial"/>
                <w:sz w:val="18"/>
              </w:rPr>
              <w:t xml:space="preserve"> </w:t>
            </w:r>
            <w:r w:rsidRPr="00633046">
              <w:rPr>
                <w:rFonts w:ascii="Arial" w:hAnsi="Arial" w:cs="Arial"/>
                <w:sz w:val="18"/>
                <w:u w:val="single"/>
              </w:rPr>
              <w:t>&gt;</w:t>
            </w:r>
            <w:r w:rsidRPr="00633046">
              <w:rPr>
                <w:rFonts w:ascii="Arial" w:hAnsi="Arial" w:cs="Arial"/>
                <w:sz w:val="18"/>
              </w:rPr>
              <w:t>65 years</w:t>
            </w:r>
            <w:r>
              <w:rPr>
                <w:rFonts w:ascii="Arial" w:hAnsi="Arial" w:cs="Arial"/>
                <w:sz w:val="18"/>
              </w:rPr>
              <w:t xml:space="preserve">; </w:t>
            </w:r>
            <w:r w:rsidR="006641A0">
              <w:rPr>
                <w:rFonts w:ascii="Arial" w:hAnsi="Arial" w:cs="Arial"/>
                <w:sz w:val="18"/>
              </w:rPr>
              <w:t>98% men</w:t>
            </w:r>
          </w:p>
        </w:tc>
        <w:tc>
          <w:tcPr>
            <w:tcW w:w="3756" w:type="dxa"/>
          </w:tcPr>
          <w:p w:rsidR="006641A0" w:rsidRPr="00633046" w:rsidRDefault="006641A0" w:rsidP="00EE148C">
            <w:pPr>
              <w:pStyle w:val="Thesis"/>
              <w:spacing w:line="276" w:lineRule="auto"/>
              <w:rPr>
                <w:rFonts w:ascii="Arial" w:hAnsi="Arial" w:cs="Arial"/>
                <w:sz w:val="18"/>
              </w:rPr>
            </w:pPr>
            <w:r>
              <w:rPr>
                <w:rFonts w:ascii="Arial" w:hAnsi="Arial" w:cs="Arial"/>
                <w:sz w:val="18"/>
              </w:rPr>
              <w:t>Timed-up-and-go test (seconds)</w:t>
            </w:r>
            <w:r w:rsidR="00763613">
              <w:rPr>
                <w:rFonts w:ascii="Arial" w:hAnsi="Arial" w:cs="Arial"/>
                <w:sz w:val="18"/>
              </w:rPr>
              <w:t xml:space="preserve">: fast: </w:t>
            </w:r>
            <w:r w:rsidR="00763613" w:rsidRPr="004C0D22">
              <w:rPr>
                <w:rFonts w:ascii="Arial" w:hAnsi="Arial" w:cs="Arial"/>
                <w:sz w:val="18"/>
                <w:u w:val="single"/>
              </w:rPr>
              <w:t>&lt;</w:t>
            </w:r>
            <w:r w:rsidR="00763613">
              <w:rPr>
                <w:rFonts w:ascii="Arial" w:hAnsi="Arial" w:cs="Arial"/>
                <w:sz w:val="18"/>
              </w:rPr>
              <w:t xml:space="preserve">10s, intermediate: 11-14s &amp; slow: </w:t>
            </w:r>
            <w:r w:rsidR="00763613" w:rsidRPr="004C0D22">
              <w:rPr>
                <w:rFonts w:ascii="Arial" w:hAnsi="Arial" w:cs="Arial"/>
                <w:sz w:val="18"/>
                <w:u w:val="single"/>
              </w:rPr>
              <w:t>&gt;</w:t>
            </w:r>
            <w:r w:rsidR="00763613" w:rsidRPr="004C0D22">
              <w:rPr>
                <w:rFonts w:ascii="Arial" w:hAnsi="Arial" w:cs="Arial"/>
                <w:sz w:val="18"/>
              </w:rPr>
              <w:t>15s</w:t>
            </w:r>
          </w:p>
        </w:tc>
        <w:tc>
          <w:tcPr>
            <w:tcW w:w="4820" w:type="dxa"/>
          </w:tcPr>
          <w:p w:rsidR="006641A0" w:rsidRDefault="00763613" w:rsidP="00EE148C">
            <w:pPr>
              <w:pStyle w:val="Thesis"/>
              <w:spacing w:line="276" w:lineRule="auto"/>
              <w:rPr>
                <w:rFonts w:ascii="Arial" w:hAnsi="Arial" w:cs="Arial"/>
                <w:sz w:val="18"/>
              </w:rPr>
            </w:pPr>
            <w:r>
              <w:rPr>
                <w:rFonts w:ascii="Arial" w:hAnsi="Arial" w:cs="Arial"/>
                <w:sz w:val="18"/>
              </w:rPr>
              <w:t>Slower p</w:t>
            </w:r>
            <w:r w:rsidR="006641A0">
              <w:rPr>
                <w:rFonts w:ascii="Arial" w:hAnsi="Arial" w:cs="Arial"/>
                <w:sz w:val="18"/>
              </w:rPr>
              <w:t>erforman</w:t>
            </w:r>
            <w:r>
              <w:rPr>
                <w:rFonts w:ascii="Arial" w:hAnsi="Arial" w:cs="Arial"/>
                <w:sz w:val="18"/>
              </w:rPr>
              <w:t>ce was associated with higher incidence of post-operative complications</w:t>
            </w:r>
            <w:r w:rsidR="006641A0">
              <w:rPr>
                <w:rFonts w:ascii="Arial" w:hAnsi="Arial" w:cs="Arial"/>
                <w:sz w:val="18"/>
              </w:rPr>
              <w:t>.</w:t>
            </w:r>
          </w:p>
          <w:p w:rsidR="006641A0" w:rsidRDefault="006641A0" w:rsidP="00EE148C">
            <w:pPr>
              <w:pStyle w:val="Thesis"/>
              <w:spacing w:line="276" w:lineRule="auto"/>
              <w:rPr>
                <w:rFonts w:ascii="Arial" w:hAnsi="Arial" w:cs="Arial"/>
                <w:sz w:val="18"/>
              </w:rPr>
            </w:pPr>
          </w:p>
          <w:p w:rsidR="006641A0" w:rsidRPr="00633046" w:rsidRDefault="006641A0" w:rsidP="00763613">
            <w:pPr>
              <w:pStyle w:val="Thesis"/>
              <w:spacing w:line="276" w:lineRule="auto"/>
              <w:rPr>
                <w:rFonts w:ascii="Arial" w:hAnsi="Arial" w:cs="Arial"/>
                <w:sz w:val="18"/>
              </w:rPr>
            </w:pPr>
            <w:r>
              <w:rPr>
                <w:rFonts w:ascii="Arial" w:hAnsi="Arial" w:cs="Arial"/>
                <w:sz w:val="18"/>
              </w:rPr>
              <w:t>For colorectal surgery the timed-up-and-go was more able to predict post-operative complications than a standard surgical risk calculator.</w:t>
            </w:r>
          </w:p>
        </w:tc>
      </w:tr>
      <w:tr w:rsidR="00AD7DB3" w:rsidRPr="00A0507F" w:rsidTr="0033692D">
        <w:tc>
          <w:tcPr>
            <w:tcW w:w="1668" w:type="dxa"/>
          </w:tcPr>
          <w:p w:rsidR="0033692D" w:rsidRPr="00B95A0B" w:rsidRDefault="0033692D" w:rsidP="00EE148C">
            <w:pPr>
              <w:pStyle w:val="Thesis"/>
              <w:spacing w:line="276" w:lineRule="auto"/>
              <w:rPr>
                <w:rFonts w:ascii="Arial" w:hAnsi="Arial" w:cs="Arial"/>
                <w:sz w:val="18"/>
                <w:lang w:val="fr-FR"/>
              </w:rPr>
            </w:pPr>
            <w:r w:rsidRPr="008272D5">
              <w:rPr>
                <w:rFonts w:ascii="Arial" w:hAnsi="Arial" w:cs="Arial"/>
                <w:sz w:val="18"/>
              </w:rPr>
              <w:t>Hewitt et al., 2014</w:t>
            </w:r>
            <w:r>
              <w:rPr>
                <w:rFonts w:ascii="Arial" w:hAnsi="Arial" w:cs="Arial"/>
                <w:sz w:val="18"/>
              </w:rPr>
              <w:fldChar w:fldCharType="begin" w:fldLock="1"/>
            </w:r>
            <w:r w:rsidR="00AD7DB3">
              <w:rPr>
                <w:rFonts w:ascii="Arial" w:hAnsi="Arial" w:cs="Arial"/>
                <w:sz w:val="18"/>
              </w:rPr>
              <w:instrText>ADDIN CSL_CITATION { "citationItems" : [ { "id" : "ITEM-1", "itemData" : { "DOI" : "10.1016/j.amjsurg.2014.05.022", "ISSN" : "1879-1883", "PMID" : "25173599", "abstract" : "BACKGROUND: We assessed the prevalence of frailty in an older acute general surgical population and its correlation with length of hospital stay, readmission to hospital, and 30- and 90-day mortality. METHODS: In 3 acute surgical admission units, we assessed consecutive participants aged over 65 years with general surgical conditions. We measured the prevalence of frailty using a 7-point frailty score. We measured length of hospital stay, readmission to hospital, and mortality at both 30 and 90 days. RESULTS: We studied 325 participants with an average age of 77.3 years 8.2 (standard deviation), 185 (57%) women. There were 88 (28%) participants who were classified as being mildly, moderately, or severely frail. The frail group spent longer in hospital (7.6 days, 95% confidence interval [CI] 6.1 to 9.2 vs 11.1, 95% CI 7.2 to 15.0; P = .03). They also were more likely to die at both 30 and 90 days (adjusted odds ratio [OR] 4.0, 95% CI 1.1 to 15.2, P = .04; OR 3.0, 95% CI 1.3 to 7.4, P = .02). Readmission to hospital did not differ (OR 1.1, 95% CI .5 to 2.3). CONCLUSIONS: Over 1 in 4 people were frail. These individuals spent longer in hospital and were more likely to die.", "author" : [ { "dropping-particle" : "", "family" : "Hewitt", "given" : "Jonathan", "non-dropping-particle" : "", "parse-names" : false, "suffix" : "" }, { "dropping-particle" : "", "family" : "Moug", "given" : "Susan J", "non-dropping-particle" : "", "parse-names" : false, "suffix" : "" }, { "dropping-particle" : "", "family" : "Middleton", "given" : "Maeve", "non-dropping-particle" : "", "parse-names" : false, "suffix" : "" }, { "dropping-particle" : "", "family" : "Chakrabarti", "given" : "Mohua", "non-dropping-particle" : "", "parse-names" : false, "suffix" : "" }, { "dropping-particle" : "", "family" : "Stechman", "given" : "Micheal J", "non-dropping-particle" : "", "parse-names" : false, "suffix" : "" }, { "dropping-particle" : "", "family" : "McCarthy", "given" : "Kathryn", "non-dropping-particle" : "", "parse-names" : false, "suffix" : "" } ], "container-title" : "American journal of surgery", "id" : "ITEM-1", "issued" : { "date-parts" : [ [ "2014", "7", "27" ] ] }, "page" : "1-6", "publisher" : "Elsevier Inc", "title" : "Prevalence of frailty and its association with mortality in general surgery.", "type" : "article-journal" }, "uris" : [ "http://www.mendeley.com/documents/?uuid=5c97a7ce-564c-4996-b380-140224f2078c" ] } ], "mendeley" : { "previouslyFormattedCitation" : "&lt;sup&gt;(5)&lt;/sup&gt;" }, "properties" : { "noteIndex" : 0 }, "schema" : "https://github.com/citation-style-language/schema/raw/master/csl-citation.json" }</w:instrText>
            </w:r>
            <w:r>
              <w:rPr>
                <w:rFonts w:ascii="Arial" w:hAnsi="Arial" w:cs="Arial"/>
                <w:sz w:val="18"/>
              </w:rPr>
              <w:fldChar w:fldCharType="separate"/>
            </w:r>
            <w:r w:rsidR="00AD7DB3" w:rsidRPr="00AD7DB3">
              <w:rPr>
                <w:rFonts w:ascii="Arial" w:hAnsi="Arial" w:cs="Arial"/>
                <w:noProof/>
                <w:sz w:val="18"/>
                <w:vertAlign w:val="superscript"/>
                <w:lang w:val="fr-FR"/>
              </w:rPr>
              <w:t>(5)</w:t>
            </w:r>
            <w:r>
              <w:rPr>
                <w:rFonts w:ascii="Arial" w:hAnsi="Arial" w:cs="Arial"/>
                <w:sz w:val="18"/>
              </w:rPr>
              <w:fldChar w:fldCharType="end"/>
            </w:r>
          </w:p>
          <w:p w:rsidR="0033692D" w:rsidRPr="00B95A0B" w:rsidRDefault="0033692D" w:rsidP="00EE148C">
            <w:pPr>
              <w:pStyle w:val="Thesis"/>
              <w:spacing w:line="276" w:lineRule="auto"/>
              <w:rPr>
                <w:rFonts w:ascii="Arial" w:hAnsi="Arial" w:cs="Arial"/>
                <w:sz w:val="18"/>
                <w:lang w:val="fr-FR"/>
              </w:rPr>
            </w:pPr>
          </w:p>
          <w:p w:rsidR="0033692D" w:rsidRPr="00B95A0B" w:rsidRDefault="0033692D" w:rsidP="00EE148C">
            <w:pPr>
              <w:pStyle w:val="Thesis"/>
              <w:spacing w:line="276" w:lineRule="auto"/>
              <w:rPr>
                <w:rFonts w:ascii="Arial" w:hAnsi="Arial" w:cs="Arial"/>
                <w:sz w:val="18"/>
                <w:lang w:val="fr-FR"/>
              </w:rPr>
            </w:pPr>
            <w:r w:rsidRPr="00B95A0B">
              <w:rPr>
                <w:rFonts w:ascii="Arial" w:hAnsi="Arial" w:cs="Arial"/>
                <w:sz w:val="18"/>
                <w:lang w:val="fr-FR"/>
              </w:rPr>
              <w:t>UK</w:t>
            </w:r>
          </w:p>
        </w:tc>
        <w:tc>
          <w:tcPr>
            <w:tcW w:w="3756" w:type="dxa"/>
          </w:tcPr>
          <w:p w:rsidR="0033692D" w:rsidRDefault="0033692D" w:rsidP="00EE148C">
            <w:pPr>
              <w:pStyle w:val="Thesis"/>
              <w:spacing w:line="276" w:lineRule="auto"/>
              <w:rPr>
                <w:rFonts w:ascii="Arial" w:hAnsi="Arial" w:cs="Arial"/>
                <w:sz w:val="18"/>
              </w:rPr>
            </w:pPr>
            <w:r>
              <w:rPr>
                <w:rFonts w:ascii="Arial" w:hAnsi="Arial" w:cs="Arial"/>
                <w:sz w:val="18"/>
              </w:rPr>
              <w:t>325 patients</w:t>
            </w:r>
            <w:r w:rsidR="001D13EC">
              <w:rPr>
                <w:rFonts w:ascii="Arial" w:hAnsi="Arial" w:cs="Arial"/>
                <w:sz w:val="18"/>
              </w:rPr>
              <w:t xml:space="preserve"> </w:t>
            </w:r>
            <w:r>
              <w:rPr>
                <w:rFonts w:ascii="Arial" w:hAnsi="Arial" w:cs="Arial"/>
                <w:sz w:val="18"/>
              </w:rPr>
              <w:t>admitted to acute surgical units in 3 centres.</w:t>
            </w:r>
          </w:p>
          <w:p w:rsidR="0033692D" w:rsidRDefault="0033692D" w:rsidP="00EE148C">
            <w:pPr>
              <w:pStyle w:val="Thesis"/>
              <w:spacing w:line="276" w:lineRule="auto"/>
              <w:rPr>
                <w:rFonts w:ascii="Arial" w:hAnsi="Arial" w:cs="Arial"/>
                <w:sz w:val="18"/>
              </w:rPr>
            </w:pPr>
          </w:p>
          <w:p w:rsidR="0033692D" w:rsidRPr="00633046" w:rsidRDefault="001D13EC" w:rsidP="00EE148C">
            <w:pPr>
              <w:pStyle w:val="Thesis"/>
              <w:spacing w:line="276" w:lineRule="auto"/>
              <w:rPr>
                <w:rFonts w:ascii="Arial" w:hAnsi="Arial" w:cs="Arial"/>
                <w:sz w:val="18"/>
              </w:rPr>
            </w:pPr>
            <w:r w:rsidRPr="00633046">
              <w:rPr>
                <w:rFonts w:ascii="Arial" w:hAnsi="Arial" w:cs="Arial"/>
                <w:sz w:val="18"/>
              </w:rPr>
              <w:t>Age</w:t>
            </w:r>
            <w:r>
              <w:rPr>
                <w:rFonts w:ascii="Arial" w:hAnsi="Arial" w:cs="Arial"/>
                <w:sz w:val="18"/>
              </w:rPr>
              <w:t xml:space="preserve"> group:</w:t>
            </w:r>
            <w:r w:rsidRPr="00633046">
              <w:rPr>
                <w:rFonts w:ascii="Arial" w:hAnsi="Arial" w:cs="Arial"/>
                <w:sz w:val="18"/>
              </w:rPr>
              <w:t xml:space="preserve"> </w:t>
            </w:r>
            <w:r w:rsidRPr="00633046">
              <w:rPr>
                <w:rFonts w:ascii="Arial" w:hAnsi="Arial" w:cs="Arial"/>
                <w:sz w:val="18"/>
                <w:u w:val="single"/>
              </w:rPr>
              <w:t>&gt;</w:t>
            </w:r>
            <w:r w:rsidRPr="00633046">
              <w:rPr>
                <w:rFonts w:ascii="Arial" w:hAnsi="Arial" w:cs="Arial"/>
                <w:sz w:val="18"/>
              </w:rPr>
              <w:t>65 years</w:t>
            </w:r>
            <w:r>
              <w:rPr>
                <w:rFonts w:ascii="Arial" w:hAnsi="Arial" w:cs="Arial"/>
                <w:sz w:val="18"/>
              </w:rPr>
              <w:t xml:space="preserve">; </w:t>
            </w:r>
            <w:r w:rsidR="0033692D">
              <w:rPr>
                <w:rFonts w:ascii="Arial" w:hAnsi="Arial" w:cs="Arial"/>
                <w:sz w:val="18"/>
              </w:rPr>
              <w:t>43% men</w:t>
            </w:r>
          </w:p>
        </w:tc>
        <w:tc>
          <w:tcPr>
            <w:tcW w:w="3756" w:type="dxa"/>
          </w:tcPr>
          <w:p w:rsidR="0033692D" w:rsidRPr="00633046" w:rsidRDefault="00477484" w:rsidP="00EE148C">
            <w:pPr>
              <w:pStyle w:val="Thesis"/>
              <w:spacing w:line="276" w:lineRule="auto"/>
              <w:rPr>
                <w:rFonts w:ascii="Arial" w:hAnsi="Arial" w:cs="Arial"/>
                <w:sz w:val="18"/>
              </w:rPr>
            </w:pPr>
            <w:r>
              <w:rPr>
                <w:rFonts w:ascii="Arial" w:hAnsi="Arial" w:cs="Arial"/>
                <w:sz w:val="18"/>
              </w:rPr>
              <w:t>7-point c</w:t>
            </w:r>
            <w:r w:rsidR="0033692D">
              <w:rPr>
                <w:rFonts w:ascii="Arial" w:hAnsi="Arial" w:cs="Arial"/>
                <w:sz w:val="18"/>
              </w:rPr>
              <w:t>linical frailty scale (Rockwood)</w:t>
            </w:r>
          </w:p>
        </w:tc>
        <w:tc>
          <w:tcPr>
            <w:tcW w:w="4820" w:type="dxa"/>
          </w:tcPr>
          <w:p w:rsidR="0033692D" w:rsidRDefault="0033692D" w:rsidP="00EE148C">
            <w:pPr>
              <w:pStyle w:val="Thesis"/>
              <w:spacing w:line="276" w:lineRule="auto"/>
              <w:rPr>
                <w:rFonts w:ascii="Arial" w:hAnsi="Arial" w:cs="Arial"/>
                <w:sz w:val="18"/>
              </w:rPr>
            </w:pPr>
            <w:r>
              <w:rPr>
                <w:rFonts w:ascii="Arial" w:hAnsi="Arial" w:cs="Arial"/>
                <w:sz w:val="18"/>
              </w:rPr>
              <w:t>Frail</w:t>
            </w:r>
            <w:r w:rsidR="00763613">
              <w:rPr>
                <w:rFonts w:ascii="Arial" w:hAnsi="Arial" w:cs="Arial"/>
                <w:sz w:val="18"/>
              </w:rPr>
              <w:t xml:space="preserve">ty was associated with longer hospital length of stay and higher </w:t>
            </w:r>
            <w:r>
              <w:rPr>
                <w:rFonts w:ascii="Arial" w:hAnsi="Arial" w:cs="Arial"/>
                <w:sz w:val="18"/>
              </w:rPr>
              <w:t>30 and 90 day mor</w:t>
            </w:r>
            <w:r w:rsidR="00763613">
              <w:rPr>
                <w:rFonts w:ascii="Arial" w:hAnsi="Arial" w:cs="Arial"/>
                <w:sz w:val="18"/>
              </w:rPr>
              <w:t>tality.</w:t>
            </w:r>
          </w:p>
          <w:p w:rsidR="00763613" w:rsidRDefault="00763613" w:rsidP="00EE148C">
            <w:pPr>
              <w:pStyle w:val="Thesis"/>
              <w:spacing w:line="276" w:lineRule="auto"/>
              <w:rPr>
                <w:rFonts w:ascii="Arial" w:hAnsi="Arial" w:cs="Arial"/>
                <w:sz w:val="18"/>
              </w:rPr>
            </w:pPr>
          </w:p>
          <w:p w:rsidR="0033692D" w:rsidRPr="00633046" w:rsidRDefault="0033692D" w:rsidP="00EE148C">
            <w:pPr>
              <w:pStyle w:val="Thesis"/>
              <w:spacing w:after="40" w:line="276" w:lineRule="auto"/>
              <w:rPr>
                <w:rFonts w:ascii="Arial" w:hAnsi="Arial" w:cs="Arial"/>
                <w:sz w:val="18"/>
              </w:rPr>
            </w:pPr>
            <w:r>
              <w:rPr>
                <w:rFonts w:ascii="Arial" w:hAnsi="Arial" w:cs="Arial"/>
                <w:sz w:val="18"/>
              </w:rPr>
              <w:t>Re-admission rates did not differ</w:t>
            </w:r>
            <w:r w:rsidR="00C95DF7">
              <w:rPr>
                <w:rFonts w:ascii="Arial" w:hAnsi="Arial" w:cs="Arial"/>
                <w:sz w:val="18"/>
              </w:rPr>
              <w:t>.</w:t>
            </w:r>
            <w:r>
              <w:rPr>
                <w:rFonts w:ascii="Arial" w:hAnsi="Arial" w:cs="Arial"/>
                <w:sz w:val="18"/>
              </w:rPr>
              <w:t xml:space="preserve"> </w:t>
            </w:r>
          </w:p>
        </w:tc>
      </w:tr>
      <w:tr w:rsidR="00AD7DB3" w:rsidRPr="00A0507F" w:rsidTr="0033692D">
        <w:tc>
          <w:tcPr>
            <w:tcW w:w="1668" w:type="dxa"/>
          </w:tcPr>
          <w:p w:rsidR="0033692D" w:rsidRDefault="0033692D" w:rsidP="00EE148C">
            <w:pPr>
              <w:pStyle w:val="Thesis"/>
              <w:spacing w:line="276" w:lineRule="auto"/>
              <w:rPr>
                <w:rFonts w:ascii="Arial" w:hAnsi="Arial" w:cs="Arial"/>
                <w:sz w:val="18"/>
              </w:rPr>
            </w:pPr>
            <w:proofErr w:type="spellStart"/>
            <w:r>
              <w:rPr>
                <w:rFonts w:ascii="Arial" w:hAnsi="Arial" w:cs="Arial"/>
                <w:sz w:val="18"/>
              </w:rPr>
              <w:t>Revenig</w:t>
            </w:r>
            <w:proofErr w:type="spellEnd"/>
            <w:r>
              <w:rPr>
                <w:rFonts w:ascii="Arial" w:hAnsi="Arial" w:cs="Arial"/>
                <w:sz w:val="18"/>
              </w:rPr>
              <w:t xml:space="preserve"> et al., 2013</w:t>
            </w:r>
            <w:r w:rsidR="008272D5">
              <w:rPr>
                <w:rFonts w:ascii="Arial" w:hAnsi="Arial" w:cs="Arial"/>
                <w:sz w:val="18"/>
              </w:rPr>
              <w:fldChar w:fldCharType="begin" w:fldLock="1"/>
            </w:r>
            <w:r w:rsidR="00AD7DB3">
              <w:rPr>
                <w:rFonts w:ascii="Arial" w:hAnsi="Arial" w:cs="Arial"/>
                <w:sz w:val="18"/>
              </w:rPr>
              <w:instrText>ADDIN CSL_CITATION { "citationItems" : [ { "id" : "ITEM-1", "itemData" : { "DOI" : "10.1016/j.jamcollsurg.2013.06.012", "ISSN" : "1879-1190", "PMID" : "24054409", "abstract" : "BACKGROUND: The decision as to whether a patient can tolerate surgery is often subjective and can misjudge a patient's true physiologic state. The concept of frailty is an important assessment tool in the geriatric medical population, but has only recently gained attention in surgical patients. Frailty potentially represents a measureable phenotype, which, if quantified with a standardized protocol, could reliably estimate the risk of adverse surgical outcomes. STUDY DESIGN: Frailty was prospectively evaluated in the clinic setting in patients consenting for major general, oncologic, and urologic procedures. Evaluation included an established assessment tool (Hopkins Frailty Score), self-administered questionnaires, clinical assessment of performance status, and biochemical measures. Primary outcome was 30-day postoperative complications. RESULTS: There were 189 patients evaluated: 117 from urology, 52 from surgical oncology, and 20 from general surgery clinics. Mean age was 62 years, 59.8% were male, and 71.4% were Caucasian. Patients who scored intermediately frail or frail on the Hopkins Frailty Score were more likely to experience postoperative complications (odds ratio [OR] 2.07, 95% CI 1.05 to 4.08, p = 0.036). Of all other preoperative assessment tools, only higher hemoglobin (p = 0.033) had a significant association and was protective for 30-day complications. CONCLUSIONS: The aggregate score of patients as \"intermediately frail or frail\" on the Hopkins Frailty Score was predictive of a patient experiencing a postoperative complication. This preoperative assessment tool may prove beneficial when weighing the risks and benefits of surgery, allowing objective data to guide surgical decision-making and patient counseling.", "author" : [ { "dropping-particle" : "", "family" : "Revenig", "given" : "Louis M", "non-dropping-particle" : "", "parse-names" : false, "suffix" : "" }, { "dropping-particle" : "", "family" : "Canter", "given" : "Daniel J", "non-dropping-particle" : "", "parse-names" : false, "suffix" : "" }, { "dropping-particle" : "", "family" : "Taylor", "given" : "Maxwell D", "non-dropping-particle" : "", "parse-names" : false, "suffix" : "" }, { "dropping-particle" : "", "family" : "Tai", "given" : "Caroline", "non-dropping-particle" : "", "parse-names" : false, "suffix" : "" }, { "dropping-particle" : "", "family" : "Sweeney", "given" : "John F", "non-dropping-particle" : "", "parse-names" : false, "suffix" : "" }, { "dropping-particle" : "", "family" : "Sarmiento", "given" : "Juan M", "non-dropping-particle" : "", "parse-names" : false, "suffix" : "" }, { "dropping-particle" : "", "family" : "Kooby", "given" : "David A", "non-dropping-particle" : "", "parse-names" : false, "suffix" : "" }, { "dropping-particle" : "", "family" : "Maithel", "given" : "Shishir K", "non-dropping-particle" : "", "parse-names" : false, "suffix" : "" }, { "dropping-particle" : "", "family" : "Master", "given" : "Viraj A", "non-dropping-particle" : "", "parse-names" : false, "suffix" : "" }, { "dropping-particle" : "", "family" : "Ogan", "given" : "Kenneth", "non-dropping-particle" : "", "parse-names" : false, "suffix" : "" } ], "container-title" : "Journal of the American College of Surgeons", "id" : "ITEM-1", "issue" : "4", "issued" : { "date-parts" : [ [ "2013", "10" ] ] }, "page" : "665-670.e1", "title" : "Too frail for surgery? Initial results of a large multidisciplinary prospective study examining preoperative variables predictive of poor surgical outcomes.", "type" : "article-journal", "volume" : "217" }, "uris" : [ "http://www.mendeley.com/documents/?uuid=6fe378cf-8353-4966-9330-4fe0da8f5f6d" ] } ], "mendeley" : { "previouslyFormattedCitation" : "&lt;sup&gt;(6)&lt;/sup&gt;" }, "properties" : { "noteIndex" : 0 }, "schema" : "https://github.com/citation-style-language/schema/raw/master/csl-citation.json" }</w:instrText>
            </w:r>
            <w:r w:rsidR="008272D5">
              <w:rPr>
                <w:rFonts w:ascii="Arial" w:hAnsi="Arial" w:cs="Arial"/>
                <w:sz w:val="18"/>
              </w:rPr>
              <w:fldChar w:fldCharType="separate"/>
            </w:r>
            <w:r w:rsidR="00AD7DB3" w:rsidRPr="00AD7DB3">
              <w:rPr>
                <w:rFonts w:ascii="Arial" w:hAnsi="Arial" w:cs="Arial"/>
                <w:noProof/>
                <w:sz w:val="18"/>
                <w:vertAlign w:val="superscript"/>
              </w:rPr>
              <w:t>(6)</w:t>
            </w:r>
            <w:r w:rsidR="008272D5">
              <w:rPr>
                <w:rFonts w:ascii="Arial" w:hAnsi="Arial" w:cs="Arial"/>
                <w:sz w:val="18"/>
              </w:rPr>
              <w:fldChar w:fldCharType="end"/>
            </w:r>
          </w:p>
          <w:p w:rsidR="0033692D" w:rsidRDefault="0033692D" w:rsidP="00EE148C">
            <w:pPr>
              <w:pStyle w:val="Thesis"/>
              <w:spacing w:line="276" w:lineRule="auto"/>
              <w:rPr>
                <w:rFonts w:ascii="Arial" w:hAnsi="Arial" w:cs="Arial"/>
                <w:sz w:val="18"/>
              </w:rPr>
            </w:pPr>
          </w:p>
          <w:p w:rsidR="0033692D" w:rsidRPr="00633046" w:rsidRDefault="0033692D" w:rsidP="00EE148C">
            <w:pPr>
              <w:pStyle w:val="Thesis"/>
              <w:spacing w:line="276" w:lineRule="auto"/>
              <w:rPr>
                <w:rFonts w:ascii="Arial" w:hAnsi="Arial" w:cs="Arial"/>
                <w:sz w:val="18"/>
              </w:rPr>
            </w:pPr>
            <w:r>
              <w:rPr>
                <w:rFonts w:ascii="Arial" w:hAnsi="Arial" w:cs="Arial"/>
                <w:sz w:val="18"/>
              </w:rPr>
              <w:t>USA</w:t>
            </w:r>
          </w:p>
        </w:tc>
        <w:tc>
          <w:tcPr>
            <w:tcW w:w="3756" w:type="dxa"/>
          </w:tcPr>
          <w:p w:rsidR="0033692D" w:rsidRDefault="0033692D" w:rsidP="00EE148C">
            <w:pPr>
              <w:pStyle w:val="Thesis"/>
              <w:spacing w:line="276" w:lineRule="auto"/>
              <w:rPr>
                <w:rFonts w:ascii="Arial" w:hAnsi="Arial" w:cs="Arial"/>
                <w:sz w:val="18"/>
              </w:rPr>
            </w:pPr>
            <w:r>
              <w:rPr>
                <w:rFonts w:ascii="Arial" w:hAnsi="Arial" w:cs="Arial"/>
                <w:sz w:val="18"/>
              </w:rPr>
              <w:t xml:space="preserve">189 patients undergoing elective inpatient abdominal surgery </w:t>
            </w:r>
            <w:r w:rsidRPr="00633046">
              <w:rPr>
                <w:rFonts w:ascii="Arial" w:hAnsi="Arial" w:cs="Arial"/>
                <w:sz w:val="18"/>
              </w:rPr>
              <w:t xml:space="preserve">  </w:t>
            </w:r>
          </w:p>
          <w:p w:rsidR="001D13EC" w:rsidRDefault="001D13EC" w:rsidP="00EE148C">
            <w:pPr>
              <w:pStyle w:val="Thesis"/>
              <w:spacing w:line="276" w:lineRule="auto"/>
              <w:rPr>
                <w:rFonts w:ascii="Arial" w:hAnsi="Arial" w:cs="Arial"/>
                <w:sz w:val="18"/>
              </w:rPr>
            </w:pPr>
          </w:p>
          <w:p w:rsidR="0033692D" w:rsidRPr="00633046" w:rsidRDefault="00D030FC" w:rsidP="00D030FC">
            <w:pPr>
              <w:pStyle w:val="Thesis"/>
              <w:spacing w:line="276" w:lineRule="auto"/>
              <w:rPr>
                <w:rFonts w:ascii="Arial" w:hAnsi="Arial" w:cs="Arial"/>
                <w:sz w:val="18"/>
              </w:rPr>
            </w:pPr>
            <w:r>
              <w:rPr>
                <w:rFonts w:ascii="Arial" w:hAnsi="Arial" w:cs="Arial"/>
                <w:sz w:val="18"/>
              </w:rPr>
              <w:t xml:space="preserve">Age group: </w:t>
            </w:r>
            <w:r w:rsidRPr="003E37CD">
              <w:rPr>
                <w:rFonts w:ascii="Arial" w:hAnsi="Arial" w:cs="Arial"/>
                <w:sz w:val="18"/>
                <w:u w:val="single"/>
              </w:rPr>
              <w:t>&gt;</w:t>
            </w:r>
            <w:r>
              <w:rPr>
                <w:rFonts w:ascii="Arial" w:hAnsi="Arial" w:cs="Arial"/>
                <w:sz w:val="18"/>
              </w:rPr>
              <w:t xml:space="preserve">18 years; </w:t>
            </w:r>
            <w:r w:rsidR="0033692D">
              <w:rPr>
                <w:rFonts w:ascii="Arial" w:hAnsi="Arial" w:cs="Arial"/>
                <w:sz w:val="18"/>
              </w:rPr>
              <w:t>59.8% men</w:t>
            </w:r>
          </w:p>
        </w:tc>
        <w:tc>
          <w:tcPr>
            <w:tcW w:w="3756" w:type="dxa"/>
          </w:tcPr>
          <w:p w:rsidR="0033692D" w:rsidRPr="00633046" w:rsidRDefault="0033692D" w:rsidP="00EE148C">
            <w:pPr>
              <w:pStyle w:val="Thesis"/>
              <w:spacing w:line="276" w:lineRule="auto"/>
              <w:rPr>
                <w:rFonts w:ascii="Arial" w:hAnsi="Arial" w:cs="Arial"/>
                <w:sz w:val="18"/>
              </w:rPr>
            </w:pPr>
            <w:r>
              <w:rPr>
                <w:rFonts w:ascii="Arial" w:hAnsi="Arial" w:cs="Arial"/>
                <w:sz w:val="18"/>
              </w:rPr>
              <w:t>Fried-Hopkins Physical Frailty Phenotype</w:t>
            </w:r>
          </w:p>
        </w:tc>
        <w:tc>
          <w:tcPr>
            <w:tcW w:w="4820" w:type="dxa"/>
          </w:tcPr>
          <w:p w:rsidR="0033692D" w:rsidRDefault="0033692D" w:rsidP="00EE148C">
            <w:pPr>
              <w:pStyle w:val="Thesis"/>
              <w:spacing w:line="276" w:lineRule="auto"/>
              <w:rPr>
                <w:rFonts w:ascii="Arial" w:hAnsi="Arial" w:cs="Arial"/>
                <w:sz w:val="18"/>
              </w:rPr>
            </w:pPr>
            <w:r>
              <w:rPr>
                <w:rFonts w:ascii="Arial" w:hAnsi="Arial" w:cs="Arial"/>
                <w:sz w:val="18"/>
              </w:rPr>
              <w:t>Frail</w:t>
            </w:r>
            <w:r w:rsidR="00763613">
              <w:rPr>
                <w:rFonts w:ascii="Arial" w:hAnsi="Arial" w:cs="Arial"/>
                <w:sz w:val="18"/>
              </w:rPr>
              <w:t>ty</w:t>
            </w:r>
            <w:r>
              <w:rPr>
                <w:rFonts w:ascii="Arial" w:hAnsi="Arial" w:cs="Arial"/>
                <w:sz w:val="18"/>
              </w:rPr>
              <w:t xml:space="preserve"> and pre-frail</w:t>
            </w:r>
            <w:r w:rsidR="00763613">
              <w:rPr>
                <w:rFonts w:ascii="Arial" w:hAnsi="Arial" w:cs="Arial"/>
                <w:sz w:val="18"/>
              </w:rPr>
              <w:t>ty</w:t>
            </w:r>
            <w:r>
              <w:rPr>
                <w:rFonts w:ascii="Arial" w:hAnsi="Arial" w:cs="Arial"/>
                <w:sz w:val="18"/>
              </w:rPr>
              <w:t xml:space="preserve"> </w:t>
            </w:r>
            <w:r w:rsidR="00763613">
              <w:rPr>
                <w:rFonts w:ascii="Arial" w:hAnsi="Arial" w:cs="Arial"/>
                <w:sz w:val="18"/>
              </w:rPr>
              <w:t>was associated with higher incidence of post-operative complications.</w:t>
            </w:r>
          </w:p>
          <w:p w:rsidR="00763613" w:rsidRDefault="00763613" w:rsidP="00EE148C">
            <w:pPr>
              <w:pStyle w:val="Thesis"/>
              <w:spacing w:line="276" w:lineRule="auto"/>
              <w:rPr>
                <w:rFonts w:ascii="Arial" w:hAnsi="Arial" w:cs="Arial"/>
                <w:sz w:val="18"/>
              </w:rPr>
            </w:pPr>
          </w:p>
          <w:p w:rsidR="0033692D" w:rsidRPr="00633046" w:rsidRDefault="006C51E4" w:rsidP="006C51E4">
            <w:pPr>
              <w:pStyle w:val="Thesis"/>
              <w:spacing w:after="40" w:line="276" w:lineRule="auto"/>
              <w:rPr>
                <w:rFonts w:ascii="Arial" w:hAnsi="Arial" w:cs="Arial"/>
                <w:sz w:val="18"/>
              </w:rPr>
            </w:pPr>
            <w:r>
              <w:rPr>
                <w:rFonts w:ascii="Arial" w:hAnsi="Arial" w:cs="Arial"/>
                <w:sz w:val="18"/>
              </w:rPr>
              <w:t>The</w:t>
            </w:r>
            <w:r w:rsidR="0033692D">
              <w:rPr>
                <w:rFonts w:ascii="Arial" w:hAnsi="Arial" w:cs="Arial"/>
                <w:sz w:val="18"/>
              </w:rPr>
              <w:t xml:space="preserve"> ASA grade </w:t>
            </w:r>
            <w:r>
              <w:rPr>
                <w:rFonts w:ascii="Arial" w:hAnsi="Arial" w:cs="Arial"/>
                <w:sz w:val="18"/>
              </w:rPr>
              <w:t xml:space="preserve">was not associated with </w:t>
            </w:r>
            <w:r w:rsidR="0033692D">
              <w:rPr>
                <w:rFonts w:ascii="Arial" w:hAnsi="Arial" w:cs="Arial"/>
                <w:sz w:val="18"/>
              </w:rPr>
              <w:t>post-op</w:t>
            </w:r>
            <w:r w:rsidR="00763613">
              <w:rPr>
                <w:rFonts w:ascii="Arial" w:hAnsi="Arial" w:cs="Arial"/>
                <w:sz w:val="18"/>
              </w:rPr>
              <w:t>erative</w:t>
            </w:r>
            <w:r w:rsidR="0033692D">
              <w:rPr>
                <w:rFonts w:ascii="Arial" w:hAnsi="Arial" w:cs="Arial"/>
                <w:sz w:val="18"/>
              </w:rPr>
              <w:t xml:space="preserve"> complications</w:t>
            </w:r>
            <w:r w:rsidR="00C95DF7">
              <w:rPr>
                <w:rFonts w:ascii="Arial" w:hAnsi="Arial" w:cs="Arial"/>
                <w:sz w:val="18"/>
              </w:rPr>
              <w:t>.</w:t>
            </w:r>
          </w:p>
        </w:tc>
      </w:tr>
      <w:tr w:rsidR="00AD7DB3" w:rsidRPr="00A0507F" w:rsidTr="0033692D">
        <w:tc>
          <w:tcPr>
            <w:tcW w:w="1668" w:type="dxa"/>
          </w:tcPr>
          <w:p w:rsidR="0033692D" w:rsidRDefault="0033692D" w:rsidP="00EE148C">
            <w:pPr>
              <w:pStyle w:val="Thesis"/>
              <w:spacing w:line="276" w:lineRule="auto"/>
              <w:rPr>
                <w:rFonts w:ascii="Arial" w:hAnsi="Arial" w:cs="Arial"/>
                <w:sz w:val="18"/>
              </w:rPr>
            </w:pPr>
            <w:r>
              <w:rPr>
                <w:rFonts w:ascii="Arial" w:hAnsi="Arial" w:cs="Arial"/>
                <w:sz w:val="18"/>
              </w:rPr>
              <w:t>Kim et al., 2014</w:t>
            </w:r>
            <w:r w:rsidR="008272D5">
              <w:rPr>
                <w:rFonts w:ascii="Arial" w:hAnsi="Arial" w:cs="Arial"/>
                <w:sz w:val="18"/>
              </w:rPr>
              <w:fldChar w:fldCharType="begin" w:fldLock="1"/>
            </w:r>
            <w:r w:rsidR="00AD7DB3">
              <w:rPr>
                <w:rFonts w:ascii="Arial" w:hAnsi="Arial" w:cs="Arial"/>
                <w:sz w:val="18"/>
              </w:rPr>
              <w:instrText>ADDIN CSL_CITATION { "citationItems" : [ { "id" : "ITEM-1", "itemData" : { "DOI" : "10.1001/jamasurg.2014.241", "ISSN" : "2168-6262", "PMID" : "24804971", "abstract" : "IMPORTANCE: The number of geriatric patients who undergo surgery has been increasing, but there are insufficient tools to predict postoperative outcomes in the elderly.\n\nOBJECTIVE: To design a predictive model for adverse outcomes in older surgical patients.\n\nDESIGN, SETTING, AND PARTICIPANTS: From October 19, 2011, to July 31, 2012, a single tertiary care center enrolled 275 consecutive elderly patients (aged \u226565 years) undergoing intermediate-risk or high-risk elective operations in the Department of Surgery.\n\nMAIN OUTCOMES AND MEASURES: The primary outcome was the 1-year all-cause mortality rate. The secondary outcomes were postoperative complications (eg, pneumonia, urinary tract infection, delirium, acute pulmonary thromboembolism, and unplanned intensive care unit admission), length of hospital stay, and discharge to nursing facility.\n\nRESULTS: Twenty-five patients (9.1%) died during the follow-up period (median [interquartile range], 13.3 [11.5-16.1] months), including 4 in-hospital deaths after surgery. Twenty-nine patients (10.5%) experienced at least 1 complication after surgery and 24 (8.7%) were discharged to nursing facilities. Malignant disease and low serum albumin levels were more common in the patients who died. Among the geriatric assessment domains, Charlson Comorbidity Index, dependence in activities of daily living, dependence in instrumental activities of daily living, dementia, risk of delirium, short midarm circumference, and malnutrition were associated with increased mortality rates. A multidimensional frailty score model composed of the above items predicted all-cause mortality rates more accurately than the American Society of Anesthesiologists classification (area under the receiver operating characteristic curve, 0.821 vs 0.647; P\u2009=\u2009.01). The sensitivity and specificity for predicting all-cause mortality rates were 84.0% and 69.2%, respectively, according to the model's cutoff point (&gt;5 vs \u22645). High-risk patients (multidimensional frailty score &gt;5) showed increased postoperative mortality risk (hazard ratio, 9.01; 95% CI, 2.15-37.78; P\u2009=\u2009.003) and longer hospital stays after surgery (median [interquartile range], 9 [5-15] vs 6 [3-9] days; P\u2009&lt;\u2009.001).\n\nCONCLUSIONS AND RELEVANCE: The multidimensional frailty score based on comprehensive geriatric assessment is more useful than conventional methods for predicting outcomes in geriatric patients undergoing surgery.", "author" : [ { "dropping-particle" : "", "family" : "Kim", "given" : "Sun-wook", "non-dropping-particle" : "", "parse-names" : false, "suffix" : "" }, { "dropping-particle" : "", "family" : "Han", "given" : "Ho-Seong", "non-dropping-particle" : "", "parse-names" : false, "suffix" : "" }, { "dropping-particle" : "", "family" : "Jung", "given" : "Hee-won", "non-dropping-particle" : "", "parse-names" : false, "suffix" : "" }, { "dropping-particle" : "", "family" : "Kim", "given" : "Kwang-il", "non-dropping-particle" : "", "parse-names" : false, "suffix" : "" }, { "dropping-particle" : "", "family" : "Hwang", "given" : "Dae Wook", "non-dropping-particle" : "", "parse-names" : false, "suffix" : "" }, { "dropping-particle" : "", "family" : "Kang", "given" : "Sung-Bum", "non-dropping-particle" : "", "parse-names" : false, "suffix" : "" }, { "dropping-particle" : "", "family" : "Kim", "given" : "Cheol-Ho", "non-dropping-particle" : "", "parse-names" : false, "suffix" : "" } ], "container-title" : "JAMA surgery", "id" : "ITEM-1", "issue" : "7", "issued" : { "date-parts" : [ [ "2014", "7" ] ] }, "page" : "633-40", "title" : "Multidimensional frailty score for the prediction of postoperative mortality risk.", "type" : "article-journal", "volume" : "149" }, "uris" : [ "http://www.mendeley.com/documents/?uuid=4be79782-3be8-48c7-96c0-a185bf8c27db" ] } ], "mendeley" : { "previouslyFormattedCitation" : "&lt;sup&gt;(7)&lt;/sup&gt;" }, "properties" : { "noteIndex" : 0 }, "schema" : "https://github.com/citation-style-language/schema/raw/master/csl-citation.json" }</w:instrText>
            </w:r>
            <w:r w:rsidR="008272D5">
              <w:rPr>
                <w:rFonts w:ascii="Arial" w:hAnsi="Arial" w:cs="Arial"/>
                <w:sz w:val="18"/>
              </w:rPr>
              <w:fldChar w:fldCharType="separate"/>
            </w:r>
            <w:r w:rsidR="00AD7DB3" w:rsidRPr="00AD7DB3">
              <w:rPr>
                <w:rFonts w:ascii="Arial" w:hAnsi="Arial" w:cs="Arial"/>
                <w:noProof/>
                <w:sz w:val="18"/>
                <w:vertAlign w:val="superscript"/>
              </w:rPr>
              <w:t>(7)</w:t>
            </w:r>
            <w:r w:rsidR="008272D5">
              <w:rPr>
                <w:rFonts w:ascii="Arial" w:hAnsi="Arial" w:cs="Arial"/>
                <w:sz w:val="18"/>
              </w:rPr>
              <w:fldChar w:fldCharType="end"/>
            </w:r>
          </w:p>
          <w:p w:rsidR="0033692D" w:rsidRDefault="0033692D" w:rsidP="00EE148C">
            <w:pPr>
              <w:pStyle w:val="Thesis"/>
              <w:spacing w:line="276" w:lineRule="auto"/>
              <w:rPr>
                <w:rFonts w:ascii="Arial" w:hAnsi="Arial" w:cs="Arial"/>
                <w:sz w:val="18"/>
              </w:rPr>
            </w:pPr>
          </w:p>
          <w:p w:rsidR="0033692D" w:rsidRPr="00633046" w:rsidRDefault="0033692D" w:rsidP="00EE148C">
            <w:pPr>
              <w:pStyle w:val="Thesis"/>
              <w:spacing w:line="276" w:lineRule="auto"/>
              <w:rPr>
                <w:rFonts w:ascii="Arial" w:hAnsi="Arial" w:cs="Arial"/>
                <w:sz w:val="18"/>
              </w:rPr>
            </w:pPr>
            <w:r>
              <w:rPr>
                <w:rFonts w:ascii="Arial" w:hAnsi="Arial" w:cs="Arial"/>
                <w:sz w:val="18"/>
              </w:rPr>
              <w:t>Republic of Korea</w:t>
            </w:r>
          </w:p>
        </w:tc>
        <w:tc>
          <w:tcPr>
            <w:tcW w:w="3756" w:type="dxa"/>
          </w:tcPr>
          <w:p w:rsidR="0033692D" w:rsidRDefault="0033692D" w:rsidP="00EE148C">
            <w:pPr>
              <w:pStyle w:val="Thesis"/>
              <w:spacing w:line="276" w:lineRule="auto"/>
              <w:rPr>
                <w:rFonts w:ascii="Arial" w:hAnsi="Arial" w:cs="Arial"/>
                <w:sz w:val="18"/>
              </w:rPr>
            </w:pPr>
            <w:r>
              <w:rPr>
                <w:rFonts w:ascii="Arial" w:hAnsi="Arial" w:cs="Arial"/>
                <w:sz w:val="18"/>
              </w:rPr>
              <w:t>275 patients undergoing elective intermediate-high risk elective surgery</w:t>
            </w:r>
            <w:r w:rsidRPr="00633046">
              <w:rPr>
                <w:rFonts w:ascii="Arial" w:hAnsi="Arial" w:cs="Arial"/>
                <w:sz w:val="18"/>
              </w:rPr>
              <w:t xml:space="preserve"> </w:t>
            </w:r>
          </w:p>
          <w:p w:rsidR="00D030FC" w:rsidRDefault="00D030FC" w:rsidP="00EE148C">
            <w:pPr>
              <w:pStyle w:val="Thesis"/>
              <w:spacing w:line="276" w:lineRule="auto"/>
              <w:rPr>
                <w:rFonts w:ascii="Arial" w:hAnsi="Arial" w:cs="Arial"/>
                <w:sz w:val="18"/>
              </w:rPr>
            </w:pPr>
          </w:p>
          <w:p w:rsidR="0033692D" w:rsidRPr="00633046" w:rsidRDefault="00D030FC" w:rsidP="00EE148C">
            <w:pPr>
              <w:pStyle w:val="Thesis"/>
              <w:spacing w:line="276" w:lineRule="auto"/>
              <w:rPr>
                <w:rFonts w:ascii="Arial" w:hAnsi="Arial" w:cs="Arial"/>
                <w:sz w:val="18"/>
              </w:rPr>
            </w:pPr>
            <w:r w:rsidRPr="00633046">
              <w:rPr>
                <w:rFonts w:ascii="Arial" w:hAnsi="Arial" w:cs="Arial"/>
                <w:sz w:val="18"/>
              </w:rPr>
              <w:lastRenderedPageBreak/>
              <w:t>Age</w:t>
            </w:r>
            <w:r>
              <w:rPr>
                <w:rFonts w:ascii="Arial" w:hAnsi="Arial" w:cs="Arial"/>
                <w:sz w:val="18"/>
              </w:rPr>
              <w:t xml:space="preserve"> group:</w:t>
            </w:r>
            <w:r w:rsidRPr="00633046">
              <w:rPr>
                <w:rFonts w:ascii="Arial" w:hAnsi="Arial" w:cs="Arial"/>
                <w:sz w:val="18"/>
              </w:rPr>
              <w:t xml:space="preserve"> </w:t>
            </w:r>
            <w:r w:rsidRPr="00633046">
              <w:rPr>
                <w:rFonts w:ascii="Arial" w:hAnsi="Arial" w:cs="Arial"/>
                <w:sz w:val="18"/>
                <w:u w:val="single"/>
              </w:rPr>
              <w:t>&gt;</w:t>
            </w:r>
            <w:r w:rsidRPr="00633046">
              <w:rPr>
                <w:rFonts w:ascii="Arial" w:hAnsi="Arial" w:cs="Arial"/>
                <w:sz w:val="18"/>
              </w:rPr>
              <w:t>65 years</w:t>
            </w:r>
            <w:r>
              <w:rPr>
                <w:rFonts w:ascii="Arial" w:hAnsi="Arial" w:cs="Arial"/>
                <w:sz w:val="18"/>
              </w:rPr>
              <w:t xml:space="preserve">; </w:t>
            </w:r>
            <w:r w:rsidR="0033692D">
              <w:rPr>
                <w:rFonts w:ascii="Arial" w:hAnsi="Arial" w:cs="Arial"/>
                <w:sz w:val="18"/>
              </w:rPr>
              <w:t>54.9% men</w:t>
            </w:r>
          </w:p>
        </w:tc>
        <w:tc>
          <w:tcPr>
            <w:tcW w:w="3756" w:type="dxa"/>
          </w:tcPr>
          <w:p w:rsidR="0033692D" w:rsidRDefault="0033692D" w:rsidP="00EE148C">
            <w:pPr>
              <w:pStyle w:val="Thesis"/>
              <w:spacing w:line="276" w:lineRule="auto"/>
              <w:rPr>
                <w:rFonts w:ascii="Arial" w:hAnsi="Arial" w:cs="Arial"/>
                <w:sz w:val="18"/>
              </w:rPr>
            </w:pPr>
            <w:r>
              <w:rPr>
                <w:rFonts w:ascii="Arial" w:hAnsi="Arial" w:cs="Arial"/>
                <w:sz w:val="18"/>
              </w:rPr>
              <w:lastRenderedPageBreak/>
              <w:t>New multi-dimensional frailty score (MFS) based on:</w:t>
            </w:r>
          </w:p>
          <w:p w:rsidR="0033692D" w:rsidRDefault="0033692D" w:rsidP="00EE148C">
            <w:pPr>
              <w:pStyle w:val="Thesis"/>
              <w:spacing w:line="276" w:lineRule="auto"/>
              <w:rPr>
                <w:rFonts w:ascii="Arial" w:hAnsi="Arial" w:cs="Arial"/>
                <w:sz w:val="18"/>
              </w:rPr>
            </w:pPr>
            <w:r>
              <w:rPr>
                <w:rFonts w:ascii="Arial" w:hAnsi="Arial" w:cs="Arial"/>
                <w:sz w:val="18"/>
              </w:rPr>
              <w:t xml:space="preserve">   </w:t>
            </w:r>
            <w:r w:rsidR="00763613">
              <w:rPr>
                <w:rFonts w:ascii="Arial" w:hAnsi="Arial" w:cs="Arial"/>
                <w:sz w:val="18"/>
              </w:rPr>
              <w:t>comprehensive geriatric assessment</w:t>
            </w:r>
          </w:p>
          <w:p w:rsidR="0033692D" w:rsidRDefault="0033692D" w:rsidP="00EE148C">
            <w:pPr>
              <w:pStyle w:val="Thesis"/>
              <w:spacing w:line="276" w:lineRule="auto"/>
              <w:rPr>
                <w:rFonts w:ascii="Arial" w:hAnsi="Arial" w:cs="Arial"/>
                <w:sz w:val="18"/>
              </w:rPr>
            </w:pPr>
            <w:r>
              <w:rPr>
                <w:rFonts w:ascii="Arial" w:hAnsi="Arial" w:cs="Arial"/>
                <w:sz w:val="18"/>
              </w:rPr>
              <w:lastRenderedPageBreak/>
              <w:t xml:space="preserve">   patient characteristics </w:t>
            </w:r>
          </w:p>
          <w:p w:rsidR="0033692D" w:rsidRPr="00633046" w:rsidRDefault="0033692D" w:rsidP="00EE148C">
            <w:pPr>
              <w:pStyle w:val="Thesis"/>
              <w:spacing w:line="276" w:lineRule="auto"/>
              <w:rPr>
                <w:rFonts w:ascii="Arial" w:hAnsi="Arial" w:cs="Arial"/>
                <w:sz w:val="18"/>
              </w:rPr>
            </w:pPr>
            <w:r>
              <w:rPr>
                <w:rFonts w:ascii="Arial" w:hAnsi="Arial" w:cs="Arial"/>
                <w:sz w:val="18"/>
              </w:rPr>
              <w:t xml:space="preserve">   laboratory values</w:t>
            </w:r>
          </w:p>
        </w:tc>
        <w:tc>
          <w:tcPr>
            <w:tcW w:w="4820" w:type="dxa"/>
          </w:tcPr>
          <w:p w:rsidR="0033692D" w:rsidRDefault="00763613" w:rsidP="00EE148C">
            <w:pPr>
              <w:pStyle w:val="Thesis"/>
              <w:spacing w:line="276" w:lineRule="auto"/>
              <w:rPr>
                <w:rFonts w:ascii="Arial" w:hAnsi="Arial" w:cs="Arial"/>
                <w:sz w:val="18"/>
              </w:rPr>
            </w:pPr>
            <w:r>
              <w:rPr>
                <w:rFonts w:ascii="Arial" w:hAnsi="Arial" w:cs="Arial"/>
                <w:sz w:val="18"/>
              </w:rPr>
              <w:lastRenderedPageBreak/>
              <w:t xml:space="preserve">The </w:t>
            </w:r>
            <w:r w:rsidR="0033692D">
              <w:rPr>
                <w:rFonts w:ascii="Arial" w:hAnsi="Arial" w:cs="Arial"/>
                <w:sz w:val="18"/>
              </w:rPr>
              <w:t xml:space="preserve">MFS </w:t>
            </w:r>
            <w:r>
              <w:rPr>
                <w:rFonts w:ascii="Arial" w:hAnsi="Arial" w:cs="Arial"/>
                <w:sz w:val="18"/>
              </w:rPr>
              <w:t xml:space="preserve">was associated with higher </w:t>
            </w:r>
            <w:r w:rsidR="0033692D">
              <w:rPr>
                <w:rFonts w:ascii="Arial" w:hAnsi="Arial" w:cs="Arial"/>
                <w:sz w:val="18"/>
              </w:rPr>
              <w:t>mortality</w:t>
            </w:r>
            <w:r>
              <w:rPr>
                <w:rFonts w:ascii="Arial" w:hAnsi="Arial" w:cs="Arial"/>
                <w:sz w:val="18"/>
              </w:rPr>
              <w:t xml:space="preserve"> at 1 year, higher post-operative complications and institutionalisation</w:t>
            </w:r>
            <w:r w:rsidR="006C51E4">
              <w:rPr>
                <w:rFonts w:ascii="Arial" w:hAnsi="Arial" w:cs="Arial"/>
                <w:sz w:val="18"/>
              </w:rPr>
              <w:t xml:space="preserve"> on discharge.  </w:t>
            </w:r>
          </w:p>
          <w:p w:rsidR="006C51E4" w:rsidRDefault="006C51E4" w:rsidP="00EE148C">
            <w:pPr>
              <w:pStyle w:val="Thesis"/>
              <w:spacing w:line="276" w:lineRule="auto"/>
              <w:rPr>
                <w:rFonts w:ascii="Arial" w:hAnsi="Arial" w:cs="Arial"/>
                <w:sz w:val="18"/>
              </w:rPr>
            </w:pPr>
          </w:p>
          <w:p w:rsidR="0033692D" w:rsidRPr="00633046" w:rsidRDefault="006C51E4" w:rsidP="006C51E4">
            <w:pPr>
              <w:pStyle w:val="Thesis"/>
              <w:spacing w:line="276" w:lineRule="auto"/>
              <w:rPr>
                <w:rFonts w:ascii="Arial" w:hAnsi="Arial" w:cs="Arial"/>
                <w:sz w:val="18"/>
              </w:rPr>
            </w:pPr>
            <w:r>
              <w:rPr>
                <w:rFonts w:ascii="Arial" w:hAnsi="Arial" w:cs="Arial"/>
                <w:sz w:val="18"/>
              </w:rPr>
              <w:t>The MFS was superior to the ASA grade in terms of predicting these outcomes</w:t>
            </w:r>
            <w:r w:rsidR="00C95DF7">
              <w:rPr>
                <w:rFonts w:ascii="Arial" w:hAnsi="Arial" w:cs="Arial"/>
                <w:sz w:val="18"/>
              </w:rPr>
              <w:t>.</w:t>
            </w:r>
          </w:p>
        </w:tc>
      </w:tr>
      <w:tr w:rsidR="00AD7DB3" w:rsidRPr="00A0507F" w:rsidTr="0033692D">
        <w:tc>
          <w:tcPr>
            <w:tcW w:w="1668" w:type="dxa"/>
          </w:tcPr>
          <w:p w:rsidR="0033692D" w:rsidRDefault="0033692D" w:rsidP="00EE148C">
            <w:pPr>
              <w:pStyle w:val="Thesis"/>
              <w:spacing w:line="276" w:lineRule="auto"/>
              <w:rPr>
                <w:rFonts w:ascii="Arial" w:hAnsi="Arial" w:cs="Arial"/>
                <w:sz w:val="18"/>
              </w:rPr>
            </w:pPr>
            <w:r>
              <w:rPr>
                <w:rFonts w:ascii="Arial" w:hAnsi="Arial" w:cs="Arial"/>
                <w:sz w:val="18"/>
              </w:rPr>
              <w:lastRenderedPageBreak/>
              <w:t>Joseph et al, 2014</w:t>
            </w:r>
            <w:r w:rsidR="008272D5">
              <w:rPr>
                <w:rFonts w:ascii="Arial" w:hAnsi="Arial" w:cs="Arial"/>
                <w:sz w:val="18"/>
              </w:rPr>
              <w:fldChar w:fldCharType="begin" w:fldLock="1"/>
            </w:r>
            <w:r w:rsidR="00AD7DB3">
              <w:rPr>
                <w:rFonts w:ascii="Arial" w:hAnsi="Arial" w:cs="Arial"/>
                <w:sz w:val="18"/>
              </w:rPr>
              <w:instrText>ADDIN CSL_CITATION { "citationItems" : [ { "id" : "ITEM-1", "itemData" : { "DOI" : "10.1001/jamasurg.2014.296", "ISSN" : "2168-6262", "PMID" : "24920308", "abstract" : "IMPORTANCE: The Frailty Index (FI) is a known predictor of adverse outcomes in geriatric patients. The usefulness of the FI as an outcome measure in geriatric trauma patients is unknown.\n\nOBJECTIVE: To assess the usefulness of the FI as an effective assessment tool in predicting adverse outcomes in geriatric trauma patients.\n\nDESIGN, SETTING, AND PARTICIPANTS: A 2-year (June 2011 to February 2013) prospective cohort study at a level I trauma center at the University of Arizona. We prospectively measured frailty in all geriatric trauma patients. Geriatric patients were defined as those 65 years or older. The FI was calculated using 50 preadmission frailty variables. Frailty in patients was defined by an FI of 0.25 or higher.\n\nMAIN OUTCOMES AND MEASURES: The primary outcome measure was in-hospital complications. The secondary outcome measure was adverse discharge disposition. In-hospital complications were defined as cardiac, pulmonary, infectious, hematologic, renal, and reoperation. Adverse discharge disposition was defined as discharge to a skilled nursing facility or in-hospital mortality. Multivariate logistic regression was used to assess the relationship between the FI and outcomes.\n\nRESULTS: In total, 250 patients were enrolled, with a mean (SD) age of 77.9 (8.1) years, median Injury Severity Score of 15 (range, 9-18), median Glasgow Coma Scale score of 15 (range, 12-15), and mean (SD) FI of 0.21 (0.10). Forty-four percent (n\u2009=\u2009110) of patients had frailty. Patients with frailty were more likely to have in-hospital complications (odds ratio, 2.5; 95% CI, 1.5-6.0; P\u2009=\u2009.001) and adverse discharge disposition (odds ratio, 1.6; 95% CI, 1.1-2.4; P\u2009=\u2009.001). The mortality rate was 2.0% (n\u2009=\u20095), and all patients who died had frailty.\n\nCONCLUSIONS AND RELEVANCE: The FI is an independent predictor of in-hospital complications and adverse discharge disposition in geriatric trauma patients. This index should be used as a clinical tool for risk stratification in this patient group.", "author" : [ { "dropping-particle" : "", "family" : "Joseph", "given" : "Bellal", "non-dropping-particle" : "", "parse-names" : false, "suffix" : "" }, { "dropping-particle" : "", "family" : "Pandit", "given" : "Viraj", "non-dropping-particle" : "", "parse-names" : false, "suffix" : "" }, { "dropping-particle" : "", "family" : "Zangbar", "given" : "Bardiya", "non-dropping-particle" : "", "parse-names" : false, "suffix" : "" }, { "dropping-particle" : "", "family" : "Kulvatunyou", "given" : "Narong", "non-dropping-particle" : "", "parse-names" : false, "suffix" : "" }, { "dropping-particle" : "", "family" : "Hashmi", "given" : "Ammar", "non-dropping-particle" : "", "parse-names" : false, "suffix" : "" }, { "dropping-particle" : "", "family" : "Green", "given" : "Donald J", "non-dropping-particle" : "", "parse-names" : false, "suffix" : "" }, { "dropping-particle" : "", "family" : "O'Keeffe", "given" : "Terence", "non-dropping-particle" : "", "parse-names" : false, "suffix" : "" }, { "dropping-particle" : "", "family" : "Tang", "given" : "Andrew", "non-dropping-particle" : "", "parse-names" : false, "suffix" : "" }, { "dropping-particle" : "", "family" : "Vercruysse", "given" : "Gary", "non-dropping-particle" : "", "parse-names" : false, "suffix" : "" }, { "dropping-particle" : "", "family" : "Fain", "given" : "Mindy J", "non-dropping-particle" : "", "parse-names" : false, "suffix" : "" }, { "dropping-particle" : "", "family" : "Friese", "given" : "Randall S", "non-dropping-particle" : "", "parse-names" : false, "suffix" : "" }, { "dropping-particle" : "", "family" : "Rhee", "given" : "Peter", "non-dropping-particle" : "", "parse-names" : false, "suffix" : "" } ], "container-title" : "JAMA surgery", "id" : "ITEM-1", "issue" : "8", "issued" : { "date-parts" : [ [ "2014", "8" ] ] }, "page" : "766-72", "title" : "Superiority of frailty over age in predicting outcomes among geriatric trauma patients: a prospective analysis.", "type" : "article-journal", "volume" : "149" }, "uris" : [ "http://www.mendeley.com/documents/?uuid=ffae1641-7856-43a9-a8c3-3b05e7a195cc" ] } ], "mendeley" : { "previouslyFormattedCitation" : "&lt;sup&gt;(8)&lt;/sup&gt;" }, "properties" : { "noteIndex" : 0 }, "schema" : "https://github.com/citation-style-language/schema/raw/master/csl-citation.json" }</w:instrText>
            </w:r>
            <w:r w:rsidR="008272D5">
              <w:rPr>
                <w:rFonts w:ascii="Arial" w:hAnsi="Arial" w:cs="Arial"/>
                <w:sz w:val="18"/>
              </w:rPr>
              <w:fldChar w:fldCharType="separate"/>
            </w:r>
            <w:r w:rsidR="00AD7DB3" w:rsidRPr="00AD7DB3">
              <w:rPr>
                <w:rFonts w:ascii="Arial" w:hAnsi="Arial" w:cs="Arial"/>
                <w:noProof/>
                <w:sz w:val="18"/>
                <w:vertAlign w:val="superscript"/>
              </w:rPr>
              <w:t>(8)</w:t>
            </w:r>
            <w:r w:rsidR="008272D5">
              <w:rPr>
                <w:rFonts w:ascii="Arial" w:hAnsi="Arial" w:cs="Arial"/>
                <w:sz w:val="18"/>
              </w:rPr>
              <w:fldChar w:fldCharType="end"/>
            </w:r>
          </w:p>
          <w:p w:rsidR="0033692D" w:rsidRDefault="0033692D" w:rsidP="00EE148C">
            <w:pPr>
              <w:pStyle w:val="Thesis"/>
              <w:spacing w:line="276" w:lineRule="auto"/>
              <w:rPr>
                <w:rFonts w:ascii="Arial" w:hAnsi="Arial" w:cs="Arial"/>
                <w:sz w:val="18"/>
              </w:rPr>
            </w:pPr>
          </w:p>
          <w:p w:rsidR="0033692D" w:rsidRPr="00633046" w:rsidRDefault="0033692D" w:rsidP="00EE148C">
            <w:pPr>
              <w:pStyle w:val="Thesis"/>
              <w:spacing w:line="276" w:lineRule="auto"/>
              <w:rPr>
                <w:rFonts w:ascii="Arial" w:hAnsi="Arial" w:cs="Arial"/>
                <w:sz w:val="18"/>
              </w:rPr>
            </w:pPr>
            <w:r>
              <w:rPr>
                <w:rFonts w:ascii="Arial" w:hAnsi="Arial" w:cs="Arial"/>
                <w:sz w:val="18"/>
              </w:rPr>
              <w:t>USA</w:t>
            </w:r>
          </w:p>
        </w:tc>
        <w:tc>
          <w:tcPr>
            <w:tcW w:w="3756" w:type="dxa"/>
          </w:tcPr>
          <w:p w:rsidR="0033692D" w:rsidRDefault="0033692D" w:rsidP="00EE148C">
            <w:pPr>
              <w:pStyle w:val="Thesis"/>
              <w:spacing w:line="276" w:lineRule="auto"/>
              <w:rPr>
                <w:rFonts w:ascii="Arial" w:hAnsi="Arial" w:cs="Arial"/>
                <w:sz w:val="18"/>
              </w:rPr>
            </w:pPr>
            <w:r>
              <w:rPr>
                <w:rFonts w:ascii="Arial" w:hAnsi="Arial" w:cs="Arial"/>
                <w:sz w:val="18"/>
              </w:rPr>
              <w:t>250 patients admitted to a trauma unit</w:t>
            </w:r>
            <w:r w:rsidR="00126D50">
              <w:rPr>
                <w:rFonts w:ascii="Arial" w:hAnsi="Arial" w:cs="Arial"/>
                <w:sz w:val="18"/>
              </w:rPr>
              <w:t xml:space="preserve"> as an emergency</w:t>
            </w:r>
            <w:r>
              <w:rPr>
                <w:rFonts w:ascii="Arial" w:hAnsi="Arial" w:cs="Arial"/>
                <w:sz w:val="18"/>
              </w:rPr>
              <w:t>.</w:t>
            </w:r>
          </w:p>
          <w:p w:rsidR="0033692D" w:rsidRDefault="0033692D" w:rsidP="00EE148C">
            <w:pPr>
              <w:pStyle w:val="Thesis"/>
              <w:spacing w:line="276" w:lineRule="auto"/>
              <w:rPr>
                <w:rFonts w:ascii="Arial" w:hAnsi="Arial" w:cs="Arial"/>
                <w:sz w:val="18"/>
              </w:rPr>
            </w:pPr>
          </w:p>
          <w:p w:rsidR="0033692D" w:rsidRPr="00633046" w:rsidRDefault="00D030FC" w:rsidP="00EE148C">
            <w:pPr>
              <w:pStyle w:val="Thesis"/>
              <w:spacing w:line="276" w:lineRule="auto"/>
              <w:rPr>
                <w:rFonts w:ascii="Arial" w:hAnsi="Arial" w:cs="Arial"/>
                <w:sz w:val="18"/>
              </w:rPr>
            </w:pPr>
            <w:r w:rsidRPr="00633046">
              <w:rPr>
                <w:rFonts w:ascii="Arial" w:hAnsi="Arial" w:cs="Arial"/>
                <w:sz w:val="18"/>
              </w:rPr>
              <w:t>Age</w:t>
            </w:r>
            <w:r>
              <w:rPr>
                <w:rFonts w:ascii="Arial" w:hAnsi="Arial" w:cs="Arial"/>
                <w:sz w:val="18"/>
              </w:rPr>
              <w:t xml:space="preserve"> group:</w:t>
            </w:r>
            <w:r w:rsidRPr="00633046">
              <w:rPr>
                <w:rFonts w:ascii="Arial" w:hAnsi="Arial" w:cs="Arial"/>
                <w:sz w:val="18"/>
              </w:rPr>
              <w:t xml:space="preserve"> </w:t>
            </w:r>
            <w:r w:rsidRPr="00633046">
              <w:rPr>
                <w:rFonts w:ascii="Arial" w:hAnsi="Arial" w:cs="Arial"/>
                <w:sz w:val="18"/>
                <w:u w:val="single"/>
              </w:rPr>
              <w:t>&gt;</w:t>
            </w:r>
            <w:r w:rsidRPr="00633046">
              <w:rPr>
                <w:rFonts w:ascii="Arial" w:hAnsi="Arial" w:cs="Arial"/>
                <w:sz w:val="18"/>
              </w:rPr>
              <w:t>65 years</w:t>
            </w:r>
            <w:r>
              <w:rPr>
                <w:rFonts w:ascii="Arial" w:hAnsi="Arial" w:cs="Arial"/>
                <w:sz w:val="18"/>
              </w:rPr>
              <w:t xml:space="preserve">; </w:t>
            </w:r>
            <w:r w:rsidR="0033692D">
              <w:rPr>
                <w:rFonts w:ascii="Arial" w:hAnsi="Arial" w:cs="Arial"/>
                <w:sz w:val="18"/>
              </w:rPr>
              <w:t>69.2% men</w:t>
            </w:r>
          </w:p>
        </w:tc>
        <w:tc>
          <w:tcPr>
            <w:tcW w:w="3756" w:type="dxa"/>
          </w:tcPr>
          <w:p w:rsidR="0033692D" w:rsidRDefault="0033692D" w:rsidP="00EE148C">
            <w:pPr>
              <w:pStyle w:val="Thesis"/>
              <w:spacing w:line="276" w:lineRule="auto"/>
              <w:rPr>
                <w:rFonts w:ascii="Arial" w:hAnsi="Arial" w:cs="Arial"/>
                <w:sz w:val="18"/>
              </w:rPr>
            </w:pPr>
            <w:r>
              <w:rPr>
                <w:rFonts w:ascii="Arial" w:hAnsi="Arial" w:cs="Arial"/>
                <w:sz w:val="18"/>
              </w:rPr>
              <w:t>Canadian Study of Health &amp; Aging Frailty Index (</w:t>
            </w:r>
            <w:r w:rsidR="00C95DF7">
              <w:rPr>
                <w:rFonts w:ascii="Arial" w:hAnsi="Arial" w:cs="Arial"/>
                <w:sz w:val="18"/>
              </w:rPr>
              <w:t xml:space="preserve">FI; </w:t>
            </w:r>
            <w:r>
              <w:rPr>
                <w:rFonts w:ascii="Arial" w:hAnsi="Arial" w:cs="Arial"/>
                <w:sz w:val="18"/>
              </w:rPr>
              <w:t>50 item)</w:t>
            </w:r>
          </w:p>
          <w:p w:rsidR="0033692D" w:rsidRPr="00633046" w:rsidRDefault="0033692D" w:rsidP="00EE148C">
            <w:pPr>
              <w:pStyle w:val="Thesis"/>
              <w:spacing w:line="276" w:lineRule="auto"/>
              <w:rPr>
                <w:rFonts w:ascii="Arial" w:hAnsi="Arial" w:cs="Arial"/>
                <w:sz w:val="18"/>
              </w:rPr>
            </w:pPr>
            <w:r>
              <w:rPr>
                <w:rFonts w:ascii="Arial" w:hAnsi="Arial" w:cs="Arial"/>
                <w:sz w:val="18"/>
              </w:rPr>
              <w:t xml:space="preserve">     </w:t>
            </w:r>
          </w:p>
        </w:tc>
        <w:tc>
          <w:tcPr>
            <w:tcW w:w="4820" w:type="dxa"/>
          </w:tcPr>
          <w:p w:rsidR="0033692D" w:rsidRPr="003E37CD" w:rsidRDefault="0033692D" w:rsidP="006C51E4">
            <w:pPr>
              <w:pStyle w:val="Thesis"/>
              <w:spacing w:line="276" w:lineRule="auto"/>
              <w:rPr>
                <w:rFonts w:ascii="Arial" w:hAnsi="Arial" w:cs="Arial"/>
                <w:sz w:val="18"/>
              </w:rPr>
            </w:pPr>
            <w:r>
              <w:rPr>
                <w:rFonts w:ascii="Arial" w:hAnsi="Arial" w:cs="Arial"/>
                <w:sz w:val="18"/>
              </w:rPr>
              <w:t xml:space="preserve">A FI of </w:t>
            </w:r>
            <w:r w:rsidRPr="003E37CD">
              <w:rPr>
                <w:rFonts w:ascii="Arial" w:hAnsi="Arial" w:cs="Arial"/>
                <w:sz w:val="18"/>
                <w:u w:val="single"/>
              </w:rPr>
              <w:t>&gt;</w:t>
            </w:r>
            <w:r>
              <w:rPr>
                <w:rFonts w:ascii="Arial" w:hAnsi="Arial" w:cs="Arial"/>
                <w:sz w:val="18"/>
              </w:rPr>
              <w:t xml:space="preserve">0.25 was associated with a higher odds of in-hospital complications and death/ </w:t>
            </w:r>
            <w:r w:rsidR="004151FB">
              <w:rPr>
                <w:rFonts w:ascii="Arial" w:hAnsi="Arial" w:cs="Arial"/>
                <w:sz w:val="18"/>
              </w:rPr>
              <w:t>institutionalisation</w:t>
            </w:r>
            <w:r w:rsidR="006C51E4">
              <w:rPr>
                <w:rFonts w:ascii="Arial" w:hAnsi="Arial" w:cs="Arial"/>
                <w:sz w:val="18"/>
              </w:rPr>
              <w:t>.</w:t>
            </w:r>
            <w:r>
              <w:rPr>
                <w:rFonts w:ascii="Arial" w:hAnsi="Arial" w:cs="Arial"/>
                <w:sz w:val="18"/>
              </w:rPr>
              <w:t xml:space="preserve"> </w:t>
            </w:r>
          </w:p>
        </w:tc>
      </w:tr>
      <w:tr w:rsidR="00AD7DB3" w:rsidRPr="00A0507F" w:rsidTr="0033692D">
        <w:tc>
          <w:tcPr>
            <w:tcW w:w="1668" w:type="dxa"/>
          </w:tcPr>
          <w:p w:rsidR="0033692D" w:rsidRPr="008272D5" w:rsidRDefault="0033692D" w:rsidP="00EE148C">
            <w:pPr>
              <w:pStyle w:val="Thesis"/>
              <w:spacing w:line="276" w:lineRule="auto"/>
              <w:rPr>
                <w:rFonts w:ascii="Arial" w:hAnsi="Arial" w:cs="Arial"/>
                <w:sz w:val="18"/>
              </w:rPr>
            </w:pPr>
            <w:r w:rsidRPr="008272D5">
              <w:rPr>
                <w:rFonts w:ascii="Arial" w:hAnsi="Arial" w:cs="Arial"/>
                <w:sz w:val="18"/>
              </w:rPr>
              <w:t>Pol et al., 2011</w:t>
            </w:r>
            <w:r w:rsidR="008272D5">
              <w:rPr>
                <w:rFonts w:ascii="Arial" w:hAnsi="Arial" w:cs="Arial"/>
                <w:sz w:val="18"/>
              </w:rPr>
              <w:fldChar w:fldCharType="begin" w:fldLock="1"/>
            </w:r>
            <w:r w:rsidR="00AD7DB3">
              <w:rPr>
                <w:rFonts w:ascii="Arial" w:hAnsi="Arial" w:cs="Arial"/>
                <w:sz w:val="18"/>
              </w:rPr>
              <w:instrText>ADDIN CSL_CITATION { "citationItems" : [ { "id" : "ITEM-1", "itemData" : { "DOI" : "10.1016/j.ejvs.2011.07.006", "ISSN" : "1532-2165", "PMID" : "21810543", "abstract" : "OBJECTIVES: To determine whether the Groningen Frailty Indicator (GFI) has a positive predictive value for postoperative delirium (POD) after vascular surgery.\n\nMETHODS: Between March and August 2010, 142 consecutive vascular surgery patients were prospectively evaluated. Preoperatively, the GFI was obtained and postoperatively patients were screened with the Delirium Observation Scale (DOS). Patients with a DOS-score \u22653 points were assessed by a geriatrician. Delirium was defined by the DSM-IV-TR criteria. Primary outcome variable was the incidence of POD. Secondary outcome variables were any surgical complication and hospital length of stay (HLOS) (&gt;7 days).\n\nRESULTS: Ten patients (7%) developed POD. The highest incidence of POD was found after aortic surgery (17%) and amputation procedures (40%). Increased comorbidities (p = 0.006), GFI score (p = 0.03), renal insufficiency (p = 0.04), elevated C-reactive protein (p = 0.008), high American Society of Anaesthesiologists score (p = 0.05), a DOS-score of \u22653 points (p = 0.001), post-operative intensive care unit admittance (p = 0.01) and HLOS \u22657 days (p = 0.005) were risk factors for POD. The GFI score was not associated with a prolonged HLOS. A mean number of 2 \u00b1 1 (range 0-5) complications were registered. The receiver operator characteristics (ROC) area under the curve for the GFI was 0.70.\n\nCONCLUSIONS: The GFI can be helpful in the early identification of POD after vascular surgery in a select group of high-risk patients.", "author" : [ { "dropping-particle" : "", "family" : "Pol", "given" : "R a", "non-dropping-particle" : "", "parse-names" : false, "suffix" : "" }, { "dropping-particle" : "", "family" : "Leeuwen", "given" : "B L", "non-dropping-particle" : "van", "parse-names" : false, "suffix" : "" }, { "dropping-particle" : "", "family" : "Visser", "given" : "L", "non-dropping-particle" : "", "parse-names" : false, "suffix" : "" }, { "dropping-particle" : "", "family" : "Izaks", "given" : "G J", "non-dropping-particle" : "", "parse-names" : false, "suffix" : "" }, { "dropping-particle" : "", "family" : "Dungen", "given" : "J J a M", "non-dropping-particle" : "van den", "parse-names" : false, "suffix" : "" }, { "dropping-particle" : "", "family" : "Tielliu", "given" : "I F J", "non-dropping-particle" : "", "parse-names" : false, "suffix" : "" }, { "dropping-particle" : "", "family" : "Zeebregts", "given" : "C J", "non-dropping-particle" : "", "parse-names" : false, "suffix" : "" } ], "container-title" : "European journal of vascular and endovascular surgery : the official journal of the European Society for Vascular Surgery", "id" : "ITEM-1", "issue" : "6", "issued" : { "date-parts" : [ [ "2011", "12" ] ] }, "page" : "824-30", "publisher" : "Elsevier\u00a0Ltd", "title" : "Standardised frailty indicator as predictor for postoperative delirium after vascular surgery: a prospective cohort study.", "type" : "article-journal", "volume" : "42" }, "uris" : [ "http://www.mendeley.com/documents/?uuid=4345bc7c-20ab-4312-8bc0-f4fde4cab7e8" ] } ], "mendeley" : { "previouslyFormattedCitation" : "&lt;sup&gt;(9)&lt;/sup&gt;" }, "properties" : { "noteIndex" : 0 }, "schema" : "https://github.com/citation-style-language/schema/raw/master/csl-citation.json" }</w:instrText>
            </w:r>
            <w:r w:rsidR="008272D5">
              <w:rPr>
                <w:rFonts w:ascii="Arial" w:hAnsi="Arial" w:cs="Arial"/>
                <w:sz w:val="18"/>
              </w:rPr>
              <w:fldChar w:fldCharType="separate"/>
            </w:r>
            <w:r w:rsidR="00AD7DB3" w:rsidRPr="00AD7DB3">
              <w:rPr>
                <w:rFonts w:ascii="Arial" w:hAnsi="Arial" w:cs="Arial"/>
                <w:noProof/>
                <w:sz w:val="18"/>
                <w:vertAlign w:val="superscript"/>
              </w:rPr>
              <w:t>(9)</w:t>
            </w:r>
            <w:r w:rsidR="008272D5">
              <w:rPr>
                <w:rFonts w:ascii="Arial" w:hAnsi="Arial" w:cs="Arial"/>
                <w:sz w:val="18"/>
              </w:rPr>
              <w:fldChar w:fldCharType="end"/>
            </w:r>
          </w:p>
          <w:p w:rsidR="0033692D" w:rsidRPr="008272D5" w:rsidRDefault="0033692D" w:rsidP="00EE148C">
            <w:pPr>
              <w:pStyle w:val="Thesis"/>
              <w:spacing w:line="276" w:lineRule="auto"/>
              <w:rPr>
                <w:rFonts w:ascii="Arial" w:hAnsi="Arial" w:cs="Arial"/>
                <w:sz w:val="18"/>
              </w:rPr>
            </w:pPr>
          </w:p>
          <w:p w:rsidR="0033692D" w:rsidRPr="008272D5" w:rsidRDefault="0033692D" w:rsidP="00EE148C">
            <w:pPr>
              <w:pStyle w:val="Thesis"/>
              <w:spacing w:line="276" w:lineRule="auto"/>
              <w:rPr>
                <w:rFonts w:ascii="Arial" w:hAnsi="Arial" w:cs="Arial"/>
                <w:sz w:val="18"/>
              </w:rPr>
            </w:pPr>
            <w:r w:rsidRPr="008272D5">
              <w:rPr>
                <w:rFonts w:ascii="Arial" w:hAnsi="Arial" w:cs="Arial"/>
                <w:sz w:val="18"/>
              </w:rPr>
              <w:t>The Netherlands</w:t>
            </w:r>
          </w:p>
        </w:tc>
        <w:tc>
          <w:tcPr>
            <w:tcW w:w="3756" w:type="dxa"/>
          </w:tcPr>
          <w:p w:rsidR="0033692D" w:rsidRDefault="00126D50" w:rsidP="00126D50">
            <w:pPr>
              <w:pStyle w:val="Thesis"/>
              <w:spacing w:line="276" w:lineRule="auto"/>
              <w:rPr>
                <w:rFonts w:ascii="Arial" w:hAnsi="Arial" w:cs="Arial"/>
                <w:sz w:val="18"/>
              </w:rPr>
            </w:pPr>
            <w:r>
              <w:rPr>
                <w:rFonts w:ascii="Arial" w:hAnsi="Arial" w:cs="Arial"/>
                <w:sz w:val="18"/>
              </w:rPr>
              <w:t xml:space="preserve">142 patients admitted for elective </w:t>
            </w:r>
            <w:r w:rsidR="004151FB">
              <w:rPr>
                <w:rFonts w:ascii="Arial" w:hAnsi="Arial" w:cs="Arial"/>
                <w:sz w:val="18"/>
              </w:rPr>
              <w:t>vascular surgery</w:t>
            </w:r>
            <w:r>
              <w:rPr>
                <w:rFonts w:ascii="Arial" w:hAnsi="Arial" w:cs="Arial"/>
                <w:sz w:val="18"/>
              </w:rPr>
              <w:t xml:space="preserve">.  </w:t>
            </w:r>
          </w:p>
          <w:p w:rsidR="00126D50" w:rsidRDefault="00126D50" w:rsidP="00126D50">
            <w:pPr>
              <w:pStyle w:val="Thesis"/>
              <w:spacing w:line="276" w:lineRule="auto"/>
              <w:rPr>
                <w:rFonts w:ascii="Arial" w:hAnsi="Arial" w:cs="Arial"/>
                <w:sz w:val="18"/>
              </w:rPr>
            </w:pPr>
          </w:p>
          <w:p w:rsidR="00126D50" w:rsidRPr="00633046" w:rsidRDefault="00D030FC" w:rsidP="00D030FC">
            <w:pPr>
              <w:pStyle w:val="Thesis"/>
              <w:spacing w:line="276" w:lineRule="auto"/>
              <w:rPr>
                <w:rFonts w:ascii="Arial" w:hAnsi="Arial" w:cs="Arial"/>
                <w:sz w:val="18"/>
              </w:rPr>
            </w:pPr>
            <w:r w:rsidRPr="00633046">
              <w:rPr>
                <w:rFonts w:ascii="Arial" w:hAnsi="Arial" w:cs="Arial"/>
                <w:sz w:val="18"/>
              </w:rPr>
              <w:t>Age</w:t>
            </w:r>
            <w:r>
              <w:rPr>
                <w:rFonts w:ascii="Arial" w:hAnsi="Arial" w:cs="Arial"/>
                <w:sz w:val="18"/>
              </w:rPr>
              <w:t xml:space="preserve"> group:</w:t>
            </w:r>
            <w:r w:rsidRPr="00633046">
              <w:rPr>
                <w:rFonts w:ascii="Arial" w:hAnsi="Arial" w:cs="Arial"/>
                <w:sz w:val="18"/>
              </w:rPr>
              <w:t xml:space="preserve"> </w:t>
            </w:r>
            <w:r w:rsidRPr="00633046">
              <w:rPr>
                <w:rFonts w:ascii="Arial" w:hAnsi="Arial" w:cs="Arial"/>
                <w:sz w:val="18"/>
                <w:u w:val="single"/>
              </w:rPr>
              <w:t>&gt;</w:t>
            </w:r>
            <w:r>
              <w:rPr>
                <w:rFonts w:ascii="Arial" w:hAnsi="Arial" w:cs="Arial"/>
                <w:sz w:val="18"/>
              </w:rPr>
              <w:t>18</w:t>
            </w:r>
            <w:r w:rsidRPr="00633046">
              <w:rPr>
                <w:rFonts w:ascii="Arial" w:hAnsi="Arial" w:cs="Arial"/>
                <w:sz w:val="18"/>
              </w:rPr>
              <w:t xml:space="preserve"> years</w:t>
            </w:r>
            <w:r>
              <w:rPr>
                <w:rFonts w:ascii="Arial" w:hAnsi="Arial" w:cs="Arial"/>
                <w:sz w:val="18"/>
              </w:rPr>
              <w:t xml:space="preserve">; </w:t>
            </w:r>
            <w:r w:rsidR="00126D50">
              <w:rPr>
                <w:rFonts w:ascii="Arial" w:hAnsi="Arial" w:cs="Arial"/>
                <w:sz w:val="18"/>
              </w:rPr>
              <w:t>70% men</w:t>
            </w:r>
          </w:p>
        </w:tc>
        <w:tc>
          <w:tcPr>
            <w:tcW w:w="3756" w:type="dxa"/>
          </w:tcPr>
          <w:p w:rsidR="0033692D" w:rsidRPr="00633046" w:rsidRDefault="00126D50" w:rsidP="00EE148C">
            <w:pPr>
              <w:pStyle w:val="Thesis"/>
              <w:spacing w:line="276" w:lineRule="auto"/>
              <w:rPr>
                <w:rFonts w:ascii="Arial" w:hAnsi="Arial" w:cs="Arial"/>
                <w:sz w:val="18"/>
              </w:rPr>
            </w:pPr>
            <w:r>
              <w:rPr>
                <w:rFonts w:ascii="Arial" w:hAnsi="Arial" w:cs="Arial"/>
                <w:sz w:val="18"/>
              </w:rPr>
              <w:t xml:space="preserve">The Groningen Frailty Indicator (a 15 item questionnaire assessing mobility, vision, hearing, nutrition, co-morbidity, cognition and physical fitness) </w:t>
            </w:r>
          </w:p>
        </w:tc>
        <w:tc>
          <w:tcPr>
            <w:tcW w:w="4820" w:type="dxa"/>
          </w:tcPr>
          <w:p w:rsidR="0033692D" w:rsidRPr="00633046" w:rsidRDefault="00F663AA" w:rsidP="006C51E4">
            <w:pPr>
              <w:pStyle w:val="Thesis"/>
              <w:spacing w:line="276" w:lineRule="auto"/>
              <w:rPr>
                <w:rFonts w:ascii="Arial" w:hAnsi="Arial" w:cs="Arial"/>
                <w:sz w:val="18"/>
              </w:rPr>
            </w:pPr>
            <w:r>
              <w:rPr>
                <w:rFonts w:ascii="Arial" w:hAnsi="Arial" w:cs="Arial"/>
                <w:sz w:val="18"/>
              </w:rPr>
              <w:t>A frailty score of</w:t>
            </w:r>
            <w:r w:rsidRPr="00F663AA">
              <w:rPr>
                <w:rFonts w:ascii="Arial" w:hAnsi="Arial" w:cs="Arial"/>
                <w:sz w:val="18"/>
              </w:rPr>
              <w:t xml:space="preserve"> </w:t>
            </w:r>
            <w:r w:rsidRPr="00633046">
              <w:rPr>
                <w:rFonts w:ascii="Arial" w:hAnsi="Arial" w:cs="Arial"/>
                <w:sz w:val="18"/>
                <w:u w:val="single"/>
              </w:rPr>
              <w:t>&gt;</w:t>
            </w:r>
            <w:r>
              <w:rPr>
                <w:rFonts w:ascii="Arial" w:hAnsi="Arial" w:cs="Arial"/>
                <w:sz w:val="18"/>
              </w:rPr>
              <w:t xml:space="preserve"> 4 points </w:t>
            </w:r>
            <w:r w:rsidR="006C51E4">
              <w:rPr>
                <w:rFonts w:ascii="Arial" w:hAnsi="Arial" w:cs="Arial"/>
                <w:sz w:val="18"/>
              </w:rPr>
              <w:t>was associated with higher odds of</w:t>
            </w:r>
            <w:r>
              <w:rPr>
                <w:rFonts w:ascii="Arial" w:hAnsi="Arial" w:cs="Arial"/>
                <w:sz w:val="18"/>
              </w:rPr>
              <w:t xml:space="preserve"> post-operative delirium.  </w:t>
            </w:r>
          </w:p>
        </w:tc>
      </w:tr>
      <w:tr w:rsidR="00AD7DB3" w:rsidRPr="00A0507F" w:rsidTr="0033692D">
        <w:tc>
          <w:tcPr>
            <w:tcW w:w="1668" w:type="dxa"/>
          </w:tcPr>
          <w:p w:rsidR="0033692D" w:rsidRDefault="004151FB" w:rsidP="00EE148C">
            <w:pPr>
              <w:pStyle w:val="Thesis"/>
              <w:spacing w:line="276" w:lineRule="auto"/>
              <w:rPr>
                <w:rFonts w:ascii="Arial" w:hAnsi="Arial" w:cs="Arial"/>
                <w:sz w:val="18"/>
              </w:rPr>
            </w:pPr>
            <w:r>
              <w:rPr>
                <w:rFonts w:ascii="Arial" w:hAnsi="Arial" w:cs="Arial"/>
                <w:sz w:val="18"/>
              </w:rPr>
              <w:t>Dale et al., 2014</w:t>
            </w:r>
            <w:r w:rsidR="008272D5">
              <w:rPr>
                <w:rFonts w:ascii="Arial" w:hAnsi="Arial" w:cs="Arial"/>
                <w:sz w:val="18"/>
              </w:rPr>
              <w:fldChar w:fldCharType="begin" w:fldLock="1"/>
            </w:r>
            <w:r w:rsidR="00AD7DB3">
              <w:rPr>
                <w:rFonts w:ascii="Arial" w:hAnsi="Arial" w:cs="Arial"/>
                <w:sz w:val="18"/>
              </w:rPr>
              <w:instrText>ADDIN CSL_CITATION { "citationItems" : [ { "id" : "ITEM-1", "itemData" : { "DOI" : "10.1097/SLA.0000000000000226", "ISSN" : "1528-1140", "PMID" : "24096757", "abstract" : "OBJECTIVE: To prospectively evaluate the additional value of geriatric assessment (GA) for predicting surgical outcomes in a cohort of older patients undergoing a pancreaticoduodenectomy (PD) for pancreatic tumors. BACKGROUND: Older patients are less often referred for possible PD. Standard preoperative assessments may underestimate the likelihood of significant adverse outcomes. The prospective utility of validated GA has not been studied in this group. METHODS: PD-eligible patients were enrolled in a prospective outcome study. Standard preoperative assessments were recorded. Elements of validated GA were also measured, including components of Fried's model of frailty, the Vulnerable Elders Survey (VES-13), and the Short Physical Performance Battery (SPPB). All postoperative adverse events were recorded, systematically reviewed, and graded using the Clavien-Dindo system by a surgeon blinded to the GA results. Multivariate regression analyses were conducted. RESULTS: Seventy-six older patients underwent a PD. Significant unrecognized vulnerability was identified at the baseline: Fried's \"exhaustion\" (37.3%), SPPB &lt;10 (28.5%), and VES-13 &gt;3 (15.4%). Within 30 days of PD, 46% experienced a severe complication (Clavien-Dindo grade \u2265III). In regression analyses controlling for age, the body mass index, the American Society of Anesthesiologists score, and comorbidity burden, Fried's \"exhaustion\" predicted major complications [odds ratio (OR) = 4.06; P = 0.01], longer hospital stays (\u03b2 = 0.27; P = 0.02), and surgical intensive care unit admissions (OR = 4.30; P = 0.01). Both SPPB (OR = 0.61; P = 0.04) and older age predicted discharge to a rehabilitation facility (OR = 1.1; P &lt; 0.05) and age correlated with a lower likelihood of hospital readmission (OR = 0.94; P = 0.02). CONCLUSIONS: Controlling for standard preoperative assessments, worse scores on GA prospectively and independently predicted important adverse outcomes. Geriatric assessment may help identify older patients at high risk for complications from PD.", "author" : [ { "dropping-particle" : "", "family" : "Dale", "given" : "William", "non-dropping-particle" : "", "parse-names" : false, "suffix" : "" }, { "dropping-particle" : "", "family" : "Hemmerich", "given" : "Joshua", "non-dropping-particle" : "", "parse-names" : false, "suffix" : "" }, { "dropping-particle" : "", "family" : "Kamm", "given" : "Alaine", "non-dropping-particle" : "", "parse-names" : false, "suffix" : "" }, { "dropping-particle" : "", "family" : "Posner", "given" : "Mitchell C", "non-dropping-particle" : "", "parse-names" : false, "suffix" : "" }, { "dropping-particle" : "", "family" : "Matthews", "given" : "Jeffrey B", "non-dropping-particle" : "", "parse-names" : false, "suffix" : "" }, { "dropping-particle" : "", "family" : "Rothman", "given" : "Randi", "non-dropping-particle" : "", "parse-names" : false, "suffix" : "" }, { "dropping-particle" : "", "family" : "Palakodeti", "given" : "Aparna", "non-dropping-particle" : "", "parse-names" : false, "suffix" : "" }, { "dropping-particle" : "", "family" : "Roggin", "given" : "Kevin K", "non-dropping-particle" : "", "parse-names" : false, "suffix" : "" } ], "container-title" : "Annals of surgery", "id" : "ITEM-1", "issue" : "5", "issued" : { "date-parts" : [ [ "2014", "5" ] ] }, "page" : "960-5", "title" : "Geriatric assessment improves prediction of surgical outcomes in older adults undergoing pancreaticoduodenectomy: a prospective cohort study.", "type" : "article-journal", "volume" : "259" }, "uris" : [ "http://www.mendeley.com/documents/?uuid=82cae7e6-08fd-4930-bfa9-2a8f1fe73131" ] } ], "mendeley" : { "previouslyFormattedCitation" : "&lt;sup&gt;(10)&lt;/sup&gt;" }, "properties" : { "noteIndex" : 0 }, "schema" : "https://github.com/citation-style-language/schema/raw/master/csl-citation.json" }</w:instrText>
            </w:r>
            <w:r w:rsidR="008272D5">
              <w:rPr>
                <w:rFonts w:ascii="Arial" w:hAnsi="Arial" w:cs="Arial"/>
                <w:sz w:val="18"/>
              </w:rPr>
              <w:fldChar w:fldCharType="separate"/>
            </w:r>
            <w:r w:rsidR="00AD7DB3" w:rsidRPr="00AD7DB3">
              <w:rPr>
                <w:rFonts w:ascii="Arial" w:hAnsi="Arial" w:cs="Arial"/>
                <w:noProof/>
                <w:sz w:val="18"/>
                <w:vertAlign w:val="superscript"/>
              </w:rPr>
              <w:t>(10)</w:t>
            </w:r>
            <w:r w:rsidR="008272D5">
              <w:rPr>
                <w:rFonts w:ascii="Arial" w:hAnsi="Arial" w:cs="Arial"/>
                <w:sz w:val="18"/>
              </w:rPr>
              <w:fldChar w:fldCharType="end"/>
            </w:r>
          </w:p>
          <w:p w:rsidR="004151FB" w:rsidRDefault="004151FB" w:rsidP="00EE148C">
            <w:pPr>
              <w:pStyle w:val="Thesis"/>
              <w:spacing w:line="276" w:lineRule="auto"/>
              <w:rPr>
                <w:rFonts w:ascii="Arial" w:hAnsi="Arial" w:cs="Arial"/>
                <w:sz w:val="18"/>
              </w:rPr>
            </w:pPr>
          </w:p>
          <w:p w:rsidR="004151FB" w:rsidRPr="00633046" w:rsidRDefault="004151FB" w:rsidP="00EE148C">
            <w:pPr>
              <w:pStyle w:val="Thesis"/>
              <w:spacing w:line="276" w:lineRule="auto"/>
              <w:rPr>
                <w:rFonts w:ascii="Arial" w:hAnsi="Arial" w:cs="Arial"/>
                <w:sz w:val="18"/>
              </w:rPr>
            </w:pPr>
            <w:r>
              <w:rPr>
                <w:rFonts w:ascii="Arial" w:hAnsi="Arial" w:cs="Arial"/>
                <w:sz w:val="18"/>
              </w:rPr>
              <w:t>USA</w:t>
            </w:r>
          </w:p>
        </w:tc>
        <w:tc>
          <w:tcPr>
            <w:tcW w:w="3756" w:type="dxa"/>
          </w:tcPr>
          <w:p w:rsidR="0033692D" w:rsidRDefault="004151FB" w:rsidP="00EE148C">
            <w:pPr>
              <w:pStyle w:val="Thesis"/>
              <w:spacing w:line="276" w:lineRule="auto"/>
              <w:rPr>
                <w:rFonts w:ascii="Arial" w:hAnsi="Arial" w:cs="Arial"/>
                <w:sz w:val="18"/>
              </w:rPr>
            </w:pPr>
            <w:r>
              <w:rPr>
                <w:rFonts w:ascii="Arial" w:hAnsi="Arial" w:cs="Arial"/>
                <w:sz w:val="18"/>
              </w:rPr>
              <w:t xml:space="preserve">76 patients referred for elective </w:t>
            </w:r>
            <w:proofErr w:type="spellStart"/>
            <w:r>
              <w:rPr>
                <w:rFonts w:ascii="Arial" w:hAnsi="Arial" w:cs="Arial"/>
                <w:sz w:val="18"/>
              </w:rPr>
              <w:t>pancreaticoduodenectomy</w:t>
            </w:r>
            <w:proofErr w:type="spellEnd"/>
          </w:p>
          <w:p w:rsidR="004151FB" w:rsidRDefault="004151FB" w:rsidP="00EE148C">
            <w:pPr>
              <w:pStyle w:val="Thesis"/>
              <w:spacing w:line="276" w:lineRule="auto"/>
              <w:rPr>
                <w:rFonts w:ascii="Arial" w:hAnsi="Arial" w:cs="Arial"/>
                <w:sz w:val="18"/>
              </w:rPr>
            </w:pPr>
          </w:p>
          <w:p w:rsidR="004151FB" w:rsidRPr="00633046" w:rsidRDefault="00D030FC" w:rsidP="00EE148C">
            <w:pPr>
              <w:pStyle w:val="Thesis"/>
              <w:spacing w:line="276" w:lineRule="auto"/>
              <w:rPr>
                <w:rFonts w:ascii="Arial" w:hAnsi="Arial" w:cs="Arial"/>
                <w:sz w:val="18"/>
              </w:rPr>
            </w:pPr>
            <w:r w:rsidRPr="00633046">
              <w:rPr>
                <w:rFonts w:ascii="Arial" w:hAnsi="Arial" w:cs="Arial"/>
                <w:sz w:val="18"/>
              </w:rPr>
              <w:t>Age</w:t>
            </w:r>
            <w:r>
              <w:rPr>
                <w:rFonts w:ascii="Arial" w:hAnsi="Arial" w:cs="Arial"/>
                <w:sz w:val="18"/>
              </w:rPr>
              <w:t xml:space="preserve"> group:</w:t>
            </w:r>
            <w:r w:rsidRPr="00633046">
              <w:rPr>
                <w:rFonts w:ascii="Arial" w:hAnsi="Arial" w:cs="Arial"/>
                <w:sz w:val="18"/>
              </w:rPr>
              <w:t xml:space="preserve"> </w:t>
            </w:r>
            <w:r w:rsidRPr="00633046">
              <w:rPr>
                <w:rFonts w:ascii="Arial" w:hAnsi="Arial" w:cs="Arial"/>
                <w:sz w:val="18"/>
                <w:u w:val="single"/>
              </w:rPr>
              <w:t>&gt;</w:t>
            </w:r>
            <w:r>
              <w:rPr>
                <w:rFonts w:ascii="Arial" w:hAnsi="Arial" w:cs="Arial"/>
                <w:sz w:val="18"/>
              </w:rPr>
              <w:t>18</w:t>
            </w:r>
            <w:r w:rsidRPr="00633046">
              <w:rPr>
                <w:rFonts w:ascii="Arial" w:hAnsi="Arial" w:cs="Arial"/>
                <w:sz w:val="18"/>
              </w:rPr>
              <w:t xml:space="preserve"> years</w:t>
            </w:r>
            <w:r>
              <w:rPr>
                <w:rFonts w:ascii="Arial" w:hAnsi="Arial" w:cs="Arial"/>
                <w:sz w:val="18"/>
              </w:rPr>
              <w:t xml:space="preserve">; </w:t>
            </w:r>
            <w:r w:rsidR="004151FB">
              <w:rPr>
                <w:rFonts w:ascii="Arial" w:hAnsi="Arial" w:cs="Arial"/>
                <w:sz w:val="18"/>
              </w:rPr>
              <w:t>55.3% men</w:t>
            </w:r>
          </w:p>
        </w:tc>
        <w:tc>
          <w:tcPr>
            <w:tcW w:w="3756" w:type="dxa"/>
          </w:tcPr>
          <w:p w:rsidR="0033692D" w:rsidRPr="00633046" w:rsidRDefault="00F03A55" w:rsidP="00F03A55">
            <w:pPr>
              <w:pStyle w:val="Thesis"/>
              <w:spacing w:line="276" w:lineRule="auto"/>
              <w:rPr>
                <w:rFonts w:ascii="Arial" w:hAnsi="Arial" w:cs="Arial"/>
                <w:sz w:val="18"/>
              </w:rPr>
            </w:pPr>
            <w:r>
              <w:rPr>
                <w:rFonts w:ascii="Arial" w:hAnsi="Arial" w:cs="Arial"/>
                <w:sz w:val="18"/>
              </w:rPr>
              <w:t xml:space="preserve">Grip strength, slow walking speed, self-reported exhaustion, </w:t>
            </w:r>
            <w:r w:rsidR="00B2580A">
              <w:rPr>
                <w:rFonts w:ascii="Arial" w:hAnsi="Arial" w:cs="Arial"/>
                <w:sz w:val="18"/>
              </w:rPr>
              <w:t>weight loss</w:t>
            </w:r>
            <w:r>
              <w:rPr>
                <w:rFonts w:ascii="Arial" w:hAnsi="Arial" w:cs="Arial"/>
                <w:sz w:val="18"/>
              </w:rPr>
              <w:t xml:space="preserve">, Vulnerable Elders Survey-13 (a function based frailty screening tool), and the Short Physical Performance Battery (a series of objective tests of lower extremity function)   </w:t>
            </w:r>
          </w:p>
        </w:tc>
        <w:tc>
          <w:tcPr>
            <w:tcW w:w="4820" w:type="dxa"/>
          </w:tcPr>
          <w:p w:rsidR="0033692D" w:rsidRDefault="00B2580A" w:rsidP="00B2580A">
            <w:pPr>
              <w:pStyle w:val="Thesis"/>
              <w:spacing w:line="276" w:lineRule="auto"/>
              <w:rPr>
                <w:rFonts w:ascii="Arial" w:hAnsi="Arial" w:cs="Arial"/>
                <w:sz w:val="18"/>
              </w:rPr>
            </w:pPr>
            <w:r>
              <w:rPr>
                <w:rFonts w:ascii="Arial" w:hAnsi="Arial" w:cs="Arial"/>
                <w:sz w:val="18"/>
              </w:rPr>
              <w:t>Only self-reported exhaustion was consistently associated with adverse outcome after surgery, longer hospital stay</w:t>
            </w:r>
            <w:r w:rsidR="006C51E4">
              <w:rPr>
                <w:rFonts w:ascii="Arial" w:hAnsi="Arial" w:cs="Arial"/>
                <w:sz w:val="18"/>
              </w:rPr>
              <w:t xml:space="preserve"> and intensive care unit admission.</w:t>
            </w:r>
          </w:p>
          <w:p w:rsidR="00B2580A" w:rsidRPr="00633046" w:rsidRDefault="006C51E4" w:rsidP="00B2580A">
            <w:pPr>
              <w:pStyle w:val="Thesis"/>
              <w:spacing w:line="276" w:lineRule="auto"/>
              <w:rPr>
                <w:rFonts w:ascii="Arial" w:hAnsi="Arial" w:cs="Arial"/>
                <w:sz w:val="18"/>
              </w:rPr>
            </w:pPr>
            <w:r>
              <w:rPr>
                <w:rFonts w:ascii="Arial" w:hAnsi="Arial" w:cs="Arial"/>
                <w:sz w:val="18"/>
              </w:rPr>
              <w:t>The ASA grade</w:t>
            </w:r>
            <w:r w:rsidR="00B2580A">
              <w:rPr>
                <w:rFonts w:ascii="Arial" w:hAnsi="Arial" w:cs="Arial"/>
                <w:sz w:val="18"/>
              </w:rPr>
              <w:t xml:space="preserve"> was not associated with any of the outcomes considered.</w:t>
            </w:r>
          </w:p>
        </w:tc>
      </w:tr>
      <w:tr w:rsidR="00AD7DB3" w:rsidRPr="00A0507F" w:rsidTr="0033692D">
        <w:tc>
          <w:tcPr>
            <w:tcW w:w="1668" w:type="dxa"/>
          </w:tcPr>
          <w:p w:rsidR="0033692D" w:rsidRDefault="00B2580A" w:rsidP="00EE148C">
            <w:pPr>
              <w:pStyle w:val="Thesis"/>
              <w:spacing w:line="276" w:lineRule="auto"/>
              <w:rPr>
                <w:rFonts w:ascii="Arial" w:hAnsi="Arial" w:cs="Arial"/>
                <w:sz w:val="18"/>
              </w:rPr>
            </w:pPr>
            <w:proofErr w:type="spellStart"/>
            <w:r>
              <w:rPr>
                <w:rFonts w:ascii="Arial" w:hAnsi="Arial" w:cs="Arial"/>
                <w:sz w:val="18"/>
              </w:rPr>
              <w:t>Odonkor</w:t>
            </w:r>
            <w:proofErr w:type="spellEnd"/>
            <w:r>
              <w:rPr>
                <w:rFonts w:ascii="Arial" w:hAnsi="Arial" w:cs="Arial"/>
                <w:sz w:val="18"/>
              </w:rPr>
              <w:t xml:space="preserve"> et al., 2013</w:t>
            </w:r>
            <w:r w:rsidR="008272D5">
              <w:rPr>
                <w:rFonts w:ascii="Arial" w:hAnsi="Arial" w:cs="Arial"/>
                <w:sz w:val="18"/>
              </w:rPr>
              <w:fldChar w:fldCharType="begin" w:fldLock="1"/>
            </w:r>
            <w:r w:rsidR="00AD7DB3">
              <w:rPr>
                <w:rFonts w:ascii="Arial" w:hAnsi="Arial" w:cs="Arial"/>
                <w:sz w:val="18"/>
              </w:rPr>
              <w:instrText>ADDIN CSL_CITATION { "citationItems" : [ { "id" : "ITEM-1", "itemData" : { "DOI" : "10.1097/PHM.0b013e3182a51ac5", "ISSN" : "1537-7385", "PMID" : "24051992", "abstract" : "OBJECTIVE: The primary aims of this study were to design prediction models based on a functional marker (preoperative gait speed) to predict readiness for home discharge time of 90 mins or less and to identify those at risk for unplanned admissions after elective ambulatory surgery. DESIGN: This prospective observational cohort study evaluated all patients scheduled for elective ambulatory surgery. Home discharge readiness and unplanned admissions were the primary outcomes. Independent variables included preoperative gait speed, heart rate, and total anesthesia time. The relationship between all predictors and each primary outcome was determined in separate multivariable logistic regression models. RESULTS: After adjustment for covariates, gait speed with adjusted odds ratio of 3.71 (95% confidence interval, 1.21-11.26), P = 0.02, was independently associated with early home discharge readiness of 90 mins or less. Importantly, gait speed dichotomized as greater or less than 1 m/sec predicted unplanned admissions, with odds ratio of 0.35 (95% confidence interval, 0.16-0.76, P = 0.008) for those with speeds 1 m/sec or greater in comparison with those with speeds less than 1 m/sec. In a separate model, history of cardiac surgery with adjusted odds ratio of 7.5 (95% confidence interval, 2.34-24.41; P = 0.001) was independently associated with unplanned admissions after elective ambulatory surgery, when other covariates were held constant. CONCLUSIONS: This study demonstrates the use of novel prediction models based on gait speed testing to predict early home discharge and to identify those patients at risk for unplanned admissions after elective ambulatory surgery.", "author" : [ { "dropping-particle" : "", "family" : "Odonkor", "given" : "Charles A", "non-dropping-particle" : "", "parse-names" : false, "suffix" : "" }, { "dropping-particle" : "", "family" : "Schonberger", "given" : "Robert B", "non-dropping-particle" : "", "parse-names" : false, "suffix" : "" }, { "dropping-particle" : "", "family" : "Dai", "given" : "Feng", "non-dropping-particle" : "", "parse-names" : false, "suffix" : "" }, { "dropping-particle" : "", "family" : "Shelley", "given" : "Kirk H", "non-dropping-particle" : "", "parse-names" : false, "suffix" : "" }, { "dropping-particle" : "", "family" : "Silverman", "given" : "David G", "non-dropping-particle" : "", "parse-names" : false, "suffix" : "" }, { "dropping-particle" : "", "family" : "Barash", "given" : "Paul G", "non-dropping-particle" : "", "parse-names" : false, "suffix" : "" } ], "container-title" : "American journal of physical medicine &amp; rehabilitation / Association of Academic Physiatrists", "id" : "ITEM-1", "issue" : "10", "issued" : { "date-parts" : [ [ "2013", "10" ] ] }, "page" : "849-63", "title" : "New utility for an old tool: can a simple gait speed test predict ambulatory surgical discharge outcomes?", "type" : "article-journal", "volume" : "92" }, "uris" : [ "http://www.mendeley.com/documents/?uuid=0d6eefcf-a4fb-44bf-958d-03e53033da73" ] } ], "mendeley" : { "previouslyFormattedCitation" : "&lt;sup&gt;(11)&lt;/sup&gt;" }, "properties" : { "noteIndex" : 0 }, "schema" : "https://github.com/citation-style-language/schema/raw/master/csl-citation.json" }</w:instrText>
            </w:r>
            <w:r w:rsidR="008272D5">
              <w:rPr>
                <w:rFonts w:ascii="Arial" w:hAnsi="Arial" w:cs="Arial"/>
                <w:sz w:val="18"/>
              </w:rPr>
              <w:fldChar w:fldCharType="separate"/>
            </w:r>
            <w:r w:rsidR="00AD7DB3" w:rsidRPr="00AD7DB3">
              <w:rPr>
                <w:rFonts w:ascii="Arial" w:hAnsi="Arial" w:cs="Arial"/>
                <w:noProof/>
                <w:sz w:val="18"/>
                <w:vertAlign w:val="superscript"/>
              </w:rPr>
              <w:t>(11)</w:t>
            </w:r>
            <w:r w:rsidR="008272D5">
              <w:rPr>
                <w:rFonts w:ascii="Arial" w:hAnsi="Arial" w:cs="Arial"/>
                <w:sz w:val="18"/>
              </w:rPr>
              <w:fldChar w:fldCharType="end"/>
            </w:r>
          </w:p>
          <w:p w:rsidR="00B2580A" w:rsidRDefault="00B2580A" w:rsidP="00EE148C">
            <w:pPr>
              <w:pStyle w:val="Thesis"/>
              <w:spacing w:line="276" w:lineRule="auto"/>
              <w:rPr>
                <w:rFonts w:ascii="Arial" w:hAnsi="Arial" w:cs="Arial"/>
                <w:sz w:val="18"/>
              </w:rPr>
            </w:pPr>
          </w:p>
          <w:p w:rsidR="00B2580A" w:rsidRPr="00633046" w:rsidRDefault="00B2580A" w:rsidP="00EE148C">
            <w:pPr>
              <w:pStyle w:val="Thesis"/>
              <w:spacing w:line="276" w:lineRule="auto"/>
              <w:rPr>
                <w:rFonts w:ascii="Arial" w:hAnsi="Arial" w:cs="Arial"/>
                <w:sz w:val="18"/>
              </w:rPr>
            </w:pPr>
            <w:r>
              <w:rPr>
                <w:rFonts w:ascii="Arial" w:hAnsi="Arial" w:cs="Arial"/>
                <w:sz w:val="18"/>
              </w:rPr>
              <w:t>USA</w:t>
            </w:r>
          </w:p>
        </w:tc>
        <w:tc>
          <w:tcPr>
            <w:tcW w:w="3756" w:type="dxa"/>
          </w:tcPr>
          <w:p w:rsidR="00B2580A" w:rsidRDefault="00B2580A" w:rsidP="00B2580A">
            <w:pPr>
              <w:pStyle w:val="Thesis"/>
              <w:spacing w:line="276" w:lineRule="auto"/>
              <w:rPr>
                <w:rFonts w:ascii="Arial" w:hAnsi="Arial" w:cs="Arial"/>
                <w:sz w:val="18"/>
              </w:rPr>
            </w:pPr>
            <w:r>
              <w:rPr>
                <w:rFonts w:ascii="Arial" w:hAnsi="Arial" w:cs="Arial"/>
                <w:sz w:val="18"/>
              </w:rPr>
              <w:t xml:space="preserve">602 patients admitted for elective ambulatory surgery.  </w:t>
            </w:r>
          </w:p>
          <w:p w:rsidR="00B2580A" w:rsidRDefault="00B2580A" w:rsidP="00B2580A">
            <w:pPr>
              <w:pStyle w:val="Thesis"/>
              <w:spacing w:line="276" w:lineRule="auto"/>
              <w:rPr>
                <w:rFonts w:ascii="Arial" w:hAnsi="Arial" w:cs="Arial"/>
                <w:sz w:val="18"/>
              </w:rPr>
            </w:pPr>
          </w:p>
          <w:p w:rsidR="0033692D" w:rsidRPr="00633046" w:rsidRDefault="00D030FC" w:rsidP="00EE148C">
            <w:pPr>
              <w:pStyle w:val="Thesis"/>
              <w:spacing w:line="276" w:lineRule="auto"/>
              <w:rPr>
                <w:rFonts w:ascii="Arial" w:hAnsi="Arial" w:cs="Arial"/>
                <w:sz w:val="18"/>
              </w:rPr>
            </w:pPr>
            <w:r w:rsidRPr="00633046">
              <w:rPr>
                <w:rFonts w:ascii="Arial" w:hAnsi="Arial" w:cs="Arial"/>
                <w:sz w:val="18"/>
              </w:rPr>
              <w:t>Age</w:t>
            </w:r>
            <w:r>
              <w:rPr>
                <w:rFonts w:ascii="Arial" w:hAnsi="Arial" w:cs="Arial"/>
                <w:sz w:val="18"/>
              </w:rPr>
              <w:t xml:space="preserve"> group:</w:t>
            </w:r>
            <w:r w:rsidRPr="00633046">
              <w:rPr>
                <w:rFonts w:ascii="Arial" w:hAnsi="Arial" w:cs="Arial"/>
                <w:sz w:val="18"/>
              </w:rPr>
              <w:t xml:space="preserve"> </w:t>
            </w:r>
            <w:r w:rsidRPr="00633046">
              <w:rPr>
                <w:rFonts w:ascii="Arial" w:hAnsi="Arial" w:cs="Arial"/>
                <w:sz w:val="18"/>
                <w:u w:val="single"/>
              </w:rPr>
              <w:t>&gt;</w:t>
            </w:r>
            <w:r>
              <w:rPr>
                <w:rFonts w:ascii="Arial" w:hAnsi="Arial" w:cs="Arial"/>
                <w:sz w:val="18"/>
              </w:rPr>
              <w:t>18</w:t>
            </w:r>
            <w:r w:rsidRPr="00633046">
              <w:rPr>
                <w:rFonts w:ascii="Arial" w:hAnsi="Arial" w:cs="Arial"/>
                <w:sz w:val="18"/>
              </w:rPr>
              <w:t xml:space="preserve"> years</w:t>
            </w:r>
            <w:r>
              <w:rPr>
                <w:rFonts w:ascii="Arial" w:hAnsi="Arial" w:cs="Arial"/>
                <w:sz w:val="18"/>
              </w:rPr>
              <w:t xml:space="preserve">; </w:t>
            </w:r>
            <w:r w:rsidR="00247AA7">
              <w:rPr>
                <w:rFonts w:ascii="Arial" w:hAnsi="Arial" w:cs="Arial"/>
                <w:sz w:val="18"/>
              </w:rPr>
              <w:t>46% men</w:t>
            </w:r>
          </w:p>
        </w:tc>
        <w:tc>
          <w:tcPr>
            <w:tcW w:w="3756" w:type="dxa"/>
          </w:tcPr>
          <w:p w:rsidR="0033692D" w:rsidRPr="00633046" w:rsidRDefault="00247AA7" w:rsidP="00EE148C">
            <w:pPr>
              <w:pStyle w:val="Thesis"/>
              <w:spacing w:line="276" w:lineRule="auto"/>
              <w:rPr>
                <w:rFonts w:ascii="Arial" w:hAnsi="Arial" w:cs="Arial"/>
                <w:sz w:val="18"/>
              </w:rPr>
            </w:pPr>
            <w:r>
              <w:rPr>
                <w:rFonts w:ascii="Arial" w:hAnsi="Arial" w:cs="Arial"/>
                <w:sz w:val="18"/>
              </w:rPr>
              <w:t>20ft gait speed test (meters/second)</w:t>
            </w:r>
          </w:p>
        </w:tc>
        <w:tc>
          <w:tcPr>
            <w:tcW w:w="4820" w:type="dxa"/>
          </w:tcPr>
          <w:p w:rsidR="0033692D" w:rsidRDefault="00247AA7" w:rsidP="00403D38">
            <w:pPr>
              <w:pStyle w:val="Thesis"/>
              <w:spacing w:line="276" w:lineRule="auto"/>
              <w:rPr>
                <w:rFonts w:ascii="Arial" w:hAnsi="Arial" w:cs="Arial"/>
                <w:sz w:val="18"/>
              </w:rPr>
            </w:pPr>
            <w:r>
              <w:rPr>
                <w:rFonts w:ascii="Arial" w:hAnsi="Arial" w:cs="Arial"/>
                <w:sz w:val="18"/>
              </w:rPr>
              <w:t xml:space="preserve">Gait speed was associated with </w:t>
            </w:r>
            <w:r w:rsidR="00403D38">
              <w:rPr>
                <w:rFonts w:ascii="Arial" w:hAnsi="Arial" w:cs="Arial"/>
                <w:sz w:val="18"/>
              </w:rPr>
              <w:t>the probability of being ready for discharge home within 90 minutes of surgery</w:t>
            </w:r>
            <w:r w:rsidR="006C51E4">
              <w:rPr>
                <w:rFonts w:ascii="Arial" w:hAnsi="Arial" w:cs="Arial"/>
                <w:sz w:val="18"/>
              </w:rPr>
              <w:t>.</w:t>
            </w:r>
            <w:r w:rsidR="00403D38">
              <w:rPr>
                <w:rFonts w:ascii="Arial" w:hAnsi="Arial" w:cs="Arial"/>
                <w:sz w:val="18"/>
              </w:rPr>
              <w:t xml:space="preserve"> Those with fast (</w:t>
            </w:r>
            <w:r w:rsidR="00403D38" w:rsidRPr="00403D38">
              <w:rPr>
                <w:rFonts w:ascii="Arial" w:hAnsi="Arial" w:cs="Arial"/>
                <w:sz w:val="18"/>
                <w:u w:val="single"/>
              </w:rPr>
              <w:t>&gt;</w:t>
            </w:r>
            <w:r w:rsidR="00403D38">
              <w:rPr>
                <w:rFonts w:ascii="Arial" w:hAnsi="Arial" w:cs="Arial"/>
                <w:sz w:val="18"/>
              </w:rPr>
              <w:t xml:space="preserve">1.0m/s) gait speed also had a lower probability of unplanned </w:t>
            </w:r>
            <w:r w:rsidR="006C51E4">
              <w:rPr>
                <w:rFonts w:ascii="Arial" w:hAnsi="Arial" w:cs="Arial"/>
                <w:sz w:val="18"/>
              </w:rPr>
              <w:t>admission following surgery.</w:t>
            </w:r>
          </w:p>
          <w:p w:rsidR="00403D38" w:rsidRDefault="00403D38" w:rsidP="00403D38">
            <w:pPr>
              <w:pStyle w:val="Thesis"/>
              <w:spacing w:line="276" w:lineRule="auto"/>
              <w:rPr>
                <w:rFonts w:ascii="Arial" w:hAnsi="Arial" w:cs="Arial"/>
                <w:sz w:val="18"/>
              </w:rPr>
            </w:pPr>
          </w:p>
          <w:p w:rsidR="00403D38" w:rsidRPr="00633046" w:rsidRDefault="00403D38" w:rsidP="00403D38">
            <w:pPr>
              <w:pStyle w:val="Thesis"/>
              <w:spacing w:line="276" w:lineRule="auto"/>
              <w:rPr>
                <w:rFonts w:ascii="Arial" w:hAnsi="Arial" w:cs="Arial"/>
                <w:sz w:val="18"/>
              </w:rPr>
            </w:pPr>
            <w:r>
              <w:rPr>
                <w:rFonts w:ascii="Arial" w:hAnsi="Arial" w:cs="Arial"/>
                <w:sz w:val="18"/>
              </w:rPr>
              <w:t>No association with pos</w:t>
            </w:r>
            <w:r w:rsidR="001D501C">
              <w:rPr>
                <w:rFonts w:ascii="Arial" w:hAnsi="Arial" w:cs="Arial"/>
                <w:sz w:val="18"/>
              </w:rPr>
              <w:t>t</w:t>
            </w:r>
            <w:r>
              <w:rPr>
                <w:rFonts w:ascii="Arial" w:hAnsi="Arial" w:cs="Arial"/>
                <w:sz w:val="18"/>
              </w:rPr>
              <w:t>-operative complications.</w:t>
            </w:r>
          </w:p>
        </w:tc>
      </w:tr>
      <w:tr w:rsidR="00AD7DB3" w:rsidRPr="00A0507F" w:rsidTr="0033692D">
        <w:tc>
          <w:tcPr>
            <w:tcW w:w="1668" w:type="dxa"/>
          </w:tcPr>
          <w:p w:rsidR="001D501C" w:rsidRDefault="009E0CD6" w:rsidP="00EE148C">
            <w:pPr>
              <w:pStyle w:val="Thesis"/>
              <w:spacing w:line="276" w:lineRule="auto"/>
              <w:rPr>
                <w:rFonts w:ascii="Arial" w:hAnsi="Arial" w:cs="Arial"/>
                <w:sz w:val="18"/>
              </w:rPr>
            </w:pPr>
            <w:proofErr w:type="spellStart"/>
            <w:r>
              <w:rPr>
                <w:rFonts w:ascii="Arial" w:hAnsi="Arial" w:cs="Arial"/>
                <w:sz w:val="18"/>
              </w:rPr>
              <w:t>Lasithiotakis</w:t>
            </w:r>
            <w:proofErr w:type="spellEnd"/>
            <w:r>
              <w:rPr>
                <w:rFonts w:ascii="Arial" w:hAnsi="Arial" w:cs="Arial"/>
                <w:sz w:val="18"/>
              </w:rPr>
              <w:t xml:space="preserve"> et al., 2012</w:t>
            </w:r>
            <w:r w:rsidR="008272D5">
              <w:rPr>
                <w:rFonts w:ascii="Arial" w:hAnsi="Arial" w:cs="Arial"/>
                <w:sz w:val="18"/>
              </w:rPr>
              <w:fldChar w:fldCharType="begin" w:fldLock="1"/>
            </w:r>
            <w:r w:rsidR="00AD7DB3">
              <w:rPr>
                <w:rFonts w:ascii="Arial" w:hAnsi="Arial" w:cs="Arial"/>
                <w:sz w:val="18"/>
              </w:rPr>
              <w:instrText>ADDIN CSL_CITATION { "citationItems" : [ { "id" : "ITEM-1", "itemData" : { "DOI" : "10.1007/s00464-012-2565-0", "ISSN" : "1432-2218", "PMID" : "23052539", "abstract" : "BACKGROUND: Frailty is a phenotype characterized by complex and challenging medical problems and higher susceptibility to adverse health outcomes. It can be derived at by a multidimensional process known as comprehensive geriatric assessment (CGA), which assesses the functional reserves of the elderly. In this study we report for the first time on a prospective evaluation of the association between CGA and postoperative complications after elective laparoscopic cholecystectomy for biliary disease.\n\nMETHODS: Fifty-seven patients older than 65 years who were to undergo elective laparoscopic cholecystectomy for uncomplicated biliary disease were prospectively examined. Preoperative CGA was performed and the patients were categorized as fit or frail. The main outcome of the study was the rate of any postoperative complication within 30 days of surgery.\n\nRESULTS: There were 29 women (50.9 %) and the median (interquartile range) age of the cohort was 73 (8.8) years. Thirty-two patients (56.1 %) were categorized as frail and 25 (43.9 %) as fit. The overall incidence of postoperative complications was 23.7 %, most of which were grade I and II (18.8 %). Frail patients, according to the CGA assessment, experienced a significantly higher incidence of postoperative complications compared to their fit counterparts (84.6 vs. 15.4 %, p = 0.023). Frail patients experienced a significantly higher frequency of prolonged (more than 2 days) postoperative hospital stay compared with their fit counterparts (p = 0.023).\n\nCONCLUSIONS: Preoperative CGA may predict postoperative complications and prolonged postoperative hospital stay of elderly patients who undergo elective laparoscopic cholecystectomy. Larger-scale studies independently assessing this association are warranted.", "author" : [ { "dropping-particle" : "", "family" : "Lasithiotakis", "given" : "Konstantinos", "non-dropping-particle" : "", "parse-names" : false, "suffix" : "" }, { "dropping-particle" : "", "family" : "Petrakis", "given" : "John", "non-dropping-particle" : "", "parse-names" : false, "suffix" : "" }, { "dropping-particle" : "", "family" : "Venianaki", "given" : "Maria", "non-dropping-particle" : "", "parse-names" : false, "suffix" : "" }, { "dropping-particle" : "", "family" : "Georgiades", "given" : "George", "non-dropping-particle" : "", "parse-names" : false, "suffix" : "" }, { "dropping-particle" : "", "family" : "Koutsomanolis", "given" : "Dimosthenis", "non-dropping-particle" : "", "parse-names" : false, "suffix" : "" }, { "dropping-particle" : "", "family" : "Andreou", "given" : "Alexander", "non-dropping-particle" : "", "parse-names" : false, "suffix" : "" }, { "dropping-particle" : "", "family" : "Zoras", "given" : "Odysseas", "non-dropping-particle" : "", "parse-names" : false, "suffix" : "" }, { "dropping-particle" : "", "family" : "Chalkiadakis", "given" : "George", "non-dropping-particle" : "", "parse-names" : false, "suffix" : "" } ], "container-title" : "Surgical endoscopy", "id" : "ITEM-1", "issue" : "4", "issued" : { "date-parts" : [ [ "2013", "4" ] ] }, "page" : "1144-50", "title" : "Frailty predicts outcome of elective laparoscopic cholecystectomy in geriatric patients.", "type" : "article-journal", "volume" : "27" }, "uris" : [ "http://www.mendeley.com/documents/?uuid=ac8c3c14-2dcf-41af-b705-12346e3d8432" ] } ], "mendeley" : { "previouslyFormattedCitation" : "&lt;sup&gt;(12)&lt;/sup&gt;" }, "properties" : { "noteIndex" : 0 }, "schema" : "https://github.com/citation-style-language/schema/raw/master/csl-citation.json" }</w:instrText>
            </w:r>
            <w:r w:rsidR="008272D5">
              <w:rPr>
                <w:rFonts w:ascii="Arial" w:hAnsi="Arial" w:cs="Arial"/>
                <w:sz w:val="18"/>
              </w:rPr>
              <w:fldChar w:fldCharType="separate"/>
            </w:r>
            <w:r w:rsidR="00AD7DB3" w:rsidRPr="00AD7DB3">
              <w:rPr>
                <w:rFonts w:ascii="Arial" w:hAnsi="Arial" w:cs="Arial"/>
                <w:noProof/>
                <w:sz w:val="18"/>
                <w:vertAlign w:val="superscript"/>
              </w:rPr>
              <w:t>(12)</w:t>
            </w:r>
            <w:r w:rsidR="008272D5">
              <w:rPr>
                <w:rFonts w:ascii="Arial" w:hAnsi="Arial" w:cs="Arial"/>
                <w:sz w:val="18"/>
              </w:rPr>
              <w:fldChar w:fldCharType="end"/>
            </w:r>
          </w:p>
          <w:p w:rsidR="009E0CD6" w:rsidRDefault="009E0CD6" w:rsidP="00EE148C">
            <w:pPr>
              <w:pStyle w:val="Thesis"/>
              <w:spacing w:line="276" w:lineRule="auto"/>
              <w:rPr>
                <w:rFonts w:ascii="Arial" w:hAnsi="Arial" w:cs="Arial"/>
                <w:sz w:val="18"/>
              </w:rPr>
            </w:pPr>
          </w:p>
          <w:p w:rsidR="009E0CD6" w:rsidRPr="00633046" w:rsidRDefault="009E0CD6" w:rsidP="00EE148C">
            <w:pPr>
              <w:pStyle w:val="Thesis"/>
              <w:spacing w:line="276" w:lineRule="auto"/>
              <w:rPr>
                <w:rFonts w:ascii="Arial" w:hAnsi="Arial" w:cs="Arial"/>
                <w:sz w:val="18"/>
              </w:rPr>
            </w:pPr>
            <w:r>
              <w:rPr>
                <w:rFonts w:ascii="Arial" w:hAnsi="Arial" w:cs="Arial"/>
                <w:sz w:val="18"/>
              </w:rPr>
              <w:t>Crete</w:t>
            </w:r>
          </w:p>
        </w:tc>
        <w:tc>
          <w:tcPr>
            <w:tcW w:w="3756" w:type="dxa"/>
          </w:tcPr>
          <w:p w:rsidR="004C0D22" w:rsidRDefault="009E0CD6" w:rsidP="00EE148C">
            <w:pPr>
              <w:pStyle w:val="Thesis"/>
              <w:spacing w:line="276" w:lineRule="auto"/>
              <w:rPr>
                <w:rFonts w:ascii="Arial" w:hAnsi="Arial" w:cs="Arial"/>
                <w:sz w:val="18"/>
              </w:rPr>
            </w:pPr>
            <w:r>
              <w:rPr>
                <w:rFonts w:ascii="Arial" w:hAnsi="Arial" w:cs="Arial"/>
                <w:sz w:val="18"/>
              </w:rPr>
              <w:t>57 patients admitted for elective laparoscopic cholecystectomy.</w:t>
            </w:r>
          </w:p>
          <w:p w:rsidR="009E0CD6" w:rsidRDefault="009E0CD6" w:rsidP="00EE148C">
            <w:pPr>
              <w:pStyle w:val="Thesis"/>
              <w:spacing w:line="276" w:lineRule="auto"/>
              <w:rPr>
                <w:rFonts w:ascii="Arial" w:hAnsi="Arial" w:cs="Arial"/>
                <w:sz w:val="18"/>
              </w:rPr>
            </w:pPr>
          </w:p>
          <w:p w:rsidR="009E0CD6" w:rsidRPr="00633046" w:rsidRDefault="00D030FC" w:rsidP="00EE148C">
            <w:pPr>
              <w:pStyle w:val="Thesis"/>
              <w:spacing w:line="276" w:lineRule="auto"/>
              <w:rPr>
                <w:rFonts w:ascii="Arial" w:hAnsi="Arial" w:cs="Arial"/>
                <w:sz w:val="18"/>
              </w:rPr>
            </w:pPr>
            <w:r w:rsidRPr="00633046">
              <w:rPr>
                <w:rFonts w:ascii="Arial" w:hAnsi="Arial" w:cs="Arial"/>
                <w:sz w:val="18"/>
              </w:rPr>
              <w:t>Age</w:t>
            </w:r>
            <w:r>
              <w:rPr>
                <w:rFonts w:ascii="Arial" w:hAnsi="Arial" w:cs="Arial"/>
                <w:sz w:val="18"/>
              </w:rPr>
              <w:t xml:space="preserve"> group:</w:t>
            </w:r>
            <w:r w:rsidRPr="00633046">
              <w:rPr>
                <w:rFonts w:ascii="Arial" w:hAnsi="Arial" w:cs="Arial"/>
                <w:sz w:val="18"/>
              </w:rPr>
              <w:t xml:space="preserve"> </w:t>
            </w:r>
            <w:r w:rsidRPr="00633046">
              <w:rPr>
                <w:rFonts w:ascii="Arial" w:hAnsi="Arial" w:cs="Arial"/>
                <w:sz w:val="18"/>
                <w:u w:val="single"/>
              </w:rPr>
              <w:t>&gt;</w:t>
            </w:r>
            <w:r w:rsidRPr="00633046">
              <w:rPr>
                <w:rFonts w:ascii="Arial" w:hAnsi="Arial" w:cs="Arial"/>
                <w:sz w:val="18"/>
              </w:rPr>
              <w:t>65 years</w:t>
            </w:r>
            <w:r>
              <w:rPr>
                <w:rFonts w:ascii="Arial" w:hAnsi="Arial" w:cs="Arial"/>
                <w:sz w:val="18"/>
              </w:rPr>
              <w:t xml:space="preserve">; </w:t>
            </w:r>
            <w:r w:rsidR="009E0CD6">
              <w:rPr>
                <w:rFonts w:ascii="Arial" w:hAnsi="Arial" w:cs="Arial"/>
                <w:sz w:val="18"/>
              </w:rPr>
              <w:t>49.1% men</w:t>
            </w:r>
          </w:p>
        </w:tc>
        <w:tc>
          <w:tcPr>
            <w:tcW w:w="3756" w:type="dxa"/>
          </w:tcPr>
          <w:p w:rsidR="0033692D" w:rsidRDefault="009E0CD6" w:rsidP="00EE148C">
            <w:pPr>
              <w:pStyle w:val="Thesis"/>
              <w:spacing w:line="276" w:lineRule="auto"/>
              <w:rPr>
                <w:rFonts w:ascii="Arial" w:hAnsi="Arial" w:cs="Arial"/>
                <w:sz w:val="18"/>
              </w:rPr>
            </w:pPr>
            <w:r>
              <w:rPr>
                <w:rFonts w:ascii="Arial" w:hAnsi="Arial" w:cs="Arial"/>
                <w:sz w:val="18"/>
              </w:rPr>
              <w:t>Comprehensive geriatric assessment</w:t>
            </w:r>
          </w:p>
          <w:p w:rsidR="009E0CD6" w:rsidRPr="00633046" w:rsidRDefault="009E0CD6" w:rsidP="009E0CD6">
            <w:pPr>
              <w:pStyle w:val="Thesis"/>
              <w:spacing w:line="276" w:lineRule="auto"/>
              <w:rPr>
                <w:rFonts w:ascii="Arial" w:hAnsi="Arial" w:cs="Arial"/>
                <w:sz w:val="18"/>
              </w:rPr>
            </w:pPr>
            <w:r>
              <w:rPr>
                <w:rFonts w:ascii="Arial" w:hAnsi="Arial" w:cs="Arial"/>
                <w:sz w:val="18"/>
              </w:rPr>
              <w:t>(</w:t>
            </w:r>
            <w:proofErr w:type="gramStart"/>
            <w:r>
              <w:rPr>
                <w:rFonts w:ascii="Arial" w:hAnsi="Arial" w:cs="Arial"/>
                <w:sz w:val="18"/>
              </w:rPr>
              <w:t>frailty</w:t>
            </w:r>
            <w:proofErr w:type="gramEnd"/>
            <w:r>
              <w:rPr>
                <w:rFonts w:ascii="Arial" w:hAnsi="Arial" w:cs="Arial"/>
                <w:sz w:val="18"/>
              </w:rPr>
              <w:t xml:space="preserve"> was defined as being </w:t>
            </w:r>
            <w:r w:rsidR="00477484">
              <w:rPr>
                <w:rFonts w:ascii="Arial" w:hAnsi="Arial" w:cs="Arial"/>
                <w:sz w:val="18"/>
              </w:rPr>
              <w:t>‘</w:t>
            </w:r>
            <w:r>
              <w:rPr>
                <w:rFonts w:ascii="Arial" w:hAnsi="Arial" w:cs="Arial"/>
                <w:sz w:val="18"/>
              </w:rPr>
              <w:t>unfit</w:t>
            </w:r>
            <w:r w:rsidR="00477484">
              <w:rPr>
                <w:rFonts w:ascii="Arial" w:hAnsi="Arial" w:cs="Arial"/>
                <w:sz w:val="18"/>
              </w:rPr>
              <w:t>’</w:t>
            </w:r>
            <w:r>
              <w:rPr>
                <w:rFonts w:ascii="Arial" w:hAnsi="Arial" w:cs="Arial"/>
                <w:sz w:val="18"/>
              </w:rPr>
              <w:t xml:space="preserve"> in 1 or more domains</w:t>
            </w:r>
            <w:r w:rsidR="00477484">
              <w:rPr>
                <w:rFonts w:ascii="Arial" w:hAnsi="Arial" w:cs="Arial"/>
                <w:sz w:val="18"/>
              </w:rPr>
              <w:t xml:space="preserve"> of the assessment</w:t>
            </w:r>
            <w:r>
              <w:rPr>
                <w:rFonts w:ascii="Arial" w:hAnsi="Arial" w:cs="Arial"/>
                <w:sz w:val="18"/>
              </w:rPr>
              <w:t>).</w:t>
            </w:r>
          </w:p>
        </w:tc>
        <w:tc>
          <w:tcPr>
            <w:tcW w:w="4820" w:type="dxa"/>
          </w:tcPr>
          <w:p w:rsidR="004C0D22" w:rsidRDefault="002D2312" w:rsidP="006641A0">
            <w:pPr>
              <w:pStyle w:val="Thesis"/>
              <w:spacing w:line="276" w:lineRule="auto"/>
              <w:rPr>
                <w:rFonts w:ascii="Arial" w:hAnsi="Arial" w:cs="Arial"/>
                <w:sz w:val="18"/>
              </w:rPr>
            </w:pPr>
            <w:r>
              <w:rPr>
                <w:rFonts w:ascii="Arial" w:hAnsi="Arial" w:cs="Arial"/>
                <w:sz w:val="18"/>
              </w:rPr>
              <w:t xml:space="preserve">The probability of post-operative complication was higher in those who were frail vs non-frail (OR 6.0 95% CI 1.2, 30.4).  Frail patients also had longer in-patient stay (OR 4.2, 95% CI 1.3, 13.5). </w:t>
            </w:r>
          </w:p>
          <w:p w:rsidR="002D2312" w:rsidRDefault="002D2312" w:rsidP="006641A0">
            <w:pPr>
              <w:pStyle w:val="Thesis"/>
              <w:spacing w:line="276" w:lineRule="auto"/>
              <w:rPr>
                <w:rFonts w:ascii="Arial" w:hAnsi="Arial" w:cs="Arial"/>
                <w:sz w:val="18"/>
              </w:rPr>
            </w:pPr>
          </w:p>
          <w:p w:rsidR="002D2312" w:rsidRPr="00633046" w:rsidRDefault="002D2312" w:rsidP="00C95DF7">
            <w:pPr>
              <w:pStyle w:val="Thesis"/>
              <w:spacing w:line="276" w:lineRule="auto"/>
              <w:rPr>
                <w:rFonts w:ascii="Arial" w:hAnsi="Arial" w:cs="Arial"/>
                <w:sz w:val="18"/>
              </w:rPr>
            </w:pPr>
            <w:r>
              <w:rPr>
                <w:rFonts w:ascii="Arial" w:hAnsi="Arial" w:cs="Arial"/>
                <w:sz w:val="18"/>
              </w:rPr>
              <w:t xml:space="preserve">The ASA </w:t>
            </w:r>
            <w:r w:rsidR="00C95DF7">
              <w:rPr>
                <w:rFonts w:ascii="Arial" w:hAnsi="Arial" w:cs="Arial"/>
                <w:sz w:val="18"/>
              </w:rPr>
              <w:t>grade</w:t>
            </w:r>
            <w:r>
              <w:rPr>
                <w:rFonts w:ascii="Arial" w:hAnsi="Arial" w:cs="Arial"/>
                <w:sz w:val="18"/>
              </w:rPr>
              <w:t xml:space="preserve"> was not associated with either outcome measure. </w:t>
            </w:r>
          </w:p>
        </w:tc>
      </w:tr>
      <w:tr w:rsidR="00AD7DB3" w:rsidRPr="00A0507F" w:rsidTr="0033692D">
        <w:tc>
          <w:tcPr>
            <w:tcW w:w="1668" w:type="dxa"/>
          </w:tcPr>
          <w:p w:rsidR="006641A0" w:rsidRDefault="002D2312" w:rsidP="00EE148C">
            <w:pPr>
              <w:pStyle w:val="Thesis"/>
              <w:spacing w:line="276" w:lineRule="auto"/>
              <w:rPr>
                <w:rFonts w:ascii="Arial" w:hAnsi="Arial" w:cs="Arial"/>
                <w:sz w:val="18"/>
              </w:rPr>
            </w:pPr>
            <w:r>
              <w:rPr>
                <w:rFonts w:ascii="Arial" w:hAnsi="Arial" w:cs="Arial"/>
                <w:sz w:val="18"/>
              </w:rPr>
              <w:t>Leung et al., 2011</w:t>
            </w:r>
            <w:r w:rsidR="008272D5">
              <w:rPr>
                <w:rFonts w:ascii="Arial" w:hAnsi="Arial" w:cs="Arial"/>
                <w:sz w:val="18"/>
              </w:rPr>
              <w:fldChar w:fldCharType="begin" w:fldLock="1"/>
            </w:r>
            <w:r w:rsidR="00AD7DB3">
              <w:rPr>
                <w:rFonts w:ascii="Arial" w:hAnsi="Arial" w:cs="Arial"/>
                <w:sz w:val="18"/>
              </w:rPr>
              <w:instrText>ADDIN CSL_CITATION { "citationItems" : [ { "id" : "ITEM-1", "itemData" : { "DOI" : "10.1213/ANE.0b013e31820c7c06.Preoperative", "author" : [ { "dropping-particle" : "", "family" : "Leung", "given" : "JM", "non-dropping-particle" : "", "parse-names" : false, "suffix" : "" }, { "dropping-particle" : "", "family" : "Tsai", "given" : "TL", "non-dropping-particle" : "", "parse-names" : false, "suffix" : "" }, { "dropping-particle" : "", "family" : "Sands", "given" : "LP", "non-dropping-particle" : "", "parse-names" : false, "suffix" : "" } ], "container-title" : "Anesthesia and analgesia", "id" : "ITEM-1", "issue" : "5", "issued" : { "date-parts" : [ [ "2011" ] ] }, "page" : "1199-1201", "title" : "Preoperative frailty in older surgical patients is associated with early postoperative delirium", "type" : "article-journal", "volume" : "112" }, "uris" : [ "http://www.mendeley.com/documents/?uuid=2266e94e-ae66-44cf-9d81-b9898d34e5ea" ] } ], "mendeley" : { "previouslyFormattedCitation" : "&lt;sup&gt;(13)&lt;/sup&gt;" }, "properties" : { "noteIndex" : 0 }, "schema" : "https://github.com/citation-style-language/schema/raw/master/csl-citation.json" }</w:instrText>
            </w:r>
            <w:r w:rsidR="008272D5">
              <w:rPr>
                <w:rFonts w:ascii="Arial" w:hAnsi="Arial" w:cs="Arial"/>
                <w:sz w:val="18"/>
              </w:rPr>
              <w:fldChar w:fldCharType="separate"/>
            </w:r>
            <w:r w:rsidR="00AD7DB3" w:rsidRPr="00AD7DB3">
              <w:rPr>
                <w:rFonts w:ascii="Arial" w:hAnsi="Arial" w:cs="Arial"/>
                <w:noProof/>
                <w:sz w:val="18"/>
                <w:vertAlign w:val="superscript"/>
              </w:rPr>
              <w:t>(13)</w:t>
            </w:r>
            <w:r w:rsidR="008272D5">
              <w:rPr>
                <w:rFonts w:ascii="Arial" w:hAnsi="Arial" w:cs="Arial"/>
                <w:sz w:val="18"/>
              </w:rPr>
              <w:fldChar w:fldCharType="end"/>
            </w:r>
          </w:p>
          <w:p w:rsidR="002D2312" w:rsidRDefault="002D2312" w:rsidP="00EE148C">
            <w:pPr>
              <w:pStyle w:val="Thesis"/>
              <w:spacing w:line="276" w:lineRule="auto"/>
              <w:rPr>
                <w:rFonts w:ascii="Arial" w:hAnsi="Arial" w:cs="Arial"/>
                <w:sz w:val="18"/>
              </w:rPr>
            </w:pPr>
          </w:p>
          <w:p w:rsidR="002D2312" w:rsidRPr="00633046" w:rsidRDefault="002D2312" w:rsidP="00EE148C">
            <w:pPr>
              <w:pStyle w:val="Thesis"/>
              <w:spacing w:line="276" w:lineRule="auto"/>
              <w:rPr>
                <w:rFonts w:ascii="Arial" w:hAnsi="Arial" w:cs="Arial"/>
                <w:sz w:val="18"/>
              </w:rPr>
            </w:pPr>
            <w:r>
              <w:rPr>
                <w:rFonts w:ascii="Arial" w:hAnsi="Arial" w:cs="Arial"/>
                <w:sz w:val="18"/>
              </w:rPr>
              <w:t>USA</w:t>
            </w:r>
          </w:p>
        </w:tc>
        <w:tc>
          <w:tcPr>
            <w:tcW w:w="3756" w:type="dxa"/>
          </w:tcPr>
          <w:p w:rsidR="0033692D" w:rsidRDefault="00D030FC" w:rsidP="00D030FC">
            <w:pPr>
              <w:pStyle w:val="Thesis"/>
              <w:spacing w:line="276" w:lineRule="auto"/>
              <w:rPr>
                <w:rFonts w:ascii="Arial" w:hAnsi="Arial" w:cs="Arial"/>
                <w:sz w:val="18"/>
              </w:rPr>
            </w:pPr>
            <w:r>
              <w:rPr>
                <w:rFonts w:ascii="Arial" w:hAnsi="Arial" w:cs="Arial"/>
                <w:sz w:val="18"/>
              </w:rPr>
              <w:t xml:space="preserve">63 patients </w:t>
            </w:r>
            <w:r w:rsidR="002D2312">
              <w:rPr>
                <w:rFonts w:ascii="Arial" w:hAnsi="Arial" w:cs="Arial"/>
                <w:sz w:val="18"/>
              </w:rPr>
              <w:t>undergoing non-cardiac surgery with an anticipated length of stay &gt;48 hours</w:t>
            </w:r>
            <w:r>
              <w:rPr>
                <w:rFonts w:ascii="Arial" w:hAnsi="Arial" w:cs="Arial"/>
                <w:sz w:val="18"/>
              </w:rPr>
              <w:t>.</w:t>
            </w:r>
          </w:p>
          <w:p w:rsidR="00D030FC" w:rsidRDefault="00D030FC" w:rsidP="00D030FC">
            <w:pPr>
              <w:pStyle w:val="Thesis"/>
              <w:spacing w:line="276" w:lineRule="auto"/>
              <w:rPr>
                <w:rFonts w:ascii="Arial" w:hAnsi="Arial" w:cs="Arial"/>
                <w:sz w:val="18"/>
              </w:rPr>
            </w:pPr>
          </w:p>
          <w:p w:rsidR="00D030FC" w:rsidRPr="00633046" w:rsidRDefault="00D030FC" w:rsidP="00D030FC">
            <w:pPr>
              <w:pStyle w:val="Thesis"/>
              <w:spacing w:line="276" w:lineRule="auto"/>
              <w:rPr>
                <w:rFonts w:ascii="Arial" w:hAnsi="Arial" w:cs="Arial"/>
                <w:sz w:val="18"/>
              </w:rPr>
            </w:pPr>
            <w:r w:rsidRPr="00633046">
              <w:rPr>
                <w:rFonts w:ascii="Arial" w:hAnsi="Arial" w:cs="Arial"/>
                <w:sz w:val="18"/>
              </w:rPr>
              <w:t>Age</w:t>
            </w:r>
            <w:r>
              <w:rPr>
                <w:rFonts w:ascii="Arial" w:hAnsi="Arial" w:cs="Arial"/>
                <w:sz w:val="18"/>
              </w:rPr>
              <w:t xml:space="preserve"> group:</w:t>
            </w:r>
            <w:r w:rsidRPr="00633046">
              <w:rPr>
                <w:rFonts w:ascii="Arial" w:hAnsi="Arial" w:cs="Arial"/>
                <w:sz w:val="18"/>
              </w:rPr>
              <w:t xml:space="preserve"> </w:t>
            </w:r>
            <w:r w:rsidRPr="00633046">
              <w:rPr>
                <w:rFonts w:ascii="Arial" w:hAnsi="Arial" w:cs="Arial"/>
                <w:sz w:val="18"/>
                <w:u w:val="single"/>
              </w:rPr>
              <w:t>&gt;</w:t>
            </w:r>
            <w:r w:rsidRPr="00633046">
              <w:rPr>
                <w:rFonts w:ascii="Arial" w:hAnsi="Arial" w:cs="Arial"/>
                <w:sz w:val="18"/>
              </w:rPr>
              <w:t>65 years</w:t>
            </w:r>
            <w:r>
              <w:rPr>
                <w:rFonts w:ascii="Arial" w:hAnsi="Arial" w:cs="Arial"/>
                <w:sz w:val="18"/>
              </w:rPr>
              <w:t>; 46% men</w:t>
            </w:r>
          </w:p>
        </w:tc>
        <w:tc>
          <w:tcPr>
            <w:tcW w:w="3756" w:type="dxa"/>
          </w:tcPr>
          <w:p w:rsidR="0033692D" w:rsidRPr="00633046" w:rsidRDefault="002D2312" w:rsidP="00EE148C">
            <w:pPr>
              <w:pStyle w:val="Thesis"/>
              <w:spacing w:line="276" w:lineRule="auto"/>
              <w:rPr>
                <w:rFonts w:ascii="Arial" w:hAnsi="Arial" w:cs="Arial"/>
                <w:sz w:val="18"/>
              </w:rPr>
            </w:pPr>
            <w:r>
              <w:rPr>
                <w:rFonts w:ascii="Arial" w:hAnsi="Arial" w:cs="Arial"/>
                <w:sz w:val="18"/>
              </w:rPr>
              <w:t xml:space="preserve">Fried physical frailty phenotype </w:t>
            </w:r>
            <w:r w:rsidR="006C51E4">
              <w:rPr>
                <w:rFonts w:ascii="Arial" w:hAnsi="Arial" w:cs="Arial"/>
                <w:sz w:val="18"/>
              </w:rPr>
              <w:t>(but used as a continuous score: 0-5)</w:t>
            </w:r>
          </w:p>
        </w:tc>
        <w:tc>
          <w:tcPr>
            <w:tcW w:w="4820" w:type="dxa"/>
          </w:tcPr>
          <w:p w:rsidR="0033692D" w:rsidRPr="00633046" w:rsidRDefault="006C51E4" w:rsidP="006C51E4">
            <w:pPr>
              <w:pStyle w:val="Thesis"/>
              <w:spacing w:line="276" w:lineRule="auto"/>
              <w:rPr>
                <w:rFonts w:ascii="Arial" w:hAnsi="Arial" w:cs="Arial"/>
                <w:sz w:val="18"/>
              </w:rPr>
            </w:pPr>
            <w:r>
              <w:rPr>
                <w:rFonts w:ascii="Arial" w:hAnsi="Arial" w:cs="Arial"/>
                <w:sz w:val="18"/>
              </w:rPr>
              <w:t>Higher f</w:t>
            </w:r>
            <w:r w:rsidR="008F4EC5">
              <w:rPr>
                <w:rFonts w:ascii="Arial" w:hAnsi="Arial" w:cs="Arial"/>
                <w:sz w:val="18"/>
              </w:rPr>
              <w:t>railty score was associated with</w:t>
            </w:r>
            <w:r>
              <w:rPr>
                <w:rFonts w:ascii="Arial" w:hAnsi="Arial" w:cs="Arial"/>
                <w:sz w:val="18"/>
              </w:rPr>
              <w:t xml:space="preserve"> higher odds of</w:t>
            </w:r>
            <w:r w:rsidR="008F4EC5">
              <w:rPr>
                <w:rFonts w:ascii="Arial" w:hAnsi="Arial" w:cs="Arial"/>
                <w:sz w:val="18"/>
              </w:rPr>
              <w:t xml:space="preserve"> post-operative delirium </w:t>
            </w:r>
          </w:p>
        </w:tc>
      </w:tr>
    </w:tbl>
    <w:p w:rsidR="006641A0" w:rsidRDefault="00DD779F" w:rsidP="006C51E4">
      <w:pPr>
        <w:pStyle w:val="Thesis"/>
        <w:spacing w:after="0"/>
        <w:rPr>
          <w:rFonts w:ascii="Arial" w:hAnsi="Arial" w:cs="Arial"/>
          <w:sz w:val="20"/>
        </w:rPr>
      </w:pPr>
      <w:r>
        <w:rPr>
          <w:rFonts w:ascii="Arial" w:hAnsi="Arial" w:cs="Arial"/>
          <w:sz w:val="18"/>
        </w:rPr>
        <w:t>ASA: American Society of Anae</w:t>
      </w:r>
      <w:r w:rsidR="00477484">
        <w:rPr>
          <w:rFonts w:ascii="Arial" w:hAnsi="Arial" w:cs="Arial"/>
          <w:sz w:val="18"/>
        </w:rPr>
        <w:t>sthesiologists classification system</w:t>
      </w:r>
      <w:r w:rsidR="006C51E4">
        <w:rPr>
          <w:rFonts w:ascii="Arial" w:hAnsi="Arial" w:cs="Arial"/>
          <w:sz w:val="18"/>
        </w:rPr>
        <w:t>;</w:t>
      </w:r>
      <w:r w:rsidR="006C51E4">
        <w:rPr>
          <w:rFonts w:ascii="Arial" w:hAnsi="Arial" w:cs="Arial"/>
          <w:sz w:val="18"/>
        </w:rPr>
        <w:tab/>
      </w:r>
      <w:r w:rsidR="006641A0">
        <w:rPr>
          <w:rFonts w:ascii="Arial" w:hAnsi="Arial" w:cs="Arial"/>
          <w:sz w:val="20"/>
        </w:rPr>
        <w:t>*same study population</w:t>
      </w:r>
    </w:p>
    <w:p w:rsidR="001D13EC" w:rsidRDefault="001D13EC" w:rsidP="0033692D">
      <w:pPr>
        <w:pStyle w:val="Thesis"/>
        <w:rPr>
          <w:rFonts w:ascii="Arial" w:hAnsi="Arial" w:cs="Arial"/>
          <w:sz w:val="20"/>
        </w:rPr>
      </w:pPr>
    </w:p>
    <w:p w:rsidR="001C5B77" w:rsidRDefault="001C5B77" w:rsidP="0033692D">
      <w:pPr>
        <w:pStyle w:val="Thesis"/>
        <w:rPr>
          <w:rFonts w:ascii="Arial" w:hAnsi="Arial" w:cs="Arial"/>
          <w:sz w:val="20"/>
        </w:rPr>
        <w:sectPr w:rsidR="001C5B77" w:rsidSect="0033692D">
          <w:pgSz w:w="16838" w:h="11906" w:orient="landscape"/>
          <w:pgMar w:top="1440" w:right="1440" w:bottom="1440" w:left="1440" w:header="708" w:footer="708" w:gutter="0"/>
          <w:cols w:space="708"/>
          <w:docGrid w:linePitch="360"/>
        </w:sectPr>
      </w:pPr>
    </w:p>
    <w:p w:rsidR="008272D5" w:rsidRDefault="008272D5" w:rsidP="0033692D">
      <w:pPr>
        <w:pStyle w:val="Thesis"/>
        <w:rPr>
          <w:rFonts w:ascii="Arial" w:hAnsi="Arial" w:cs="Arial"/>
          <w:b/>
          <w:sz w:val="22"/>
          <w:u w:val="single"/>
        </w:rPr>
      </w:pPr>
      <w:r>
        <w:rPr>
          <w:rFonts w:ascii="Arial" w:hAnsi="Arial" w:cs="Arial"/>
          <w:b/>
          <w:sz w:val="22"/>
          <w:u w:val="single"/>
        </w:rPr>
        <w:lastRenderedPageBreak/>
        <w:t>References</w:t>
      </w:r>
    </w:p>
    <w:p w:rsidR="00AD7DB3" w:rsidRPr="00AD7DB3" w:rsidRDefault="008272D5">
      <w:pPr>
        <w:pStyle w:val="NormalWeb"/>
        <w:ind w:left="640" w:hanging="640"/>
        <w:divId w:val="979572488"/>
        <w:rPr>
          <w:rFonts w:ascii="Arial" w:hAnsi="Arial" w:cs="Arial"/>
          <w:noProof/>
          <w:sz w:val="22"/>
        </w:rPr>
      </w:pPr>
      <w:r>
        <w:rPr>
          <w:rFonts w:ascii="Arial" w:hAnsi="Arial" w:cs="Arial"/>
          <w:sz w:val="22"/>
        </w:rPr>
        <w:fldChar w:fldCharType="begin" w:fldLock="1"/>
      </w:r>
      <w:r>
        <w:rPr>
          <w:rFonts w:ascii="Arial" w:hAnsi="Arial" w:cs="Arial"/>
          <w:sz w:val="22"/>
        </w:rPr>
        <w:instrText xml:space="preserve">ADDIN Mendeley Bibliography CSL_BIBLIOGRAPHY </w:instrText>
      </w:r>
      <w:r>
        <w:rPr>
          <w:rFonts w:ascii="Arial" w:hAnsi="Arial" w:cs="Arial"/>
          <w:sz w:val="22"/>
        </w:rPr>
        <w:fldChar w:fldCharType="separate"/>
      </w:r>
      <w:r w:rsidR="00AD7DB3" w:rsidRPr="00AD7DB3">
        <w:rPr>
          <w:rFonts w:ascii="Arial" w:hAnsi="Arial" w:cs="Arial"/>
          <w:noProof/>
          <w:sz w:val="22"/>
        </w:rPr>
        <w:t xml:space="preserve">1. </w:t>
      </w:r>
      <w:r w:rsidR="00AD7DB3" w:rsidRPr="00AD7DB3">
        <w:rPr>
          <w:rFonts w:ascii="Arial" w:hAnsi="Arial" w:cs="Arial"/>
          <w:noProof/>
          <w:sz w:val="22"/>
        </w:rPr>
        <w:tab/>
        <w:t xml:space="preserve">Robinson TN, Eiseman B, Wallace JI, et al. (2009) Redefining geriatric preoperative assessment using frailty, disability and co-morbidity. </w:t>
      </w:r>
      <w:r w:rsidR="00AD7DB3" w:rsidRPr="00AD7DB3">
        <w:rPr>
          <w:rFonts w:ascii="Arial" w:hAnsi="Arial" w:cs="Arial"/>
          <w:i/>
          <w:iCs/>
          <w:noProof/>
          <w:sz w:val="22"/>
        </w:rPr>
        <w:t>Ann. Surg.</w:t>
      </w:r>
      <w:r w:rsidR="00AD7DB3" w:rsidRPr="00AD7DB3">
        <w:rPr>
          <w:rFonts w:ascii="Arial" w:hAnsi="Arial" w:cs="Arial"/>
          <w:noProof/>
          <w:sz w:val="22"/>
        </w:rPr>
        <w:t xml:space="preserve"> </w:t>
      </w:r>
      <w:r w:rsidR="00AD7DB3" w:rsidRPr="00AD7DB3">
        <w:rPr>
          <w:rFonts w:ascii="Arial" w:hAnsi="Arial" w:cs="Arial"/>
          <w:b/>
          <w:bCs/>
          <w:noProof/>
          <w:sz w:val="22"/>
        </w:rPr>
        <w:t>250</w:t>
      </w:r>
      <w:r w:rsidR="00AD7DB3" w:rsidRPr="00AD7DB3">
        <w:rPr>
          <w:rFonts w:ascii="Arial" w:hAnsi="Arial" w:cs="Arial"/>
          <w:noProof/>
          <w:sz w:val="22"/>
        </w:rPr>
        <w:t>, 449–55.</w:t>
      </w:r>
    </w:p>
    <w:p w:rsidR="00AD7DB3" w:rsidRPr="00AD7DB3" w:rsidRDefault="00AD7DB3">
      <w:pPr>
        <w:pStyle w:val="NormalWeb"/>
        <w:ind w:left="640" w:hanging="640"/>
        <w:divId w:val="979572488"/>
        <w:rPr>
          <w:rFonts w:ascii="Arial" w:hAnsi="Arial" w:cs="Arial"/>
          <w:noProof/>
          <w:sz w:val="22"/>
        </w:rPr>
      </w:pPr>
      <w:r w:rsidRPr="00AD7DB3">
        <w:rPr>
          <w:rFonts w:ascii="Arial" w:hAnsi="Arial" w:cs="Arial"/>
          <w:noProof/>
          <w:sz w:val="22"/>
        </w:rPr>
        <w:t xml:space="preserve">2. </w:t>
      </w:r>
      <w:r w:rsidRPr="00AD7DB3">
        <w:rPr>
          <w:rFonts w:ascii="Arial" w:hAnsi="Arial" w:cs="Arial"/>
          <w:noProof/>
          <w:sz w:val="22"/>
        </w:rPr>
        <w:tab/>
        <w:t xml:space="preserve">Robinson T, Wallace J &amp; Wu D (2011) Accumulated frailty characteristics predict postoperative discharge institutionalization in the geriatric patient. </w:t>
      </w:r>
      <w:r w:rsidRPr="00AD7DB3">
        <w:rPr>
          <w:rFonts w:ascii="Arial" w:hAnsi="Arial" w:cs="Arial"/>
          <w:i/>
          <w:iCs/>
          <w:noProof/>
          <w:sz w:val="22"/>
        </w:rPr>
        <w:t>J. Am. Coll. Surg.</w:t>
      </w:r>
      <w:r w:rsidRPr="00AD7DB3">
        <w:rPr>
          <w:rFonts w:ascii="Arial" w:hAnsi="Arial" w:cs="Arial"/>
          <w:noProof/>
          <w:sz w:val="22"/>
        </w:rPr>
        <w:t xml:space="preserve"> </w:t>
      </w:r>
      <w:r w:rsidRPr="00AD7DB3">
        <w:rPr>
          <w:rFonts w:ascii="Arial" w:hAnsi="Arial" w:cs="Arial"/>
          <w:b/>
          <w:bCs/>
          <w:noProof/>
          <w:sz w:val="22"/>
        </w:rPr>
        <w:t>213</w:t>
      </w:r>
      <w:r w:rsidRPr="00AD7DB3">
        <w:rPr>
          <w:rFonts w:ascii="Arial" w:hAnsi="Arial" w:cs="Arial"/>
          <w:noProof/>
          <w:sz w:val="22"/>
        </w:rPr>
        <w:t>, 37–42.</w:t>
      </w:r>
    </w:p>
    <w:p w:rsidR="00AD7DB3" w:rsidRPr="00AD7DB3" w:rsidRDefault="00AD7DB3">
      <w:pPr>
        <w:pStyle w:val="NormalWeb"/>
        <w:ind w:left="640" w:hanging="640"/>
        <w:divId w:val="979572488"/>
        <w:rPr>
          <w:rFonts w:ascii="Arial" w:hAnsi="Arial" w:cs="Arial"/>
          <w:noProof/>
          <w:sz w:val="22"/>
        </w:rPr>
      </w:pPr>
      <w:r w:rsidRPr="00AD7DB3">
        <w:rPr>
          <w:rFonts w:ascii="Arial" w:hAnsi="Arial" w:cs="Arial"/>
          <w:noProof/>
          <w:sz w:val="22"/>
        </w:rPr>
        <w:t xml:space="preserve">3. </w:t>
      </w:r>
      <w:r w:rsidRPr="00AD7DB3">
        <w:rPr>
          <w:rFonts w:ascii="Arial" w:hAnsi="Arial" w:cs="Arial"/>
          <w:noProof/>
          <w:sz w:val="22"/>
        </w:rPr>
        <w:tab/>
        <w:t xml:space="preserve">Robinson TN, Wu DS, Pointer L, et al. (2013) Simple frailty score predicts postoperative complications across surgical specialties. </w:t>
      </w:r>
      <w:r w:rsidRPr="00AD7DB3">
        <w:rPr>
          <w:rFonts w:ascii="Arial" w:hAnsi="Arial" w:cs="Arial"/>
          <w:i/>
          <w:iCs/>
          <w:noProof/>
          <w:sz w:val="22"/>
        </w:rPr>
        <w:t>Am. J. Surg.</w:t>
      </w:r>
      <w:r w:rsidRPr="00AD7DB3">
        <w:rPr>
          <w:rFonts w:ascii="Arial" w:hAnsi="Arial" w:cs="Arial"/>
          <w:noProof/>
          <w:sz w:val="22"/>
        </w:rPr>
        <w:t xml:space="preserve"> </w:t>
      </w:r>
      <w:r w:rsidRPr="00AD7DB3">
        <w:rPr>
          <w:rFonts w:ascii="Arial" w:hAnsi="Arial" w:cs="Arial"/>
          <w:b/>
          <w:bCs/>
          <w:noProof/>
          <w:sz w:val="22"/>
        </w:rPr>
        <w:t>206</w:t>
      </w:r>
      <w:r w:rsidRPr="00AD7DB3">
        <w:rPr>
          <w:rFonts w:ascii="Arial" w:hAnsi="Arial" w:cs="Arial"/>
          <w:noProof/>
          <w:sz w:val="22"/>
        </w:rPr>
        <w:t>, 544–50.</w:t>
      </w:r>
    </w:p>
    <w:p w:rsidR="00AD7DB3" w:rsidRPr="00AD7DB3" w:rsidRDefault="00AD7DB3">
      <w:pPr>
        <w:pStyle w:val="NormalWeb"/>
        <w:ind w:left="640" w:hanging="640"/>
        <w:divId w:val="979572488"/>
        <w:rPr>
          <w:rFonts w:ascii="Arial" w:hAnsi="Arial" w:cs="Arial"/>
          <w:noProof/>
          <w:sz w:val="22"/>
        </w:rPr>
      </w:pPr>
      <w:r w:rsidRPr="00AD7DB3">
        <w:rPr>
          <w:rFonts w:ascii="Arial" w:hAnsi="Arial" w:cs="Arial"/>
          <w:noProof/>
          <w:sz w:val="22"/>
        </w:rPr>
        <w:t xml:space="preserve">4. </w:t>
      </w:r>
      <w:r w:rsidRPr="00AD7DB3">
        <w:rPr>
          <w:rFonts w:ascii="Arial" w:hAnsi="Arial" w:cs="Arial"/>
          <w:noProof/>
          <w:sz w:val="22"/>
        </w:rPr>
        <w:tab/>
        <w:t xml:space="preserve">Robinson TN, Wu DS, Sauaia A, et al. (2013) Slower walking speed forecasts increased postoperative morbidity and 1-year mortality across surgical specialties. </w:t>
      </w:r>
      <w:r w:rsidRPr="00AD7DB3">
        <w:rPr>
          <w:rFonts w:ascii="Arial" w:hAnsi="Arial" w:cs="Arial"/>
          <w:i/>
          <w:iCs/>
          <w:noProof/>
          <w:sz w:val="22"/>
        </w:rPr>
        <w:t>Ann. Surg.</w:t>
      </w:r>
      <w:r w:rsidRPr="00AD7DB3">
        <w:rPr>
          <w:rFonts w:ascii="Arial" w:hAnsi="Arial" w:cs="Arial"/>
          <w:noProof/>
          <w:sz w:val="22"/>
        </w:rPr>
        <w:t xml:space="preserve"> </w:t>
      </w:r>
      <w:r w:rsidRPr="00AD7DB3">
        <w:rPr>
          <w:rFonts w:ascii="Arial" w:hAnsi="Arial" w:cs="Arial"/>
          <w:b/>
          <w:bCs/>
          <w:noProof/>
          <w:sz w:val="22"/>
        </w:rPr>
        <w:t>258</w:t>
      </w:r>
      <w:r w:rsidRPr="00AD7DB3">
        <w:rPr>
          <w:rFonts w:ascii="Arial" w:hAnsi="Arial" w:cs="Arial"/>
          <w:noProof/>
          <w:sz w:val="22"/>
        </w:rPr>
        <w:t>, 582–8; discussion 588–90.</w:t>
      </w:r>
    </w:p>
    <w:p w:rsidR="00AD7DB3" w:rsidRPr="00AD7DB3" w:rsidRDefault="00AD7DB3">
      <w:pPr>
        <w:pStyle w:val="NormalWeb"/>
        <w:ind w:left="640" w:hanging="640"/>
        <w:divId w:val="979572488"/>
        <w:rPr>
          <w:rFonts w:ascii="Arial" w:hAnsi="Arial" w:cs="Arial"/>
          <w:noProof/>
          <w:sz w:val="22"/>
        </w:rPr>
      </w:pPr>
      <w:r w:rsidRPr="00AD7DB3">
        <w:rPr>
          <w:rFonts w:ascii="Arial" w:hAnsi="Arial" w:cs="Arial"/>
          <w:noProof/>
          <w:sz w:val="22"/>
        </w:rPr>
        <w:t xml:space="preserve">5. </w:t>
      </w:r>
      <w:r w:rsidRPr="00AD7DB3">
        <w:rPr>
          <w:rFonts w:ascii="Arial" w:hAnsi="Arial" w:cs="Arial"/>
          <w:noProof/>
          <w:sz w:val="22"/>
        </w:rPr>
        <w:tab/>
        <w:t xml:space="preserve">Hewitt J, Moug SJ, Middleton M, et al. (2014) Prevalence of frailty and its association with mortality in general surgery. </w:t>
      </w:r>
      <w:r w:rsidRPr="00AD7DB3">
        <w:rPr>
          <w:rFonts w:ascii="Arial" w:hAnsi="Arial" w:cs="Arial"/>
          <w:i/>
          <w:iCs/>
          <w:noProof/>
          <w:sz w:val="22"/>
        </w:rPr>
        <w:t>Am. J. Surg.</w:t>
      </w:r>
      <w:r w:rsidRPr="00AD7DB3">
        <w:rPr>
          <w:rFonts w:ascii="Arial" w:hAnsi="Arial" w:cs="Arial"/>
          <w:noProof/>
          <w:sz w:val="22"/>
        </w:rPr>
        <w:t>, 1–6. Elsevier Inc.</w:t>
      </w:r>
    </w:p>
    <w:p w:rsidR="00AD7DB3" w:rsidRPr="00AD7DB3" w:rsidRDefault="00AD7DB3">
      <w:pPr>
        <w:pStyle w:val="NormalWeb"/>
        <w:ind w:left="640" w:hanging="640"/>
        <w:divId w:val="979572488"/>
        <w:rPr>
          <w:rFonts w:ascii="Arial" w:hAnsi="Arial" w:cs="Arial"/>
          <w:noProof/>
          <w:sz w:val="22"/>
        </w:rPr>
      </w:pPr>
      <w:r w:rsidRPr="00AD7DB3">
        <w:rPr>
          <w:rFonts w:ascii="Arial" w:hAnsi="Arial" w:cs="Arial"/>
          <w:noProof/>
          <w:sz w:val="22"/>
        </w:rPr>
        <w:t xml:space="preserve">6. </w:t>
      </w:r>
      <w:r w:rsidRPr="00AD7DB3">
        <w:rPr>
          <w:rFonts w:ascii="Arial" w:hAnsi="Arial" w:cs="Arial"/>
          <w:noProof/>
          <w:sz w:val="22"/>
        </w:rPr>
        <w:tab/>
        <w:t xml:space="preserve">Revenig LM, Canter DJ, Taylor MD, et al. (2013) Too frail for surgery? Initial results of a large multidisciplinary prospective study examining preoperative variables predictive of poor surgical outcomes. </w:t>
      </w:r>
      <w:r w:rsidRPr="00AD7DB3">
        <w:rPr>
          <w:rFonts w:ascii="Arial" w:hAnsi="Arial" w:cs="Arial"/>
          <w:i/>
          <w:iCs/>
          <w:noProof/>
          <w:sz w:val="22"/>
        </w:rPr>
        <w:t>J. Am. Coll. Surg.</w:t>
      </w:r>
      <w:r w:rsidRPr="00AD7DB3">
        <w:rPr>
          <w:rFonts w:ascii="Arial" w:hAnsi="Arial" w:cs="Arial"/>
          <w:noProof/>
          <w:sz w:val="22"/>
        </w:rPr>
        <w:t xml:space="preserve"> </w:t>
      </w:r>
      <w:r w:rsidRPr="00AD7DB3">
        <w:rPr>
          <w:rFonts w:ascii="Arial" w:hAnsi="Arial" w:cs="Arial"/>
          <w:b/>
          <w:bCs/>
          <w:noProof/>
          <w:sz w:val="22"/>
        </w:rPr>
        <w:t>217</w:t>
      </w:r>
      <w:r w:rsidRPr="00AD7DB3">
        <w:rPr>
          <w:rFonts w:ascii="Arial" w:hAnsi="Arial" w:cs="Arial"/>
          <w:noProof/>
          <w:sz w:val="22"/>
        </w:rPr>
        <w:t>, 665–670.e1.</w:t>
      </w:r>
    </w:p>
    <w:p w:rsidR="00AD7DB3" w:rsidRPr="00024135" w:rsidRDefault="00AD7DB3">
      <w:pPr>
        <w:pStyle w:val="NormalWeb"/>
        <w:ind w:left="640" w:hanging="640"/>
        <w:divId w:val="979572488"/>
        <w:rPr>
          <w:rFonts w:ascii="Arial" w:hAnsi="Arial" w:cs="Arial"/>
          <w:noProof/>
          <w:sz w:val="22"/>
          <w:lang w:val="fr-FR"/>
        </w:rPr>
      </w:pPr>
      <w:r w:rsidRPr="00AD7DB3">
        <w:rPr>
          <w:rFonts w:ascii="Arial" w:hAnsi="Arial" w:cs="Arial"/>
          <w:noProof/>
          <w:sz w:val="22"/>
        </w:rPr>
        <w:t xml:space="preserve">7. </w:t>
      </w:r>
      <w:r w:rsidRPr="00AD7DB3">
        <w:rPr>
          <w:rFonts w:ascii="Arial" w:hAnsi="Arial" w:cs="Arial"/>
          <w:noProof/>
          <w:sz w:val="22"/>
        </w:rPr>
        <w:tab/>
        <w:t xml:space="preserve">Kim S, Han H-S, Jung H, et al. (2014) Multidimensional frailty score for the prediction of postoperative mortality risk. </w:t>
      </w:r>
      <w:r w:rsidRPr="00024135">
        <w:rPr>
          <w:rFonts w:ascii="Arial" w:hAnsi="Arial" w:cs="Arial"/>
          <w:i/>
          <w:iCs/>
          <w:noProof/>
          <w:sz w:val="22"/>
          <w:lang w:val="fr-FR"/>
        </w:rPr>
        <w:t>JAMA Surg.</w:t>
      </w:r>
      <w:r w:rsidRPr="00024135">
        <w:rPr>
          <w:rFonts w:ascii="Arial" w:hAnsi="Arial" w:cs="Arial"/>
          <w:noProof/>
          <w:sz w:val="22"/>
          <w:lang w:val="fr-FR"/>
        </w:rPr>
        <w:t xml:space="preserve"> </w:t>
      </w:r>
      <w:r w:rsidRPr="00024135">
        <w:rPr>
          <w:rFonts w:ascii="Arial" w:hAnsi="Arial" w:cs="Arial"/>
          <w:b/>
          <w:bCs/>
          <w:noProof/>
          <w:sz w:val="22"/>
          <w:lang w:val="fr-FR"/>
        </w:rPr>
        <w:t>149</w:t>
      </w:r>
      <w:r w:rsidRPr="00024135">
        <w:rPr>
          <w:rFonts w:ascii="Arial" w:hAnsi="Arial" w:cs="Arial"/>
          <w:noProof/>
          <w:sz w:val="22"/>
          <w:lang w:val="fr-FR"/>
        </w:rPr>
        <w:t>, 633–40.</w:t>
      </w:r>
    </w:p>
    <w:p w:rsidR="00AD7DB3" w:rsidRPr="00024135" w:rsidRDefault="00AD7DB3">
      <w:pPr>
        <w:pStyle w:val="NormalWeb"/>
        <w:ind w:left="640" w:hanging="640"/>
        <w:divId w:val="979572488"/>
        <w:rPr>
          <w:rFonts w:ascii="Arial" w:hAnsi="Arial" w:cs="Arial"/>
          <w:noProof/>
          <w:sz w:val="22"/>
          <w:lang w:val="fr-FR"/>
        </w:rPr>
      </w:pPr>
      <w:r w:rsidRPr="00024135">
        <w:rPr>
          <w:rFonts w:ascii="Arial" w:hAnsi="Arial" w:cs="Arial"/>
          <w:noProof/>
          <w:sz w:val="22"/>
          <w:lang w:val="fr-FR"/>
        </w:rPr>
        <w:t xml:space="preserve">8. </w:t>
      </w:r>
      <w:r w:rsidRPr="00024135">
        <w:rPr>
          <w:rFonts w:ascii="Arial" w:hAnsi="Arial" w:cs="Arial"/>
          <w:noProof/>
          <w:sz w:val="22"/>
          <w:lang w:val="fr-FR"/>
        </w:rPr>
        <w:tab/>
        <w:t xml:space="preserve">Joseph B, Pandit V, Zangbar B, et al. </w:t>
      </w:r>
      <w:r w:rsidRPr="00AD7DB3">
        <w:rPr>
          <w:rFonts w:ascii="Arial" w:hAnsi="Arial" w:cs="Arial"/>
          <w:noProof/>
          <w:sz w:val="22"/>
        </w:rPr>
        <w:t xml:space="preserve">(2014) Superiority of frailty over age in predicting outcomes among geriatric trauma patients: a prospective analysis. </w:t>
      </w:r>
      <w:r w:rsidRPr="00024135">
        <w:rPr>
          <w:rFonts w:ascii="Arial" w:hAnsi="Arial" w:cs="Arial"/>
          <w:i/>
          <w:iCs/>
          <w:noProof/>
          <w:sz w:val="22"/>
          <w:lang w:val="fr-FR"/>
        </w:rPr>
        <w:t>JAMA Surg.</w:t>
      </w:r>
      <w:r w:rsidRPr="00024135">
        <w:rPr>
          <w:rFonts w:ascii="Arial" w:hAnsi="Arial" w:cs="Arial"/>
          <w:noProof/>
          <w:sz w:val="22"/>
          <w:lang w:val="fr-FR"/>
        </w:rPr>
        <w:t xml:space="preserve"> </w:t>
      </w:r>
      <w:r w:rsidRPr="00024135">
        <w:rPr>
          <w:rFonts w:ascii="Arial" w:hAnsi="Arial" w:cs="Arial"/>
          <w:b/>
          <w:bCs/>
          <w:noProof/>
          <w:sz w:val="22"/>
          <w:lang w:val="fr-FR"/>
        </w:rPr>
        <w:t>149</w:t>
      </w:r>
      <w:r w:rsidRPr="00024135">
        <w:rPr>
          <w:rFonts w:ascii="Arial" w:hAnsi="Arial" w:cs="Arial"/>
          <w:noProof/>
          <w:sz w:val="22"/>
          <w:lang w:val="fr-FR"/>
        </w:rPr>
        <w:t>, 766–72.</w:t>
      </w:r>
    </w:p>
    <w:p w:rsidR="00AD7DB3" w:rsidRPr="00AD7DB3" w:rsidRDefault="00AD7DB3">
      <w:pPr>
        <w:pStyle w:val="NormalWeb"/>
        <w:ind w:left="640" w:hanging="640"/>
        <w:divId w:val="979572488"/>
        <w:rPr>
          <w:rFonts w:ascii="Arial" w:hAnsi="Arial" w:cs="Arial"/>
          <w:noProof/>
          <w:sz w:val="22"/>
        </w:rPr>
      </w:pPr>
      <w:r w:rsidRPr="00024135">
        <w:rPr>
          <w:rFonts w:ascii="Arial" w:hAnsi="Arial" w:cs="Arial"/>
          <w:noProof/>
          <w:sz w:val="22"/>
          <w:lang w:val="fr-FR"/>
        </w:rPr>
        <w:t xml:space="preserve">9. </w:t>
      </w:r>
      <w:r w:rsidRPr="00024135">
        <w:rPr>
          <w:rFonts w:ascii="Arial" w:hAnsi="Arial" w:cs="Arial"/>
          <w:noProof/>
          <w:sz w:val="22"/>
          <w:lang w:val="fr-FR"/>
        </w:rPr>
        <w:tab/>
        <w:t xml:space="preserve">Pol R a, van Leeuwen BL, Visser L, et al. </w:t>
      </w:r>
      <w:r w:rsidRPr="00AD7DB3">
        <w:rPr>
          <w:rFonts w:ascii="Arial" w:hAnsi="Arial" w:cs="Arial"/>
          <w:noProof/>
          <w:sz w:val="22"/>
        </w:rPr>
        <w:t xml:space="preserve">(2011) Standardised frailty indicator as predictor for postoperative delirium after vascular surgery: a prospective cohort study. </w:t>
      </w:r>
      <w:r w:rsidRPr="00AD7DB3">
        <w:rPr>
          <w:rFonts w:ascii="Arial" w:hAnsi="Arial" w:cs="Arial"/>
          <w:i/>
          <w:iCs/>
          <w:noProof/>
          <w:sz w:val="22"/>
        </w:rPr>
        <w:t>Eur. J. Vasc. Endovasc. Surg.</w:t>
      </w:r>
      <w:r w:rsidRPr="00AD7DB3">
        <w:rPr>
          <w:rFonts w:ascii="Arial" w:hAnsi="Arial" w:cs="Arial"/>
          <w:noProof/>
          <w:sz w:val="22"/>
        </w:rPr>
        <w:t xml:space="preserve"> </w:t>
      </w:r>
      <w:r w:rsidRPr="00AD7DB3">
        <w:rPr>
          <w:rFonts w:ascii="Arial" w:hAnsi="Arial" w:cs="Arial"/>
          <w:b/>
          <w:bCs/>
          <w:noProof/>
          <w:sz w:val="22"/>
        </w:rPr>
        <w:t>42</w:t>
      </w:r>
      <w:r w:rsidRPr="00AD7DB3">
        <w:rPr>
          <w:rFonts w:ascii="Arial" w:hAnsi="Arial" w:cs="Arial"/>
          <w:noProof/>
          <w:sz w:val="22"/>
        </w:rPr>
        <w:t>, 824–30. Elsevier Ltd.</w:t>
      </w:r>
    </w:p>
    <w:p w:rsidR="00AD7DB3" w:rsidRPr="00AD7DB3" w:rsidRDefault="00AD7DB3">
      <w:pPr>
        <w:pStyle w:val="NormalWeb"/>
        <w:ind w:left="640" w:hanging="640"/>
        <w:divId w:val="979572488"/>
        <w:rPr>
          <w:rFonts w:ascii="Arial" w:hAnsi="Arial" w:cs="Arial"/>
          <w:noProof/>
          <w:sz w:val="22"/>
        </w:rPr>
      </w:pPr>
      <w:r w:rsidRPr="00AD7DB3">
        <w:rPr>
          <w:rFonts w:ascii="Arial" w:hAnsi="Arial" w:cs="Arial"/>
          <w:noProof/>
          <w:sz w:val="22"/>
        </w:rPr>
        <w:t xml:space="preserve">10. </w:t>
      </w:r>
      <w:r w:rsidRPr="00AD7DB3">
        <w:rPr>
          <w:rFonts w:ascii="Arial" w:hAnsi="Arial" w:cs="Arial"/>
          <w:noProof/>
          <w:sz w:val="22"/>
        </w:rPr>
        <w:tab/>
        <w:t xml:space="preserve">Dale W, Hemmerich J, Kamm A, et al. (2014) Geriatric assessment improves prediction of surgical outcomes in older adults undergoing pancreaticoduodenectomy: a prospective cohort study. </w:t>
      </w:r>
      <w:r w:rsidRPr="00AD7DB3">
        <w:rPr>
          <w:rFonts w:ascii="Arial" w:hAnsi="Arial" w:cs="Arial"/>
          <w:i/>
          <w:iCs/>
          <w:noProof/>
          <w:sz w:val="22"/>
        </w:rPr>
        <w:t>Ann. Surg.</w:t>
      </w:r>
      <w:r w:rsidRPr="00AD7DB3">
        <w:rPr>
          <w:rFonts w:ascii="Arial" w:hAnsi="Arial" w:cs="Arial"/>
          <w:noProof/>
          <w:sz w:val="22"/>
        </w:rPr>
        <w:t xml:space="preserve"> </w:t>
      </w:r>
      <w:r w:rsidRPr="00AD7DB3">
        <w:rPr>
          <w:rFonts w:ascii="Arial" w:hAnsi="Arial" w:cs="Arial"/>
          <w:b/>
          <w:bCs/>
          <w:noProof/>
          <w:sz w:val="22"/>
        </w:rPr>
        <w:t>259</w:t>
      </w:r>
      <w:r w:rsidRPr="00AD7DB3">
        <w:rPr>
          <w:rFonts w:ascii="Arial" w:hAnsi="Arial" w:cs="Arial"/>
          <w:noProof/>
          <w:sz w:val="22"/>
        </w:rPr>
        <w:t>, 960–5.</w:t>
      </w:r>
    </w:p>
    <w:p w:rsidR="00AD7DB3" w:rsidRPr="00AD7DB3" w:rsidRDefault="00AD7DB3">
      <w:pPr>
        <w:pStyle w:val="NormalWeb"/>
        <w:ind w:left="640" w:hanging="640"/>
        <w:divId w:val="979572488"/>
        <w:rPr>
          <w:rFonts w:ascii="Arial" w:hAnsi="Arial" w:cs="Arial"/>
          <w:noProof/>
          <w:sz w:val="22"/>
        </w:rPr>
      </w:pPr>
      <w:r w:rsidRPr="00AD7DB3">
        <w:rPr>
          <w:rFonts w:ascii="Arial" w:hAnsi="Arial" w:cs="Arial"/>
          <w:noProof/>
          <w:sz w:val="22"/>
        </w:rPr>
        <w:t xml:space="preserve">11. </w:t>
      </w:r>
      <w:r w:rsidRPr="00AD7DB3">
        <w:rPr>
          <w:rFonts w:ascii="Arial" w:hAnsi="Arial" w:cs="Arial"/>
          <w:noProof/>
          <w:sz w:val="22"/>
        </w:rPr>
        <w:tab/>
        <w:t xml:space="preserve">Odonkor CA, Schonberger RB, Dai F, et al. (2013) New utility for an old tool: can a simple gait speed test predict ambulatory surgical discharge outcomes? </w:t>
      </w:r>
      <w:r w:rsidRPr="00AD7DB3">
        <w:rPr>
          <w:rFonts w:ascii="Arial" w:hAnsi="Arial" w:cs="Arial"/>
          <w:i/>
          <w:iCs/>
          <w:noProof/>
          <w:sz w:val="22"/>
        </w:rPr>
        <w:t>Am. J. Phys. Med. Rehabil.</w:t>
      </w:r>
      <w:r w:rsidRPr="00AD7DB3">
        <w:rPr>
          <w:rFonts w:ascii="Arial" w:hAnsi="Arial" w:cs="Arial"/>
          <w:noProof/>
          <w:sz w:val="22"/>
        </w:rPr>
        <w:t xml:space="preserve"> </w:t>
      </w:r>
      <w:r w:rsidRPr="00AD7DB3">
        <w:rPr>
          <w:rFonts w:ascii="Arial" w:hAnsi="Arial" w:cs="Arial"/>
          <w:b/>
          <w:bCs/>
          <w:noProof/>
          <w:sz w:val="22"/>
        </w:rPr>
        <w:t>92</w:t>
      </w:r>
      <w:r w:rsidRPr="00AD7DB3">
        <w:rPr>
          <w:rFonts w:ascii="Arial" w:hAnsi="Arial" w:cs="Arial"/>
          <w:noProof/>
          <w:sz w:val="22"/>
        </w:rPr>
        <w:t>, 849–63.</w:t>
      </w:r>
    </w:p>
    <w:p w:rsidR="00AD7DB3" w:rsidRPr="00AD7DB3" w:rsidRDefault="00AD7DB3">
      <w:pPr>
        <w:pStyle w:val="NormalWeb"/>
        <w:ind w:left="640" w:hanging="640"/>
        <w:divId w:val="979572488"/>
        <w:rPr>
          <w:rFonts w:ascii="Arial" w:hAnsi="Arial" w:cs="Arial"/>
          <w:noProof/>
          <w:sz w:val="22"/>
        </w:rPr>
      </w:pPr>
      <w:r w:rsidRPr="00AD7DB3">
        <w:rPr>
          <w:rFonts w:ascii="Arial" w:hAnsi="Arial" w:cs="Arial"/>
          <w:noProof/>
          <w:sz w:val="22"/>
        </w:rPr>
        <w:t xml:space="preserve">12. </w:t>
      </w:r>
      <w:r w:rsidRPr="00AD7DB3">
        <w:rPr>
          <w:rFonts w:ascii="Arial" w:hAnsi="Arial" w:cs="Arial"/>
          <w:noProof/>
          <w:sz w:val="22"/>
        </w:rPr>
        <w:tab/>
        <w:t xml:space="preserve">Lasithiotakis K, Petrakis J, Venianaki M, et al. (2013) Frailty predicts outcome of elective laparoscopic cholecystectomy in geriatric patients. </w:t>
      </w:r>
      <w:r w:rsidRPr="00AD7DB3">
        <w:rPr>
          <w:rFonts w:ascii="Arial" w:hAnsi="Arial" w:cs="Arial"/>
          <w:i/>
          <w:iCs/>
          <w:noProof/>
          <w:sz w:val="22"/>
        </w:rPr>
        <w:t>Surg. Endosc.</w:t>
      </w:r>
      <w:r w:rsidRPr="00AD7DB3">
        <w:rPr>
          <w:rFonts w:ascii="Arial" w:hAnsi="Arial" w:cs="Arial"/>
          <w:noProof/>
          <w:sz w:val="22"/>
        </w:rPr>
        <w:t xml:space="preserve"> </w:t>
      </w:r>
      <w:r w:rsidRPr="00AD7DB3">
        <w:rPr>
          <w:rFonts w:ascii="Arial" w:hAnsi="Arial" w:cs="Arial"/>
          <w:b/>
          <w:bCs/>
          <w:noProof/>
          <w:sz w:val="22"/>
        </w:rPr>
        <w:t>27</w:t>
      </w:r>
      <w:r w:rsidRPr="00AD7DB3">
        <w:rPr>
          <w:rFonts w:ascii="Arial" w:hAnsi="Arial" w:cs="Arial"/>
          <w:noProof/>
          <w:sz w:val="22"/>
        </w:rPr>
        <w:t>, 1144–50.</w:t>
      </w:r>
    </w:p>
    <w:p w:rsidR="00AD7DB3" w:rsidRPr="00AD7DB3" w:rsidRDefault="00AD7DB3">
      <w:pPr>
        <w:pStyle w:val="NormalWeb"/>
        <w:ind w:left="640" w:hanging="640"/>
        <w:divId w:val="979572488"/>
        <w:rPr>
          <w:rFonts w:ascii="Arial" w:hAnsi="Arial" w:cs="Arial"/>
          <w:noProof/>
          <w:sz w:val="22"/>
        </w:rPr>
      </w:pPr>
      <w:r w:rsidRPr="00AD7DB3">
        <w:rPr>
          <w:rFonts w:ascii="Arial" w:hAnsi="Arial" w:cs="Arial"/>
          <w:noProof/>
          <w:sz w:val="22"/>
        </w:rPr>
        <w:t xml:space="preserve">13. </w:t>
      </w:r>
      <w:r w:rsidRPr="00AD7DB3">
        <w:rPr>
          <w:rFonts w:ascii="Arial" w:hAnsi="Arial" w:cs="Arial"/>
          <w:noProof/>
          <w:sz w:val="22"/>
        </w:rPr>
        <w:tab/>
        <w:t xml:space="preserve">Leung J, Tsai T &amp; Sands L (2011) Preoperative frailty in older surgical patients is associated with early postoperative delirium. </w:t>
      </w:r>
      <w:r w:rsidRPr="00AD7DB3">
        <w:rPr>
          <w:rFonts w:ascii="Arial" w:hAnsi="Arial" w:cs="Arial"/>
          <w:i/>
          <w:iCs/>
          <w:noProof/>
          <w:sz w:val="22"/>
        </w:rPr>
        <w:t>Anesth. Analg.</w:t>
      </w:r>
      <w:r w:rsidRPr="00AD7DB3">
        <w:rPr>
          <w:rFonts w:ascii="Arial" w:hAnsi="Arial" w:cs="Arial"/>
          <w:noProof/>
          <w:sz w:val="22"/>
        </w:rPr>
        <w:t xml:space="preserve"> </w:t>
      </w:r>
      <w:r w:rsidRPr="00AD7DB3">
        <w:rPr>
          <w:rFonts w:ascii="Arial" w:hAnsi="Arial" w:cs="Arial"/>
          <w:b/>
          <w:bCs/>
          <w:noProof/>
          <w:sz w:val="22"/>
        </w:rPr>
        <w:t>112</w:t>
      </w:r>
      <w:r w:rsidRPr="00AD7DB3">
        <w:rPr>
          <w:rFonts w:ascii="Arial" w:hAnsi="Arial" w:cs="Arial"/>
          <w:noProof/>
          <w:sz w:val="22"/>
        </w:rPr>
        <w:t xml:space="preserve">, 1199–1201. </w:t>
      </w:r>
    </w:p>
    <w:p w:rsidR="008272D5" w:rsidRPr="008272D5" w:rsidRDefault="008272D5" w:rsidP="00AD7DB3">
      <w:pPr>
        <w:pStyle w:val="NormalWeb"/>
        <w:ind w:left="640" w:hanging="640"/>
        <w:divId w:val="1887257286"/>
        <w:rPr>
          <w:rFonts w:ascii="Arial" w:hAnsi="Arial" w:cs="Arial"/>
          <w:sz w:val="22"/>
        </w:rPr>
      </w:pPr>
      <w:r>
        <w:rPr>
          <w:rFonts w:ascii="Arial" w:hAnsi="Arial" w:cs="Arial"/>
          <w:sz w:val="22"/>
        </w:rPr>
        <w:fldChar w:fldCharType="end"/>
      </w:r>
    </w:p>
    <w:p w:rsidR="00AD7DB3" w:rsidRDefault="00AD7DB3" w:rsidP="0033692D">
      <w:pPr>
        <w:pStyle w:val="Thesis"/>
        <w:rPr>
          <w:rFonts w:ascii="Arial" w:hAnsi="Arial" w:cs="Arial"/>
          <w:b/>
          <w:sz w:val="22"/>
          <w:u w:val="single"/>
        </w:rPr>
      </w:pPr>
    </w:p>
    <w:p w:rsidR="001D13EC" w:rsidRPr="001C5B77" w:rsidRDefault="00BD46FC" w:rsidP="0033692D">
      <w:pPr>
        <w:pStyle w:val="Thesis"/>
        <w:rPr>
          <w:rFonts w:ascii="Arial" w:hAnsi="Arial" w:cs="Arial"/>
          <w:b/>
          <w:sz w:val="22"/>
          <w:u w:val="single"/>
        </w:rPr>
      </w:pPr>
      <w:r w:rsidRPr="001C5B77">
        <w:rPr>
          <w:rFonts w:ascii="Arial" w:hAnsi="Arial" w:cs="Arial"/>
          <w:b/>
          <w:sz w:val="22"/>
          <w:u w:val="single"/>
        </w:rPr>
        <w:lastRenderedPageBreak/>
        <w:t>Search Strategy</w:t>
      </w:r>
    </w:p>
    <w:p w:rsidR="00BD46FC" w:rsidRPr="001C5B77" w:rsidRDefault="00BD46FC" w:rsidP="0033692D">
      <w:pPr>
        <w:pStyle w:val="Thesis"/>
        <w:rPr>
          <w:rFonts w:ascii="Arial" w:hAnsi="Arial" w:cs="Arial"/>
          <w:sz w:val="22"/>
        </w:rPr>
      </w:pPr>
      <w:r w:rsidRPr="001C5B77">
        <w:rPr>
          <w:rFonts w:ascii="Arial" w:hAnsi="Arial" w:cs="Arial"/>
          <w:sz w:val="22"/>
        </w:rPr>
        <w:t>PubMed was last searched on 21</w:t>
      </w:r>
      <w:r w:rsidRPr="001C5B77">
        <w:rPr>
          <w:rFonts w:ascii="Arial" w:hAnsi="Arial" w:cs="Arial"/>
          <w:sz w:val="22"/>
          <w:vertAlign w:val="superscript"/>
        </w:rPr>
        <w:t>st</w:t>
      </w:r>
      <w:r w:rsidRPr="001C5B77">
        <w:rPr>
          <w:rFonts w:ascii="Arial" w:hAnsi="Arial" w:cs="Arial"/>
          <w:sz w:val="22"/>
        </w:rPr>
        <w:t xml:space="preserve"> November 2014 using the following search strategy:</w:t>
      </w:r>
    </w:p>
    <w:p w:rsidR="00BD46FC" w:rsidRPr="001C5B77" w:rsidRDefault="00BD46FC" w:rsidP="0033692D">
      <w:pPr>
        <w:pStyle w:val="Thesis"/>
        <w:rPr>
          <w:rFonts w:ascii="Arial" w:hAnsi="Arial" w:cs="Arial"/>
          <w:sz w:val="22"/>
        </w:rPr>
      </w:pPr>
      <w:r w:rsidRPr="001C5B77">
        <w:rPr>
          <w:rFonts w:ascii="Arial" w:hAnsi="Arial" w:cs="Arial"/>
          <w:sz w:val="22"/>
        </w:rPr>
        <w:t xml:space="preserve">(((((frailty OR frail OR </w:t>
      </w:r>
      <w:proofErr w:type="spellStart"/>
      <w:r w:rsidRPr="001C5B77">
        <w:rPr>
          <w:rFonts w:ascii="Arial" w:hAnsi="Arial" w:cs="Arial"/>
          <w:sz w:val="22"/>
        </w:rPr>
        <w:t>sarcopenia</w:t>
      </w:r>
      <w:proofErr w:type="spellEnd"/>
      <w:r w:rsidRPr="001C5B77">
        <w:rPr>
          <w:rFonts w:ascii="Arial" w:hAnsi="Arial" w:cs="Arial"/>
          <w:sz w:val="22"/>
        </w:rPr>
        <w:t xml:space="preserve">))) OR (((((walking speed OR gait speed)) OR ((grip strength OR hand strength OR chair rise* OR chair stand OR postural control OR standing balance))))))) AND (surgery OR </w:t>
      </w:r>
      <w:proofErr w:type="spellStart"/>
      <w:r w:rsidRPr="001C5B77">
        <w:rPr>
          <w:rFonts w:ascii="Arial" w:hAnsi="Arial" w:cs="Arial"/>
          <w:sz w:val="22"/>
        </w:rPr>
        <w:t>peri</w:t>
      </w:r>
      <w:proofErr w:type="spellEnd"/>
      <w:r w:rsidRPr="001C5B77">
        <w:rPr>
          <w:rFonts w:ascii="Arial" w:hAnsi="Arial" w:cs="Arial"/>
          <w:sz w:val="22"/>
        </w:rPr>
        <w:t>-operative)</w:t>
      </w:r>
    </w:p>
    <w:sectPr w:rsidR="00BD46FC" w:rsidRPr="001C5B77" w:rsidSect="001C5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2D"/>
    <w:rsid w:val="00004C8D"/>
    <w:rsid w:val="00015E55"/>
    <w:rsid w:val="00024135"/>
    <w:rsid w:val="00024252"/>
    <w:rsid w:val="00052071"/>
    <w:rsid w:val="00096A51"/>
    <w:rsid w:val="000A09C7"/>
    <w:rsid w:val="000A4DA1"/>
    <w:rsid w:val="000B19D0"/>
    <w:rsid w:val="000B5FDB"/>
    <w:rsid w:val="000C5CC0"/>
    <w:rsid w:val="000D033C"/>
    <w:rsid w:val="000D1B44"/>
    <w:rsid w:val="000D2ABB"/>
    <w:rsid w:val="000E11A0"/>
    <w:rsid w:val="000E24CB"/>
    <w:rsid w:val="000E3989"/>
    <w:rsid w:val="001122EA"/>
    <w:rsid w:val="00126D50"/>
    <w:rsid w:val="00176B03"/>
    <w:rsid w:val="00180470"/>
    <w:rsid w:val="0018395E"/>
    <w:rsid w:val="001A31D8"/>
    <w:rsid w:val="001B63E6"/>
    <w:rsid w:val="001C5B77"/>
    <w:rsid w:val="001D13EC"/>
    <w:rsid w:val="001D501C"/>
    <w:rsid w:val="001D7C5B"/>
    <w:rsid w:val="001E1B25"/>
    <w:rsid w:val="00202FC7"/>
    <w:rsid w:val="00215F6C"/>
    <w:rsid w:val="00217C8B"/>
    <w:rsid w:val="00247AA7"/>
    <w:rsid w:val="00254E23"/>
    <w:rsid w:val="00274CD5"/>
    <w:rsid w:val="002D1DF5"/>
    <w:rsid w:val="002D2312"/>
    <w:rsid w:val="00300293"/>
    <w:rsid w:val="00307414"/>
    <w:rsid w:val="0031281B"/>
    <w:rsid w:val="00314D9E"/>
    <w:rsid w:val="00334FE1"/>
    <w:rsid w:val="0033692D"/>
    <w:rsid w:val="003728D4"/>
    <w:rsid w:val="003C3064"/>
    <w:rsid w:val="003D3478"/>
    <w:rsid w:val="003E5639"/>
    <w:rsid w:val="00403D38"/>
    <w:rsid w:val="004151FB"/>
    <w:rsid w:val="00473AC5"/>
    <w:rsid w:val="00477484"/>
    <w:rsid w:val="004818EC"/>
    <w:rsid w:val="004A6846"/>
    <w:rsid w:val="004C0D22"/>
    <w:rsid w:val="004E33E2"/>
    <w:rsid w:val="0050004D"/>
    <w:rsid w:val="005039E3"/>
    <w:rsid w:val="0052799D"/>
    <w:rsid w:val="005404D1"/>
    <w:rsid w:val="00544E56"/>
    <w:rsid w:val="0056146C"/>
    <w:rsid w:val="00561818"/>
    <w:rsid w:val="00562A37"/>
    <w:rsid w:val="00580524"/>
    <w:rsid w:val="005B0C84"/>
    <w:rsid w:val="005B7693"/>
    <w:rsid w:val="005F7994"/>
    <w:rsid w:val="00602983"/>
    <w:rsid w:val="0062145F"/>
    <w:rsid w:val="00635538"/>
    <w:rsid w:val="00653659"/>
    <w:rsid w:val="00660019"/>
    <w:rsid w:val="00663A5C"/>
    <w:rsid w:val="006641A0"/>
    <w:rsid w:val="006968C8"/>
    <w:rsid w:val="006C51E4"/>
    <w:rsid w:val="006C62DA"/>
    <w:rsid w:val="006D4859"/>
    <w:rsid w:val="006D59D3"/>
    <w:rsid w:val="00713654"/>
    <w:rsid w:val="00763613"/>
    <w:rsid w:val="007716AE"/>
    <w:rsid w:val="00795BE5"/>
    <w:rsid w:val="007E423A"/>
    <w:rsid w:val="007E52AC"/>
    <w:rsid w:val="007E53E8"/>
    <w:rsid w:val="007F0332"/>
    <w:rsid w:val="007F4028"/>
    <w:rsid w:val="00803895"/>
    <w:rsid w:val="00805A9A"/>
    <w:rsid w:val="00806FFD"/>
    <w:rsid w:val="00812F9B"/>
    <w:rsid w:val="008272D5"/>
    <w:rsid w:val="00840F55"/>
    <w:rsid w:val="00841D08"/>
    <w:rsid w:val="008504A4"/>
    <w:rsid w:val="008803B8"/>
    <w:rsid w:val="008904E5"/>
    <w:rsid w:val="008A16BD"/>
    <w:rsid w:val="008F4EC5"/>
    <w:rsid w:val="009011DD"/>
    <w:rsid w:val="0090645D"/>
    <w:rsid w:val="00910113"/>
    <w:rsid w:val="00913F67"/>
    <w:rsid w:val="0091757C"/>
    <w:rsid w:val="00926F3D"/>
    <w:rsid w:val="009745D0"/>
    <w:rsid w:val="009A0ECF"/>
    <w:rsid w:val="009D2CB3"/>
    <w:rsid w:val="009E0CD6"/>
    <w:rsid w:val="009E30F1"/>
    <w:rsid w:val="009F38A4"/>
    <w:rsid w:val="009F606A"/>
    <w:rsid w:val="00A47471"/>
    <w:rsid w:val="00A949D7"/>
    <w:rsid w:val="00A95C67"/>
    <w:rsid w:val="00AA27D0"/>
    <w:rsid w:val="00AA4EAC"/>
    <w:rsid w:val="00AB1A24"/>
    <w:rsid w:val="00AD7DB3"/>
    <w:rsid w:val="00AE19A1"/>
    <w:rsid w:val="00AF1321"/>
    <w:rsid w:val="00B02090"/>
    <w:rsid w:val="00B03D61"/>
    <w:rsid w:val="00B03DBD"/>
    <w:rsid w:val="00B132FE"/>
    <w:rsid w:val="00B2580A"/>
    <w:rsid w:val="00B41D43"/>
    <w:rsid w:val="00B731B8"/>
    <w:rsid w:val="00B755BE"/>
    <w:rsid w:val="00B824F8"/>
    <w:rsid w:val="00B94DEA"/>
    <w:rsid w:val="00B95A0B"/>
    <w:rsid w:val="00BB7555"/>
    <w:rsid w:val="00BD0AF8"/>
    <w:rsid w:val="00BD46FC"/>
    <w:rsid w:val="00BE021D"/>
    <w:rsid w:val="00BE2F18"/>
    <w:rsid w:val="00BF25EE"/>
    <w:rsid w:val="00C0369B"/>
    <w:rsid w:val="00C03B93"/>
    <w:rsid w:val="00C0695F"/>
    <w:rsid w:val="00C10B41"/>
    <w:rsid w:val="00C326B3"/>
    <w:rsid w:val="00C517ED"/>
    <w:rsid w:val="00C70340"/>
    <w:rsid w:val="00C95DF7"/>
    <w:rsid w:val="00CA7A29"/>
    <w:rsid w:val="00CB3714"/>
    <w:rsid w:val="00D0275F"/>
    <w:rsid w:val="00D030FC"/>
    <w:rsid w:val="00D06ABC"/>
    <w:rsid w:val="00D60220"/>
    <w:rsid w:val="00D7086F"/>
    <w:rsid w:val="00D8740C"/>
    <w:rsid w:val="00DB3F85"/>
    <w:rsid w:val="00DC1371"/>
    <w:rsid w:val="00DC705F"/>
    <w:rsid w:val="00DD779F"/>
    <w:rsid w:val="00E2535A"/>
    <w:rsid w:val="00E3087E"/>
    <w:rsid w:val="00E422D5"/>
    <w:rsid w:val="00E52DAD"/>
    <w:rsid w:val="00E72E86"/>
    <w:rsid w:val="00E7476A"/>
    <w:rsid w:val="00EA67F1"/>
    <w:rsid w:val="00EC3234"/>
    <w:rsid w:val="00F03A55"/>
    <w:rsid w:val="00F128DD"/>
    <w:rsid w:val="00F20F38"/>
    <w:rsid w:val="00F377B1"/>
    <w:rsid w:val="00F511FA"/>
    <w:rsid w:val="00F663AA"/>
    <w:rsid w:val="00F82FF0"/>
    <w:rsid w:val="00FA1F83"/>
    <w:rsid w:val="00FD2767"/>
    <w:rsid w:val="00FD6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33692D"/>
    <w:pPr>
      <w:spacing w:line="360" w:lineRule="auto"/>
    </w:pPr>
    <w:rPr>
      <w:rFonts w:ascii="Times New Roman" w:hAnsi="Times New Roman"/>
      <w:sz w:val="24"/>
    </w:rPr>
  </w:style>
  <w:style w:type="table" w:styleId="TableGrid">
    <w:name w:val="Table Grid"/>
    <w:basedOn w:val="TableNormal"/>
    <w:uiPriority w:val="59"/>
    <w:rsid w:val="0033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72D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33692D"/>
    <w:pPr>
      <w:spacing w:line="360" w:lineRule="auto"/>
    </w:pPr>
    <w:rPr>
      <w:rFonts w:ascii="Times New Roman" w:hAnsi="Times New Roman"/>
      <w:sz w:val="24"/>
    </w:rPr>
  </w:style>
  <w:style w:type="table" w:styleId="TableGrid">
    <w:name w:val="Table Grid"/>
    <w:basedOn w:val="TableNormal"/>
    <w:uiPriority w:val="59"/>
    <w:rsid w:val="0033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72D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94911">
      <w:bodyDiv w:val="1"/>
      <w:marLeft w:val="0"/>
      <w:marRight w:val="0"/>
      <w:marTop w:val="0"/>
      <w:marBottom w:val="0"/>
      <w:divBdr>
        <w:top w:val="none" w:sz="0" w:space="0" w:color="auto"/>
        <w:left w:val="none" w:sz="0" w:space="0" w:color="auto"/>
        <w:bottom w:val="none" w:sz="0" w:space="0" w:color="auto"/>
        <w:right w:val="none" w:sz="0" w:space="0" w:color="auto"/>
      </w:divBdr>
      <w:divsChild>
        <w:div w:id="1692216815">
          <w:marLeft w:val="0"/>
          <w:marRight w:val="0"/>
          <w:marTop w:val="0"/>
          <w:marBottom w:val="0"/>
          <w:divBdr>
            <w:top w:val="none" w:sz="0" w:space="0" w:color="auto"/>
            <w:left w:val="none" w:sz="0" w:space="0" w:color="auto"/>
            <w:bottom w:val="none" w:sz="0" w:space="0" w:color="auto"/>
            <w:right w:val="none" w:sz="0" w:space="0" w:color="auto"/>
          </w:divBdr>
          <w:divsChild>
            <w:div w:id="303705864">
              <w:marLeft w:val="0"/>
              <w:marRight w:val="0"/>
              <w:marTop w:val="0"/>
              <w:marBottom w:val="0"/>
              <w:divBdr>
                <w:top w:val="none" w:sz="0" w:space="0" w:color="auto"/>
                <w:left w:val="none" w:sz="0" w:space="0" w:color="auto"/>
                <w:bottom w:val="none" w:sz="0" w:space="0" w:color="auto"/>
                <w:right w:val="none" w:sz="0" w:space="0" w:color="auto"/>
              </w:divBdr>
              <w:divsChild>
                <w:div w:id="1887257286">
                  <w:marLeft w:val="0"/>
                  <w:marRight w:val="0"/>
                  <w:marTop w:val="0"/>
                  <w:marBottom w:val="0"/>
                  <w:divBdr>
                    <w:top w:val="none" w:sz="0" w:space="0" w:color="auto"/>
                    <w:left w:val="none" w:sz="0" w:space="0" w:color="auto"/>
                    <w:bottom w:val="none" w:sz="0" w:space="0" w:color="auto"/>
                    <w:right w:val="none" w:sz="0" w:space="0" w:color="auto"/>
                  </w:divBdr>
                  <w:divsChild>
                    <w:div w:id="9795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886D-B7D3-4E23-BE45-8B967C00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7819</Words>
  <Characters>44570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2015-02-15T19:46:00Z</dcterms:created>
  <dcterms:modified xsi:type="dcterms:W3CDTF">2015-02-15T19:46:00Z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victoria.keevil@talk21.com@www.mendeley.com</vt:lpwstr>
  </property>
  <property fmtid="{D5CDD505-2E9C-101B-9397-08002B2CF9AE}" pid="4" name="Mendeley Citation Style_1">
    <vt:lpwstr>http://www.zotero.org/styles/public-health-nutrition</vt:lpwstr>
  </property>
  <property fmtid="{D5CDD505-2E9C-101B-9397-08002B2CF9AE}" pid="5" name="Mendeley Recent Style Id 0_1">
    <vt:lpwstr>http://www.zotero.org/styles/american-journal-of-epidemiology</vt:lpwstr>
  </property>
  <property fmtid="{D5CDD505-2E9C-101B-9397-08002B2CF9AE}" pid="6" name="Mendeley Recent Style Name 0_1">
    <vt:lpwstr>American Journal of Epidemiology</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http://www.zotero.org/styles/bmc-geriatrics</vt:lpwstr>
  </property>
  <property fmtid="{D5CDD505-2E9C-101B-9397-08002B2CF9AE}" pid="12" name="Mendeley Recent Style Name 3_1">
    <vt:lpwstr>BMC Geriatrics</vt:lpwstr>
  </property>
  <property fmtid="{D5CDD505-2E9C-101B-9397-08002B2CF9AE}" pid="13" name="Mendeley Recent Style Id 4_1">
    <vt:lpwstr>http://www.zotero.org/styles/elsevier-vancouver</vt:lpwstr>
  </property>
  <property fmtid="{D5CDD505-2E9C-101B-9397-08002B2CF9AE}" pid="14" name="Mendeley Recent Style Name 4_1">
    <vt:lpwstr>Elsevier Vancouver</vt:lpwstr>
  </property>
  <property fmtid="{D5CDD505-2E9C-101B-9397-08002B2CF9AE}" pid="15" name="Mendeley Recent Style Id 5_1">
    <vt:lpwstr>http://www.zotero.org/styles/medicine-and-science-in-sports-and-exercise</vt:lpwstr>
  </property>
  <property fmtid="{D5CDD505-2E9C-101B-9397-08002B2CF9AE}" pid="16" name="Mendeley Recent Style Name 5_1">
    <vt:lpwstr>Medicine &amp; Science in Sports &amp; Exercise</vt:lpwstr>
  </property>
  <property fmtid="{D5CDD505-2E9C-101B-9397-08002B2CF9AE}" pid="17" name="Mendeley Recent Style Id 6_1">
    <vt:lpwstr>http://www.zotero.org/styles/nature-publishing-group-vancouver</vt:lpwstr>
  </property>
  <property fmtid="{D5CDD505-2E9C-101B-9397-08002B2CF9AE}" pid="18" name="Mendeley Recent Style Name 6_1">
    <vt:lpwstr>Nature Publishing Group Vancouver</vt:lpwstr>
  </property>
  <property fmtid="{D5CDD505-2E9C-101B-9397-08002B2CF9AE}" pid="19" name="Mendeley Recent Style Id 7_1">
    <vt:lpwstr>http://www.zotero.org/styles/public-health-nutrition</vt:lpwstr>
  </property>
  <property fmtid="{D5CDD505-2E9C-101B-9397-08002B2CF9AE}" pid="20" name="Mendeley Recent Style Name 7_1">
    <vt:lpwstr>Public Health Nutrition</vt:lpwstr>
  </property>
  <property fmtid="{D5CDD505-2E9C-101B-9397-08002B2CF9AE}" pid="21" name="Mendeley Recent Style Id 8_1">
    <vt:lpwstr>http://www.zotero.org/styles/sage-vancouver</vt:lpwstr>
  </property>
  <property fmtid="{D5CDD505-2E9C-101B-9397-08002B2CF9AE}" pid="22" name="Mendeley Recent Style Name 8_1">
    <vt:lpwstr>SAGE Vancouver</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