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05C3" w14:textId="77777777" w:rsidR="007D4AB7" w:rsidRPr="007D4AB7" w:rsidRDefault="007D4AB7" w:rsidP="007D4AB7">
      <w:pPr>
        <w:spacing w:after="0" w:line="240" w:lineRule="auto"/>
        <w:ind w:left="567" w:hanging="567"/>
        <w:jc w:val="center"/>
        <w:rPr>
          <w:rStyle w:val="Nessuno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D4AB7">
        <w:rPr>
          <w:rStyle w:val="Nessuno"/>
          <w:rFonts w:ascii="Times New Roman" w:hAnsi="Times New Roman"/>
          <w:b/>
          <w:bCs/>
          <w:color w:val="auto"/>
          <w:sz w:val="24"/>
          <w:szCs w:val="24"/>
        </w:rPr>
        <w:t>Supplementary Information Captions</w:t>
      </w:r>
    </w:p>
    <w:p w14:paraId="62AAE241" w14:textId="77777777" w:rsidR="007D4AB7" w:rsidRPr="007D4AB7" w:rsidRDefault="007D4AB7" w:rsidP="007D4A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0B6BE57" w14:textId="77777777" w:rsidR="007D4AB7" w:rsidRPr="007D4AB7" w:rsidRDefault="007D4AB7" w:rsidP="007D4AB7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7D4AB7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Supplementary Information 1.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List of revised herbarium specimens documenting the occurrence of </w:t>
      </w:r>
      <w:proofErr w:type="spellStart"/>
      <w:r w:rsidRPr="007D4AB7">
        <w:rPr>
          <w:rFonts w:ascii="Times New Roman" w:eastAsia="Times New Roman" w:hAnsi="Times New Roman"/>
          <w:i/>
          <w:color w:val="auto"/>
          <w:sz w:val="24"/>
          <w:szCs w:val="24"/>
        </w:rPr>
        <w:t>Solenopsora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congeners in the Apennine Peninsula.</w:t>
      </w:r>
    </w:p>
    <w:p w14:paraId="0DB0EA92" w14:textId="77777777" w:rsidR="007D4AB7" w:rsidRPr="007D4AB7" w:rsidRDefault="007D4AB7" w:rsidP="007D4AB7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The collections are sorted according to the regions, which are listed in alphabetical order. </w:t>
      </w:r>
      <w:r w:rsidRPr="007D4AB7">
        <w:rPr>
          <w:rFonts w:ascii="Times New Roman" w:eastAsia="Times New Roman" w:hAnsi="Times New Roman"/>
          <w:color w:val="auto"/>
          <w:sz w:val="24"/>
          <w:szCs w:val="24"/>
          <w:lang w:val="it-IT"/>
        </w:rPr>
        <w:t xml:space="preserve">Regions are abbreviated as follows: Abr – Abruzzo, Bas – Basilicata, Cal – Calabria, Camp – Campania, Fr – Friuli, Vg – Venezia Giulia, Laz – Lazio, Lig – Liguria, Lomb – Lombardia, Marc – Marche, Mol – Molise, Pugl – Puglia, Sar – Sardegna, Si – Sicilia, Tosc – Toscana, TAA – Trentino-Alto Adige, Ven – Veneto.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With each herbarium specimen we cite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the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complete information given in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the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original label. Collectors´ names of recent material are abbreviated as follows: AG – Anna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Guttová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AGr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– Alice Grassi, LP – Luca Paoli, MS – Marek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Slovák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, SM – Silvana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Munzi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, SR – Sonia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Ravera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, ZF – Zuzana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Fačkovcová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. In brackets at the end of each entry, the herbarium acronym with a specimen number or barcode, if available, is given.</w:t>
      </w:r>
    </w:p>
    <w:p w14:paraId="5723AA25" w14:textId="77777777" w:rsidR="007D4AB7" w:rsidRPr="007D4AB7" w:rsidRDefault="007D4AB7" w:rsidP="007D4A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E4335BF" w14:textId="77777777" w:rsidR="007D4AB7" w:rsidRPr="007D4AB7" w:rsidRDefault="007D4AB7" w:rsidP="007D4AB7">
      <w:pPr>
        <w:pStyle w:val="CommentText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D4AB7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Supplementary Information 2.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List of revised herbarium specimens documenting the distribution range of </w:t>
      </w:r>
      <w:proofErr w:type="spellStart"/>
      <w:r w:rsidRPr="007D4AB7">
        <w:rPr>
          <w:rFonts w:ascii="Times New Roman" w:eastAsia="Times New Roman" w:hAnsi="Times New Roman"/>
          <w:i/>
          <w:color w:val="auto"/>
          <w:sz w:val="24"/>
          <w:szCs w:val="24"/>
        </w:rPr>
        <w:t>Solenopsora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congeners outside the Apennine Peninsula. The collections are sorted according to the countries and the regions, within which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collections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>are listed in alphabetical order. With each herbarium specimen we cite the complete information given in the original label. Collector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>s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´ names of recent material are abbreviated as follows: AG – Anna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Guttová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, JK – Jaromír Kučera, MS – Marek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Slovák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, SM – Silvana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Munzi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, ZF – Zuzana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Fačkovcová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. In the brackets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at the end of each entry,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>the herbarium acronym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is given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with a specimen number or barcode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if </w:t>
      </w:r>
      <w:proofErr w:type="gram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available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>.</w:t>
      </w:r>
      <w:proofErr w:type="gram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The list contains only unpublished records not included in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Guttová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et al. (2014, 2015) and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Fačkovcová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et al. (2017).</w:t>
      </w:r>
    </w:p>
    <w:p w14:paraId="43718DDE" w14:textId="77777777" w:rsidR="007D4AB7" w:rsidRPr="007D4AB7" w:rsidRDefault="007D4AB7" w:rsidP="007D4AB7">
      <w:pPr>
        <w:pStyle w:val="NormalWeb"/>
        <w:jc w:val="both"/>
        <w:rPr>
          <w:rStyle w:val="Nessuno"/>
          <w:b/>
          <w:bCs/>
          <w:color w:val="auto"/>
        </w:rPr>
      </w:pPr>
    </w:p>
    <w:p w14:paraId="765C614D" w14:textId="77777777" w:rsidR="007D4AB7" w:rsidRPr="007D4AB7" w:rsidRDefault="007D4AB7" w:rsidP="007D4AB7">
      <w:pPr>
        <w:pStyle w:val="NormalWeb"/>
        <w:jc w:val="both"/>
        <w:rPr>
          <w:color w:val="auto"/>
        </w:rPr>
      </w:pPr>
      <w:r w:rsidRPr="007D4AB7">
        <w:rPr>
          <w:rStyle w:val="Nessuno"/>
          <w:b/>
          <w:bCs/>
          <w:color w:val="auto"/>
        </w:rPr>
        <w:t>Supplementary Information 3</w:t>
      </w:r>
      <w:r w:rsidRPr="007D4AB7">
        <w:rPr>
          <w:rStyle w:val="Nessuno"/>
          <w:color w:val="auto"/>
        </w:rPr>
        <w:t xml:space="preserve">. List of </w:t>
      </w:r>
      <w:proofErr w:type="spellStart"/>
      <w:r w:rsidRPr="007D4AB7">
        <w:rPr>
          <w:rStyle w:val="Nessuno"/>
          <w:color w:val="auto"/>
        </w:rPr>
        <w:t>WorldClim</w:t>
      </w:r>
      <w:proofErr w:type="spellEnd"/>
      <w:r w:rsidRPr="007D4AB7">
        <w:rPr>
          <w:rStyle w:val="Nessuno"/>
          <w:color w:val="auto"/>
        </w:rPr>
        <w:t xml:space="preserve"> 1.4 environmental variables derived from monthly mean, maximum, and minimum temperature and precipitation interpolations averaged f</w:t>
      </w:r>
      <w:r w:rsidRPr="007D4AB7">
        <w:rPr>
          <w:rStyle w:val="Nessuno"/>
          <w:color w:val="auto"/>
        </w:rPr>
        <w:t>rom</w:t>
      </w:r>
      <w:r w:rsidRPr="007D4AB7">
        <w:rPr>
          <w:rStyle w:val="Nessuno"/>
          <w:color w:val="auto"/>
        </w:rPr>
        <w:t xml:space="preserve"> 1950 to 2000 at a spatial resolution of 1km</w:t>
      </w:r>
      <w:r w:rsidRPr="007D4AB7">
        <w:rPr>
          <w:rStyle w:val="Nessuno"/>
          <w:color w:val="auto"/>
          <w:vertAlign w:val="superscript"/>
        </w:rPr>
        <w:t>2</w:t>
      </w:r>
      <w:r w:rsidRPr="007D4AB7">
        <w:rPr>
          <w:rStyle w:val="Nessuno"/>
          <w:color w:val="auto"/>
        </w:rPr>
        <w:t xml:space="preserve">, </w:t>
      </w:r>
      <w:r w:rsidRPr="007D4AB7">
        <w:rPr>
          <w:rStyle w:val="Nessuno"/>
          <w:color w:val="auto"/>
        </w:rPr>
        <w:t>and their codes used in this study.</w:t>
      </w:r>
    </w:p>
    <w:p w14:paraId="510DB724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rStyle w:val="Nessuno"/>
          <w:b/>
          <w:bCs/>
          <w:color w:val="auto"/>
        </w:rPr>
      </w:pPr>
    </w:p>
    <w:p w14:paraId="1637B6C6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color w:val="auto"/>
          <w:lang w:val="en-US"/>
        </w:rPr>
      </w:pPr>
      <w:r w:rsidRPr="007D4AB7">
        <w:rPr>
          <w:rStyle w:val="Nessuno"/>
          <w:b/>
          <w:bCs/>
          <w:color w:val="auto"/>
        </w:rPr>
        <w:t xml:space="preserve">Supplementary Information 4. </w:t>
      </w:r>
      <w:r w:rsidRPr="007D4AB7">
        <w:rPr>
          <w:rStyle w:val="Nessuno"/>
          <w:color w:val="auto"/>
        </w:rPr>
        <w:t xml:space="preserve">Correlation coefficients (Spearman) between bioclimatic variables. Strong correlations </w:t>
      </w:r>
      <w:r w:rsidRPr="007D4AB7">
        <w:rPr>
          <w:rStyle w:val="Nessuno"/>
          <w:color w:val="auto"/>
        </w:rPr>
        <w:t xml:space="preserve">are </w:t>
      </w:r>
      <w:r w:rsidRPr="007D4AB7">
        <w:rPr>
          <w:rStyle w:val="Nessuno"/>
          <w:color w:val="auto"/>
        </w:rPr>
        <w:t>highlighted in bold.</w:t>
      </w:r>
      <w:bookmarkStart w:id="0" w:name="_GoBack"/>
      <w:bookmarkEnd w:id="0"/>
    </w:p>
    <w:p w14:paraId="726B8379" w14:textId="77777777" w:rsidR="007D4AB7" w:rsidRPr="007D4AB7" w:rsidRDefault="007D4AB7" w:rsidP="007D4AB7">
      <w:pPr>
        <w:pStyle w:val="Standard"/>
        <w:spacing w:after="0" w:line="240" w:lineRule="auto"/>
        <w:rPr>
          <w:rStyle w:val="Nessuno"/>
          <w:b/>
          <w:bCs/>
          <w:color w:val="auto"/>
        </w:rPr>
      </w:pPr>
    </w:p>
    <w:p w14:paraId="219FA5FB" w14:textId="77777777" w:rsidR="007D4AB7" w:rsidRPr="007D4AB7" w:rsidRDefault="007D4AB7" w:rsidP="007D4AB7">
      <w:pPr>
        <w:spacing w:after="0" w:line="240" w:lineRule="auto"/>
        <w:ind w:right="-2"/>
        <w:jc w:val="both"/>
        <w:rPr>
          <w:rFonts w:ascii="Times New Roman" w:hAnsi="Times New Roman"/>
          <w:color w:val="auto"/>
          <w:sz w:val="24"/>
          <w:szCs w:val="24"/>
        </w:rPr>
      </w:pPr>
      <w:r w:rsidRPr="007D4AB7">
        <w:rPr>
          <w:rFonts w:ascii="Times New Roman" w:eastAsia="Times New Roman" w:hAnsi="Times New Roman"/>
          <w:b/>
          <w:color w:val="auto"/>
          <w:sz w:val="24"/>
          <w:szCs w:val="24"/>
        </w:rPr>
        <w:t>Supplementary Information</w:t>
      </w:r>
      <w:r w:rsidRPr="007D4AB7">
        <w:rPr>
          <w:rFonts w:ascii="Times New Roman" w:hAnsi="Times New Roman"/>
          <w:b/>
          <w:color w:val="auto"/>
          <w:sz w:val="24"/>
          <w:szCs w:val="24"/>
        </w:rPr>
        <w:t xml:space="preserve"> 5.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 The reduced set of environmental variables used for modelling plotted according to their contribution to best explain the habitat suitability maps. For 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list of </w:t>
      </w:r>
      <w:proofErr w:type="spellStart"/>
      <w:r w:rsidRPr="007D4AB7">
        <w:rPr>
          <w:rFonts w:ascii="Times New Roman" w:hAnsi="Times New Roman"/>
          <w:color w:val="auto"/>
          <w:sz w:val="24"/>
          <w:szCs w:val="24"/>
          <w:lang w:val="en-GB"/>
        </w:rPr>
        <w:t>WorldClim</w:t>
      </w:r>
      <w:proofErr w:type="spellEnd"/>
      <w:r w:rsidRPr="007D4AB7">
        <w:rPr>
          <w:rFonts w:ascii="Times New Roman" w:hAnsi="Times New Roman"/>
          <w:color w:val="auto"/>
          <w:sz w:val="24"/>
          <w:szCs w:val="24"/>
          <w:lang w:val="en-GB"/>
        </w:rPr>
        <w:t xml:space="preserve"> 1.4 environmental variables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 see Supplementary Information 3; instead of prefix “bio” the letter “w” was used in the </w:t>
      </w:r>
      <w:r w:rsidRPr="007D4AB7">
        <w:rPr>
          <w:rFonts w:ascii="Times New Roman" w:hAnsi="Times New Roman"/>
          <w:color w:val="auto"/>
          <w:sz w:val="24"/>
          <w:szCs w:val="24"/>
        </w:rPr>
        <w:t>illustrated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 graphs.</w:t>
      </w:r>
    </w:p>
    <w:p w14:paraId="04AF4CC1" w14:textId="77777777" w:rsidR="007D4AB7" w:rsidRPr="007D4AB7" w:rsidRDefault="007D4AB7" w:rsidP="007D4A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4202EED" w14:textId="77777777" w:rsidR="007D4AB7" w:rsidRPr="007D4AB7" w:rsidRDefault="007D4AB7" w:rsidP="007D4AB7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D4AB7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Supplementary Information 6.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List of main lithological units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used for geological filtering, </w:t>
      </w:r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according to the Geological Map of Italy, scale 1:1,000,000 provided by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Servizio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Geologico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d’Italia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(</w:t>
      </w:r>
      <w:proofErr w:type="spellStart"/>
      <w:r w:rsidRPr="007D4AB7">
        <w:rPr>
          <w:rFonts w:ascii="Times New Roman" w:eastAsia="Times New Roman" w:hAnsi="Times New Roman"/>
          <w:color w:val="auto"/>
          <w:sz w:val="24"/>
          <w:szCs w:val="24"/>
        </w:rPr>
        <w:t>OneGeology</w:t>
      </w:r>
      <w:proofErr w:type="spellEnd"/>
      <w:r w:rsidRPr="007D4AB7">
        <w:rPr>
          <w:rFonts w:ascii="Times New Roman" w:eastAsia="Times New Roman" w:hAnsi="Times New Roman"/>
          <w:color w:val="auto"/>
          <w:sz w:val="24"/>
          <w:szCs w:val="24"/>
        </w:rPr>
        <w:t xml:space="preserve"> Portal, ISPRA).</w:t>
      </w:r>
    </w:p>
    <w:p w14:paraId="71B51761" w14:textId="77777777" w:rsidR="007D4AB7" w:rsidRPr="007D4AB7" w:rsidRDefault="007D4AB7" w:rsidP="007D4A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B4EE9E9" w14:textId="77777777" w:rsidR="007D4AB7" w:rsidRPr="007D4AB7" w:rsidRDefault="007D4AB7" w:rsidP="007D4AB7">
      <w:pPr>
        <w:spacing w:after="0" w:line="240" w:lineRule="auto"/>
        <w:ind w:right="-2"/>
        <w:jc w:val="both"/>
        <w:rPr>
          <w:rFonts w:ascii="Times New Roman" w:hAnsi="Times New Roman"/>
          <w:color w:val="auto"/>
          <w:sz w:val="24"/>
          <w:szCs w:val="24"/>
        </w:rPr>
      </w:pPr>
      <w:r w:rsidRPr="007D4AB7">
        <w:rPr>
          <w:rFonts w:ascii="Times New Roman" w:eastAsia="Times New Roman" w:hAnsi="Times New Roman"/>
          <w:b/>
          <w:color w:val="auto"/>
          <w:sz w:val="24"/>
          <w:szCs w:val="24"/>
        </w:rPr>
        <w:t>Supplementary Information</w:t>
      </w:r>
      <w:r w:rsidRPr="007D4AB7">
        <w:rPr>
          <w:rFonts w:ascii="Times New Roman" w:hAnsi="Times New Roman"/>
          <w:b/>
          <w:color w:val="auto"/>
          <w:sz w:val="24"/>
          <w:szCs w:val="24"/>
        </w:rPr>
        <w:t xml:space="preserve"> 7.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 The reduced set of environmental variables used for alternative modelling with geology filtering plotted according to their contribution to best explain the habitat suitability maps. For list of </w:t>
      </w:r>
      <w:proofErr w:type="spellStart"/>
      <w:r w:rsidRPr="007D4AB7">
        <w:rPr>
          <w:rFonts w:ascii="Times New Roman" w:hAnsi="Times New Roman"/>
          <w:color w:val="auto"/>
          <w:sz w:val="24"/>
          <w:szCs w:val="24"/>
          <w:lang w:val="en-GB"/>
        </w:rPr>
        <w:t>WorldClim</w:t>
      </w:r>
      <w:proofErr w:type="spellEnd"/>
      <w:r w:rsidRPr="007D4AB7">
        <w:rPr>
          <w:rFonts w:ascii="Times New Roman" w:hAnsi="Times New Roman"/>
          <w:color w:val="auto"/>
          <w:sz w:val="24"/>
          <w:szCs w:val="24"/>
          <w:lang w:val="en-GB"/>
        </w:rPr>
        <w:t xml:space="preserve"> 1.4 environmental variables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 see Supplementary Information 3.</w:t>
      </w:r>
    </w:p>
    <w:p w14:paraId="2D706B49" w14:textId="77777777" w:rsidR="007D4AB7" w:rsidRPr="007D4AB7" w:rsidRDefault="007D4AB7" w:rsidP="007D4A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CD0889D" w14:textId="77777777" w:rsidR="007D4AB7" w:rsidRPr="007D4AB7" w:rsidRDefault="007D4AB7" w:rsidP="007D4AB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4AB7">
        <w:rPr>
          <w:rFonts w:ascii="Times New Roman" w:eastAsia="Times New Roman" w:hAnsi="Times New Roman" w:cs="Mangal"/>
          <w:b/>
          <w:color w:val="auto"/>
          <w:kern w:val="3"/>
          <w:sz w:val="24"/>
          <w:szCs w:val="24"/>
          <w:lang w:val="it-IT" w:bidi="hi-IN"/>
        </w:rPr>
        <w:t>Supplementary Information 8.</w:t>
      </w:r>
      <w:r w:rsidRPr="007D4AB7">
        <w:rPr>
          <w:color w:val="auto"/>
        </w:rPr>
        <w:t xml:space="preserve"> 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Principal component analyses of 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a 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reduced set of environmental variables (see Materials and Methods) and occurrences of </w:t>
      </w:r>
      <w:proofErr w:type="spellStart"/>
      <w:r w:rsidRPr="007D4AB7">
        <w:rPr>
          <w:rStyle w:val="Nessuno"/>
          <w:rFonts w:ascii="Times New Roman" w:hAnsi="Times New Roman"/>
          <w:i/>
          <w:iCs/>
          <w:color w:val="auto"/>
          <w:sz w:val="24"/>
          <w:szCs w:val="24"/>
        </w:rPr>
        <w:t>Solenopsora</w:t>
      </w:r>
      <w:proofErr w:type="spellEnd"/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 taxa in the study area.</w:t>
      </w:r>
      <w:r w:rsidRPr="007D4AB7">
        <w:rPr>
          <w:rStyle w:val="Nessuno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7D4AB7">
        <w:rPr>
          <w:rStyle w:val="Nessuno"/>
          <w:rFonts w:ascii="Times New Roman" w:hAnsi="Times New Roman"/>
          <w:b/>
          <w:color w:val="auto"/>
          <w:sz w:val="24"/>
          <w:szCs w:val="24"/>
        </w:rPr>
        <w:t>A:</w:t>
      </w:r>
      <w:r w:rsidRPr="007D4AB7">
        <w:rPr>
          <w:rStyle w:val="Nessuno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Projection of the environmental variables in 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a 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two-dimension PCA space. The variance explained by the components is given in parentheses. 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For list of </w:t>
      </w:r>
      <w:proofErr w:type="spellStart"/>
      <w:r w:rsidRPr="007D4AB7">
        <w:rPr>
          <w:rFonts w:ascii="Times New Roman" w:hAnsi="Times New Roman"/>
          <w:color w:val="auto"/>
          <w:sz w:val="24"/>
          <w:szCs w:val="24"/>
        </w:rPr>
        <w:t>WorldClim</w:t>
      </w:r>
      <w:proofErr w:type="spellEnd"/>
      <w:r w:rsidRPr="007D4AB7">
        <w:rPr>
          <w:rFonts w:ascii="Times New Roman" w:hAnsi="Times New Roman"/>
          <w:color w:val="auto"/>
          <w:sz w:val="24"/>
          <w:szCs w:val="24"/>
        </w:rPr>
        <w:t xml:space="preserve"> 1.4 </w:t>
      </w:r>
      <w:r w:rsidRPr="007D4AB7">
        <w:rPr>
          <w:rFonts w:ascii="Times New Roman" w:hAnsi="Times New Roman"/>
          <w:color w:val="auto"/>
          <w:sz w:val="24"/>
          <w:szCs w:val="24"/>
        </w:rPr>
        <w:lastRenderedPageBreak/>
        <w:t xml:space="preserve">environmental variables see Supplementary Information 3; instead of prefix “bio” the letter “w” was used in the 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illustrated </w:t>
      </w:r>
      <w:r w:rsidRPr="007D4AB7">
        <w:rPr>
          <w:rFonts w:ascii="Times New Roman" w:hAnsi="Times New Roman"/>
          <w:color w:val="auto"/>
          <w:sz w:val="24"/>
          <w:szCs w:val="24"/>
        </w:rPr>
        <w:t>graphs.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 </w:t>
      </w:r>
      <w:r w:rsidRPr="007D4AB7">
        <w:rPr>
          <w:rStyle w:val="Nessuno"/>
          <w:rFonts w:ascii="Times New Roman" w:hAnsi="Times New Roman"/>
          <w:b/>
          <w:color w:val="auto"/>
          <w:sz w:val="24"/>
          <w:szCs w:val="24"/>
        </w:rPr>
        <w:t>B: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 Ordination of the occurrences of </w:t>
      </w:r>
      <w:proofErr w:type="spellStart"/>
      <w:r w:rsidRPr="007D4AB7">
        <w:rPr>
          <w:rStyle w:val="Nessuno"/>
          <w:rFonts w:ascii="Times New Roman" w:hAnsi="Times New Roman"/>
          <w:i/>
          <w:iCs/>
          <w:color w:val="auto"/>
          <w:sz w:val="24"/>
          <w:szCs w:val="24"/>
        </w:rPr>
        <w:t>Solenopsora</w:t>
      </w:r>
      <w:proofErr w:type="spellEnd"/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 taxa on 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the 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 xml:space="preserve">first and second ecological PC axes (95% confidence ellipses) in the study area. For correlations of the environmental traits with component axes see Supplementary Information 10, 11 and 12. </w:t>
      </w:r>
    </w:p>
    <w:p w14:paraId="7715D89B" w14:textId="77777777" w:rsidR="007D4AB7" w:rsidRPr="007D4AB7" w:rsidRDefault="007D4AB7" w:rsidP="007D4AB7">
      <w:pPr>
        <w:spacing w:after="0" w:line="240" w:lineRule="auto"/>
        <w:jc w:val="both"/>
        <w:rPr>
          <w:rStyle w:val="Nessuno"/>
          <w:rFonts w:ascii="Times New Roman" w:hAnsi="Times New Roman"/>
          <w:b/>
          <w:bCs/>
          <w:color w:val="auto"/>
          <w:sz w:val="24"/>
          <w:szCs w:val="24"/>
        </w:rPr>
      </w:pPr>
    </w:p>
    <w:p w14:paraId="1C23AFE4" w14:textId="77777777" w:rsidR="007D4AB7" w:rsidRPr="007D4AB7" w:rsidRDefault="007D4AB7" w:rsidP="007D4AB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4AB7">
        <w:rPr>
          <w:rFonts w:ascii="Times New Roman" w:eastAsia="Times New Roman" w:hAnsi="Times New Roman" w:cs="Mangal"/>
          <w:b/>
          <w:color w:val="auto"/>
          <w:kern w:val="3"/>
          <w:sz w:val="24"/>
          <w:szCs w:val="24"/>
          <w:lang w:val="it-IT" w:bidi="hi-IN"/>
        </w:rPr>
        <w:t>Supplementary Information 9.</w:t>
      </w:r>
      <w:r w:rsidRPr="007D4AB7">
        <w:rPr>
          <w:rFonts w:cs="Times New Roman"/>
          <w:color w:val="auto"/>
          <w:lang w:val="en-GB"/>
        </w:rPr>
        <w:t xml:space="preserve"> </w:t>
      </w:r>
      <w:r w:rsidRPr="007D4AB7">
        <w:rPr>
          <w:rFonts w:ascii="Times New Roman" w:hAnsi="Times New Roman"/>
          <w:color w:val="auto"/>
          <w:sz w:val="24"/>
          <w:szCs w:val="24"/>
        </w:rPr>
        <w:t>PCA analysis – percentage of variation explained by principal components (1–10).</w:t>
      </w:r>
    </w:p>
    <w:p w14:paraId="201F81CA" w14:textId="77777777" w:rsidR="007D4AB7" w:rsidRPr="007D4AB7" w:rsidRDefault="007D4AB7" w:rsidP="007D4AB7">
      <w:pPr>
        <w:spacing w:after="0" w:line="240" w:lineRule="auto"/>
        <w:jc w:val="both"/>
        <w:rPr>
          <w:rStyle w:val="Ness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3C2F28E" w14:textId="77777777" w:rsidR="007D4AB7" w:rsidRPr="007D4AB7" w:rsidRDefault="007D4AB7" w:rsidP="007D4AB7">
      <w:pPr>
        <w:spacing w:after="0" w:line="240" w:lineRule="auto"/>
        <w:ind w:right="-2"/>
        <w:jc w:val="both"/>
        <w:rPr>
          <w:rFonts w:ascii="Times New Roman" w:hAnsi="Times New Roman"/>
          <w:color w:val="auto"/>
          <w:sz w:val="24"/>
          <w:szCs w:val="24"/>
        </w:rPr>
      </w:pPr>
      <w:r w:rsidRPr="007D4AB7">
        <w:rPr>
          <w:rFonts w:ascii="Times New Roman" w:eastAsia="Times New Roman" w:hAnsi="Times New Roman"/>
          <w:b/>
          <w:color w:val="auto"/>
          <w:sz w:val="24"/>
          <w:szCs w:val="24"/>
        </w:rPr>
        <w:t>Supplementary Information</w:t>
      </w:r>
      <w:r w:rsidRPr="007D4AB7">
        <w:rPr>
          <w:rFonts w:ascii="Times New Roman" w:hAnsi="Times New Roman"/>
          <w:b/>
          <w:color w:val="auto"/>
          <w:sz w:val="24"/>
          <w:szCs w:val="24"/>
        </w:rPr>
        <w:t xml:space="preserve"> 10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. PCA analysis – contribution of environmental variables to </w:t>
      </w:r>
      <w:r w:rsidRPr="007D4AB7">
        <w:rPr>
          <w:rStyle w:val="Nessuno"/>
          <w:rFonts w:ascii="Times New Roman" w:hAnsi="Times New Roman"/>
          <w:color w:val="auto"/>
          <w:sz w:val="24"/>
          <w:szCs w:val="24"/>
        </w:rPr>
        <w:t>principal components 1 – 5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. For list of </w:t>
      </w:r>
      <w:proofErr w:type="spellStart"/>
      <w:r w:rsidRPr="007D4AB7">
        <w:rPr>
          <w:rFonts w:ascii="Times New Roman" w:hAnsi="Times New Roman"/>
          <w:color w:val="auto"/>
          <w:sz w:val="24"/>
          <w:szCs w:val="24"/>
        </w:rPr>
        <w:t>WorldClim</w:t>
      </w:r>
      <w:proofErr w:type="spellEnd"/>
      <w:r w:rsidRPr="007D4AB7">
        <w:rPr>
          <w:rFonts w:ascii="Times New Roman" w:hAnsi="Times New Roman"/>
          <w:color w:val="auto"/>
          <w:sz w:val="24"/>
          <w:szCs w:val="24"/>
        </w:rPr>
        <w:t xml:space="preserve"> 1.4 environmental variables see Supplementary Information 3.</w:t>
      </w:r>
    </w:p>
    <w:p w14:paraId="18E01911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rStyle w:val="Nessuno"/>
          <w:b/>
          <w:bCs/>
          <w:color w:val="auto"/>
        </w:rPr>
      </w:pPr>
    </w:p>
    <w:p w14:paraId="682E4ECE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color w:val="auto"/>
        </w:rPr>
      </w:pPr>
      <w:r w:rsidRPr="007D4AB7">
        <w:rPr>
          <w:rFonts w:eastAsia="Times New Roman"/>
          <w:b/>
          <w:color w:val="auto"/>
        </w:rPr>
        <w:t>Supplementary Information</w:t>
      </w:r>
      <w:r w:rsidRPr="007D4AB7">
        <w:rPr>
          <w:b/>
          <w:color w:val="auto"/>
        </w:rPr>
        <w:t xml:space="preserve"> 11. </w:t>
      </w:r>
      <w:r w:rsidRPr="007D4AB7">
        <w:rPr>
          <w:color w:val="auto"/>
        </w:rPr>
        <w:t xml:space="preserve">Contribution of variables to PC1. Red dashed line indicates the expected average contribution, if the contribution of the variables were uniform. A variable with a contribution larger than this cutoff (1/length = number of variables*100; 1/9 = 0.111 = 11%) could be considered important in contributing to the component. For list of </w:t>
      </w:r>
      <w:proofErr w:type="spellStart"/>
      <w:r w:rsidRPr="007D4AB7">
        <w:rPr>
          <w:color w:val="auto"/>
          <w:lang w:val="en-GB"/>
        </w:rPr>
        <w:t>WorldClim</w:t>
      </w:r>
      <w:proofErr w:type="spellEnd"/>
      <w:r w:rsidRPr="007D4AB7">
        <w:rPr>
          <w:color w:val="auto"/>
          <w:lang w:val="en-GB"/>
        </w:rPr>
        <w:t xml:space="preserve"> 1.4 environmental variables</w:t>
      </w:r>
      <w:r w:rsidRPr="007D4AB7">
        <w:rPr>
          <w:color w:val="auto"/>
        </w:rPr>
        <w:t xml:space="preserve"> see Supplementary Information 3; instead of prefix “bio” the letter “w” was used in the </w:t>
      </w:r>
      <w:r w:rsidRPr="007D4AB7">
        <w:rPr>
          <w:color w:val="auto"/>
        </w:rPr>
        <w:t xml:space="preserve">illustrated </w:t>
      </w:r>
      <w:r w:rsidRPr="007D4AB7">
        <w:rPr>
          <w:color w:val="auto"/>
        </w:rPr>
        <w:t>graphs.</w:t>
      </w:r>
    </w:p>
    <w:p w14:paraId="5392266D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color w:val="auto"/>
          <w:lang w:val="en-US"/>
        </w:rPr>
      </w:pPr>
    </w:p>
    <w:p w14:paraId="28D90B86" w14:textId="77777777" w:rsidR="007D4AB7" w:rsidRPr="007D4AB7" w:rsidRDefault="007D4AB7" w:rsidP="007D4AB7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</w:pPr>
      <w:r w:rsidRPr="007D4AB7">
        <w:rPr>
          <w:rFonts w:ascii="Times New Roman" w:eastAsia="Times New Roman" w:hAnsi="Times New Roman" w:cs="Arial Unicode MS"/>
          <w:b/>
          <w:color w:val="auto"/>
          <w:kern w:val="3"/>
          <w:sz w:val="24"/>
          <w:szCs w:val="24"/>
          <w:lang w:val="it-IT"/>
        </w:rPr>
        <w:t>Supplementary Information 12.</w:t>
      </w:r>
      <w:r w:rsidRPr="007D4AB7">
        <w:rPr>
          <w:b/>
          <w:color w:val="auto"/>
        </w:rPr>
        <w:t xml:space="preserve"> </w:t>
      </w:r>
      <w:r w:rsidRPr="007D4AB7"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  <w:t xml:space="preserve">Contribution of variables to PC2. Red dashed line indicates the expected average contribution, if the contribution of the variables were uniform. A variable with a contribution larger than this cutoff (1/length = number of variables*100; 1/9 = 0.111 = 11%) could be considered important in contributing to the component. For list of WorldClim 1.4 environmental variables see Supplementary Information 3; instead of prefix “bio” the letter “w” was used in the </w:t>
      </w:r>
      <w:r w:rsidRPr="007D4AB7"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  <w:t>illustrated</w:t>
      </w:r>
      <w:r w:rsidRPr="007D4AB7"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  <w:t xml:space="preserve"> graphs.</w:t>
      </w:r>
    </w:p>
    <w:p w14:paraId="299BEB0C" w14:textId="77777777" w:rsidR="007D4AB7" w:rsidRPr="007D4AB7" w:rsidRDefault="007D4AB7" w:rsidP="007D4A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D94FD41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rStyle w:val="Hyperlink0"/>
          <w:rFonts w:eastAsia="Calibri"/>
          <w:color w:val="auto"/>
        </w:rPr>
      </w:pPr>
      <w:r w:rsidRPr="007D4AB7">
        <w:rPr>
          <w:rFonts w:eastAsia="Times New Roman"/>
          <w:b/>
          <w:color w:val="auto"/>
          <w:lang w:val="en-US"/>
        </w:rPr>
        <w:t>Supplementary Information</w:t>
      </w:r>
      <w:r w:rsidRPr="007D4AB7">
        <w:rPr>
          <w:b/>
          <w:color w:val="auto"/>
          <w:lang w:val="en-US"/>
        </w:rPr>
        <w:t xml:space="preserve"> 13.</w:t>
      </w:r>
      <w:r w:rsidRPr="007D4AB7">
        <w:rPr>
          <w:color w:val="auto"/>
          <w:lang w:val="en-US"/>
        </w:rPr>
        <w:t xml:space="preserve"> Alternative model approach with geology</w:t>
      </w:r>
      <w:r w:rsidRPr="007D4AB7">
        <w:rPr>
          <w:color w:val="auto"/>
          <w:lang w:val="en-US"/>
        </w:rPr>
        <w:t xml:space="preserve"> as an environmental filter</w:t>
      </w:r>
      <w:r w:rsidRPr="007D4AB7">
        <w:rPr>
          <w:color w:val="auto"/>
          <w:lang w:val="en-US"/>
        </w:rPr>
        <w:t xml:space="preserve">. </w:t>
      </w:r>
      <w:r w:rsidRPr="007D4AB7">
        <w:rPr>
          <w:b/>
          <w:color w:val="auto"/>
          <w:lang w:val="en-US"/>
        </w:rPr>
        <w:t>A:</w:t>
      </w:r>
      <w:r w:rsidRPr="007D4AB7">
        <w:rPr>
          <w:color w:val="auto"/>
          <w:lang w:val="en-US"/>
        </w:rPr>
        <w:t xml:space="preserve"> </w:t>
      </w:r>
      <w:r w:rsidRPr="007D4AB7">
        <w:rPr>
          <w:rStyle w:val="Nessuno"/>
          <w:rFonts w:cs="Times New Roman"/>
          <w:color w:val="auto"/>
        </w:rPr>
        <w:t xml:space="preserve">Principal component analyses of reduced set of environmental variables (see Materials and Methods) and occurrences of </w:t>
      </w:r>
      <w:proofErr w:type="spellStart"/>
      <w:r w:rsidRPr="007D4AB7">
        <w:rPr>
          <w:rStyle w:val="Nessuno"/>
          <w:rFonts w:cs="Times New Roman"/>
          <w:i/>
          <w:iCs/>
          <w:color w:val="auto"/>
        </w:rPr>
        <w:t>Solenopsora</w:t>
      </w:r>
      <w:proofErr w:type="spellEnd"/>
      <w:r w:rsidRPr="007D4AB7">
        <w:rPr>
          <w:rStyle w:val="Nessuno"/>
          <w:rFonts w:cs="Times New Roman"/>
          <w:color w:val="auto"/>
        </w:rPr>
        <w:t xml:space="preserve"> taxa in the study area</w:t>
      </w:r>
      <w:r w:rsidRPr="007D4AB7">
        <w:rPr>
          <w:rStyle w:val="Nessuno"/>
          <w:color w:val="auto"/>
        </w:rPr>
        <w:t xml:space="preserve"> –</w:t>
      </w:r>
      <w:r w:rsidRPr="007D4AB7">
        <w:rPr>
          <w:rStyle w:val="Nessuno"/>
          <w:rFonts w:cs="Times New Roman"/>
          <w:b/>
          <w:bCs/>
          <w:color w:val="auto"/>
        </w:rPr>
        <w:t xml:space="preserve"> </w:t>
      </w:r>
      <w:r w:rsidRPr="007D4AB7">
        <w:rPr>
          <w:rStyle w:val="Nessuno"/>
          <w:bCs/>
          <w:color w:val="auto"/>
        </w:rPr>
        <w:t>p</w:t>
      </w:r>
      <w:r w:rsidRPr="007D4AB7">
        <w:rPr>
          <w:rStyle w:val="Nessuno"/>
          <w:rFonts w:cs="Times New Roman"/>
          <w:color w:val="auto"/>
        </w:rPr>
        <w:t>rojection of the environmental variables in two-dimension PCA space. The variance explained by the components is given in parentheses. The abbreviations of the variables are given in Supplementary Information 3</w:t>
      </w:r>
      <w:r w:rsidRPr="007D4AB7">
        <w:rPr>
          <w:rStyle w:val="Nessuno"/>
          <w:color w:val="auto"/>
        </w:rPr>
        <w:t xml:space="preserve">; </w:t>
      </w:r>
      <w:r w:rsidRPr="007D4AB7">
        <w:rPr>
          <w:rStyle w:val="Nessuno"/>
          <w:b/>
          <w:color w:val="auto"/>
        </w:rPr>
        <w:t>B:</w:t>
      </w:r>
      <w:r w:rsidRPr="007D4AB7">
        <w:rPr>
          <w:rStyle w:val="Nessuno"/>
          <w:rFonts w:cs="Times New Roman"/>
          <w:color w:val="auto"/>
        </w:rPr>
        <w:t xml:space="preserve"> Principal component analyses of </w:t>
      </w:r>
      <w:r w:rsidRPr="007D4AB7">
        <w:rPr>
          <w:rStyle w:val="Nessuno"/>
          <w:rFonts w:cs="Times New Roman"/>
          <w:color w:val="auto"/>
        </w:rPr>
        <w:t xml:space="preserve">a </w:t>
      </w:r>
      <w:r w:rsidRPr="007D4AB7">
        <w:rPr>
          <w:rStyle w:val="Nessuno"/>
          <w:rFonts w:cs="Times New Roman"/>
          <w:color w:val="auto"/>
        </w:rPr>
        <w:t xml:space="preserve">reduced set of environmental variables (see Materials and Methods) and occurrences of </w:t>
      </w:r>
      <w:proofErr w:type="spellStart"/>
      <w:r w:rsidRPr="007D4AB7">
        <w:rPr>
          <w:rStyle w:val="Nessuno"/>
          <w:rFonts w:cs="Times New Roman"/>
          <w:i/>
          <w:iCs/>
          <w:color w:val="auto"/>
        </w:rPr>
        <w:t>Solenopsora</w:t>
      </w:r>
      <w:proofErr w:type="spellEnd"/>
      <w:r w:rsidRPr="007D4AB7">
        <w:rPr>
          <w:rStyle w:val="Nessuno"/>
          <w:rFonts w:cs="Times New Roman"/>
          <w:color w:val="auto"/>
        </w:rPr>
        <w:t xml:space="preserve"> taxa in the study area</w:t>
      </w:r>
      <w:r w:rsidRPr="007D4AB7">
        <w:rPr>
          <w:rStyle w:val="Nessuno"/>
          <w:color w:val="auto"/>
        </w:rPr>
        <w:t xml:space="preserve"> –</w:t>
      </w:r>
      <w:r w:rsidRPr="007D4AB7">
        <w:rPr>
          <w:rStyle w:val="Nessuno"/>
          <w:rFonts w:cs="Times New Roman"/>
          <w:color w:val="auto"/>
        </w:rPr>
        <w:t xml:space="preserve"> </w:t>
      </w:r>
      <w:r w:rsidRPr="007D4AB7">
        <w:rPr>
          <w:rStyle w:val="Nessuno"/>
          <w:color w:val="auto"/>
        </w:rPr>
        <w:t>o</w:t>
      </w:r>
      <w:r w:rsidRPr="007D4AB7">
        <w:rPr>
          <w:rStyle w:val="Nessuno"/>
          <w:rFonts w:cs="Times New Roman"/>
          <w:color w:val="auto"/>
        </w:rPr>
        <w:t xml:space="preserve">rdination of the occurrences of </w:t>
      </w:r>
      <w:proofErr w:type="spellStart"/>
      <w:r w:rsidRPr="007D4AB7">
        <w:rPr>
          <w:rStyle w:val="Nessuno"/>
          <w:rFonts w:cs="Times New Roman"/>
          <w:i/>
          <w:iCs/>
          <w:color w:val="auto"/>
        </w:rPr>
        <w:t>Solenopsora</w:t>
      </w:r>
      <w:proofErr w:type="spellEnd"/>
      <w:r w:rsidRPr="007D4AB7">
        <w:rPr>
          <w:rStyle w:val="Nessuno"/>
          <w:rFonts w:cs="Times New Roman"/>
          <w:color w:val="auto"/>
        </w:rPr>
        <w:t xml:space="preserve"> taxa on first and second ecological PC axes (95% confidence ellipses) in the study area. For correlations of the environmental traits with component axes see </w:t>
      </w:r>
      <w:r w:rsidRPr="007D4AB7">
        <w:rPr>
          <w:rStyle w:val="Nessuno"/>
          <w:color w:val="auto"/>
        </w:rPr>
        <w:t>F and G</w:t>
      </w:r>
      <w:r w:rsidRPr="007D4AB7">
        <w:rPr>
          <w:rStyle w:val="Nessuno"/>
          <w:rFonts w:cs="Times New Roman"/>
          <w:color w:val="auto"/>
        </w:rPr>
        <w:t xml:space="preserve">; </w:t>
      </w:r>
      <w:r w:rsidRPr="007D4AB7">
        <w:rPr>
          <w:rStyle w:val="Nessuno"/>
          <w:rFonts w:cs="Times New Roman"/>
          <w:b/>
          <w:color w:val="auto"/>
        </w:rPr>
        <w:t>C:</w:t>
      </w:r>
      <w:r w:rsidRPr="007D4AB7">
        <w:rPr>
          <w:rStyle w:val="Nessuno"/>
          <w:rFonts w:cs="Times New Roman"/>
          <w:color w:val="auto"/>
        </w:rPr>
        <w:t xml:space="preserve"> </w:t>
      </w:r>
      <w:r w:rsidRPr="007D4AB7">
        <w:rPr>
          <w:rStyle w:val="Nessuno"/>
          <w:color w:val="auto"/>
        </w:rPr>
        <w:t>PCA analysis – percentage of variation explained by principal components 1–9</w:t>
      </w:r>
      <w:r w:rsidRPr="007D4AB7">
        <w:rPr>
          <w:rStyle w:val="Nessuno"/>
          <w:b/>
          <w:color w:val="auto"/>
        </w:rPr>
        <w:t>; D:</w:t>
      </w:r>
      <w:r w:rsidRPr="007D4AB7">
        <w:rPr>
          <w:rStyle w:val="Nessuno"/>
          <w:color w:val="auto"/>
        </w:rPr>
        <w:t xml:space="preserve"> PCA analysis – contribution of selected environmental variables to principal components 1–2; </w:t>
      </w:r>
      <w:r w:rsidRPr="007D4AB7">
        <w:rPr>
          <w:rStyle w:val="Nessuno"/>
          <w:b/>
          <w:color w:val="auto"/>
        </w:rPr>
        <w:t>E:</w:t>
      </w:r>
      <w:r w:rsidRPr="007D4AB7">
        <w:rPr>
          <w:rStyle w:val="Nessuno"/>
          <w:color w:val="auto"/>
        </w:rPr>
        <w:t xml:space="preserve"> </w:t>
      </w:r>
      <w:r w:rsidRPr="007D4AB7">
        <w:rPr>
          <w:rStyle w:val="Hyperlink0"/>
          <w:rFonts w:eastAsia="Calibri"/>
          <w:color w:val="auto"/>
        </w:rPr>
        <w:t xml:space="preserve">Contribution of variables to PC1. Red dashed line indicates the expected average contribution, if the contribution of the variables were uniform. A variable with a contribution larger than this cutoff (1/length = number of variables*100; 1/9 = 0.111 = 11%) could be considered important in contributing to the component; </w:t>
      </w:r>
      <w:r w:rsidRPr="007D4AB7">
        <w:rPr>
          <w:rStyle w:val="Hyperlink0"/>
          <w:rFonts w:eastAsia="Calibri"/>
          <w:b/>
          <w:color w:val="auto"/>
        </w:rPr>
        <w:t>F:</w:t>
      </w:r>
      <w:r w:rsidRPr="007D4AB7">
        <w:rPr>
          <w:rStyle w:val="Hyperlink0"/>
          <w:rFonts w:eastAsia="Calibri"/>
          <w:color w:val="auto"/>
        </w:rPr>
        <w:t xml:space="preserve"> Contribution of variables to PC2. Red dashed line indicates the expected average contribution, if the contribution of the variables were uniform. A variable with a contribution larger than this cutoff (1/length = number of variables*100; 1/9 = 0.111 = 11%) could be </w:t>
      </w:r>
      <w:proofErr w:type="gramStart"/>
      <w:r w:rsidRPr="007D4AB7">
        <w:rPr>
          <w:rStyle w:val="Hyperlink0"/>
          <w:rFonts w:eastAsia="Calibri"/>
          <w:color w:val="auto"/>
        </w:rPr>
        <w:t>considered  important</w:t>
      </w:r>
      <w:proofErr w:type="gramEnd"/>
      <w:r w:rsidRPr="007D4AB7">
        <w:rPr>
          <w:rStyle w:val="Hyperlink0"/>
          <w:rFonts w:eastAsia="Calibri"/>
          <w:color w:val="auto"/>
        </w:rPr>
        <w:t xml:space="preserve"> in contributing to the component.</w:t>
      </w:r>
    </w:p>
    <w:p w14:paraId="37C494E9" w14:textId="77777777" w:rsidR="007D4AB7" w:rsidRPr="007D4AB7" w:rsidRDefault="007D4AB7" w:rsidP="007D4AB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917083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color w:val="auto"/>
        </w:rPr>
      </w:pPr>
      <w:r w:rsidRPr="007D4AB7">
        <w:rPr>
          <w:rFonts w:eastAsia="Times New Roman"/>
          <w:b/>
          <w:color w:val="auto"/>
        </w:rPr>
        <w:t>Supplementary Information</w:t>
      </w:r>
      <w:r w:rsidRPr="007D4AB7">
        <w:rPr>
          <w:b/>
          <w:color w:val="auto"/>
        </w:rPr>
        <w:t xml:space="preserve"> 14.</w:t>
      </w:r>
      <w:r w:rsidRPr="007D4AB7">
        <w:rPr>
          <w:color w:val="auto"/>
        </w:rPr>
        <w:t xml:space="preserve"> The response curves showing the ranges </w:t>
      </w:r>
      <w:r w:rsidRPr="007D4AB7">
        <w:rPr>
          <w:color w:val="auto"/>
        </w:rPr>
        <w:t>of</w:t>
      </w:r>
      <w:r w:rsidRPr="007D4AB7">
        <w:rPr>
          <w:color w:val="auto"/>
        </w:rPr>
        <w:t xml:space="preserve"> environmental conditions that are most favourable for the distribution of the </w:t>
      </w:r>
      <w:r w:rsidRPr="007D4AB7">
        <w:rPr>
          <w:i/>
          <w:color w:val="auto"/>
        </w:rPr>
        <w:t>Solenopsora</w:t>
      </w:r>
      <w:r w:rsidRPr="007D4AB7">
        <w:rPr>
          <w:color w:val="auto"/>
        </w:rPr>
        <w:t xml:space="preserve"> taxa, based on ensemble modellistic approach for the first three best explaining environmental variables with geology included as a categorical predictor. The x-axis represents </w:t>
      </w:r>
      <w:r w:rsidRPr="007D4AB7">
        <w:rPr>
          <w:color w:val="auto"/>
        </w:rPr>
        <w:t xml:space="preserve">the </w:t>
      </w:r>
      <w:r w:rsidRPr="007D4AB7">
        <w:rPr>
          <w:color w:val="auto"/>
        </w:rPr>
        <w:t xml:space="preserve">variable range for the </w:t>
      </w:r>
      <w:r w:rsidRPr="007D4AB7">
        <w:rPr>
          <w:color w:val="auto"/>
        </w:rPr>
        <w:lastRenderedPageBreak/>
        <w:t xml:space="preserve">study area, the y-axis represents the mean probability of presence when all of the other variables are set to their average (mean probability occurrence). </w:t>
      </w:r>
    </w:p>
    <w:p w14:paraId="6595F81A" w14:textId="77777777" w:rsidR="007D4AB7" w:rsidRPr="007D4AB7" w:rsidRDefault="007D4AB7" w:rsidP="007D4AB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55BE539" w14:textId="77777777" w:rsidR="007D4AB7" w:rsidRPr="007D4AB7" w:rsidRDefault="007D4AB7" w:rsidP="007D4AB7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</w:pPr>
      <w:r w:rsidRPr="007D4AB7">
        <w:rPr>
          <w:rFonts w:ascii="Times New Roman" w:eastAsia="Times New Roman" w:hAnsi="Times New Roman" w:cs="Arial Unicode MS"/>
          <w:b/>
          <w:color w:val="auto"/>
          <w:kern w:val="3"/>
          <w:sz w:val="24"/>
          <w:szCs w:val="24"/>
          <w:lang w:val="it-IT"/>
        </w:rPr>
        <w:t>Supplementary Information 15.</w:t>
      </w:r>
      <w:r w:rsidRPr="007D4AB7">
        <w:rPr>
          <w:color w:val="auto"/>
        </w:rPr>
        <w:t xml:space="preserve"> </w:t>
      </w:r>
      <w:r w:rsidRPr="007D4AB7"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  <w:t xml:space="preserve">The response curves showing the ranges in environmental conditions that are most favourable for the distribution of the </w:t>
      </w:r>
      <w:r w:rsidRPr="007D4AB7">
        <w:rPr>
          <w:rFonts w:ascii="Times New Roman" w:eastAsia="Arial Unicode MS" w:hAnsi="Times New Roman" w:cs="Arial Unicode MS"/>
          <w:i/>
          <w:color w:val="auto"/>
          <w:kern w:val="3"/>
          <w:sz w:val="24"/>
          <w:szCs w:val="24"/>
          <w:lang w:val="it-IT"/>
        </w:rPr>
        <w:t>Solenopsora</w:t>
      </w:r>
      <w:r w:rsidRPr="007D4AB7"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  <w:t xml:space="preserve"> taxa, based on ensemble modellistic approach for the first three best explaining environmental variables</w:t>
      </w:r>
      <w:r w:rsidRPr="007D4AB7">
        <w:rPr>
          <w:color w:val="auto"/>
        </w:rPr>
        <w:t xml:space="preserve"> </w:t>
      </w:r>
      <w:r w:rsidRPr="007D4AB7"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  <w:t>with geology as environmental filter.</w:t>
      </w:r>
      <w:r w:rsidRPr="007D4AB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D4AB7"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  <w:t xml:space="preserve">The x-axis represents </w:t>
      </w:r>
      <w:r w:rsidRPr="007D4AB7"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  <w:t xml:space="preserve">the </w:t>
      </w:r>
      <w:r w:rsidRPr="007D4AB7"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  <w:t>variable range for the study area, the y-axis represents the mean probability of presence when all of the other variables are set to their average (mean probability occurrence).</w:t>
      </w:r>
    </w:p>
    <w:p w14:paraId="71758522" w14:textId="77777777" w:rsidR="007D4AB7" w:rsidRPr="007D4AB7" w:rsidRDefault="007D4AB7" w:rsidP="007D4AB7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auto"/>
          <w:kern w:val="3"/>
          <w:sz w:val="24"/>
          <w:szCs w:val="24"/>
          <w:lang w:val="it-IT"/>
        </w:rPr>
      </w:pPr>
    </w:p>
    <w:p w14:paraId="448169DB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color w:val="auto"/>
        </w:rPr>
      </w:pPr>
      <w:r w:rsidRPr="007D4AB7">
        <w:rPr>
          <w:rFonts w:eastAsia="Times New Roman"/>
          <w:b/>
          <w:color w:val="auto"/>
        </w:rPr>
        <w:t>Supplementary Information 16.</w:t>
      </w:r>
      <w:r w:rsidRPr="007D4AB7">
        <w:rPr>
          <w:b/>
          <w:color w:val="auto"/>
        </w:rPr>
        <w:t xml:space="preserve"> </w:t>
      </w:r>
      <w:r w:rsidRPr="007D4AB7">
        <w:rPr>
          <w:color w:val="auto"/>
        </w:rPr>
        <w:t xml:space="preserve">Habitat suitability maps (HSMs) of </w:t>
      </w:r>
      <w:r w:rsidRPr="007D4AB7">
        <w:rPr>
          <w:i/>
          <w:color w:val="auto"/>
        </w:rPr>
        <w:t>Solenopsora</w:t>
      </w:r>
      <w:r w:rsidRPr="007D4AB7">
        <w:rPr>
          <w:color w:val="auto"/>
        </w:rPr>
        <w:t xml:space="preserve"> taxa along the Apennine peninsula, predicting suitable areas under current climatic conditions from 0 (blue) – not suitable, to 1 (red) – with high habitat suitability, based on climatic data. The scale on the right refers to the probability distribution scores. A – </w:t>
      </w:r>
      <w:r w:rsidRPr="007D4AB7">
        <w:rPr>
          <w:i/>
          <w:color w:val="auto"/>
        </w:rPr>
        <w:t>S. candicans</w:t>
      </w:r>
      <w:r w:rsidRPr="007D4AB7">
        <w:rPr>
          <w:color w:val="auto"/>
        </w:rPr>
        <w:t xml:space="preserve">, B – </w:t>
      </w:r>
      <w:r w:rsidRPr="007D4AB7">
        <w:rPr>
          <w:i/>
          <w:color w:val="auto"/>
        </w:rPr>
        <w:t>S. cesatii</w:t>
      </w:r>
      <w:r w:rsidRPr="007D4AB7">
        <w:rPr>
          <w:color w:val="auto"/>
        </w:rPr>
        <w:t xml:space="preserve">, C – </w:t>
      </w:r>
      <w:r w:rsidRPr="007D4AB7">
        <w:rPr>
          <w:i/>
          <w:color w:val="auto"/>
        </w:rPr>
        <w:t>S. grisea</w:t>
      </w:r>
      <w:r w:rsidRPr="007D4AB7">
        <w:rPr>
          <w:color w:val="auto"/>
        </w:rPr>
        <w:t xml:space="preserve">, D – </w:t>
      </w:r>
      <w:r w:rsidRPr="007D4AB7">
        <w:rPr>
          <w:i/>
          <w:color w:val="auto"/>
        </w:rPr>
        <w:t>S. holophaea</w:t>
      </w:r>
      <w:r w:rsidRPr="007D4AB7">
        <w:rPr>
          <w:color w:val="auto"/>
        </w:rPr>
        <w:t xml:space="preserve">, E – </w:t>
      </w:r>
      <w:r w:rsidRPr="007D4AB7">
        <w:rPr>
          <w:i/>
          <w:color w:val="auto"/>
        </w:rPr>
        <w:t>S. liparina</w:t>
      </w:r>
      <w:r w:rsidRPr="007D4AB7">
        <w:rPr>
          <w:color w:val="auto"/>
        </w:rPr>
        <w:t xml:space="preserve">, F – </w:t>
      </w:r>
      <w:r w:rsidRPr="007D4AB7">
        <w:rPr>
          <w:i/>
          <w:color w:val="auto"/>
        </w:rPr>
        <w:t>S. olivacea</w:t>
      </w:r>
      <w:r w:rsidRPr="007D4AB7">
        <w:rPr>
          <w:color w:val="auto"/>
        </w:rPr>
        <w:t xml:space="preserve"> subsp. </w:t>
      </w:r>
      <w:r w:rsidRPr="007D4AB7">
        <w:rPr>
          <w:i/>
          <w:color w:val="auto"/>
        </w:rPr>
        <w:t>olbiensis</w:t>
      </w:r>
      <w:r w:rsidRPr="007D4AB7">
        <w:rPr>
          <w:color w:val="auto"/>
        </w:rPr>
        <w:t xml:space="preserve">, G – </w:t>
      </w:r>
      <w:r w:rsidRPr="007D4AB7">
        <w:rPr>
          <w:i/>
          <w:color w:val="auto"/>
        </w:rPr>
        <w:t>S. olivacea</w:t>
      </w:r>
      <w:r w:rsidRPr="007D4AB7">
        <w:rPr>
          <w:color w:val="auto"/>
        </w:rPr>
        <w:t xml:space="preserve"> subsp. </w:t>
      </w:r>
      <w:r w:rsidRPr="007D4AB7">
        <w:rPr>
          <w:i/>
          <w:color w:val="auto"/>
        </w:rPr>
        <w:t>olivacea</w:t>
      </w:r>
      <w:r w:rsidRPr="007D4AB7">
        <w:rPr>
          <w:color w:val="auto"/>
        </w:rPr>
        <w:t xml:space="preserve">, H – </w:t>
      </w:r>
      <w:r w:rsidRPr="007D4AB7">
        <w:rPr>
          <w:i/>
          <w:color w:val="auto"/>
        </w:rPr>
        <w:t>S. vulturiensis</w:t>
      </w:r>
      <w:r w:rsidRPr="007D4AB7">
        <w:rPr>
          <w:color w:val="auto"/>
        </w:rPr>
        <w:t>.</w:t>
      </w:r>
    </w:p>
    <w:p w14:paraId="33C6BDD1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color w:val="auto"/>
        </w:rPr>
      </w:pPr>
    </w:p>
    <w:p w14:paraId="6A6CCACC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color w:val="auto"/>
        </w:rPr>
      </w:pPr>
      <w:r w:rsidRPr="007D4AB7">
        <w:rPr>
          <w:rStyle w:val="Hyperlink0"/>
          <w:rFonts w:eastAsia="Calibri"/>
          <w:b/>
          <w:color w:val="auto"/>
        </w:rPr>
        <w:t>Supplementary Information 17.</w:t>
      </w:r>
      <w:r w:rsidRPr="007D4AB7">
        <w:rPr>
          <w:b/>
          <w:color w:val="auto"/>
        </w:rPr>
        <w:t xml:space="preserve"> </w:t>
      </w:r>
      <w:r w:rsidRPr="007D4AB7">
        <w:rPr>
          <w:rStyle w:val="Hyperlink0"/>
          <w:rFonts w:eastAsia="Calibri"/>
          <w:color w:val="auto"/>
        </w:rPr>
        <w:t xml:space="preserve">Habitat suitability maps (HSMs) of </w:t>
      </w:r>
      <w:proofErr w:type="spellStart"/>
      <w:r w:rsidRPr="007D4AB7">
        <w:rPr>
          <w:rStyle w:val="Nessuno"/>
          <w:i/>
          <w:iCs/>
          <w:color w:val="auto"/>
        </w:rPr>
        <w:t>Solenopsora</w:t>
      </w:r>
      <w:proofErr w:type="spellEnd"/>
      <w:r w:rsidRPr="007D4AB7">
        <w:rPr>
          <w:rStyle w:val="Hyperlink0"/>
          <w:rFonts w:eastAsia="Calibri"/>
          <w:color w:val="auto"/>
        </w:rPr>
        <w:t xml:space="preserve"> taxa along the Apennine peninsula as a result of alternative approach based on filtering geology from 0 (blue) – not suitable, to 1 (red) – high habitat suitability. The scale on the right refers to the probability distribution scores. </w:t>
      </w:r>
      <w:r w:rsidRPr="007D4AB7">
        <w:rPr>
          <w:color w:val="auto"/>
        </w:rPr>
        <w:t xml:space="preserve">A – </w:t>
      </w:r>
      <w:r w:rsidRPr="007D4AB7">
        <w:rPr>
          <w:i/>
          <w:color w:val="auto"/>
        </w:rPr>
        <w:t>S. candicans</w:t>
      </w:r>
      <w:r w:rsidRPr="007D4AB7">
        <w:rPr>
          <w:color w:val="auto"/>
        </w:rPr>
        <w:t xml:space="preserve">, B – </w:t>
      </w:r>
      <w:r w:rsidRPr="007D4AB7">
        <w:rPr>
          <w:i/>
          <w:color w:val="auto"/>
        </w:rPr>
        <w:t>S. cesatii</w:t>
      </w:r>
      <w:r w:rsidRPr="007D4AB7">
        <w:rPr>
          <w:color w:val="auto"/>
        </w:rPr>
        <w:t xml:space="preserve">, C – </w:t>
      </w:r>
      <w:r w:rsidRPr="007D4AB7">
        <w:rPr>
          <w:i/>
          <w:color w:val="auto"/>
        </w:rPr>
        <w:t>S. grisea</w:t>
      </w:r>
      <w:r w:rsidRPr="007D4AB7">
        <w:rPr>
          <w:color w:val="auto"/>
        </w:rPr>
        <w:t xml:space="preserve">, D – </w:t>
      </w:r>
      <w:r w:rsidRPr="007D4AB7">
        <w:rPr>
          <w:i/>
          <w:color w:val="auto"/>
        </w:rPr>
        <w:t>S. holophaea</w:t>
      </w:r>
      <w:r w:rsidRPr="007D4AB7">
        <w:rPr>
          <w:color w:val="auto"/>
        </w:rPr>
        <w:t xml:space="preserve">, E – </w:t>
      </w:r>
      <w:r w:rsidRPr="007D4AB7">
        <w:rPr>
          <w:i/>
          <w:color w:val="auto"/>
        </w:rPr>
        <w:t>S. liparina</w:t>
      </w:r>
      <w:r w:rsidRPr="007D4AB7">
        <w:rPr>
          <w:color w:val="auto"/>
        </w:rPr>
        <w:t xml:space="preserve">, F – </w:t>
      </w:r>
      <w:r w:rsidRPr="007D4AB7">
        <w:rPr>
          <w:i/>
          <w:color w:val="auto"/>
        </w:rPr>
        <w:t>S. olivacea</w:t>
      </w:r>
      <w:r w:rsidRPr="007D4AB7">
        <w:rPr>
          <w:color w:val="auto"/>
        </w:rPr>
        <w:t xml:space="preserve"> subsp. </w:t>
      </w:r>
      <w:r w:rsidRPr="007D4AB7">
        <w:rPr>
          <w:i/>
          <w:color w:val="auto"/>
        </w:rPr>
        <w:t>olbiensis</w:t>
      </w:r>
      <w:r w:rsidRPr="007D4AB7">
        <w:rPr>
          <w:color w:val="auto"/>
        </w:rPr>
        <w:t xml:space="preserve">, G – </w:t>
      </w:r>
      <w:r w:rsidRPr="007D4AB7">
        <w:rPr>
          <w:i/>
          <w:color w:val="auto"/>
        </w:rPr>
        <w:t>S. olivacea</w:t>
      </w:r>
      <w:r w:rsidRPr="007D4AB7">
        <w:rPr>
          <w:color w:val="auto"/>
        </w:rPr>
        <w:t xml:space="preserve"> subsp. </w:t>
      </w:r>
      <w:r w:rsidRPr="007D4AB7">
        <w:rPr>
          <w:i/>
          <w:color w:val="auto"/>
        </w:rPr>
        <w:t>olivacea</w:t>
      </w:r>
      <w:r w:rsidRPr="007D4AB7">
        <w:rPr>
          <w:color w:val="auto"/>
        </w:rPr>
        <w:t xml:space="preserve">, H – </w:t>
      </w:r>
      <w:r w:rsidRPr="007D4AB7">
        <w:rPr>
          <w:i/>
          <w:color w:val="auto"/>
        </w:rPr>
        <w:t>S. vulturiensis</w:t>
      </w:r>
      <w:r w:rsidRPr="007D4AB7">
        <w:rPr>
          <w:color w:val="auto"/>
        </w:rPr>
        <w:t>.</w:t>
      </w:r>
    </w:p>
    <w:p w14:paraId="6AACE613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rStyle w:val="Nessuno"/>
          <w:b/>
          <w:bCs/>
          <w:color w:val="auto"/>
        </w:rPr>
      </w:pPr>
    </w:p>
    <w:p w14:paraId="06034B4F" w14:textId="77777777" w:rsidR="007D4AB7" w:rsidRPr="007D4AB7" w:rsidRDefault="007D4AB7" w:rsidP="007D4AB7">
      <w:pPr>
        <w:pStyle w:val="Standard"/>
        <w:spacing w:after="0" w:line="240" w:lineRule="auto"/>
        <w:jc w:val="both"/>
        <w:rPr>
          <w:color w:val="auto"/>
        </w:rPr>
      </w:pPr>
      <w:r w:rsidRPr="007D4AB7">
        <w:rPr>
          <w:rStyle w:val="Nessuno"/>
          <w:b/>
          <w:bCs/>
          <w:color w:val="auto"/>
        </w:rPr>
        <w:t xml:space="preserve">Supplementary Information 18. </w:t>
      </w:r>
      <w:r w:rsidRPr="007D4AB7">
        <w:rPr>
          <w:rStyle w:val="Hyperlink0"/>
          <w:rFonts w:eastAsia="Calibri"/>
          <w:color w:val="auto"/>
        </w:rPr>
        <w:t>M</w:t>
      </w:r>
      <w:r w:rsidRPr="007D4AB7">
        <w:rPr>
          <w:rStyle w:val="Nessuno"/>
          <w:color w:val="auto"/>
        </w:rPr>
        <w:t xml:space="preserve">aps showing the extent of geographical ranges (cf. Gaston 1996) </w:t>
      </w:r>
      <w:r w:rsidRPr="007D4AB7">
        <w:rPr>
          <w:rStyle w:val="Hyperlink0"/>
          <w:rFonts w:eastAsia="Calibri"/>
          <w:color w:val="auto"/>
        </w:rPr>
        <w:t xml:space="preserve">of the studied </w:t>
      </w:r>
      <w:proofErr w:type="spellStart"/>
      <w:r w:rsidRPr="007D4AB7">
        <w:rPr>
          <w:rStyle w:val="Nessuno"/>
          <w:i/>
          <w:iCs/>
          <w:color w:val="auto"/>
        </w:rPr>
        <w:t>Solenopsora</w:t>
      </w:r>
      <w:proofErr w:type="spellEnd"/>
      <w:r w:rsidRPr="007D4AB7">
        <w:rPr>
          <w:rStyle w:val="Hyperlink0"/>
          <w:rFonts w:eastAsia="Calibri"/>
          <w:color w:val="auto"/>
        </w:rPr>
        <w:t xml:space="preserve"> taxa based on revised herbarium specimens and field work</w:t>
      </w:r>
      <w:r w:rsidRPr="007D4AB7">
        <w:rPr>
          <w:rStyle w:val="Nessuno"/>
          <w:color w:val="auto"/>
        </w:rPr>
        <w:t xml:space="preserve">, where </w:t>
      </w:r>
      <w:r w:rsidRPr="007D4AB7">
        <w:rPr>
          <w:rStyle w:val="Nessuno"/>
          <w:color w:val="auto"/>
        </w:rPr>
        <w:t xml:space="preserve">the </w:t>
      </w:r>
      <w:r w:rsidRPr="007D4AB7">
        <w:rPr>
          <w:rStyle w:val="Nessuno"/>
          <w:color w:val="auto"/>
        </w:rPr>
        <w:t>area within the polygons enclose</w:t>
      </w:r>
      <w:r w:rsidRPr="007D4AB7">
        <w:rPr>
          <w:rStyle w:val="Nessuno"/>
          <w:color w:val="auto"/>
        </w:rPr>
        <w:t>s</w:t>
      </w:r>
      <w:r w:rsidRPr="007D4AB7">
        <w:rPr>
          <w:rStyle w:val="Nessuno"/>
          <w:color w:val="auto"/>
        </w:rPr>
        <w:t xml:space="preserve"> the limits to the occurrence of </w:t>
      </w:r>
      <w:r w:rsidRPr="007D4AB7">
        <w:rPr>
          <w:rStyle w:val="Hyperlink0"/>
          <w:rFonts w:eastAsia="Calibri"/>
          <w:color w:val="auto"/>
        </w:rPr>
        <w:t xml:space="preserve">distribution ranges of taxa. The most outlying points are connected in polygons. </w:t>
      </w:r>
      <w:r w:rsidRPr="007D4AB7">
        <w:rPr>
          <w:rFonts w:cs="Times New Roman"/>
          <w:color w:val="auto"/>
        </w:rPr>
        <w:t xml:space="preserve">A – </w:t>
      </w:r>
      <w:r w:rsidRPr="007D4AB7">
        <w:rPr>
          <w:rFonts w:cs="Times New Roman"/>
          <w:i/>
          <w:color w:val="auto"/>
        </w:rPr>
        <w:t>S. candicans</w:t>
      </w:r>
      <w:r w:rsidRPr="007D4AB7">
        <w:rPr>
          <w:rFonts w:cs="Times New Roman"/>
          <w:color w:val="auto"/>
        </w:rPr>
        <w:t xml:space="preserve">, B – </w:t>
      </w:r>
      <w:r w:rsidRPr="007D4AB7">
        <w:rPr>
          <w:rFonts w:cs="Times New Roman"/>
          <w:i/>
          <w:color w:val="auto"/>
        </w:rPr>
        <w:t>S. cesatii</w:t>
      </w:r>
      <w:r w:rsidRPr="007D4AB7">
        <w:rPr>
          <w:rFonts w:cs="Times New Roman"/>
          <w:color w:val="auto"/>
        </w:rPr>
        <w:t xml:space="preserve">, C – </w:t>
      </w:r>
      <w:r w:rsidRPr="007D4AB7">
        <w:rPr>
          <w:rFonts w:cs="Times New Roman"/>
          <w:i/>
          <w:color w:val="auto"/>
        </w:rPr>
        <w:t>S. grisea</w:t>
      </w:r>
      <w:r w:rsidRPr="007D4AB7">
        <w:rPr>
          <w:rFonts w:cs="Times New Roman"/>
          <w:color w:val="auto"/>
        </w:rPr>
        <w:t xml:space="preserve">, D – </w:t>
      </w:r>
      <w:r w:rsidRPr="007D4AB7">
        <w:rPr>
          <w:rFonts w:cs="Times New Roman"/>
          <w:i/>
          <w:color w:val="auto"/>
        </w:rPr>
        <w:t>S. holophaea</w:t>
      </w:r>
      <w:r w:rsidRPr="007D4AB7">
        <w:rPr>
          <w:rFonts w:cs="Times New Roman"/>
          <w:color w:val="auto"/>
        </w:rPr>
        <w:t xml:space="preserve">, E – </w:t>
      </w:r>
      <w:r w:rsidRPr="007D4AB7">
        <w:rPr>
          <w:i/>
          <w:color w:val="auto"/>
        </w:rPr>
        <w:t>S. marina</w:t>
      </w:r>
      <w:r w:rsidRPr="007D4AB7">
        <w:rPr>
          <w:color w:val="auto"/>
        </w:rPr>
        <w:t xml:space="preserve">, F – </w:t>
      </w:r>
      <w:r w:rsidRPr="007D4AB7">
        <w:rPr>
          <w:rFonts w:cs="Times New Roman"/>
          <w:i/>
          <w:color w:val="auto"/>
        </w:rPr>
        <w:t>S. liparina</w:t>
      </w:r>
      <w:r w:rsidRPr="007D4AB7">
        <w:rPr>
          <w:rFonts w:cs="Times New Roman"/>
          <w:color w:val="auto"/>
        </w:rPr>
        <w:t xml:space="preserve">, </w:t>
      </w:r>
      <w:r w:rsidRPr="007D4AB7">
        <w:rPr>
          <w:color w:val="auto"/>
        </w:rPr>
        <w:t>G</w:t>
      </w:r>
      <w:r w:rsidRPr="007D4AB7">
        <w:rPr>
          <w:rFonts w:cs="Times New Roman"/>
          <w:color w:val="auto"/>
        </w:rPr>
        <w:t xml:space="preserve"> – </w:t>
      </w:r>
      <w:r w:rsidRPr="007D4AB7">
        <w:rPr>
          <w:rFonts w:cs="Times New Roman"/>
          <w:i/>
          <w:color w:val="auto"/>
        </w:rPr>
        <w:t>S. olivacea</w:t>
      </w:r>
      <w:r w:rsidRPr="007D4AB7">
        <w:rPr>
          <w:rFonts w:cs="Times New Roman"/>
          <w:color w:val="auto"/>
        </w:rPr>
        <w:t xml:space="preserve"> subsp. </w:t>
      </w:r>
      <w:r w:rsidRPr="007D4AB7">
        <w:rPr>
          <w:rFonts w:cs="Times New Roman"/>
          <w:i/>
          <w:color w:val="auto"/>
        </w:rPr>
        <w:t>olbiensis</w:t>
      </w:r>
      <w:r w:rsidRPr="007D4AB7">
        <w:rPr>
          <w:rFonts w:cs="Times New Roman"/>
          <w:color w:val="auto"/>
        </w:rPr>
        <w:t xml:space="preserve">, </w:t>
      </w:r>
      <w:r w:rsidRPr="007D4AB7">
        <w:rPr>
          <w:color w:val="auto"/>
        </w:rPr>
        <w:t>H</w:t>
      </w:r>
      <w:r w:rsidRPr="007D4AB7">
        <w:rPr>
          <w:rFonts w:cs="Times New Roman"/>
          <w:color w:val="auto"/>
        </w:rPr>
        <w:t xml:space="preserve"> – </w:t>
      </w:r>
      <w:r w:rsidRPr="007D4AB7">
        <w:rPr>
          <w:rFonts w:cs="Times New Roman"/>
          <w:i/>
          <w:color w:val="auto"/>
        </w:rPr>
        <w:t>S. olivacea</w:t>
      </w:r>
      <w:r w:rsidRPr="007D4AB7">
        <w:rPr>
          <w:rFonts w:cs="Times New Roman"/>
          <w:color w:val="auto"/>
        </w:rPr>
        <w:t xml:space="preserve"> subsp. </w:t>
      </w:r>
      <w:r w:rsidRPr="007D4AB7">
        <w:rPr>
          <w:rFonts w:cs="Times New Roman"/>
          <w:i/>
          <w:color w:val="auto"/>
        </w:rPr>
        <w:t>olivacea</w:t>
      </w:r>
      <w:r w:rsidRPr="007D4AB7">
        <w:rPr>
          <w:rFonts w:cs="Times New Roman"/>
          <w:color w:val="auto"/>
        </w:rPr>
        <w:t xml:space="preserve">, </w:t>
      </w:r>
      <w:r w:rsidRPr="007D4AB7">
        <w:rPr>
          <w:color w:val="auto"/>
        </w:rPr>
        <w:t>I</w:t>
      </w:r>
      <w:r w:rsidRPr="007D4AB7">
        <w:rPr>
          <w:rFonts w:cs="Times New Roman"/>
          <w:color w:val="auto"/>
        </w:rPr>
        <w:t xml:space="preserve"> – </w:t>
      </w:r>
      <w:r w:rsidRPr="007D4AB7">
        <w:rPr>
          <w:rFonts w:cs="Times New Roman"/>
          <w:i/>
          <w:color w:val="auto"/>
        </w:rPr>
        <w:t>S. vulturiensis</w:t>
      </w:r>
      <w:r w:rsidRPr="007D4AB7">
        <w:rPr>
          <w:rFonts w:cs="Times New Roman"/>
          <w:color w:val="auto"/>
        </w:rPr>
        <w:t>.</w:t>
      </w:r>
    </w:p>
    <w:p w14:paraId="1D0B5438" w14:textId="77777777" w:rsidR="003F5B6A" w:rsidRPr="007D4AB7" w:rsidRDefault="003F5B6A">
      <w:pPr>
        <w:rPr>
          <w:color w:val="auto"/>
        </w:rPr>
      </w:pPr>
    </w:p>
    <w:sectPr w:rsidR="003F5B6A" w:rsidRPr="007D4AB7" w:rsidSect="00986B3C">
      <w:headerReference w:type="default" r:id="rId4"/>
      <w:footerReference w:type="default" r:id="rId5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1BE7" w14:textId="77777777" w:rsidR="00986B3C" w:rsidRDefault="006043C8">
    <w:pPr>
      <w:pStyle w:val="Intestazioneepidipagina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D876" w14:textId="77777777" w:rsidR="00986B3C" w:rsidRDefault="006043C8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B7"/>
    <w:rsid w:val="002440A3"/>
    <w:rsid w:val="0033275A"/>
    <w:rsid w:val="003F5B6A"/>
    <w:rsid w:val="00445ABB"/>
    <w:rsid w:val="004A75D9"/>
    <w:rsid w:val="005A62D5"/>
    <w:rsid w:val="006043C8"/>
    <w:rsid w:val="007D4AB7"/>
    <w:rsid w:val="00801F6C"/>
    <w:rsid w:val="00881EAB"/>
    <w:rsid w:val="00D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7F09"/>
  <w15:chartTrackingRefBased/>
  <w15:docId w15:val="{D7906FB4-1E1E-4766-A1BC-E9F26FB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4A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epidipagina">
    <w:name w:val="Intestazione e piè di pagina"/>
    <w:rsid w:val="007D4AB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sk-SK" w:eastAsia="sk-SK"/>
    </w:rPr>
  </w:style>
  <w:style w:type="character" w:customStyle="1" w:styleId="Nessuno">
    <w:name w:val="Nessuno"/>
    <w:rsid w:val="007D4AB7"/>
    <w:rPr>
      <w:lang w:val="en-US"/>
    </w:rPr>
  </w:style>
  <w:style w:type="paragraph" w:customStyle="1" w:styleId="Standard">
    <w:name w:val="Standard"/>
    <w:rsid w:val="007D4AB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it-IT" w:eastAsia="sk-SK"/>
    </w:rPr>
  </w:style>
  <w:style w:type="character" w:customStyle="1" w:styleId="Hyperlink0">
    <w:name w:val="Hyperlink.0"/>
    <w:basedOn w:val="Nessuno"/>
    <w:rsid w:val="007D4A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rsid w:val="007D4A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sk-SK" w:eastAsia="sk-SK"/>
    </w:rPr>
  </w:style>
  <w:style w:type="paragraph" w:styleId="CommentText">
    <w:name w:val="annotation text"/>
    <w:basedOn w:val="Normal"/>
    <w:link w:val="CommentTextChar"/>
    <w:uiPriority w:val="99"/>
    <w:unhideWhenUsed/>
    <w:rsid w:val="007D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AB7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2018-11-07T14:40:00Z</dcterms:created>
  <dcterms:modified xsi:type="dcterms:W3CDTF">2018-11-07T22:00:00Z</dcterms:modified>
</cp:coreProperties>
</file>