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9D" w:rsidRPr="00E20682" w:rsidRDefault="007A1F9D" w:rsidP="007A1F9D">
      <w:pPr>
        <w:pStyle w:val="reference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682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proofErr w:type="spellEnd"/>
      <w:r w:rsidRPr="00E20682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proofErr w:type="spellStart"/>
      <w:r w:rsidRPr="00E20682">
        <w:rPr>
          <w:rFonts w:ascii="Times New Roman" w:hAnsi="Times New Roman" w:cs="Times New Roman"/>
          <w:b/>
          <w:sz w:val="24"/>
          <w:szCs w:val="24"/>
        </w:rPr>
        <w:t>Legends</w:t>
      </w:r>
      <w:proofErr w:type="spellEnd"/>
    </w:p>
    <w:p w:rsidR="007A1F9D" w:rsidRPr="00E20682" w:rsidRDefault="007A1F9D" w:rsidP="007A1F9D">
      <w:pPr>
        <w:pStyle w:val="reference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1F9D" w:rsidRPr="00E20682" w:rsidRDefault="007A1F9D" w:rsidP="007A1F9D">
      <w:pPr>
        <w:pStyle w:val="reference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0682">
        <w:rPr>
          <w:rFonts w:ascii="Times New Roman" w:hAnsi="Times New Roman" w:cs="Times New Roman"/>
          <w:b/>
          <w:sz w:val="24"/>
          <w:szCs w:val="24"/>
        </w:rPr>
        <w:t>Fig. S1</w:t>
      </w:r>
      <w:r w:rsidRPr="00E206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i/>
          <w:sz w:val="24"/>
          <w:szCs w:val="24"/>
        </w:rPr>
        <w:t>Peltulaceae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nucSSU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data set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raxml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a GTR+I+G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likelihood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= -6,176.14).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caption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Figure 4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. Long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half-length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saving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(//).</w:t>
      </w:r>
    </w:p>
    <w:p w:rsidR="007A1F9D" w:rsidRPr="00E20682" w:rsidRDefault="007A1F9D" w:rsidP="007A1F9D">
      <w:pPr>
        <w:pStyle w:val="reference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682">
        <w:rPr>
          <w:rFonts w:ascii="Times New Roman" w:hAnsi="Times New Roman" w:cs="Times New Roman"/>
          <w:b/>
          <w:sz w:val="24"/>
          <w:szCs w:val="24"/>
        </w:rPr>
        <w:t>Fig. S2</w:t>
      </w:r>
      <w:r w:rsidRPr="00E206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i/>
          <w:sz w:val="24"/>
          <w:szCs w:val="24"/>
        </w:rPr>
        <w:t>Peltulaceae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nucSSU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data set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raxml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a GTR+I+G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likelihood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= -7,912.07).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caption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Figure 4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>.</w:t>
      </w:r>
    </w:p>
    <w:p w:rsidR="007A1F9D" w:rsidRPr="00E20682" w:rsidRDefault="007A1F9D" w:rsidP="007A1F9D">
      <w:pPr>
        <w:pStyle w:val="reference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0682">
        <w:rPr>
          <w:rFonts w:ascii="Times New Roman" w:hAnsi="Times New Roman" w:cs="Times New Roman"/>
          <w:b/>
          <w:sz w:val="24"/>
          <w:szCs w:val="24"/>
        </w:rPr>
        <w:t>Fig. S3</w:t>
      </w:r>
      <w:r w:rsidRPr="00E206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i/>
          <w:sz w:val="24"/>
          <w:szCs w:val="24"/>
        </w:rPr>
        <w:t>Peltulaceae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mtSSU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data set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raxml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a GTR+I+G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likelihood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= -3,057.50).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caption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Figure 4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. Long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half-length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saving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(//).</w:t>
      </w:r>
    </w:p>
    <w:p w:rsidR="007A1F9D" w:rsidRPr="00E20682" w:rsidRDefault="007A1F9D" w:rsidP="007A1F9D">
      <w:pPr>
        <w:pStyle w:val="reference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682">
        <w:rPr>
          <w:rFonts w:ascii="Times New Roman" w:hAnsi="Times New Roman" w:cs="Times New Roman"/>
          <w:b/>
          <w:sz w:val="24"/>
          <w:szCs w:val="24"/>
        </w:rPr>
        <w:t>Fig. S4</w:t>
      </w:r>
      <w:r w:rsidRPr="00E206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i/>
          <w:sz w:val="24"/>
          <w:szCs w:val="24"/>
        </w:rPr>
        <w:t>Peltulaceae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ITS data set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raxml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a GTR+I+G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likelihood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= -2,486.78).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caption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Figure 4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>.</w:t>
      </w:r>
    </w:p>
    <w:p w:rsidR="007A1F9D" w:rsidRPr="00E20682" w:rsidRDefault="007A1F9D" w:rsidP="007A1F9D">
      <w:pPr>
        <w:pStyle w:val="reference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682">
        <w:rPr>
          <w:rFonts w:ascii="Times New Roman" w:hAnsi="Times New Roman" w:cs="Times New Roman"/>
          <w:b/>
          <w:sz w:val="24"/>
          <w:szCs w:val="24"/>
        </w:rPr>
        <w:t>Fig. S5</w:t>
      </w:r>
      <w:r w:rsidRPr="00E206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i/>
          <w:sz w:val="24"/>
          <w:szCs w:val="24"/>
        </w:rPr>
        <w:t>Peltulaceae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r w:rsidRPr="00E20682">
        <w:rPr>
          <w:rFonts w:ascii="Times New Roman" w:hAnsi="Times New Roman" w:cs="Times New Roman"/>
          <w:i/>
          <w:sz w:val="24"/>
          <w:szCs w:val="24"/>
        </w:rPr>
        <w:t>RPB2</w:t>
      </w:r>
      <w:r w:rsidRPr="00E20682">
        <w:rPr>
          <w:rFonts w:ascii="Times New Roman" w:hAnsi="Times New Roman" w:cs="Times New Roman"/>
          <w:sz w:val="24"/>
          <w:szCs w:val="24"/>
        </w:rPr>
        <w:t xml:space="preserve"> data set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raxml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a GTR+I+G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likelihood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= -10,049.06).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caption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Figure 4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>.</w:t>
      </w:r>
    </w:p>
    <w:p w:rsidR="007A1F9D" w:rsidRPr="00E20682" w:rsidRDefault="007A1F9D" w:rsidP="007A1F9D">
      <w:pPr>
        <w:pStyle w:val="reference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682">
        <w:rPr>
          <w:rFonts w:ascii="Times New Roman" w:hAnsi="Times New Roman" w:cs="Times New Roman"/>
          <w:b/>
          <w:sz w:val="24"/>
          <w:szCs w:val="24"/>
        </w:rPr>
        <w:t>Fig. S6</w:t>
      </w:r>
      <w:r w:rsidRPr="00E206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i/>
          <w:sz w:val="24"/>
          <w:szCs w:val="24"/>
        </w:rPr>
        <w:t>Peltulaceae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tub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data set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raxml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a GTR+I+G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likelihood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= -6,822.62).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caption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Figure 4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82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E20682">
        <w:rPr>
          <w:rFonts w:ascii="Times New Roman" w:hAnsi="Times New Roman" w:cs="Times New Roman"/>
          <w:sz w:val="24"/>
          <w:szCs w:val="24"/>
        </w:rPr>
        <w:t>.</w:t>
      </w:r>
    </w:p>
    <w:p w:rsidR="003F5B6A" w:rsidRDefault="003F5B6A">
      <w:bookmarkStart w:id="0" w:name="_GoBack"/>
      <w:bookmarkEnd w:id="0"/>
    </w:p>
    <w:sectPr w:rsidR="003F5B6A" w:rsidSect="00764C5B">
      <w:pgSz w:w="11906" w:h="16838"/>
      <w:pgMar w:top="1418" w:right="1418" w:bottom="1418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9D"/>
    <w:rsid w:val="002440A3"/>
    <w:rsid w:val="0033275A"/>
    <w:rsid w:val="003F5B6A"/>
    <w:rsid w:val="00445ABB"/>
    <w:rsid w:val="004A75D9"/>
    <w:rsid w:val="005A62D5"/>
    <w:rsid w:val="007A1F9D"/>
    <w:rsid w:val="00801F6C"/>
    <w:rsid w:val="00881EAB"/>
    <w:rsid w:val="00D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E366F-90C3-402B-B359-978AA63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7A1F9D"/>
    <w:pPr>
      <w:spacing w:after="0" w:line="480" w:lineRule="auto"/>
      <w:ind w:left="726" w:hanging="712"/>
    </w:pPr>
    <w:rPr>
      <w:rFonts w:ascii="Garamond" w:eastAsia="Garamond" w:hAnsi="Garamond" w:cs="Garamon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2018-01-18T19:01:00Z</dcterms:created>
  <dcterms:modified xsi:type="dcterms:W3CDTF">2018-01-18T19:01:00Z</dcterms:modified>
</cp:coreProperties>
</file>