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C008" w14:textId="4145FA2A" w:rsidR="00B579D8" w:rsidRPr="00DC7E72" w:rsidRDefault="00B579D8" w:rsidP="00AB0A23">
      <w:pPr>
        <w:spacing w:line="360" w:lineRule="auto"/>
      </w:pPr>
      <w:r w:rsidRPr="00DC7E72">
        <w:t>&lt;JLO 22-0680.R1; supplementary material&gt;</w:t>
      </w:r>
    </w:p>
    <w:p w14:paraId="229B5EAE" w14:textId="77777777" w:rsidR="00B579D8" w:rsidRPr="00DC7E72" w:rsidRDefault="00B579D8" w:rsidP="00AB0A23">
      <w:pPr>
        <w:spacing w:line="360" w:lineRule="auto"/>
        <w:rPr>
          <w:rFonts w:ascii="Times New Roman" w:eastAsia="Times New Roman" w:hAnsi="Times New Roman" w:cs="Times New Roman"/>
          <w:b/>
          <w:bCs/>
          <w:color w:val="000000"/>
          <w:sz w:val="22"/>
          <w:szCs w:val="22"/>
          <w:lang w:eastAsia="en-GB"/>
        </w:rPr>
      </w:pPr>
    </w:p>
    <w:p w14:paraId="57A90FC2" w14:textId="4E5FB01A" w:rsidR="000A4D34" w:rsidRPr="00DC7E72" w:rsidRDefault="008E2193" w:rsidP="00AB0A23">
      <w:pPr>
        <w:spacing w:line="360" w:lineRule="auto"/>
        <w:rPr>
          <w:rFonts w:ascii="Times New Roman" w:eastAsia="Times New Roman" w:hAnsi="Times New Roman" w:cs="Times New Roman"/>
          <w:color w:val="000000"/>
          <w:sz w:val="22"/>
          <w:szCs w:val="22"/>
          <w:lang w:eastAsia="en-GB"/>
        </w:rPr>
      </w:pPr>
      <w:r w:rsidRPr="00DC7E72">
        <w:rPr>
          <w:rFonts w:ascii="Times New Roman" w:eastAsia="Times New Roman" w:hAnsi="Times New Roman" w:cs="Times New Roman"/>
          <w:b/>
          <w:bCs/>
          <w:color w:val="000000"/>
          <w:sz w:val="22"/>
          <w:szCs w:val="22"/>
          <w:lang w:eastAsia="en-GB"/>
        </w:rPr>
        <w:t>Table</w:t>
      </w:r>
      <w:r w:rsidR="000A4D34" w:rsidRPr="00DC7E72">
        <w:rPr>
          <w:rFonts w:ascii="Times New Roman" w:eastAsia="Times New Roman" w:hAnsi="Times New Roman" w:cs="Times New Roman"/>
          <w:b/>
          <w:bCs/>
          <w:color w:val="000000"/>
          <w:sz w:val="22"/>
          <w:szCs w:val="22"/>
          <w:lang w:eastAsia="en-GB"/>
        </w:rPr>
        <w:t xml:space="preserve"> 1. </w:t>
      </w:r>
      <w:r w:rsidR="000A4D34" w:rsidRPr="00DC7E72">
        <w:rPr>
          <w:rFonts w:ascii="Times New Roman" w:eastAsia="Times New Roman" w:hAnsi="Times New Roman" w:cs="Times New Roman"/>
          <w:color w:val="000000"/>
          <w:sz w:val="22"/>
          <w:szCs w:val="22"/>
          <w:lang w:eastAsia="en-GB"/>
        </w:rPr>
        <w:t>Bacterial growth in brain and sinus samples</w:t>
      </w:r>
    </w:p>
    <w:tbl>
      <w:tblPr>
        <w:tblW w:w="0" w:type="auto"/>
        <w:tblBorders>
          <w:top w:val="single" w:sz="2" w:space="0" w:color="000000"/>
          <w:bottom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395"/>
        <w:gridCol w:w="567"/>
        <w:gridCol w:w="567"/>
      </w:tblGrid>
      <w:tr w:rsidR="00A01E71" w:rsidRPr="00DC7E72" w14:paraId="66EF1E92" w14:textId="77777777" w:rsidTr="00C674F3">
        <w:trPr>
          <w:trHeight w:val="506"/>
        </w:trPr>
        <w:tc>
          <w:tcPr>
            <w:tcW w:w="4395" w:type="dxa"/>
            <w:tcBorders>
              <w:top w:val="single" w:sz="2" w:space="0" w:color="000000"/>
              <w:bottom w:val="single" w:sz="2" w:space="0" w:color="000000"/>
            </w:tcBorders>
            <w:shd w:val="clear" w:color="auto" w:fill="auto"/>
            <w:tcMar>
              <w:top w:w="0" w:type="dxa"/>
              <w:left w:w="0" w:type="dxa"/>
              <w:bottom w:w="0" w:type="dxa"/>
              <w:right w:w="0" w:type="dxa"/>
            </w:tcMar>
            <w:hideMark/>
          </w:tcPr>
          <w:p w14:paraId="305DA78F" w14:textId="2100C4F6"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Species</w:t>
            </w:r>
            <w:r w:rsidR="00B42DF9">
              <w:rPr>
                <w:rFonts w:ascii="Times New Roman" w:eastAsia="Times New Roman" w:hAnsi="Times New Roman" w:cs="Times New Roman"/>
                <w:sz w:val="22"/>
                <w:szCs w:val="22"/>
                <w:lang w:eastAsia="en-GB"/>
              </w:rPr>
              <w:t xml:space="preserve"> </w:t>
            </w:r>
            <w:r w:rsidRPr="00DC7E72">
              <w:rPr>
                <w:rFonts w:ascii="Times New Roman" w:eastAsia="Times New Roman" w:hAnsi="Times New Roman" w:cs="Times New Roman"/>
                <w:sz w:val="22"/>
                <w:szCs w:val="22"/>
                <w:lang w:eastAsia="en-GB"/>
              </w:rPr>
              <w:t> </w:t>
            </w:r>
          </w:p>
        </w:tc>
        <w:tc>
          <w:tcPr>
            <w:tcW w:w="567" w:type="dxa"/>
            <w:tcBorders>
              <w:top w:val="single" w:sz="2" w:space="0" w:color="000000"/>
              <w:bottom w:val="single" w:sz="2" w:space="0" w:color="000000"/>
            </w:tcBorders>
            <w:shd w:val="clear" w:color="auto" w:fill="auto"/>
            <w:tcMar>
              <w:top w:w="0" w:type="dxa"/>
              <w:left w:w="0" w:type="dxa"/>
              <w:bottom w:w="0" w:type="dxa"/>
              <w:right w:w="0" w:type="dxa"/>
            </w:tcMar>
            <w:hideMark/>
          </w:tcPr>
          <w:p w14:paraId="13F1D8B7" w14:textId="38C0C07F" w:rsidR="00A01E71" w:rsidRPr="00DC7E72" w:rsidRDefault="00083D5E"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Value (</w:t>
            </w:r>
            <w:r w:rsidRPr="00DC7E72">
              <w:rPr>
                <w:rFonts w:ascii="Times New Roman" w:eastAsia="Times New Roman" w:hAnsi="Times New Roman" w:cs="Times New Roman"/>
                <w:i/>
                <w:iCs/>
                <w:sz w:val="22"/>
                <w:szCs w:val="22"/>
                <w:lang w:eastAsia="en-GB"/>
              </w:rPr>
              <w:t>n</w:t>
            </w:r>
            <w:r w:rsidRPr="00DC7E72">
              <w:rPr>
                <w:rFonts w:ascii="Times New Roman" w:eastAsia="Times New Roman" w:hAnsi="Times New Roman" w:cs="Times New Roman"/>
                <w:sz w:val="22"/>
                <w:szCs w:val="22"/>
                <w:lang w:eastAsia="en-GB"/>
              </w:rPr>
              <w:t>)</w:t>
            </w:r>
          </w:p>
        </w:tc>
        <w:tc>
          <w:tcPr>
            <w:tcW w:w="567" w:type="dxa"/>
            <w:tcBorders>
              <w:top w:val="single" w:sz="2" w:space="0" w:color="000000"/>
              <w:bottom w:val="single" w:sz="2" w:space="0" w:color="000000"/>
            </w:tcBorders>
            <w:shd w:val="clear" w:color="auto" w:fill="auto"/>
            <w:tcMar>
              <w:top w:w="0" w:type="dxa"/>
              <w:left w:w="0" w:type="dxa"/>
              <w:bottom w:w="0" w:type="dxa"/>
              <w:right w:w="0" w:type="dxa"/>
            </w:tcMar>
            <w:hideMark/>
          </w:tcPr>
          <w:p w14:paraId="4013AE0F" w14:textId="72CEAFDB" w:rsidR="00A01E71" w:rsidRPr="00DC7E72" w:rsidRDefault="00083D5E"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Value (%)</w:t>
            </w:r>
          </w:p>
        </w:tc>
      </w:tr>
      <w:tr w:rsidR="00A01E71" w:rsidRPr="00DC7E72" w14:paraId="40035124" w14:textId="77777777" w:rsidTr="00083D5E">
        <w:trPr>
          <w:trHeight w:val="400"/>
        </w:trPr>
        <w:tc>
          <w:tcPr>
            <w:tcW w:w="4395" w:type="dxa"/>
            <w:tcBorders>
              <w:top w:val="single" w:sz="2" w:space="0" w:color="000000"/>
              <w:bottom w:val="nil"/>
            </w:tcBorders>
            <w:shd w:val="clear" w:color="auto" w:fill="auto"/>
            <w:tcMar>
              <w:top w:w="0" w:type="dxa"/>
              <w:left w:w="0" w:type="dxa"/>
              <w:bottom w:w="0" w:type="dxa"/>
              <w:right w:w="0" w:type="dxa"/>
            </w:tcMar>
          </w:tcPr>
          <w:p w14:paraId="319A0D92" w14:textId="18CE9185"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Brain*</w:t>
            </w:r>
          </w:p>
        </w:tc>
        <w:tc>
          <w:tcPr>
            <w:tcW w:w="567" w:type="dxa"/>
            <w:tcBorders>
              <w:top w:val="single" w:sz="2" w:space="0" w:color="000000"/>
              <w:bottom w:val="nil"/>
            </w:tcBorders>
            <w:shd w:val="clear" w:color="auto" w:fill="auto"/>
            <w:tcMar>
              <w:top w:w="0" w:type="dxa"/>
              <w:left w:w="0" w:type="dxa"/>
              <w:bottom w:w="0" w:type="dxa"/>
              <w:right w:w="0" w:type="dxa"/>
            </w:tcMar>
          </w:tcPr>
          <w:p w14:paraId="7E076CD5" w14:textId="77777777" w:rsidR="00A01E71" w:rsidRPr="00DC7E72" w:rsidRDefault="00A01E71" w:rsidP="00AB0A23">
            <w:pPr>
              <w:spacing w:line="360" w:lineRule="auto"/>
              <w:rPr>
                <w:rFonts w:ascii="Times New Roman" w:eastAsia="Times New Roman" w:hAnsi="Times New Roman" w:cs="Times New Roman"/>
                <w:sz w:val="22"/>
                <w:szCs w:val="22"/>
                <w:lang w:eastAsia="en-GB"/>
              </w:rPr>
            </w:pPr>
          </w:p>
        </w:tc>
        <w:tc>
          <w:tcPr>
            <w:tcW w:w="567" w:type="dxa"/>
            <w:tcBorders>
              <w:top w:val="single" w:sz="2" w:space="0" w:color="000000"/>
              <w:bottom w:val="nil"/>
            </w:tcBorders>
            <w:shd w:val="clear" w:color="auto" w:fill="auto"/>
            <w:tcMar>
              <w:top w:w="0" w:type="dxa"/>
              <w:left w:w="0" w:type="dxa"/>
              <w:bottom w:w="0" w:type="dxa"/>
              <w:right w:w="0" w:type="dxa"/>
            </w:tcMar>
          </w:tcPr>
          <w:p w14:paraId="7DE71C90" w14:textId="77777777" w:rsidR="00A01E71" w:rsidRPr="00DC7E72" w:rsidRDefault="00A01E71" w:rsidP="00AB0A23">
            <w:pPr>
              <w:spacing w:line="360" w:lineRule="auto"/>
              <w:rPr>
                <w:rFonts w:ascii="Times New Roman" w:eastAsia="Times New Roman" w:hAnsi="Times New Roman" w:cs="Times New Roman"/>
                <w:sz w:val="22"/>
                <w:szCs w:val="22"/>
                <w:lang w:eastAsia="en-GB"/>
              </w:rPr>
            </w:pPr>
          </w:p>
        </w:tc>
      </w:tr>
      <w:tr w:rsidR="00A01E71" w:rsidRPr="00DC7E72" w14:paraId="4A2F4C67" w14:textId="77777777" w:rsidTr="00083D5E">
        <w:trPr>
          <w:trHeight w:val="385"/>
        </w:trPr>
        <w:tc>
          <w:tcPr>
            <w:tcW w:w="4395" w:type="dxa"/>
            <w:tcBorders>
              <w:top w:val="nil"/>
              <w:bottom w:val="nil"/>
            </w:tcBorders>
            <w:shd w:val="clear" w:color="auto" w:fill="auto"/>
            <w:tcMar>
              <w:top w:w="0" w:type="dxa"/>
              <w:left w:w="0" w:type="dxa"/>
              <w:bottom w:w="0" w:type="dxa"/>
              <w:right w:w="0" w:type="dxa"/>
            </w:tcMar>
          </w:tcPr>
          <w:p w14:paraId="7E74A85E" w14:textId="132EE6D8" w:rsidR="00A01E71" w:rsidRPr="00DC7E72" w:rsidRDefault="00A01E71" w:rsidP="00AB0A23">
            <w:pPr>
              <w:spacing w:line="360" w:lineRule="auto"/>
              <w:rPr>
                <w:rFonts w:ascii="Times New Roman" w:eastAsia="Times New Roman" w:hAnsi="Times New Roman" w:cs="Times New Roman"/>
                <w:i/>
                <w:iCs/>
                <w:sz w:val="22"/>
                <w:szCs w:val="22"/>
                <w:lang w:eastAsia="en-GB"/>
              </w:rPr>
            </w:pPr>
            <w:r w:rsidRPr="00DC7E72">
              <w:rPr>
                <w:rFonts w:ascii="Times New Roman" w:eastAsia="Times New Roman" w:hAnsi="Times New Roman" w:cs="Times New Roman"/>
                <w:i/>
                <w:iCs/>
                <w:sz w:val="22"/>
                <w:szCs w:val="22"/>
                <w:lang w:eastAsia="en-GB"/>
              </w:rPr>
              <w:t> – Streptococcus </w:t>
            </w:r>
            <w:proofErr w:type="spellStart"/>
            <w:r w:rsidRPr="00DC7E72">
              <w:rPr>
                <w:rFonts w:ascii="Times New Roman" w:eastAsia="Times New Roman" w:hAnsi="Times New Roman" w:cs="Times New Roman"/>
                <w:i/>
                <w:iCs/>
                <w:sz w:val="22"/>
                <w:szCs w:val="22"/>
                <w:lang w:eastAsia="en-GB"/>
              </w:rPr>
              <w:t>constellatus</w:t>
            </w:r>
            <w:proofErr w:type="spellEnd"/>
            <w:r w:rsidR="00B42DF9">
              <w:rPr>
                <w:rFonts w:ascii="Times New Roman" w:eastAsia="Times New Roman" w:hAnsi="Times New Roman" w:cs="Times New Roman"/>
                <w:i/>
                <w:iCs/>
                <w:sz w:val="22"/>
                <w:szCs w:val="22"/>
                <w:lang w:eastAsia="en-GB"/>
              </w:rPr>
              <w:t xml:space="preserve"> </w:t>
            </w:r>
          </w:p>
        </w:tc>
        <w:tc>
          <w:tcPr>
            <w:tcW w:w="567" w:type="dxa"/>
            <w:tcBorders>
              <w:top w:val="nil"/>
              <w:bottom w:val="nil"/>
            </w:tcBorders>
            <w:shd w:val="clear" w:color="auto" w:fill="auto"/>
            <w:tcMar>
              <w:top w:w="0" w:type="dxa"/>
              <w:left w:w="0" w:type="dxa"/>
              <w:bottom w:w="0" w:type="dxa"/>
              <w:right w:w="0" w:type="dxa"/>
            </w:tcMar>
          </w:tcPr>
          <w:p w14:paraId="5C6C1C7A" w14:textId="77777777"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5 </w:t>
            </w:r>
          </w:p>
        </w:tc>
        <w:tc>
          <w:tcPr>
            <w:tcW w:w="567" w:type="dxa"/>
            <w:tcBorders>
              <w:top w:val="nil"/>
              <w:bottom w:val="nil"/>
            </w:tcBorders>
            <w:shd w:val="clear" w:color="auto" w:fill="auto"/>
            <w:tcMar>
              <w:top w:w="0" w:type="dxa"/>
              <w:left w:w="0" w:type="dxa"/>
              <w:bottom w:w="0" w:type="dxa"/>
              <w:right w:w="0" w:type="dxa"/>
            </w:tcMar>
          </w:tcPr>
          <w:p w14:paraId="3A8D57C0" w14:textId="751E53ED"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25</w:t>
            </w:r>
            <w:r w:rsidR="00B42DF9">
              <w:rPr>
                <w:rFonts w:ascii="Times New Roman" w:eastAsia="Times New Roman" w:hAnsi="Times New Roman" w:cs="Times New Roman"/>
                <w:sz w:val="22"/>
                <w:szCs w:val="22"/>
                <w:lang w:eastAsia="en-GB"/>
              </w:rPr>
              <w:t xml:space="preserve"> </w:t>
            </w:r>
          </w:p>
        </w:tc>
      </w:tr>
      <w:tr w:rsidR="00A01E71" w:rsidRPr="00DC7E72" w14:paraId="2962ACC7" w14:textId="77777777" w:rsidTr="00083D5E">
        <w:trPr>
          <w:trHeight w:val="400"/>
        </w:trPr>
        <w:tc>
          <w:tcPr>
            <w:tcW w:w="4395" w:type="dxa"/>
            <w:tcBorders>
              <w:top w:val="nil"/>
            </w:tcBorders>
            <w:shd w:val="clear" w:color="auto" w:fill="auto"/>
            <w:tcMar>
              <w:top w:w="0" w:type="dxa"/>
              <w:left w:w="0" w:type="dxa"/>
              <w:bottom w:w="0" w:type="dxa"/>
              <w:right w:w="0" w:type="dxa"/>
            </w:tcMar>
            <w:hideMark/>
          </w:tcPr>
          <w:p w14:paraId="1392E0FD" w14:textId="7518B2B3" w:rsidR="00A01E71" w:rsidRPr="00DC7E72" w:rsidRDefault="00A01E71" w:rsidP="00AB0A23">
            <w:pPr>
              <w:spacing w:line="360" w:lineRule="auto"/>
              <w:rPr>
                <w:rFonts w:ascii="Times New Roman" w:eastAsia="Times New Roman" w:hAnsi="Times New Roman" w:cs="Times New Roman"/>
                <w:i/>
                <w:iCs/>
                <w:sz w:val="22"/>
                <w:szCs w:val="22"/>
                <w:lang w:eastAsia="en-GB"/>
              </w:rPr>
            </w:pPr>
            <w:r w:rsidRPr="00DC7E72">
              <w:rPr>
                <w:rFonts w:ascii="Times New Roman" w:eastAsia="Times New Roman" w:hAnsi="Times New Roman" w:cs="Times New Roman"/>
                <w:i/>
                <w:iCs/>
                <w:sz w:val="22"/>
                <w:szCs w:val="22"/>
                <w:lang w:eastAsia="en-GB"/>
              </w:rPr>
              <w:t> – Streptococcus intermedius</w:t>
            </w:r>
            <w:r w:rsidR="00B42DF9">
              <w:rPr>
                <w:rFonts w:ascii="Times New Roman" w:eastAsia="Times New Roman" w:hAnsi="Times New Roman" w:cs="Times New Roman"/>
                <w:i/>
                <w:iCs/>
                <w:sz w:val="22"/>
                <w:szCs w:val="22"/>
                <w:lang w:eastAsia="en-GB"/>
              </w:rPr>
              <w:t xml:space="preserve"> </w:t>
            </w:r>
          </w:p>
        </w:tc>
        <w:tc>
          <w:tcPr>
            <w:tcW w:w="567" w:type="dxa"/>
            <w:tcBorders>
              <w:top w:val="nil"/>
            </w:tcBorders>
            <w:shd w:val="clear" w:color="auto" w:fill="auto"/>
            <w:tcMar>
              <w:top w:w="0" w:type="dxa"/>
              <w:left w:w="0" w:type="dxa"/>
              <w:bottom w:w="0" w:type="dxa"/>
              <w:right w:w="0" w:type="dxa"/>
            </w:tcMar>
            <w:hideMark/>
          </w:tcPr>
          <w:p w14:paraId="04CE0E06" w14:textId="77777777"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4 </w:t>
            </w:r>
          </w:p>
        </w:tc>
        <w:tc>
          <w:tcPr>
            <w:tcW w:w="567" w:type="dxa"/>
            <w:tcBorders>
              <w:top w:val="nil"/>
            </w:tcBorders>
            <w:shd w:val="clear" w:color="auto" w:fill="auto"/>
            <w:tcMar>
              <w:top w:w="0" w:type="dxa"/>
              <w:left w:w="0" w:type="dxa"/>
              <w:bottom w:w="0" w:type="dxa"/>
              <w:right w:w="0" w:type="dxa"/>
            </w:tcMar>
            <w:hideMark/>
          </w:tcPr>
          <w:p w14:paraId="6FFCB3EC" w14:textId="58DB9291"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20</w:t>
            </w:r>
            <w:r w:rsidR="00B42DF9">
              <w:rPr>
                <w:rFonts w:ascii="Times New Roman" w:eastAsia="Times New Roman" w:hAnsi="Times New Roman" w:cs="Times New Roman"/>
                <w:sz w:val="22"/>
                <w:szCs w:val="22"/>
                <w:lang w:eastAsia="en-GB"/>
              </w:rPr>
              <w:t xml:space="preserve"> </w:t>
            </w:r>
          </w:p>
        </w:tc>
      </w:tr>
      <w:tr w:rsidR="00A01E71" w:rsidRPr="00DC7E72" w14:paraId="0FA8F69A" w14:textId="77777777" w:rsidTr="00083D5E">
        <w:trPr>
          <w:trHeight w:val="385"/>
        </w:trPr>
        <w:tc>
          <w:tcPr>
            <w:tcW w:w="4395" w:type="dxa"/>
            <w:shd w:val="clear" w:color="auto" w:fill="auto"/>
            <w:tcMar>
              <w:top w:w="0" w:type="dxa"/>
              <w:left w:w="0" w:type="dxa"/>
              <w:bottom w:w="0" w:type="dxa"/>
              <w:right w:w="0" w:type="dxa"/>
            </w:tcMar>
            <w:hideMark/>
          </w:tcPr>
          <w:p w14:paraId="498B2968" w14:textId="32A107B3"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Streptococcus species</w:t>
            </w:r>
          </w:p>
        </w:tc>
        <w:tc>
          <w:tcPr>
            <w:tcW w:w="567" w:type="dxa"/>
            <w:shd w:val="clear" w:color="auto" w:fill="auto"/>
            <w:tcMar>
              <w:top w:w="0" w:type="dxa"/>
              <w:left w:w="0" w:type="dxa"/>
              <w:bottom w:w="0" w:type="dxa"/>
              <w:right w:w="0" w:type="dxa"/>
            </w:tcMar>
            <w:hideMark/>
          </w:tcPr>
          <w:p w14:paraId="7AC04FD2" w14:textId="77777777"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2 </w:t>
            </w:r>
          </w:p>
        </w:tc>
        <w:tc>
          <w:tcPr>
            <w:tcW w:w="567" w:type="dxa"/>
            <w:shd w:val="clear" w:color="auto" w:fill="auto"/>
            <w:tcMar>
              <w:top w:w="0" w:type="dxa"/>
              <w:left w:w="0" w:type="dxa"/>
              <w:bottom w:w="0" w:type="dxa"/>
              <w:right w:w="0" w:type="dxa"/>
            </w:tcMar>
            <w:hideMark/>
          </w:tcPr>
          <w:p w14:paraId="3EC331B6" w14:textId="659022DB"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10</w:t>
            </w:r>
            <w:r w:rsidR="00B42DF9">
              <w:rPr>
                <w:rFonts w:ascii="Times New Roman" w:eastAsia="Times New Roman" w:hAnsi="Times New Roman" w:cs="Times New Roman"/>
                <w:sz w:val="22"/>
                <w:szCs w:val="22"/>
                <w:lang w:eastAsia="en-GB"/>
              </w:rPr>
              <w:t xml:space="preserve"> </w:t>
            </w:r>
          </w:p>
        </w:tc>
      </w:tr>
      <w:tr w:rsidR="00A01E71" w:rsidRPr="00DC7E72" w14:paraId="370E45C7" w14:textId="77777777" w:rsidTr="00083D5E">
        <w:trPr>
          <w:trHeight w:val="385"/>
        </w:trPr>
        <w:tc>
          <w:tcPr>
            <w:tcW w:w="4395" w:type="dxa"/>
            <w:shd w:val="clear" w:color="auto" w:fill="auto"/>
            <w:tcMar>
              <w:top w:w="0" w:type="dxa"/>
              <w:left w:w="0" w:type="dxa"/>
              <w:bottom w:w="0" w:type="dxa"/>
              <w:right w:w="0" w:type="dxa"/>
            </w:tcMar>
            <w:hideMark/>
          </w:tcPr>
          <w:p w14:paraId="600920A0" w14:textId="76A28CD9" w:rsidR="00A01E71" w:rsidRPr="00DC7E72" w:rsidRDefault="00083D5E"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xml:space="preserve">– </w:t>
            </w:r>
            <w:r w:rsidR="00A01E71" w:rsidRPr="00DC7E72">
              <w:rPr>
                <w:rFonts w:ascii="Times New Roman" w:eastAsia="Times New Roman" w:hAnsi="Times New Roman" w:cs="Times New Roman"/>
                <w:i/>
                <w:iCs/>
                <w:sz w:val="22"/>
                <w:szCs w:val="22"/>
                <w:lang w:eastAsia="en-GB"/>
              </w:rPr>
              <w:t>Streptococcus </w:t>
            </w:r>
            <w:proofErr w:type="spellStart"/>
            <w:r w:rsidR="00A01E71" w:rsidRPr="00DC7E72">
              <w:rPr>
                <w:rFonts w:ascii="Times New Roman" w:eastAsia="Times New Roman" w:hAnsi="Times New Roman" w:cs="Times New Roman"/>
                <w:i/>
                <w:iCs/>
                <w:sz w:val="22"/>
                <w:szCs w:val="22"/>
                <w:lang w:eastAsia="en-GB"/>
              </w:rPr>
              <w:t>anginosus</w:t>
            </w:r>
            <w:proofErr w:type="spellEnd"/>
            <w:r w:rsidR="00A01E71" w:rsidRPr="00DC7E72">
              <w:rPr>
                <w:rFonts w:ascii="Times New Roman" w:eastAsia="Times New Roman" w:hAnsi="Times New Roman" w:cs="Times New Roman"/>
                <w:sz w:val="22"/>
                <w:szCs w:val="22"/>
                <w:lang w:eastAsia="en-GB"/>
              </w:rPr>
              <w:t>, </w:t>
            </w:r>
            <w:r w:rsidRPr="00DC7E72">
              <w:rPr>
                <w:rFonts w:ascii="Times New Roman" w:eastAsia="Times New Roman" w:hAnsi="Times New Roman" w:cs="Times New Roman"/>
                <w:i/>
                <w:iCs/>
                <w:sz w:val="22"/>
                <w:szCs w:val="22"/>
                <w:lang w:eastAsia="en-GB"/>
              </w:rPr>
              <w:t>Streptococcus </w:t>
            </w:r>
            <w:proofErr w:type="spellStart"/>
            <w:r w:rsidRPr="00DC7E72">
              <w:rPr>
                <w:rFonts w:ascii="Times New Roman" w:eastAsia="Times New Roman" w:hAnsi="Times New Roman" w:cs="Times New Roman"/>
                <w:i/>
                <w:iCs/>
                <w:sz w:val="22"/>
                <w:szCs w:val="22"/>
                <w:lang w:eastAsia="en-GB"/>
              </w:rPr>
              <w:t>milleri</w:t>
            </w:r>
            <w:proofErr w:type="spellEnd"/>
          </w:p>
        </w:tc>
        <w:tc>
          <w:tcPr>
            <w:tcW w:w="567" w:type="dxa"/>
            <w:shd w:val="clear" w:color="auto" w:fill="auto"/>
            <w:tcMar>
              <w:top w:w="0" w:type="dxa"/>
              <w:left w:w="0" w:type="dxa"/>
              <w:bottom w:w="0" w:type="dxa"/>
              <w:right w:w="0" w:type="dxa"/>
            </w:tcMar>
            <w:hideMark/>
          </w:tcPr>
          <w:p w14:paraId="59357A2F" w14:textId="4B3C7EFB"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2</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hideMark/>
          </w:tcPr>
          <w:p w14:paraId="739D31AA" w14:textId="77777777"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10 </w:t>
            </w:r>
          </w:p>
        </w:tc>
      </w:tr>
      <w:tr w:rsidR="00A01E71" w:rsidRPr="00DC7E72" w14:paraId="2B53AAC3" w14:textId="77777777" w:rsidTr="00083D5E">
        <w:trPr>
          <w:trHeight w:val="400"/>
        </w:trPr>
        <w:tc>
          <w:tcPr>
            <w:tcW w:w="4395" w:type="dxa"/>
            <w:shd w:val="clear" w:color="auto" w:fill="auto"/>
            <w:tcMar>
              <w:top w:w="0" w:type="dxa"/>
              <w:left w:w="0" w:type="dxa"/>
              <w:bottom w:w="0" w:type="dxa"/>
              <w:right w:w="0" w:type="dxa"/>
            </w:tcMar>
            <w:hideMark/>
          </w:tcPr>
          <w:p w14:paraId="3997C214" w14:textId="36896CC0" w:rsidR="00A01E71" w:rsidRPr="00DC7E72" w:rsidRDefault="00083D5E"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xml:space="preserve">– </w:t>
            </w:r>
            <w:r w:rsidR="00A01E71" w:rsidRPr="00DC7E72">
              <w:rPr>
                <w:rFonts w:ascii="Times New Roman" w:eastAsia="Times New Roman" w:hAnsi="Times New Roman" w:cs="Times New Roman"/>
                <w:sz w:val="22"/>
                <w:szCs w:val="22"/>
                <w:lang w:eastAsia="en-GB"/>
              </w:rPr>
              <w:t>Group C streptococcus, mixed anaerobes</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hideMark/>
          </w:tcPr>
          <w:p w14:paraId="0DFD4A7E" w14:textId="00C609CF"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1</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hideMark/>
          </w:tcPr>
          <w:p w14:paraId="491F735A" w14:textId="77777777"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5 </w:t>
            </w:r>
          </w:p>
        </w:tc>
      </w:tr>
      <w:tr w:rsidR="00A01E71" w:rsidRPr="00DC7E72" w14:paraId="78000B41" w14:textId="77777777" w:rsidTr="00083D5E">
        <w:trPr>
          <w:trHeight w:val="385"/>
        </w:trPr>
        <w:tc>
          <w:tcPr>
            <w:tcW w:w="4395" w:type="dxa"/>
            <w:shd w:val="clear" w:color="auto" w:fill="auto"/>
            <w:tcMar>
              <w:top w:w="0" w:type="dxa"/>
              <w:left w:w="0" w:type="dxa"/>
              <w:bottom w:w="0" w:type="dxa"/>
              <w:right w:w="0" w:type="dxa"/>
            </w:tcMar>
            <w:hideMark/>
          </w:tcPr>
          <w:p w14:paraId="43CAC432" w14:textId="7DB17092" w:rsidR="00A01E71" w:rsidRPr="00DC7E72" w:rsidRDefault="00083D5E"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xml:space="preserve">– </w:t>
            </w:r>
            <w:r w:rsidR="00A01E71" w:rsidRPr="00DC7E72">
              <w:rPr>
                <w:rFonts w:ascii="Times New Roman" w:eastAsia="Times New Roman" w:hAnsi="Times New Roman" w:cs="Times New Roman"/>
                <w:i/>
                <w:iCs/>
                <w:sz w:val="22"/>
                <w:szCs w:val="22"/>
                <w:lang w:eastAsia="en-GB"/>
              </w:rPr>
              <w:t>Staphylococcus aureus</w:t>
            </w:r>
            <w:r w:rsidR="00B42DF9">
              <w:rPr>
                <w:rFonts w:ascii="Times New Roman" w:eastAsia="Times New Roman" w:hAnsi="Times New Roman" w:cs="Times New Roman"/>
                <w:sz w:val="22"/>
                <w:szCs w:val="22"/>
                <w:lang w:eastAsia="en-GB"/>
              </w:rPr>
              <w:t xml:space="preserve"> </w:t>
            </w:r>
            <w:r w:rsidR="00A01E71" w:rsidRPr="00DC7E72">
              <w:rPr>
                <w:rFonts w:ascii="Times New Roman" w:eastAsia="Times New Roman" w:hAnsi="Times New Roman" w:cs="Times New Roman"/>
                <w:sz w:val="22"/>
                <w:szCs w:val="22"/>
                <w:lang w:eastAsia="en-GB"/>
              </w:rPr>
              <w:t> </w:t>
            </w:r>
          </w:p>
        </w:tc>
        <w:tc>
          <w:tcPr>
            <w:tcW w:w="567" w:type="dxa"/>
            <w:shd w:val="clear" w:color="auto" w:fill="auto"/>
            <w:tcMar>
              <w:top w:w="0" w:type="dxa"/>
              <w:left w:w="0" w:type="dxa"/>
              <w:bottom w:w="0" w:type="dxa"/>
              <w:right w:w="0" w:type="dxa"/>
            </w:tcMar>
            <w:hideMark/>
          </w:tcPr>
          <w:p w14:paraId="54D58555" w14:textId="630C35FF"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1</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hideMark/>
          </w:tcPr>
          <w:p w14:paraId="1E68FF8C" w14:textId="77777777"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5 </w:t>
            </w:r>
          </w:p>
        </w:tc>
      </w:tr>
      <w:tr w:rsidR="00A01E71" w:rsidRPr="00DC7E72" w14:paraId="6885FBD5" w14:textId="77777777" w:rsidTr="00083D5E">
        <w:trPr>
          <w:trHeight w:val="385"/>
        </w:trPr>
        <w:tc>
          <w:tcPr>
            <w:tcW w:w="4395" w:type="dxa"/>
            <w:shd w:val="clear" w:color="auto" w:fill="auto"/>
            <w:tcMar>
              <w:top w:w="0" w:type="dxa"/>
              <w:left w:w="0" w:type="dxa"/>
              <w:bottom w:w="0" w:type="dxa"/>
              <w:right w:w="0" w:type="dxa"/>
            </w:tcMar>
            <w:hideMark/>
          </w:tcPr>
          <w:p w14:paraId="34BCB699" w14:textId="67577DBC" w:rsidR="00A01E71" w:rsidRPr="00DC7E72" w:rsidRDefault="00083D5E"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xml:space="preserve">– </w:t>
            </w:r>
            <w:r w:rsidR="00A01E71" w:rsidRPr="00DC7E72">
              <w:rPr>
                <w:rFonts w:ascii="Times New Roman" w:eastAsia="Times New Roman" w:hAnsi="Times New Roman" w:cs="Times New Roman"/>
                <w:sz w:val="22"/>
                <w:szCs w:val="22"/>
                <w:lang w:eastAsia="en-GB"/>
              </w:rPr>
              <w:t>Staphylococcus coagulase negative</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hideMark/>
          </w:tcPr>
          <w:p w14:paraId="46B5DA55" w14:textId="11FC13AB"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1</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hideMark/>
          </w:tcPr>
          <w:p w14:paraId="4985C50C" w14:textId="77777777"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5 </w:t>
            </w:r>
          </w:p>
        </w:tc>
      </w:tr>
      <w:tr w:rsidR="00A01E71" w:rsidRPr="00DC7E72" w14:paraId="4AB50D45" w14:textId="77777777" w:rsidTr="00083D5E">
        <w:trPr>
          <w:trHeight w:val="400"/>
        </w:trPr>
        <w:tc>
          <w:tcPr>
            <w:tcW w:w="4395" w:type="dxa"/>
            <w:shd w:val="clear" w:color="auto" w:fill="auto"/>
            <w:tcMar>
              <w:top w:w="0" w:type="dxa"/>
              <w:left w:w="0" w:type="dxa"/>
              <w:bottom w:w="0" w:type="dxa"/>
              <w:right w:w="0" w:type="dxa"/>
            </w:tcMar>
            <w:hideMark/>
          </w:tcPr>
          <w:p w14:paraId="771B18EE" w14:textId="10565A1C" w:rsidR="00A01E71" w:rsidRPr="00DC7E72" w:rsidRDefault="00083D5E"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xml:space="preserve">– </w:t>
            </w:r>
            <w:r w:rsidR="00A01E71" w:rsidRPr="00DC7E72">
              <w:rPr>
                <w:rFonts w:ascii="Times New Roman" w:eastAsia="Times New Roman" w:hAnsi="Times New Roman" w:cs="Times New Roman"/>
                <w:sz w:val="22"/>
                <w:szCs w:val="22"/>
                <w:lang w:eastAsia="en-GB"/>
              </w:rPr>
              <w:t>Group A streptococcus</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hideMark/>
          </w:tcPr>
          <w:p w14:paraId="65985AA5" w14:textId="2B23FCE3"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1</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hideMark/>
          </w:tcPr>
          <w:p w14:paraId="20DA5345" w14:textId="77777777"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5 </w:t>
            </w:r>
          </w:p>
        </w:tc>
      </w:tr>
      <w:tr w:rsidR="00A01E71" w:rsidRPr="00DC7E72" w14:paraId="670F5429" w14:textId="77777777" w:rsidTr="00083D5E">
        <w:trPr>
          <w:trHeight w:val="385"/>
        </w:trPr>
        <w:tc>
          <w:tcPr>
            <w:tcW w:w="4395" w:type="dxa"/>
            <w:shd w:val="clear" w:color="auto" w:fill="auto"/>
            <w:tcMar>
              <w:top w:w="0" w:type="dxa"/>
              <w:left w:w="0" w:type="dxa"/>
              <w:bottom w:w="0" w:type="dxa"/>
              <w:right w:w="0" w:type="dxa"/>
            </w:tcMar>
            <w:hideMark/>
          </w:tcPr>
          <w:p w14:paraId="1ECAE437" w14:textId="5FC858E7" w:rsidR="00A01E71" w:rsidRPr="00DC7E72" w:rsidRDefault="00083D5E"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xml:space="preserve">– </w:t>
            </w:r>
            <w:r w:rsidRPr="00DC7E72">
              <w:rPr>
                <w:rFonts w:ascii="Times New Roman" w:eastAsia="Times New Roman" w:hAnsi="Times New Roman" w:cs="Times New Roman"/>
                <w:i/>
                <w:iCs/>
                <w:sz w:val="22"/>
                <w:szCs w:val="22"/>
                <w:lang w:eastAsia="en-GB"/>
              </w:rPr>
              <w:t>Streptococcus </w:t>
            </w:r>
            <w:proofErr w:type="spellStart"/>
            <w:r w:rsidR="00A01E71" w:rsidRPr="00DC7E72">
              <w:rPr>
                <w:rFonts w:ascii="Times New Roman" w:eastAsia="Times New Roman" w:hAnsi="Times New Roman" w:cs="Times New Roman"/>
                <w:i/>
                <w:iCs/>
                <w:sz w:val="22"/>
                <w:szCs w:val="22"/>
                <w:lang w:eastAsia="en-GB"/>
              </w:rPr>
              <w:t>milleri</w:t>
            </w:r>
            <w:proofErr w:type="spellEnd"/>
            <w:r w:rsidR="00B42DF9">
              <w:rPr>
                <w:rFonts w:ascii="Times New Roman" w:eastAsia="Times New Roman" w:hAnsi="Times New Roman" w:cs="Times New Roman"/>
                <w:i/>
                <w:iCs/>
                <w:sz w:val="22"/>
                <w:szCs w:val="22"/>
                <w:lang w:eastAsia="en-GB"/>
              </w:rPr>
              <w:t xml:space="preserve"> </w:t>
            </w:r>
          </w:p>
        </w:tc>
        <w:tc>
          <w:tcPr>
            <w:tcW w:w="567" w:type="dxa"/>
            <w:shd w:val="clear" w:color="auto" w:fill="auto"/>
            <w:tcMar>
              <w:top w:w="0" w:type="dxa"/>
              <w:left w:w="0" w:type="dxa"/>
              <w:bottom w:w="0" w:type="dxa"/>
              <w:right w:w="0" w:type="dxa"/>
            </w:tcMar>
            <w:hideMark/>
          </w:tcPr>
          <w:p w14:paraId="68A1C4C8" w14:textId="77777777"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1 </w:t>
            </w:r>
          </w:p>
        </w:tc>
        <w:tc>
          <w:tcPr>
            <w:tcW w:w="567" w:type="dxa"/>
            <w:shd w:val="clear" w:color="auto" w:fill="auto"/>
            <w:tcMar>
              <w:top w:w="0" w:type="dxa"/>
              <w:left w:w="0" w:type="dxa"/>
              <w:bottom w:w="0" w:type="dxa"/>
              <w:right w:w="0" w:type="dxa"/>
            </w:tcMar>
            <w:hideMark/>
          </w:tcPr>
          <w:p w14:paraId="21070C58" w14:textId="77777777"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5 </w:t>
            </w:r>
          </w:p>
        </w:tc>
      </w:tr>
      <w:tr w:rsidR="00A01E71" w:rsidRPr="00DC7E72" w14:paraId="44628774" w14:textId="77777777" w:rsidTr="00083D5E">
        <w:trPr>
          <w:trHeight w:val="385"/>
        </w:trPr>
        <w:tc>
          <w:tcPr>
            <w:tcW w:w="4395" w:type="dxa"/>
            <w:shd w:val="clear" w:color="auto" w:fill="auto"/>
            <w:tcMar>
              <w:top w:w="0" w:type="dxa"/>
              <w:left w:w="0" w:type="dxa"/>
              <w:bottom w:w="0" w:type="dxa"/>
              <w:right w:w="0" w:type="dxa"/>
            </w:tcMar>
            <w:hideMark/>
          </w:tcPr>
          <w:p w14:paraId="521C9F48" w14:textId="44F8035F" w:rsidR="00A01E71" w:rsidRPr="00DC7E72" w:rsidRDefault="00083D5E"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xml:space="preserve">– </w:t>
            </w:r>
            <w:r w:rsidR="00A01E71" w:rsidRPr="00DC7E72">
              <w:rPr>
                <w:rFonts w:ascii="Times New Roman" w:eastAsia="Times New Roman" w:hAnsi="Times New Roman" w:cs="Times New Roman"/>
                <w:i/>
                <w:iCs/>
                <w:sz w:val="22"/>
                <w:szCs w:val="22"/>
                <w:lang w:eastAsia="en-GB"/>
              </w:rPr>
              <w:t>Streptococcus </w:t>
            </w:r>
            <w:proofErr w:type="spellStart"/>
            <w:r w:rsidR="00A01E71" w:rsidRPr="00DC7E72">
              <w:rPr>
                <w:rFonts w:ascii="Times New Roman" w:eastAsia="Times New Roman" w:hAnsi="Times New Roman" w:cs="Times New Roman"/>
                <w:i/>
                <w:iCs/>
                <w:sz w:val="22"/>
                <w:szCs w:val="22"/>
                <w:lang w:eastAsia="en-GB"/>
              </w:rPr>
              <w:t>milleri</w:t>
            </w:r>
            <w:proofErr w:type="spellEnd"/>
            <w:r w:rsidR="00A01E71" w:rsidRPr="00DC7E72">
              <w:rPr>
                <w:rFonts w:ascii="Times New Roman" w:eastAsia="Times New Roman" w:hAnsi="Times New Roman" w:cs="Times New Roman"/>
                <w:sz w:val="22"/>
                <w:szCs w:val="22"/>
                <w:lang w:eastAsia="en-GB"/>
              </w:rPr>
              <w:t xml:space="preserve">, </w:t>
            </w:r>
            <w:r w:rsidR="00B06994" w:rsidRPr="00DC7E72">
              <w:rPr>
                <w:rFonts w:ascii="Times New Roman" w:eastAsia="Times New Roman" w:hAnsi="Times New Roman" w:cs="Times New Roman"/>
                <w:sz w:val="22"/>
                <w:szCs w:val="22"/>
                <w:lang w:eastAsia="en-GB"/>
              </w:rPr>
              <w:t>haemophilus influenza B</w:t>
            </w:r>
            <w:r w:rsidR="00A01E71" w:rsidRPr="00DC7E72">
              <w:rPr>
                <w:rFonts w:ascii="Times New Roman" w:eastAsia="Times New Roman" w:hAnsi="Times New Roman" w:cs="Times New Roman"/>
                <w:sz w:val="22"/>
                <w:szCs w:val="22"/>
                <w:lang w:eastAsia="en-GB"/>
              </w:rPr>
              <w:t> </w:t>
            </w:r>
          </w:p>
        </w:tc>
        <w:tc>
          <w:tcPr>
            <w:tcW w:w="567" w:type="dxa"/>
            <w:shd w:val="clear" w:color="auto" w:fill="auto"/>
            <w:tcMar>
              <w:top w:w="0" w:type="dxa"/>
              <w:left w:w="0" w:type="dxa"/>
              <w:bottom w:w="0" w:type="dxa"/>
              <w:right w:w="0" w:type="dxa"/>
            </w:tcMar>
            <w:hideMark/>
          </w:tcPr>
          <w:p w14:paraId="2F1766B2" w14:textId="4BE71C31"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1</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hideMark/>
          </w:tcPr>
          <w:p w14:paraId="2FCB96D4" w14:textId="77777777"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5 </w:t>
            </w:r>
          </w:p>
        </w:tc>
      </w:tr>
      <w:tr w:rsidR="00A01E71" w:rsidRPr="00DC7E72" w14:paraId="312E45B4" w14:textId="77777777" w:rsidTr="00083D5E">
        <w:trPr>
          <w:trHeight w:val="385"/>
        </w:trPr>
        <w:tc>
          <w:tcPr>
            <w:tcW w:w="4395" w:type="dxa"/>
            <w:shd w:val="clear" w:color="auto" w:fill="auto"/>
            <w:tcMar>
              <w:top w:w="0" w:type="dxa"/>
              <w:left w:w="0" w:type="dxa"/>
              <w:bottom w:w="0" w:type="dxa"/>
              <w:right w:w="0" w:type="dxa"/>
            </w:tcMar>
            <w:hideMark/>
          </w:tcPr>
          <w:p w14:paraId="12F34688" w14:textId="7196804A" w:rsidR="00A01E71" w:rsidRPr="00DC7E72" w:rsidRDefault="00083D5E"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xml:space="preserve">– </w:t>
            </w:r>
            <w:r w:rsidR="00A01E71" w:rsidRPr="00DC7E72">
              <w:rPr>
                <w:rFonts w:ascii="Times New Roman" w:eastAsia="Times New Roman" w:hAnsi="Times New Roman" w:cs="Times New Roman"/>
                <w:sz w:val="22"/>
                <w:szCs w:val="22"/>
                <w:lang w:eastAsia="en-GB"/>
              </w:rPr>
              <w:t>No growth </w:t>
            </w:r>
          </w:p>
        </w:tc>
        <w:tc>
          <w:tcPr>
            <w:tcW w:w="567" w:type="dxa"/>
            <w:shd w:val="clear" w:color="auto" w:fill="auto"/>
            <w:tcMar>
              <w:top w:w="0" w:type="dxa"/>
              <w:left w:w="0" w:type="dxa"/>
              <w:bottom w:w="0" w:type="dxa"/>
              <w:right w:w="0" w:type="dxa"/>
            </w:tcMar>
            <w:hideMark/>
          </w:tcPr>
          <w:p w14:paraId="19E59DA2" w14:textId="77777777"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1 </w:t>
            </w:r>
          </w:p>
        </w:tc>
        <w:tc>
          <w:tcPr>
            <w:tcW w:w="567" w:type="dxa"/>
            <w:shd w:val="clear" w:color="auto" w:fill="auto"/>
            <w:tcMar>
              <w:top w:w="0" w:type="dxa"/>
              <w:left w:w="0" w:type="dxa"/>
              <w:bottom w:w="0" w:type="dxa"/>
              <w:right w:w="0" w:type="dxa"/>
            </w:tcMar>
            <w:hideMark/>
          </w:tcPr>
          <w:p w14:paraId="18DD1B9B" w14:textId="77777777" w:rsidR="00A01E71"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5 </w:t>
            </w:r>
          </w:p>
        </w:tc>
      </w:tr>
      <w:tr w:rsidR="00A01E71" w:rsidRPr="00DC7E72" w14:paraId="2AE563F6" w14:textId="77777777" w:rsidTr="00083D5E">
        <w:trPr>
          <w:trHeight w:val="400"/>
        </w:trPr>
        <w:tc>
          <w:tcPr>
            <w:tcW w:w="4395" w:type="dxa"/>
            <w:shd w:val="clear" w:color="auto" w:fill="auto"/>
            <w:tcMar>
              <w:top w:w="0" w:type="dxa"/>
              <w:left w:w="0" w:type="dxa"/>
              <w:bottom w:w="0" w:type="dxa"/>
              <w:right w:w="0" w:type="dxa"/>
            </w:tcMar>
          </w:tcPr>
          <w:p w14:paraId="271A52E0" w14:textId="084FA321"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Sinus</w:t>
            </w:r>
            <w:r w:rsidR="00C674F3" w:rsidRPr="00DC7E72">
              <w:rPr>
                <w:rFonts w:ascii="Times New Roman" w:eastAsia="Times New Roman" w:hAnsi="Times New Roman" w:cs="Times New Roman"/>
                <w:sz w:val="22"/>
                <w:szCs w:val="22"/>
                <w:vertAlign w:val="superscript"/>
                <w:lang w:eastAsia="en-GB"/>
              </w:rPr>
              <w:t>†</w:t>
            </w:r>
          </w:p>
        </w:tc>
        <w:tc>
          <w:tcPr>
            <w:tcW w:w="567" w:type="dxa"/>
            <w:shd w:val="clear" w:color="auto" w:fill="auto"/>
            <w:tcMar>
              <w:top w:w="0" w:type="dxa"/>
              <w:left w:w="0" w:type="dxa"/>
              <w:bottom w:w="0" w:type="dxa"/>
              <w:right w:w="0" w:type="dxa"/>
            </w:tcMar>
          </w:tcPr>
          <w:p w14:paraId="37EA12BF" w14:textId="77777777" w:rsidR="00A01E71" w:rsidRPr="00DC7E72" w:rsidRDefault="00A01E71" w:rsidP="00A01E71">
            <w:pPr>
              <w:spacing w:line="360" w:lineRule="auto"/>
              <w:rPr>
                <w:rFonts w:ascii="Times New Roman" w:eastAsia="Times New Roman" w:hAnsi="Times New Roman" w:cs="Times New Roman"/>
                <w:sz w:val="22"/>
                <w:szCs w:val="22"/>
                <w:lang w:eastAsia="en-GB"/>
              </w:rPr>
            </w:pPr>
          </w:p>
        </w:tc>
        <w:tc>
          <w:tcPr>
            <w:tcW w:w="567" w:type="dxa"/>
            <w:shd w:val="clear" w:color="auto" w:fill="auto"/>
            <w:tcMar>
              <w:top w:w="0" w:type="dxa"/>
              <w:left w:w="0" w:type="dxa"/>
              <w:bottom w:w="0" w:type="dxa"/>
              <w:right w:w="0" w:type="dxa"/>
            </w:tcMar>
          </w:tcPr>
          <w:p w14:paraId="29DE0C25" w14:textId="77777777" w:rsidR="00A01E71" w:rsidRPr="00DC7E72" w:rsidRDefault="00A01E71" w:rsidP="00A01E71">
            <w:pPr>
              <w:spacing w:line="360" w:lineRule="auto"/>
              <w:rPr>
                <w:rFonts w:ascii="Times New Roman" w:eastAsia="Times New Roman" w:hAnsi="Times New Roman" w:cs="Times New Roman"/>
                <w:sz w:val="22"/>
                <w:szCs w:val="22"/>
                <w:lang w:eastAsia="en-GB"/>
              </w:rPr>
            </w:pPr>
          </w:p>
        </w:tc>
      </w:tr>
      <w:tr w:rsidR="00A01E71" w:rsidRPr="00DC7E72" w14:paraId="17A9FAF5" w14:textId="77777777" w:rsidTr="00083D5E">
        <w:trPr>
          <w:trHeight w:val="385"/>
        </w:trPr>
        <w:tc>
          <w:tcPr>
            <w:tcW w:w="4395" w:type="dxa"/>
            <w:shd w:val="clear" w:color="auto" w:fill="auto"/>
            <w:tcMar>
              <w:top w:w="0" w:type="dxa"/>
              <w:left w:w="0" w:type="dxa"/>
              <w:bottom w:w="0" w:type="dxa"/>
              <w:right w:w="0" w:type="dxa"/>
            </w:tcMar>
            <w:hideMark/>
          </w:tcPr>
          <w:p w14:paraId="5734D159" w14:textId="0DE7C27C" w:rsidR="00A01E71" w:rsidRPr="00DC7E72" w:rsidRDefault="00083D5E"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i/>
                <w:iCs/>
                <w:sz w:val="22"/>
                <w:szCs w:val="22"/>
                <w:lang w:eastAsia="en-GB"/>
              </w:rPr>
              <w:t xml:space="preserve">– </w:t>
            </w:r>
            <w:r w:rsidR="00A01E71" w:rsidRPr="00DC7E72">
              <w:rPr>
                <w:rFonts w:ascii="Times New Roman" w:eastAsia="Times New Roman" w:hAnsi="Times New Roman" w:cs="Times New Roman"/>
                <w:i/>
                <w:iCs/>
                <w:sz w:val="22"/>
                <w:szCs w:val="22"/>
                <w:lang w:eastAsia="en-GB"/>
              </w:rPr>
              <w:t>Streptococcus </w:t>
            </w:r>
            <w:proofErr w:type="spellStart"/>
            <w:r w:rsidR="00A01E71" w:rsidRPr="00DC7E72">
              <w:rPr>
                <w:rFonts w:ascii="Times New Roman" w:eastAsia="Times New Roman" w:hAnsi="Times New Roman" w:cs="Times New Roman"/>
                <w:i/>
                <w:iCs/>
                <w:sz w:val="22"/>
                <w:szCs w:val="22"/>
                <w:lang w:eastAsia="en-GB"/>
              </w:rPr>
              <w:t>constellatus</w:t>
            </w:r>
            <w:proofErr w:type="spellEnd"/>
            <w:r w:rsidR="00B42DF9">
              <w:rPr>
                <w:rFonts w:ascii="Times New Roman" w:eastAsia="Times New Roman" w:hAnsi="Times New Roman" w:cs="Times New Roman"/>
                <w:i/>
                <w:iCs/>
                <w:sz w:val="22"/>
                <w:szCs w:val="22"/>
                <w:lang w:eastAsia="en-GB"/>
              </w:rPr>
              <w:t xml:space="preserve"> </w:t>
            </w:r>
            <w:r w:rsidR="00A01E71" w:rsidRPr="00DC7E72">
              <w:rPr>
                <w:rFonts w:ascii="Times New Roman" w:eastAsia="Times New Roman" w:hAnsi="Times New Roman" w:cs="Times New Roman"/>
                <w:i/>
                <w:iCs/>
                <w:sz w:val="22"/>
                <w:szCs w:val="22"/>
                <w:lang w:eastAsia="en-GB"/>
              </w:rPr>
              <w:t> </w:t>
            </w:r>
          </w:p>
        </w:tc>
        <w:tc>
          <w:tcPr>
            <w:tcW w:w="567" w:type="dxa"/>
            <w:shd w:val="clear" w:color="auto" w:fill="auto"/>
            <w:tcMar>
              <w:top w:w="0" w:type="dxa"/>
              <w:left w:w="0" w:type="dxa"/>
              <w:bottom w:w="0" w:type="dxa"/>
              <w:right w:w="0" w:type="dxa"/>
            </w:tcMar>
            <w:hideMark/>
          </w:tcPr>
          <w:p w14:paraId="20501DB3" w14:textId="3BD62DAC"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3 </w:t>
            </w:r>
          </w:p>
        </w:tc>
        <w:tc>
          <w:tcPr>
            <w:tcW w:w="567" w:type="dxa"/>
            <w:shd w:val="clear" w:color="auto" w:fill="auto"/>
            <w:tcMar>
              <w:top w:w="0" w:type="dxa"/>
              <w:left w:w="0" w:type="dxa"/>
              <w:bottom w:w="0" w:type="dxa"/>
              <w:right w:w="0" w:type="dxa"/>
            </w:tcMar>
            <w:hideMark/>
          </w:tcPr>
          <w:p w14:paraId="3C9011C0" w14:textId="7DE9BF10"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15 </w:t>
            </w:r>
          </w:p>
        </w:tc>
      </w:tr>
      <w:tr w:rsidR="00A01E71" w:rsidRPr="00DC7E72" w14:paraId="1F4049D0" w14:textId="77777777" w:rsidTr="00083D5E">
        <w:trPr>
          <w:trHeight w:val="385"/>
        </w:trPr>
        <w:tc>
          <w:tcPr>
            <w:tcW w:w="4395" w:type="dxa"/>
            <w:shd w:val="clear" w:color="auto" w:fill="auto"/>
            <w:tcMar>
              <w:top w:w="0" w:type="dxa"/>
              <w:left w:w="0" w:type="dxa"/>
              <w:bottom w:w="0" w:type="dxa"/>
              <w:right w:w="0" w:type="dxa"/>
            </w:tcMar>
            <w:hideMark/>
          </w:tcPr>
          <w:p w14:paraId="6F0D4C83" w14:textId="5E9B9220" w:rsidR="00A01E71" w:rsidRPr="00DC7E72" w:rsidRDefault="00083D5E"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i/>
                <w:iCs/>
                <w:sz w:val="22"/>
                <w:szCs w:val="22"/>
                <w:lang w:eastAsia="en-GB"/>
              </w:rPr>
              <w:t xml:space="preserve">– </w:t>
            </w:r>
            <w:r w:rsidR="00A01E71" w:rsidRPr="00DC7E72">
              <w:rPr>
                <w:rFonts w:ascii="Times New Roman" w:eastAsia="Times New Roman" w:hAnsi="Times New Roman" w:cs="Times New Roman"/>
                <w:i/>
                <w:iCs/>
                <w:sz w:val="22"/>
                <w:szCs w:val="22"/>
                <w:lang w:eastAsia="en-GB"/>
              </w:rPr>
              <w:t>Streptococcus intermedius</w:t>
            </w:r>
            <w:r w:rsidR="00B42DF9">
              <w:rPr>
                <w:rFonts w:ascii="Times New Roman" w:eastAsia="Times New Roman" w:hAnsi="Times New Roman" w:cs="Times New Roman"/>
                <w:i/>
                <w:iCs/>
                <w:sz w:val="22"/>
                <w:szCs w:val="22"/>
                <w:lang w:eastAsia="en-GB"/>
              </w:rPr>
              <w:t xml:space="preserve"> </w:t>
            </w:r>
          </w:p>
        </w:tc>
        <w:tc>
          <w:tcPr>
            <w:tcW w:w="567" w:type="dxa"/>
            <w:shd w:val="clear" w:color="auto" w:fill="auto"/>
            <w:tcMar>
              <w:top w:w="0" w:type="dxa"/>
              <w:left w:w="0" w:type="dxa"/>
              <w:bottom w:w="0" w:type="dxa"/>
              <w:right w:w="0" w:type="dxa"/>
            </w:tcMar>
            <w:hideMark/>
          </w:tcPr>
          <w:p w14:paraId="6C3D30AD" w14:textId="28D9F023"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2 </w:t>
            </w:r>
          </w:p>
        </w:tc>
        <w:tc>
          <w:tcPr>
            <w:tcW w:w="567" w:type="dxa"/>
            <w:shd w:val="clear" w:color="auto" w:fill="auto"/>
            <w:tcMar>
              <w:top w:w="0" w:type="dxa"/>
              <w:left w:w="0" w:type="dxa"/>
              <w:bottom w:w="0" w:type="dxa"/>
              <w:right w:w="0" w:type="dxa"/>
            </w:tcMar>
            <w:hideMark/>
          </w:tcPr>
          <w:p w14:paraId="02815D0E" w14:textId="281C9212"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10 </w:t>
            </w:r>
          </w:p>
        </w:tc>
      </w:tr>
      <w:tr w:rsidR="00A01E71" w:rsidRPr="00DC7E72" w14:paraId="1925811A" w14:textId="77777777" w:rsidTr="00083D5E">
        <w:trPr>
          <w:trHeight w:val="400"/>
        </w:trPr>
        <w:tc>
          <w:tcPr>
            <w:tcW w:w="4395" w:type="dxa"/>
            <w:shd w:val="clear" w:color="auto" w:fill="auto"/>
            <w:tcMar>
              <w:top w:w="0" w:type="dxa"/>
              <w:left w:w="0" w:type="dxa"/>
              <w:bottom w:w="0" w:type="dxa"/>
              <w:right w:w="0" w:type="dxa"/>
            </w:tcMar>
            <w:hideMark/>
          </w:tcPr>
          <w:p w14:paraId="005C79D9" w14:textId="20F22E86"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w:t>
            </w:r>
            <w:r w:rsidR="00083D5E" w:rsidRPr="00DC7E72">
              <w:rPr>
                <w:rFonts w:ascii="Times New Roman" w:eastAsia="Times New Roman" w:hAnsi="Times New Roman" w:cs="Times New Roman"/>
                <w:sz w:val="22"/>
                <w:szCs w:val="22"/>
                <w:lang w:eastAsia="en-GB"/>
              </w:rPr>
              <w:t xml:space="preserve">– </w:t>
            </w:r>
            <w:r w:rsidRPr="00DC7E72">
              <w:rPr>
                <w:rFonts w:ascii="Times New Roman" w:eastAsia="Times New Roman" w:hAnsi="Times New Roman" w:cs="Times New Roman"/>
                <w:sz w:val="22"/>
                <w:szCs w:val="22"/>
                <w:lang w:eastAsia="en-GB"/>
              </w:rPr>
              <w:t>Alpha haemolytic streptococcus</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hideMark/>
          </w:tcPr>
          <w:p w14:paraId="76BB1FAB" w14:textId="52DB32C4"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1</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hideMark/>
          </w:tcPr>
          <w:p w14:paraId="03BAD8EA" w14:textId="1932C389"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5 </w:t>
            </w:r>
          </w:p>
        </w:tc>
      </w:tr>
      <w:tr w:rsidR="00A01E71" w:rsidRPr="00DC7E72" w14:paraId="5612816D" w14:textId="77777777" w:rsidTr="00083D5E">
        <w:trPr>
          <w:trHeight w:val="385"/>
        </w:trPr>
        <w:tc>
          <w:tcPr>
            <w:tcW w:w="4395" w:type="dxa"/>
            <w:shd w:val="clear" w:color="auto" w:fill="auto"/>
            <w:tcMar>
              <w:top w:w="0" w:type="dxa"/>
              <w:left w:w="0" w:type="dxa"/>
              <w:bottom w:w="0" w:type="dxa"/>
              <w:right w:w="0" w:type="dxa"/>
            </w:tcMar>
            <w:hideMark/>
          </w:tcPr>
          <w:p w14:paraId="4ED68FB2" w14:textId="710FC9F0" w:rsidR="00A01E71" w:rsidRPr="00DC7E72" w:rsidRDefault="00083D5E"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xml:space="preserve">– </w:t>
            </w:r>
            <w:r w:rsidR="00A01E71" w:rsidRPr="00DC7E72">
              <w:rPr>
                <w:rFonts w:ascii="Times New Roman" w:eastAsia="Times New Roman" w:hAnsi="Times New Roman" w:cs="Times New Roman"/>
                <w:sz w:val="22"/>
                <w:szCs w:val="22"/>
                <w:lang w:eastAsia="en-GB"/>
              </w:rPr>
              <w:t>Group A streptococcus</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hideMark/>
          </w:tcPr>
          <w:p w14:paraId="185383EC" w14:textId="215CBC7A"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1</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hideMark/>
          </w:tcPr>
          <w:p w14:paraId="56F8A98F" w14:textId="13D86BDD"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5 </w:t>
            </w:r>
          </w:p>
        </w:tc>
      </w:tr>
      <w:tr w:rsidR="00A01E71" w:rsidRPr="00DC7E72" w14:paraId="16666C4A" w14:textId="77777777" w:rsidTr="00083D5E">
        <w:trPr>
          <w:trHeight w:val="370"/>
        </w:trPr>
        <w:tc>
          <w:tcPr>
            <w:tcW w:w="4395" w:type="dxa"/>
            <w:shd w:val="clear" w:color="auto" w:fill="auto"/>
            <w:tcMar>
              <w:top w:w="0" w:type="dxa"/>
              <w:left w:w="0" w:type="dxa"/>
              <w:bottom w:w="0" w:type="dxa"/>
              <w:right w:w="0" w:type="dxa"/>
            </w:tcMar>
          </w:tcPr>
          <w:p w14:paraId="1EFC2251" w14:textId="7F915D81" w:rsidR="00A01E71" w:rsidRPr="00DC7E72" w:rsidRDefault="00083D5E"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xml:space="preserve">– </w:t>
            </w:r>
            <w:r w:rsidR="00A01E71" w:rsidRPr="00DC7E72">
              <w:rPr>
                <w:rFonts w:ascii="Times New Roman" w:eastAsia="Times New Roman" w:hAnsi="Times New Roman" w:cs="Times New Roman"/>
                <w:sz w:val="22"/>
                <w:szCs w:val="22"/>
                <w:lang w:eastAsia="en-GB"/>
              </w:rPr>
              <w:t>Group C streptococcus</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tcPr>
          <w:p w14:paraId="49BD5099" w14:textId="20933FC9"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1</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tcPr>
          <w:p w14:paraId="7EC9C8E2" w14:textId="4E36E31C"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5 </w:t>
            </w:r>
          </w:p>
        </w:tc>
      </w:tr>
      <w:tr w:rsidR="00A01E71" w:rsidRPr="00DC7E72" w14:paraId="488A608D" w14:textId="77777777" w:rsidTr="00083D5E">
        <w:trPr>
          <w:trHeight w:val="370"/>
        </w:trPr>
        <w:tc>
          <w:tcPr>
            <w:tcW w:w="4395" w:type="dxa"/>
            <w:shd w:val="clear" w:color="auto" w:fill="auto"/>
            <w:tcMar>
              <w:top w:w="0" w:type="dxa"/>
              <w:left w:w="0" w:type="dxa"/>
              <w:bottom w:w="0" w:type="dxa"/>
              <w:right w:w="0" w:type="dxa"/>
            </w:tcMar>
          </w:tcPr>
          <w:p w14:paraId="60DFFB79" w14:textId="232F8A50" w:rsidR="00A01E71" w:rsidRPr="00DC7E72" w:rsidRDefault="00083D5E"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xml:space="preserve">– </w:t>
            </w:r>
            <w:r w:rsidR="00A01E71" w:rsidRPr="00DC7E72">
              <w:rPr>
                <w:rFonts w:ascii="Times New Roman" w:eastAsia="Times New Roman" w:hAnsi="Times New Roman" w:cs="Times New Roman"/>
                <w:i/>
                <w:iCs/>
                <w:sz w:val="22"/>
                <w:szCs w:val="22"/>
                <w:lang w:eastAsia="en-GB"/>
              </w:rPr>
              <w:t>Staphylococcus aureus</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tcPr>
          <w:p w14:paraId="0BBF3643" w14:textId="507C7B1E"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1</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tcPr>
          <w:p w14:paraId="419171FF" w14:textId="017CC424"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5 </w:t>
            </w:r>
          </w:p>
        </w:tc>
      </w:tr>
      <w:tr w:rsidR="00A01E71" w:rsidRPr="00DC7E72" w14:paraId="0AE056AB" w14:textId="77777777" w:rsidTr="00083D5E">
        <w:trPr>
          <w:trHeight w:val="370"/>
        </w:trPr>
        <w:tc>
          <w:tcPr>
            <w:tcW w:w="4395" w:type="dxa"/>
            <w:shd w:val="clear" w:color="auto" w:fill="auto"/>
            <w:tcMar>
              <w:top w:w="0" w:type="dxa"/>
              <w:left w:w="0" w:type="dxa"/>
              <w:bottom w:w="0" w:type="dxa"/>
              <w:right w:w="0" w:type="dxa"/>
            </w:tcMar>
          </w:tcPr>
          <w:p w14:paraId="210FCE62" w14:textId="36D05B23" w:rsidR="00A01E71" w:rsidRPr="00DC7E72" w:rsidRDefault="00083D5E"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xml:space="preserve">– </w:t>
            </w:r>
            <w:r w:rsidR="00A01E71" w:rsidRPr="00DC7E72">
              <w:rPr>
                <w:rFonts w:ascii="Times New Roman" w:eastAsia="Times New Roman" w:hAnsi="Times New Roman" w:cs="Times New Roman"/>
                <w:sz w:val="22"/>
                <w:szCs w:val="22"/>
                <w:lang w:eastAsia="en-GB"/>
              </w:rPr>
              <w:t>Streptococcus sp</w:t>
            </w:r>
            <w:r w:rsidR="00C674F3" w:rsidRPr="00DC7E72">
              <w:rPr>
                <w:rFonts w:ascii="Times New Roman" w:eastAsia="Times New Roman" w:hAnsi="Times New Roman" w:cs="Times New Roman"/>
                <w:sz w:val="22"/>
                <w:szCs w:val="22"/>
                <w:lang w:eastAsia="en-GB"/>
              </w:rPr>
              <w:t>ecies</w:t>
            </w:r>
          </w:p>
        </w:tc>
        <w:tc>
          <w:tcPr>
            <w:tcW w:w="567" w:type="dxa"/>
            <w:shd w:val="clear" w:color="auto" w:fill="auto"/>
            <w:tcMar>
              <w:top w:w="0" w:type="dxa"/>
              <w:left w:w="0" w:type="dxa"/>
              <w:bottom w:w="0" w:type="dxa"/>
              <w:right w:w="0" w:type="dxa"/>
            </w:tcMar>
          </w:tcPr>
          <w:p w14:paraId="766D47C3" w14:textId="6248215D"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1</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tcPr>
          <w:p w14:paraId="5966EC97" w14:textId="5CCB1B59"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5 </w:t>
            </w:r>
          </w:p>
        </w:tc>
      </w:tr>
      <w:tr w:rsidR="00A01E71" w:rsidRPr="00DC7E72" w14:paraId="0B281AA6" w14:textId="77777777" w:rsidTr="00083D5E">
        <w:trPr>
          <w:trHeight w:val="370"/>
        </w:trPr>
        <w:tc>
          <w:tcPr>
            <w:tcW w:w="4395" w:type="dxa"/>
            <w:shd w:val="clear" w:color="auto" w:fill="auto"/>
            <w:tcMar>
              <w:top w:w="0" w:type="dxa"/>
              <w:left w:w="0" w:type="dxa"/>
              <w:bottom w:w="0" w:type="dxa"/>
              <w:right w:w="0" w:type="dxa"/>
            </w:tcMar>
          </w:tcPr>
          <w:p w14:paraId="22CC11FF" w14:textId="79EDE030" w:rsidR="00A01E71" w:rsidRPr="00DC7E72" w:rsidRDefault="00083D5E"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xml:space="preserve">– </w:t>
            </w:r>
            <w:r w:rsidR="00A01E71" w:rsidRPr="00DC7E72">
              <w:rPr>
                <w:rFonts w:ascii="Times New Roman" w:eastAsia="Times New Roman" w:hAnsi="Times New Roman" w:cs="Times New Roman"/>
                <w:i/>
                <w:iCs/>
                <w:sz w:val="22"/>
                <w:szCs w:val="22"/>
                <w:lang w:eastAsia="en-GB"/>
              </w:rPr>
              <w:t>Streptococcus </w:t>
            </w:r>
            <w:proofErr w:type="spellStart"/>
            <w:r w:rsidR="00A01E71" w:rsidRPr="00DC7E72">
              <w:rPr>
                <w:rFonts w:ascii="Times New Roman" w:eastAsia="Times New Roman" w:hAnsi="Times New Roman" w:cs="Times New Roman"/>
                <w:i/>
                <w:iCs/>
                <w:sz w:val="22"/>
                <w:szCs w:val="22"/>
                <w:lang w:eastAsia="en-GB"/>
              </w:rPr>
              <w:t>anginosus</w:t>
            </w:r>
            <w:proofErr w:type="spellEnd"/>
            <w:r w:rsidR="00A01E71" w:rsidRPr="00DC7E72">
              <w:rPr>
                <w:rFonts w:ascii="Times New Roman" w:eastAsia="Times New Roman" w:hAnsi="Times New Roman" w:cs="Times New Roman"/>
                <w:sz w:val="22"/>
                <w:szCs w:val="22"/>
                <w:lang w:eastAsia="en-GB"/>
              </w:rPr>
              <w:t xml:space="preserve">, </w:t>
            </w:r>
            <w:r w:rsidR="00C674F3" w:rsidRPr="00DC7E72">
              <w:rPr>
                <w:rFonts w:ascii="Times New Roman" w:eastAsia="Times New Roman" w:hAnsi="Times New Roman" w:cs="Times New Roman"/>
                <w:i/>
                <w:iCs/>
                <w:sz w:val="22"/>
                <w:szCs w:val="22"/>
                <w:lang w:eastAsia="en-GB"/>
              </w:rPr>
              <w:t>S</w:t>
            </w:r>
            <w:r w:rsidR="00A01E71" w:rsidRPr="00DC7E72">
              <w:rPr>
                <w:rFonts w:ascii="Times New Roman" w:eastAsia="Times New Roman" w:hAnsi="Times New Roman" w:cs="Times New Roman"/>
                <w:i/>
                <w:iCs/>
                <w:sz w:val="22"/>
                <w:szCs w:val="22"/>
                <w:lang w:eastAsia="en-GB"/>
              </w:rPr>
              <w:t>taphylococcus aureus</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tcPr>
          <w:p w14:paraId="09DB274D" w14:textId="694824F2"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1</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tcPr>
          <w:p w14:paraId="377F6946" w14:textId="566A3259"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5 </w:t>
            </w:r>
          </w:p>
        </w:tc>
      </w:tr>
      <w:tr w:rsidR="00A01E71" w:rsidRPr="00DC7E72" w14:paraId="39496907" w14:textId="77777777" w:rsidTr="00083D5E">
        <w:trPr>
          <w:trHeight w:val="370"/>
        </w:trPr>
        <w:tc>
          <w:tcPr>
            <w:tcW w:w="4395" w:type="dxa"/>
            <w:shd w:val="clear" w:color="auto" w:fill="auto"/>
            <w:tcMar>
              <w:top w:w="0" w:type="dxa"/>
              <w:left w:w="0" w:type="dxa"/>
              <w:bottom w:w="0" w:type="dxa"/>
              <w:right w:w="0" w:type="dxa"/>
            </w:tcMar>
          </w:tcPr>
          <w:p w14:paraId="4E79DBBC" w14:textId="12338080" w:rsidR="00A01E71" w:rsidRPr="00DC7E72" w:rsidRDefault="00083D5E"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xml:space="preserve">– </w:t>
            </w:r>
            <w:r w:rsidR="00A01E71" w:rsidRPr="00DC7E72">
              <w:rPr>
                <w:rFonts w:ascii="Times New Roman" w:eastAsia="Times New Roman" w:hAnsi="Times New Roman" w:cs="Times New Roman"/>
                <w:i/>
                <w:iCs/>
                <w:sz w:val="22"/>
                <w:szCs w:val="22"/>
                <w:lang w:eastAsia="en-GB"/>
              </w:rPr>
              <w:t>Streptococcus intermedius</w:t>
            </w:r>
            <w:r w:rsidR="00A01E71" w:rsidRPr="00DC7E72">
              <w:rPr>
                <w:rFonts w:ascii="Times New Roman" w:eastAsia="Times New Roman" w:hAnsi="Times New Roman" w:cs="Times New Roman"/>
                <w:sz w:val="22"/>
                <w:szCs w:val="22"/>
                <w:lang w:eastAsia="en-GB"/>
              </w:rPr>
              <w:t>,</w:t>
            </w:r>
            <w:r w:rsidR="00A01E71" w:rsidRPr="00DC7E72">
              <w:rPr>
                <w:rFonts w:ascii="Times New Roman" w:eastAsia="Times New Roman" w:hAnsi="Times New Roman" w:cs="Times New Roman"/>
                <w:i/>
                <w:iCs/>
                <w:sz w:val="22"/>
                <w:szCs w:val="22"/>
                <w:lang w:eastAsia="en-GB"/>
              </w:rPr>
              <w:t xml:space="preserve"> streptococcus </w:t>
            </w:r>
            <w:proofErr w:type="spellStart"/>
            <w:r w:rsidR="00A01E71" w:rsidRPr="00DC7E72">
              <w:rPr>
                <w:rFonts w:ascii="Times New Roman" w:eastAsia="Times New Roman" w:hAnsi="Times New Roman" w:cs="Times New Roman"/>
                <w:i/>
                <w:iCs/>
                <w:sz w:val="22"/>
                <w:szCs w:val="22"/>
                <w:lang w:eastAsia="en-GB"/>
              </w:rPr>
              <w:t>constellatus</w:t>
            </w:r>
            <w:proofErr w:type="spellEnd"/>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tcPr>
          <w:p w14:paraId="33EF930A" w14:textId="00506EAE"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1</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tcPr>
          <w:p w14:paraId="08E8B503" w14:textId="00F51C5B"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5 </w:t>
            </w:r>
          </w:p>
        </w:tc>
      </w:tr>
      <w:tr w:rsidR="00A01E71" w:rsidRPr="00DC7E72" w14:paraId="756116B6" w14:textId="77777777" w:rsidTr="00083D5E">
        <w:trPr>
          <w:trHeight w:val="370"/>
        </w:trPr>
        <w:tc>
          <w:tcPr>
            <w:tcW w:w="4395" w:type="dxa"/>
            <w:shd w:val="clear" w:color="auto" w:fill="auto"/>
            <w:tcMar>
              <w:top w:w="0" w:type="dxa"/>
              <w:left w:w="0" w:type="dxa"/>
              <w:bottom w:w="0" w:type="dxa"/>
              <w:right w:w="0" w:type="dxa"/>
            </w:tcMar>
          </w:tcPr>
          <w:p w14:paraId="569273DB" w14:textId="69C73716" w:rsidR="00A01E71" w:rsidRPr="00DC7E72" w:rsidRDefault="00083D5E"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xml:space="preserve">– </w:t>
            </w:r>
            <w:r w:rsidR="00A01E71" w:rsidRPr="00DC7E72">
              <w:rPr>
                <w:rFonts w:ascii="Times New Roman" w:eastAsia="Times New Roman" w:hAnsi="Times New Roman" w:cs="Times New Roman"/>
                <w:i/>
                <w:iCs/>
                <w:sz w:val="22"/>
                <w:szCs w:val="22"/>
                <w:lang w:eastAsia="en-GB"/>
              </w:rPr>
              <w:t>Streptococcus </w:t>
            </w:r>
            <w:proofErr w:type="spellStart"/>
            <w:r w:rsidR="00A01E71" w:rsidRPr="00DC7E72">
              <w:rPr>
                <w:rFonts w:ascii="Times New Roman" w:eastAsia="Times New Roman" w:hAnsi="Times New Roman" w:cs="Times New Roman"/>
                <w:i/>
                <w:iCs/>
                <w:sz w:val="22"/>
                <w:szCs w:val="22"/>
                <w:lang w:eastAsia="en-GB"/>
              </w:rPr>
              <w:t>milleri</w:t>
            </w:r>
            <w:proofErr w:type="spellEnd"/>
            <w:r w:rsidR="00A01E71" w:rsidRPr="00DC7E72">
              <w:rPr>
                <w:rFonts w:ascii="Times New Roman" w:eastAsia="Times New Roman" w:hAnsi="Times New Roman" w:cs="Times New Roman"/>
                <w:sz w:val="22"/>
                <w:szCs w:val="22"/>
                <w:lang w:eastAsia="en-GB"/>
              </w:rPr>
              <w:t xml:space="preserve">, </w:t>
            </w:r>
            <w:r w:rsidR="00B42DF9" w:rsidRPr="00DC7E72">
              <w:rPr>
                <w:rFonts w:ascii="Times New Roman" w:eastAsia="Times New Roman" w:hAnsi="Times New Roman" w:cs="Times New Roman"/>
                <w:sz w:val="22"/>
                <w:szCs w:val="22"/>
                <w:lang w:eastAsia="en-GB"/>
              </w:rPr>
              <w:t>haemophilus influenza B</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tcPr>
          <w:p w14:paraId="4B7373AC" w14:textId="02929A44"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1</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tcPr>
          <w:p w14:paraId="27296288" w14:textId="792AF075"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5 </w:t>
            </w:r>
          </w:p>
        </w:tc>
      </w:tr>
      <w:tr w:rsidR="00A01E71" w:rsidRPr="00DC7E72" w14:paraId="66230B46" w14:textId="77777777" w:rsidTr="00083D5E">
        <w:trPr>
          <w:trHeight w:val="370"/>
        </w:trPr>
        <w:tc>
          <w:tcPr>
            <w:tcW w:w="4395" w:type="dxa"/>
            <w:shd w:val="clear" w:color="auto" w:fill="auto"/>
            <w:tcMar>
              <w:top w:w="0" w:type="dxa"/>
              <w:left w:w="0" w:type="dxa"/>
              <w:bottom w:w="0" w:type="dxa"/>
              <w:right w:w="0" w:type="dxa"/>
            </w:tcMar>
          </w:tcPr>
          <w:p w14:paraId="4FCDBC94" w14:textId="7F908E4E" w:rsidR="00A01E71" w:rsidRPr="00DC7E72" w:rsidRDefault="00083D5E"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xml:space="preserve">– </w:t>
            </w:r>
            <w:r w:rsidR="00A01E71" w:rsidRPr="00DC7E72">
              <w:rPr>
                <w:rFonts w:ascii="Times New Roman" w:eastAsia="Times New Roman" w:hAnsi="Times New Roman" w:cs="Times New Roman"/>
                <w:sz w:val="22"/>
                <w:szCs w:val="22"/>
                <w:lang w:eastAsia="en-GB"/>
              </w:rPr>
              <w:t>Streptococcus sp</w:t>
            </w:r>
            <w:r w:rsidR="00C674F3" w:rsidRPr="00DC7E72">
              <w:rPr>
                <w:rFonts w:ascii="Times New Roman" w:eastAsia="Times New Roman" w:hAnsi="Times New Roman" w:cs="Times New Roman"/>
                <w:sz w:val="22"/>
                <w:szCs w:val="22"/>
                <w:lang w:eastAsia="en-GB"/>
              </w:rPr>
              <w:t>ecies</w:t>
            </w:r>
            <w:r w:rsidR="00A01E71" w:rsidRPr="00DC7E72">
              <w:rPr>
                <w:rFonts w:ascii="Times New Roman" w:eastAsia="Times New Roman" w:hAnsi="Times New Roman" w:cs="Times New Roman"/>
                <w:sz w:val="22"/>
                <w:szCs w:val="22"/>
                <w:lang w:eastAsia="en-GB"/>
              </w:rPr>
              <w:t xml:space="preserve">, </w:t>
            </w:r>
            <w:r w:rsidR="00C674F3" w:rsidRPr="00DC7E72">
              <w:rPr>
                <w:rFonts w:ascii="Times New Roman" w:eastAsia="Times New Roman" w:hAnsi="Times New Roman" w:cs="Times New Roman"/>
                <w:i/>
                <w:iCs/>
                <w:sz w:val="22"/>
                <w:szCs w:val="22"/>
                <w:lang w:eastAsia="en-GB"/>
              </w:rPr>
              <w:t>S</w:t>
            </w:r>
            <w:r w:rsidR="00A01E71" w:rsidRPr="00DC7E72">
              <w:rPr>
                <w:rFonts w:ascii="Times New Roman" w:eastAsia="Times New Roman" w:hAnsi="Times New Roman" w:cs="Times New Roman"/>
                <w:i/>
                <w:iCs/>
                <w:sz w:val="22"/>
                <w:szCs w:val="22"/>
                <w:lang w:eastAsia="en-GB"/>
              </w:rPr>
              <w:t>taphylococcus aureus</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tcPr>
          <w:p w14:paraId="22C86C8F" w14:textId="6DE88C66"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1</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tcPr>
          <w:p w14:paraId="7DF967E9" w14:textId="74BBA42F"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5 </w:t>
            </w:r>
          </w:p>
        </w:tc>
      </w:tr>
      <w:tr w:rsidR="00A01E71" w:rsidRPr="00DC7E72" w14:paraId="20F15C6A" w14:textId="77777777" w:rsidTr="00083D5E">
        <w:trPr>
          <w:trHeight w:val="370"/>
        </w:trPr>
        <w:tc>
          <w:tcPr>
            <w:tcW w:w="4395" w:type="dxa"/>
            <w:shd w:val="clear" w:color="auto" w:fill="auto"/>
            <w:tcMar>
              <w:top w:w="0" w:type="dxa"/>
              <w:left w:w="0" w:type="dxa"/>
              <w:bottom w:w="0" w:type="dxa"/>
              <w:right w:w="0" w:type="dxa"/>
            </w:tcMar>
          </w:tcPr>
          <w:p w14:paraId="0C4FE289" w14:textId="0653D032" w:rsidR="00A01E71" w:rsidRPr="00DC7E72" w:rsidRDefault="00083D5E"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xml:space="preserve">– </w:t>
            </w:r>
            <w:r w:rsidR="00C674F3" w:rsidRPr="00DC7E72">
              <w:rPr>
                <w:rFonts w:ascii="Times New Roman" w:eastAsia="Times New Roman" w:hAnsi="Times New Roman" w:cs="Times New Roman"/>
                <w:i/>
                <w:iCs/>
                <w:sz w:val="22"/>
                <w:szCs w:val="22"/>
                <w:lang w:eastAsia="en-GB"/>
              </w:rPr>
              <w:t>Streptococcus</w:t>
            </w:r>
            <w:r w:rsidR="00A01E71" w:rsidRPr="00DC7E72">
              <w:rPr>
                <w:rFonts w:ascii="Times New Roman" w:eastAsia="Times New Roman" w:hAnsi="Times New Roman" w:cs="Times New Roman"/>
                <w:i/>
                <w:iCs/>
                <w:sz w:val="22"/>
                <w:szCs w:val="22"/>
                <w:lang w:eastAsia="en-GB"/>
              </w:rPr>
              <w:t xml:space="preserve"> pyogenes</w:t>
            </w:r>
            <w:r w:rsidR="00A01E71" w:rsidRPr="00DC7E72">
              <w:rPr>
                <w:rFonts w:ascii="Times New Roman" w:eastAsia="Times New Roman" w:hAnsi="Times New Roman" w:cs="Times New Roman"/>
                <w:sz w:val="22"/>
                <w:szCs w:val="22"/>
                <w:lang w:eastAsia="en-GB"/>
              </w:rPr>
              <w:t> </w:t>
            </w:r>
          </w:p>
        </w:tc>
        <w:tc>
          <w:tcPr>
            <w:tcW w:w="567" w:type="dxa"/>
            <w:shd w:val="clear" w:color="auto" w:fill="auto"/>
            <w:tcMar>
              <w:top w:w="0" w:type="dxa"/>
              <w:left w:w="0" w:type="dxa"/>
              <w:bottom w:w="0" w:type="dxa"/>
              <w:right w:w="0" w:type="dxa"/>
            </w:tcMar>
          </w:tcPr>
          <w:p w14:paraId="6FB24BF4" w14:textId="65EFBEBA"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1 </w:t>
            </w:r>
          </w:p>
        </w:tc>
        <w:tc>
          <w:tcPr>
            <w:tcW w:w="567" w:type="dxa"/>
            <w:shd w:val="clear" w:color="auto" w:fill="auto"/>
            <w:tcMar>
              <w:top w:w="0" w:type="dxa"/>
              <w:left w:w="0" w:type="dxa"/>
              <w:bottom w:w="0" w:type="dxa"/>
              <w:right w:w="0" w:type="dxa"/>
            </w:tcMar>
          </w:tcPr>
          <w:p w14:paraId="2618B399" w14:textId="70B56A69"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5 </w:t>
            </w:r>
          </w:p>
        </w:tc>
      </w:tr>
      <w:tr w:rsidR="00A01E71" w:rsidRPr="00DC7E72" w14:paraId="20218DC2" w14:textId="77777777" w:rsidTr="00083D5E">
        <w:trPr>
          <w:trHeight w:val="370"/>
        </w:trPr>
        <w:tc>
          <w:tcPr>
            <w:tcW w:w="4395" w:type="dxa"/>
            <w:shd w:val="clear" w:color="auto" w:fill="auto"/>
            <w:tcMar>
              <w:top w:w="0" w:type="dxa"/>
              <w:left w:w="0" w:type="dxa"/>
              <w:bottom w:w="0" w:type="dxa"/>
              <w:right w:w="0" w:type="dxa"/>
            </w:tcMar>
          </w:tcPr>
          <w:p w14:paraId="43022D0A" w14:textId="1959DB90" w:rsidR="00A01E71" w:rsidRPr="00DC7E72" w:rsidRDefault="00083D5E"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xml:space="preserve">– </w:t>
            </w:r>
            <w:r w:rsidR="00A01E71" w:rsidRPr="00DC7E72">
              <w:rPr>
                <w:rFonts w:ascii="Times New Roman" w:eastAsia="Times New Roman" w:hAnsi="Times New Roman" w:cs="Times New Roman"/>
                <w:sz w:val="22"/>
                <w:szCs w:val="22"/>
                <w:lang w:eastAsia="en-GB"/>
              </w:rPr>
              <w:t>Gram neg</w:t>
            </w:r>
            <w:r w:rsidR="00C674F3" w:rsidRPr="00DC7E72">
              <w:rPr>
                <w:rFonts w:ascii="Times New Roman" w:eastAsia="Times New Roman" w:hAnsi="Times New Roman" w:cs="Times New Roman"/>
                <w:sz w:val="22"/>
                <w:szCs w:val="22"/>
                <w:lang w:eastAsia="en-GB"/>
              </w:rPr>
              <w:t>ative</w:t>
            </w:r>
            <w:r w:rsidR="00A01E71" w:rsidRPr="00DC7E72">
              <w:rPr>
                <w:rFonts w:ascii="Times New Roman" w:eastAsia="Times New Roman" w:hAnsi="Times New Roman" w:cs="Times New Roman"/>
                <w:sz w:val="22"/>
                <w:szCs w:val="22"/>
                <w:lang w:eastAsia="en-GB"/>
              </w:rPr>
              <w:t xml:space="preserve"> </w:t>
            </w:r>
            <w:r w:rsidR="00C674F3" w:rsidRPr="00DC7E72">
              <w:rPr>
                <w:rFonts w:ascii="Times New Roman" w:eastAsia="Times New Roman" w:hAnsi="Times New Roman" w:cs="Times New Roman"/>
                <w:sz w:val="22"/>
                <w:szCs w:val="22"/>
                <w:lang w:eastAsia="en-GB"/>
              </w:rPr>
              <w:t>staphylococcus</w:t>
            </w:r>
          </w:p>
        </w:tc>
        <w:tc>
          <w:tcPr>
            <w:tcW w:w="567" w:type="dxa"/>
            <w:shd w:val="clear" w:color="auto" w:fill="auto"/>
            <w:tcMar>
              <w:top w:w="0" w:type="dxa"/>
              <w:left w:w="0" w:type="dxa"/>
              <w:bottom w:w="0" w:type="dxa"/>
              <w:right w:w="0" w:type="dxa"/>
            </w:tcMar>
          </w:tcPr>
          <w:p w14:paraId="4586B77E" w14:textId="7491AD2B"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1 </w:t>
            </w:r>
          </w:p>
        </w:tc>
        <w:tc>
          <w:tcPr>
            <w:tcW w:w="567" w:type="dxa"/>
            <w:shd w:val="clear" w:color="auto" w:fill="auto"/>
            <w:tcMar>
              <w:top w:w="0" w:type="dxa"/>
              <w:left w:w="0" w:type="dxa"/>
              <w:bottom w:w="0" w:type="dxa"/>
              <w:right w:w="0" w:type="dxa"/>
            </w:tcMar>
          </w:tcPr>
          <w:p w14:paraId="5C3A34F6" w14:textId="0E32B8B1"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5 </w:t>
            </w:r>
          </w:p>
        </w:tc>
      </w:tr>
      <w:tr w:rsidR="00A01E71" w:rsidRPr="00DC7E72" w14:paraId="1358C205" w14:textId="77777777" w:rsidTr="00083D5E">
        <w:trPr>
          <w:trHeight w:val="370"/>
        </w:trPr>
        <w:tc>
          <w:tcPr>
            <w:tcW w:w="4395" w:type="dxa"/>
            <w:shd w:val="clear" w:color="auto" w:fill="auto"/>
            <w:tcMar>
              <w:top w:w="0" w:type="dxa"/>
              <w:left w:w="0" w:type="dxa"/>
              <w:bottom w:w="0" w:type="dxa"/>
              <w:right w:w="0" w:type="dxa"/>
            </w:tcMar>
          </w:tcPr>
          <w:p w14:paraId="21ACE69D" w14:textId="2B76335A" w:rsidR="00A01E71" w:rsidRPr="00DC7E72" w:rsidRDefault="00083D5E"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xml:space="preserve">– </w:t>
            </w:r>
            <w:r w:rsidR="00A01E71" w:rsidRPr="00DC7E72">
              <w:rPr>
                <w:rFonts w:ascii="Times New Roman" w:eastAsia="Times New Roman" w:hAnsi="Times New Roman" w:cs="Times New Roman"/>
                <w:sz w:val="22"/>
                <w:szCs w:val="22"/>
                <w:lang w:eastAsia="en-GB"/>
              </w:rPr>
              <w:t>No growth </w:t>
            </w:r>
          </w:p>
        </w:tc>
        <w:tc>
          <w:tcPr>
            <w:tcW w:w="567" w:type="dxa"/>
            <w:shd w:val="clear" w:color="auto" w:fill="auto"/>
            <w:tcMar>
              <w:top w:w="0" w:type="dxa"/>
              <w:left w:w="0" w:type="dxa"/>
              <w:bottom w:w="0" w:type="dxa"/>
              <w:right w:w="0" w:type="dxa"/>
            </w:tcMar>
          </w:tcPr>
          <w:p w14:paraId="0117E1D8" w14:textId="28828860"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4 </w:t>
            </w:r>
          </w:p>
        </w:tc>
        <w:tc>
          <w:tcPr>
            <w:tcW w:w="567" w:type="dxa"/>
            <w:shd w:val="clear" w:color="auto" w:fill="auto"/>
            <w:tcMar>
              <w:top w:w="0" w:type="dxa"/>
              <w:left w:w="0" w:type="dxa"/>
              <w:bottom w:w="0" w:type="dxa"/>
              <w:right w:w="0" w:type="dxa"/>
            </w:tcMar>
          </w:tcPr>
          <w:p w14:paraId="0C3FBB0E" w14:textId="32B68EE9"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20 </w:t>
            </w:r>
          </w:p>
        </w:tc>
      </w:tr>
      <w:tr w:rsidR="00A01E71" w:rsidRPr="00DC7E72" w14:paraId="3B7B53CD" w14:textId="77777777" w:rsidTr="00083D5E">
        <w:trPr>
          <w:trHeight w:val="370"/>
        </w:trPr>
        <w:tc>
          <w:tcPr>
            <w:tcW w:w="4395" w:type="dxa"/>
            <w:shd w:val="clear" w:color="auto" w:fill="auto"/>
            <w:tcMar>
              <w:top w:w="0" w:type="dxa"/>
              <w:left w:w="0" w:type="dxa"/>
              <w:bottom w:w="0" w:type="dxa"/>
              <w:right w:w="0" w:type="dxa"/>
            </w:tcMar>
          </w:tcPr>
          <w:p w14:paraId="586285DE" w14:textId="1364E67C" w:rsidR="00A01E71" w:rsidRPr="00DC7E72" w:rsidRDefault="00083D5E"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i/>
                <w:iCs/>
                <w:sz w:val="22"/>
                <w:szCs w:val="22"/>
                <w:lang w:eastAsia="en-GB"/>
              </w:rPr>
              <w:t xml:space="preserve">– </w:t>
            </w:r>
            <w:r w:rsidR="00A01E71" w:rsidRPr="00DC7E72">
              <w:rPr>
                <w:rFonts w:ascii="Times New Roman" w:eastAsia="Times New Roman" w:hAnsi="Times New Roman" w:cs="Times New Roman"/>
                <w:i/>
                <w:iCs/>
                <w:sz w:val="22"/>
                <w:szCs w:val="22"/>
                <w:lang w:eastAsia="en-GB"/>
              </w:rPr>
              <w:t>Streptococcus </w:t>
            </w:r>
            <w:proofErr w:type="spellStart"/>
            <w:r w:rsidR="00A01E71" w:rsidRPr="00DC7E72">
              <w:rPr>
                <w:rFonts w:ascii="Times New Roman" w:eastAsia="Times New Roman" w:hAnsi="Times New Roman" w:cs="Times New Roman"/>
                <w:i/>
                <w:iCs/>
                <w:sz w:val="22"/>
                <w:szCs w:val="22"/>
                <w:lang w:eastAsia="en-GB"/>
              </w:rPr>
              <w:t>constellatus</w:t>
            </w:r>
            <w:proofErr w:type="spellEnd"/>
            <w:r w:rsidR="00B42DF9">
              <w:rPr>
                <w:rFonts w:ascii="Times New Roman" w:eastAsia="Times New Roman" w:hAnsi="Times New Roman" w:cs="Times New Roman"/>
                <w:i/>
                <w:iCs/>
                <w:sz w:val="22"/>
                <w:szCs w:val="22"/>
                <w:lang w:eastAsia="en-GB"/>
              </w:rPr>
              <w:t xml:space="preserve"> </w:t>
            </w:r>
            <w:r w:rsidR="00A01E71" w:rsidRPr="00DC7E72">
              <w:rPr>
                <w:rFonts w:ascii="Times New Roman" w:eastAsia="Times New Roman" w:hAnsi="Times New Roman" w:cs="Times New Roman"/>
                <w:i/>
                <w:iCs/>
                <w:sz w:val="22"/>
                <w:szCs w:val="22"/>
                <w:lang w:eastAsia="en-GB"/>
              </w:rPr>
              <w:t> </w:t>
            </w:r>
          </w:p>
        </w:tc>
        <w:tc>
          <w:tcPr>
            <w:tcW w:w="567" w:type="dxa"/>
            <w:shd w:val="clear" w:color="auto" w:fill="auto"/>
            <w:tcMar>
              <w:top w:w="0" w:type="dxa"/>
              <w:left w:w="0" w:type="dxa"/>
              <w:bottom w:w="0" w:type="dxa"/>
              <w:right w:w="0" w:type="dxa"/>
            </w:tcMar>
          </w:tcPr>
          <w:p w14:paraId="56B68C42" w14:textId="0CF82E0F"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3 </w:t>
            </w:r>
          </w:p>
        </w:tc>
        <w:tc>
          <w:tcPr>
            <w:tcW w:w="567" w:type="dxa"/>
            <w:shd w:val="clear" w:color="auto" w:fill="auto"/>
            <w:tcMar>
              <w:top w:w="0" w:type="dxa"/>
              <w:left w:w="0" w:type="dxa"/>
              <w:bottom w:w="0" w:type="dxa"/>
              <w:right w:w="0" w:type="dxa"/>
            </w:tcMar>
          </w:tcPr>
          <w:p w14:paraId="342FAE6C" w14:textId="1B83402C"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15 </w:t>
            </w:r>
          </w:p>
        </w:tc>
      </w:tr>
      <w:tr w:rsidR="00A01E71" w:rsidRPr="00DC7E72" w14:paraId="14794835" w14:textId="77777777" w:rsidTr="00083D5E">
        <w:trPr>
          <w:trHeight w:val="370"/>
        </w:trPr>
        <w:tc>
          <w:tcPr>
            <w:tcW w:w="4395" w:type="dxa"/>
            <w:shd w:val="clear" w:color="auto" w:fill="auto"/>
            <w:tcMar>
              <w:top w:w="0" w:type="dxa"/>
              <w:left w:w="0" w:type="dxa"/>
              <w:bottom w:w="0" w:type="dxa"/>
              <w:right w:w="0" w:type="dxa"/>
            </w:tcMar>
          </w:tcPr>
          <w:p w14:paraId="7AD21585" w14:textId="700E97FD" w:rsidR="00A01E71" w:rsidRPr="00DC7E72" w:rsidRDefault="00083D5E"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i/>
                <w:iCs/>
                <w:sz w:val="22"/>
                <w:szCs w:val="22"/>
                <w:lang w:eastAsia="en-GB"/>
              </w:rPr>
              <w:t xml:space="preserve">– </w:t>
            </w:r>
            <w:r w:rsidR="00A01E71" w:rsidRPr="00DC7E72">
              <w:rPr>
                <w:rFonts w:ascii="Times New Roman" w:eastAsia="Times New Roman" w:hAnsi="Times New Roman" w:cs="Times New Roman"/>
                <w:i/>
                <w:iCs/>
                <w:sz w:val="22"/>
                <w:szCs w:val="22"/>
                <w:lang w:eastAsia="en-GB"/>
              </w:rPr>
              <w:t>Streptococcus intermedius</w:t>
            </w:r>
            <w:r w:rsidR="00B42DF9">
              <w:rPr>
                <w:rFonts w:ascii="Times New Roman" w:eastAsia="Times New Roman" w:hAnsi="Times New Roman" w:cs="Times New Roman"/>
                <w:i/>
                <w:iCs/>
                <w:sz w:val="22"/>
                <w:szCs w:val="22"/>
                <w:lang w:eastAsia="en-GB"/>
              </w:rPr>
              <w:t xml:space="preserve"> </w:t>
            </w:r>
          </w:p>
        </w:tc>
        <w:tc>
          <w:tcPr>
            <w:tcW w:w="567" w:type="dxa"/>
            <w:shd w:val="clear" w:color="auto" w:fill="auto"/>
            <w:tcMar>
              <w:top w:w="0" w:type="dxa"/>
              <w:left w:w="0" w:type="dxa"/>
              <w:bottom w:w="0" w:type="dxa"/>
              <w:right w:w="0" w:type="dxa"/>
            </w:tcMar>
          </w:tcPr>
          <w:p w14:paraId="68908B3F" w14:textId="108CC8A7"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2 </w:t>
            </w:r>
          </w:p>
        </w:tc>
        <w:tc>
          <w:tcPr>
            <w:tcW w:w="567" w:type="dxa"/>
            <w:shd w:val="clear" w:color="auto" w:fill="auto"/>
            <w:tcMar>
              <w:top w:w="0" w:type="dxa"/>
              <w:left w:w="0" w:type="dxa"/>
              <w:bottom w:w="0" w:type="dxa"/>
              <w:right w:w="0" w:type="dxa"/>
            </w:tcMar>
          </w:tcPr>
          <w:p w14:paraId="0C3ADA83" w14:textId="03FA612C"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10 </w:t>
            </w:r>
          </w:p>
        </w:tc>
      </w:tr>
      <w:tr w:rsidR="00A01E71" w:rsidRPr="00DC7E72" w14:paraId="3B93523E" w14:textId="77777777" w:rsidTr="00083D5E">
        <w:trPr>
          <w:trHeight w:val="370"/>
        </w:trPr>
        <w:tc>
          <w:tcPr>
            <w:tcW w:w="4395" w:type="dxa"/>
            <w:shd w:val="clear" w:color="auto" w:fill="auto"/>
            <w:tcMar>
              <w:top w:w="0" w:type="dxa"/>
              <w:left w:w="0" w:type="dxa"/>
              <w:bottom w:w="0" w:type="dxa"/>
              <w:right w:w="0" w:type="dxa"/>
            </w:tcMar>
          </w:tcPr>
          <w:p w14:paraId="5ABE5D68" w14:textId="760D91C3"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w:t>
            </w:r>
            <w:r w:rsidR="00083D5E" w:rsidRPr="00DC7E72">
              <w:rPr>
                <w:rFonts w:ascii="Times New Roman" w:eastAsia="Times New Roman" w:hAnsi="Times New Roman" w:cs="Times New Roman"/>
                <w:sz w:val="22"/>
                <w:szCs w:val="22"/>
                <w:lang w:eastAsia="en-GB"/>
              </w:rPr>
              <w:t xml:space="preserve">– </w:t>
            </w:r>
            <w:r w:rsidRPr="00DC7E72">
              <w:rPr>
                <w:rFonts w:ascii="Times New Roman" w:eastAsia="Times New Roman" w:hAnsi="Times New Roman" w:cs="Times New Roman"/>
                <w:sz w:val="22"/>
                <w:szCs w:val="22"/>
                <w:lang w:eastAsia="en-GB"/>
              </w:rPr>
              <w:t>Alpha haemolytic streptococcus</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tcPr>
          <w:p w14:paraId="54124701" w14:textId="22697BEB"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1</w:t>
            </w:r>
            <w:r w:rsidR="00B42DF9">
              <w:rPr>
                <w:rFonts w:ascii="Times New Roman" w:eastAsia="Times New Roman" w:hAnsi="Times New Roman" w:cs="Times New Roman"/>
                <w:sz w:val="22"/>
                <w:szCs w:val="22"/>
                <w:lang w:eastAsia="en-GB"/>
              </w:rPr>
              <w:t xml:space="preserve"> </w:t>
            </w:r>
          </w:p>
        </w:tc>
        <w:tc>
          <w:tcPr>
            <w:tcW w:w="567" w:type="dxa"/>
            <w:shd w:val="clear" w:color="auto" w:fill="auto"/>
            <w:tcMar>
              <w:top w:w="0" w:type="dxa"/>
              <w:left w:w="0" w:type="dxa"/>
              <w:bottom w:w="0" w:type="dxa"/>
              <w:right w:w="0" w:type="dxa"/>
            </w:tcMar>
          </w:tcPr>
          <w:p w14:paraId="5C3AE49A" w14:textId="7C5CFBAF" w:rsidR="00A01E71" w:rsidRPr="00DC7E72" w:rsidRDefault="00A01E71" w:rsidP="00A01E71">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 5 </w:t>
            </w:r>
          </w:p>
        </w:tc>
      </w:tr>
    </w:tbl>
    <w:p w14:paraId="72550023" w14:textId="6373D41B" w:rsidR="000A4D34" w:rsidRPr="00DC7E72" w:rsidRDefault="00A01E71" w:rsidP="00AB0A23">
      <w:pPr>
        <w:spacing w:line="360" w:lineRule="auto"/>
        <w:rPr>
          <w:rFonts w:ascii="Times New Roman" w:eastAsia="Times New Roman" w:hAnsi="Times New Roman" w:cs="Times New Roman"/>
          <w:sz w:val="22"/>
          <w:szCs w:val="22"/>
          <w:lang w:eastAsia="en-GB"/>
        </w:rPr>
      </w:pPr>
      <w:r w:rsidRPr="00DC7E72">
        <w:rPr>
          <w:rFonts w:ascii="Times New Roman" w:eastAsia="Times New Roman" w:hAnsi="Times New Roman" w:cs="Times New Roman"/>
          <w:sz w:val="22"/>
          <w:szCs w:val="22"/>
          <w:lang w:eastAsia="en-GB"/>
        </w:rPr>
        <w:t>*</w:t>
      </w:r>
      <w:r w:rsidRPr="00DC7E72">
        <w:rPr>
          <w:rFonts w:ascii="Times New Roman" w:eastAsia="Times New Roman" w:hAnsi="Times New Roman" w:cs="Times New Roman"/>
          <w:i/>
          <w:iCs/>
          <w:sz w:val="22"/>
          <w:szCs w:val="22"/>
          <w:lang w:eastAsia="en-GB"/>
        </w:rPr>
        <w:t>n</w:t>
      </w:r>
      <w:r w:rsidRPr="00DC7E72">
        <w:rPr>
          <w:rFonts w:ascii="Times New Roman" w:eastAsia="Times New Roman" w:hAnsi="Times New Roman" w:cs="Times New Roman"/>
          <w:sz w:val="22"/>
          <w:szCs w:val="22"/>
          <w:lang w:eastAsia="en-GB"/>
        </w:rPr>
        <w:t xml:space="preserve"> = 20</w:t>
      </w:r>
      <w:r w:rsidR="00C674F3" w:rsidRPr="00DC7E72">
        <w:rPr>
          <w:rFonts w:ascii="Times New Roman" w:eastAsia="Times New Roman" w:hAnsi="Times New Roman" w:cs="Times New Roman"/>
          <w:sz w:val="22"/>
          <w:szCs w:val="22"/>
          <w:lang w:eastAsia="en-GB"/>
        </w:rPr>
        <w:t xml:space="preserve">; </w:t>
      </w:r>
      <w:r w:rsidR="00C674F3" w:rsidRPr="00DC7E72">
        <w:rPr>
          <w:rFonts w:ascii="Times New Roman" w:eastAsia="Times New Roman" w:hAnsi="Times New Roman" w:cs="Times New Roman"/>
          <w:sz w:val="22"/>
          <w:szCs w:val="22"/>
          <w:vertAlign w:val="superscript"/>
          <w:lang w:eastAsia="en-GB"/>
        </w:rPr>
        <w:t>†</w:t>
      </w:r>
      <w:r w:rsidR="00C674F3" w:rsidRPr="00DC7E72">
        <w:rPr>
          <w:rFonts w:ascii="Times New Roman" w:eastAsia="Times New Roman" w:hAnsi="Times New Roman" w:cs="Times New Roman"/>
          <w:i/>
          <w:iCs/>
          <w:sz w:val="22"/>
          <w:szCs w:val="22"/>
          <w:lang w:eastAsia="en-GB"/>
        </w:rPr>
        <w:t>n</w:t>
      </w:r>
      <w:r w:rsidR="00C674F3" w:rsidRPr="00DC7E72">
        <w:rPr>
          <w:rFonts w:ascii="Times New Roman" w:eastAsia="Times New Roman" w:hAnsi="Times New Roman" w:cs="Times New Roman"/>
          <w:sz w:val="22"/>
          <w:szCs w:val="22"/>
          <w:lang w:eastAsia="en-GB"/>
        </w:rPr>
        <w:t xml:space="preserve"> = 20</w:t>
      </w:r>
    </w:p>
    <w:p w14:paraId="2D40DC76" w14:textId="77777777" w:rsidR="00A01E71" w:rsidRPr="00DC7E72" w:rsidRDefault="00A01E71" w:rsidP="00AB0A23">
      <w:pPr>
        <w:spacing w:line="360" w:lineRule="auto"/>
        <w:rPr>
          <w:rFonts w:ascii="Times New Roman" w:hAnsi="Times New Roman" w:cs="Times New Roman"/>
          <w:sz w:val="22"/>
          <w:szCs w:val="22"/>
        </w:rPr>
      </w:pPr>
    </w:p>
    <w:p w14:paraId="41F333D4" w14:textId="70DBC3D6" w:rsidR="000A4D34" w:rsidRPr="00DC7E72" w:rsidRDefault="008E2193" w:rsidP="00AB0A23">
      <w:pPr>
        <w:spacing w:line="360" w:lineRule="auto"/>
        <w:rPr>
          <w:rFonts w:ascii="Times New Roman" w:hAnsi="Times New Roman" w:cs="Times New Roman"/>
          <w:b/>
          <w:bCs/>
          <w:sz w:val="22"/>
          <w:szCs w:val="22"/>
        </w:rPr>
      </w:pPr>
      <w:r w:rsidRPr="00DC7E72">
        <w:rPr>
          <w:rFonts w:ascii="Times New Roman" w:hAnsi="Times New Roman" w:cs="Times New Roman"/>
          <w:b/>
          <w:bCs/>
          <w:sz w:val="22"/>
          <w:szCs w:val="22"/>
        </w:rPr>
        <w:t>Table</w:t>
      </w:r>
      <w:r w:rsidR="000A4D34" w:rsidRPr="00DC7E72">
        <w:rPr>
          <w:rFonts w:ascii="Times New Roman" w:hAnsi="Times New Roman" w:cs="Times New Roman"/>
          <w:b/>
          <w:bCs/>
          <w:sz w:val="22"/>
          <w:szCs w:val="22"/>
        </w:rPr>
        <w:t xml:space="preserve"> 2. </w:t>
      </w:r>
      <w:r w:rsidR="000A4D34" w:rsidRPr="00DC7E72">
        <w:rPr>
          <w:rFonts w:ascii="Times New Roman" w:hAnsi="Times New Roman" w:cs="Times New Roman"/>
          <w:sz w:val="22"/>
          <w:szCs w:val="22"/>
        </w:rPr>
        <w:t>Comparison of outcomes between antral washout only versus other types of sinus surgery</w:t>
      </w:r>
    </w:p>
    <w:tbl>
      <w:tblPr>
        <w:tblStyle w:val="TableGrid"/>
        <w:tblW w:w="595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1754"/>
        <w:gridCol w:w="1701"/>
        <w:gridCol w:w="1134"/>
      </w:tblGrid>
      <w:tr w:rsidR="000A4D34" w:rsidRPr="00DC7E72" w14:paraId="2800D1A7" w14:textId="77777777" w:rsidTr="00461353">
        <w:trPr>
          <w:trHeight w:val="326"/>
        </w:trPr>
        <w:tc>
          <w:tcPr>
            <w:tcW w:w="1365" w:type="dxa"/>
            <w:tcBorders>
              <w:top w:val="single" w:sz="4" w:space="0" w:color="auto"/>
              <w:bottom w:val="single" w:sz="4" w:space="0" w:color="auto"/>
            </w:tcBorders>
          </w:tcPr>
          <w:p w14:paraId="2A182242" w14:textId="699E94E9" w:rsidR="000A4D34" w:rsidRPr="00DC7E72" w:rsidRDefault="00C674F3" w:rsidP="00AB0A23">
            <w:pPr>
              <w:spacing w:line="360" w:lineRule="auto"/>
              <w:rPr>
                <w:rFonts w:ascii="Times New Roman" w:hAnsi="Times New Roman" w:cs="Times New Roman"/>
                <w:sz w:val="22"/>
                <w:szCs w:val="22"/>
              </w:rPr>
            </w:pPr>
            <w:r w:rsidRPr="00DC7E72">
              <w:rPr>
                <w:rFonts w:ascii="Times New Roman" w:hAnsi="Times New Roman" w:cs="Times New Roman"/>
                <w:sz w:val="22"/>
                <w:szCs w:val="22"/>
              </w:rPr>
              <w:t>Parameter</w:t>
            </w:r>
          </w:p>
        </w:tc>
        <w:tc>
          <w:tcPr>
            <w:tcW w:w="1754" w:type="dxa"/>
            <w:tcBorders>
              <w:top w:val="single" w:sz="4" w:space="0" w:color="auto"/>
              <w:bottom w:val="single" w:sz="4" w:space="0" w:color="auto"/>
            </w:tcBorders>
          </w:tcPr>
          <w:p w14:paraId="7AE71A6F" w14:textId="6D9CEBBE" w:rsidR="000A4D34" w:rsidRPr="00DC7E72" w:rsidRDefault="000A4D34" w:rsidP="00AB0A23">
            <w:pPr>
              <w:spacing w:line="360" w:lineRule="auto"/>
              <w:rPr>
                <w:rFonts w:ascii="Times New Roman" w:hAnsi="Times New Roman" w:cs="Times New Roman"/>
                <w:sz w:val="22"/>
                <w:szCs w:val="22"/>
              </w:rPr>
            </w:pPr>
            <w:r w:rsidRPr="00DC7E72">
              <w:rPr>
                <w:rFonts w:ascii="Times New Roman" w:hAnsi="Times New Roman" w:cs="Times New Roman"/>
                <w:sz w:val="22"/>
                <w:szCs w:val="22"/>
              </w:rPr>
              <w:t>Antral washout only</w:t>
            </w:r>
            <w:r w:rsidR="00461353" w:rsidRPr="00DC7E72">
              <w:rPr>
                <w:rFonts w:ascii="Times New Roman" w:hAnsi="Times New Roman" w:cs="Times New Roman"/>
                <w:sz w:val="22"/>
                <w:szCs w:val="22"/>
              </w:rPr>
              <w:t>*</w:t>
            </w:r>
            <w:r w:rsidR="00C674F3" w:rsidRPr="00DC7E72">
              <w:rPr>
                <w:rFonts w:ascii="Times New Roman" w:hAnsi="Times New Roman" w:cs="Times New Roman"/>
                <w:sz w:val="22"/>
                <w:szCs w:val="22"/>
              </w:rPr>
              <w:t xml:space="preserve"> (</w:t>
            </w:r>
            <w:r w:rsidR="00C674F3" w:rsidRPr="00DC7E72">
              <w:rPr>
                <w:rFonts w:ascii="Times New Roman" w:hAnsi="Times New Roman" w:cs="Times New Roman"/>
                <w:i/>
                <w:iCs/>
                <w:sz w:val="22"/>
                <w:szCs w:val="22"/>
              </w:rPr>
              <w:t>n</w:t>
            </w:r>
            <w:r w:rsidR="00C674F3" w:rsidRPr="00DC7E72">
              <w:rPr>
                <w:rFonts w:ascii="Times New Roman" w:hAnsi="Times New Roman" w:cs="Times New Roman"/>
                <w:sz w:val="22"/>
                <w:szCs w:val="22"/>
              </w:rPr>
              <w:t xml:space="preserve"> (%))</w:t>
            </w:r>
          </w:p>
        </w:tc>
        <w:tc>
          <w:tcPr>
            <w:tcW w:w="1701" w:type="dxa"/>
            <w:tcBorders>
              <w:top w:val="single" w:sz="4" w:space="0" w:color="auto"/>
              <w:bottom w:val="single" w:sz="4" w:space="0" w:color="auto"/>
            </w:tcBorders>
          </w:tcPr>
          <w:p w14:paraId="0EEE1A13" w14:textId="6ECD6A88" w:rsidR="000A4D34" w:rsidRPr="00DC7E72" w:rsidRDefault="000A4D34" w:rsidP="00AB0A23">
            <w:pPr>
              <w:spacing w:line="360" w:lineRule="auto"/>
              <w:rPr>
                <w:rFonts w:ascii="Times New Roman" w:hAnsi="Times New Roman" w:cs="Times New Roman"/>
                <w:sz w:val="22"/>
                <w:szCs w:val="22"/>
              </w:rPr>
            </w:pPr>
            <w:r w:rsidRPr="00DC7E72">
              <w:rPr>
                <w:rFonts w:ascii="Times New Roman" w:hAnsi="Times New Roman" w:cs="Times New Roman"/>
                <w:sz w:val="22"/>
                <w:szCs w:val="22"/>
              </w:rPr>
              <w:t>Sinus surgery</w:t>
            </w:r>
            <w:proofErr w:type="gramStart"/>
            <w:r w:rsidR="00461353" w:rsidRPr="00DC7E72">
              <w:rPr>
                <w:rFonts w:ascii="Times New Roman" w:eastAsia="Times New Roman" w:hAnsi="Times New Roman" w:cs="Times New Roman"/>
                <w:sz w:val="22"/>
                <w:szCs w:val="22"/>
                <w:vertAlign w:val="superscript"/>
                <w:lang w:eastAsia="en-GB"/>
              </w:rPr>
              <w:t>†</w:t>
            </w:r>
            <w:r w:rsidR="00461353" w:rsidRPr="00DC7E72">
              <w:rPr>
                <w:rFonts w:ascii="Times New Roman" w:hAnsi="Times New Roman" w:cs="Times New Roman"/>
                <w:i/>
                <w:iCs/>
                <w:sz w:val="22"/>
                <w:szCs w:val="22"/>
                <w:vertAlign w:val="superscript"/>
              </w:rPr>
              <w:t>,</w:t>
            </w:r>
            <w:r w:rsidR="00461353" w:rsidRPr="00DC7E72">
              <w:rPr>
                <w:rFonts w:ascii="Times New Roman" w:hAnsi="Times New Roman" w:cs="Times New Roman"/>
                <w:sz w:val="22"/>
                <w:szCs w:val="22"/>
                <w:vertAlign w:val="superscript"/>
              </w:rPr>
              <w:t>‡</w:t>
            </w:r>
            <w:proofErr w:type="gramEnd"/>
            <w:r w:rsidR="00461353" w:rsidRPr="00DC7E72">
              <w:rPr>
                <w:rFonts w:ascii="Times New Roman" w:hAnsi="Times New Roman" w:cs="Times New Roman"/>
                <w:i/>
                <w:iCs/>
                <w:sz w:val="22"/>
                <w:szCs w:val="22"/>
              </w:rPr>
              <w:t xml:space="preserve"> </w:t>
            </w:r>
            <w:r w:rsidR="00C674F3" w:rsidRPr="00DC7E72">
              <w:rPr>
                <w:rFonts w:ascii="Times New Roman" w:hAnsi="Times New Roman" w:cs="Times New Roman"/>
                <w:sz w:val="22"/>
                <w:szCs w:val="22"/>
              </w:rPr>
              <w:t>(</w:t>
            </w:r>
            <w:r w:rsidR="00C674F3" w:rsidRPr="00DC7E72">
              <w:rPr>
                <w:rFonts w:ascii="Times New Roman" w:hAnsi="Times New Roman" w:cs="Times New Roman"/>
                <w:i/>
                <w:iCs/>
                <w:sz w:val="22"/>
                <w:szCs w:val="22"/>
              </w:rPr>
              <w:t>n</w:t>
            </w:r>
            <w:r w:rsidR="00C674F3" w:rsidRPr="00DC7E72">
              <w:rPr>
                <w:rFonts w:ascii="Times New Roman" w:hAnsi="Times New Roman" w:cs="Times New Roman"/>
                <w:sz w:val="22"/>
                <w:szCs w:val="22"/>
              </w:rPr>
              <w:t xml:space="preserve"> (%))</w:t>
            </w:r>
          </w:p>
        </w:tc>
        <w:tc>
          <w:tcPr>
            <w:tcW w:w="1134" w:type="dxa"/>
            <w:tcBorders>
              <w:top w:val="single" w:sz="4" w:space="0" w:color="auto"/>
              <w:bottom w:val="single" w:sz="4" w:space="0" w:color="auto"/>
            </w:tcBorders>
          </w:tcPr>
          <w:p w14:paraId="5F6B0738" w14:textId="1D9DD374" w:rsidR="000A4D34" w:rsidRPr="00DC7E72" w:rsidRDefault="00C674F3" w:rsidP="00AB0A23">
            <w:pPr>
              <w:spacing w:line="360" w:lineRule="auto"/>
              <w:rPr>
                <w:rFonts w:ascii="Times New Roman" w:hAnsi="Times New Roman" w:cs="Times New Roman"/>
                <w:sz w:val="22"/>
                <w:szCs w:val="22"/>
                <w:vertAlign w:val="superscript"/>
              </w:rPr>
            </w:pPr>
            <w:r w:rsidRPr="00DC7E72">
              <w:rPr>
                <w:rFonts w:ascii="Times New Roman" w:hAnsi="Times New Roman" w:cs="Times New Roman"/>
                <w:i/>
                <w:iCs/>
                <w:sz w:val="22"/>
                <w:szCs w:val="22"/>
              </w:rPr>
              <w:t>P-</w:t>
            </w:r>
            <w:r w:rsidR="000A4D34" w:rsidRPr="00DC7E72">
              <w:rPr>
                <w:rFonts w:ascii="Times New Roman" w:hAnsi="Times New Roman" w:cs="Times New Roman"/>
                <w:sz w:val="22"/>
                <w:szCs w:val="22"/>
              </w:rPr>
              <w:t>value</w:t>
            </w:r>
            <w:r w:rsidR="00461353" w:rsidRPr="00DC7E72">
              <w:rPr>
                <w:rFonts w:ascii="Times New Roman" w:hAnsi="Times New Roman" w:cs="Times New Roman"/>
                <w:sz w:val="22"/>
                <w:szCs w:val="22"/>
              </w:rPr>
              <w:t>**</w:t>
            </w:r>
          </w:p>
        </w:tc>
      </w:tr>
      <w:tr w:rsidR="000A4D34" w:rsidRPr="00DC7E72" w14:paraId="1BEA41F2" w14:textId="77777777" w:rsidTr="00461353">
        <w:trPr>
          <w:trHeight w:val="326"/>
        </w:trPr>
        <w:tc>
          <w:tcPr>
            <w:tcW w:w="1365" w:type="dxa"/>
            <w:tcBorders>
              <w:top w:val="single" w:sz="4" w:space="0" w:color="auto"/>
            </w:tcBorders>
          </w:tcPr>
          <w:p w14:paraId="4277B322" w14:textId="4689B9B5" w:rsidR="000A4D34" w:rsidRPr="00DC7E72" w:rsidRDefault="000A4D34" w:rsidP="00AB0A23">
            <w:pPr>
              <w:spacing w:line="360" w:lineRule="auto"/>
              <w:rPr>
                <w:rFonts w:ascii="Times New Roman" w:hAnsi="Times New Roman" w:cs="Times New Roman"/>
                <w:sz w:val="22"/>
                <w:szCs w:val="22"/>
              </w:rPr>
            </w:pPr>
            <w:r w:rsidRPr="00DC7E72">
              <w:rPr>
                <w:rFonts w:ascii="Times New Roman" w:hAnsi="Times New Roman" w:cs="Times New Roman"/>
                <w:sz w:val="22"/>
                <w:szCs w:val="22"/>
              </w:rPr>
              <w:t>Death</w:t>
            </w:r>
          </w:p>
        </w:tc>
        <w:tc>
          <w:tcPr>
            <w:tcW w:w="1754" w:type="dxa"/>
            <w:tcBorders>
              <w:top w:val="single" w:sz="4" w:space="0" w:color="auto"/>
            </w:tcBorders>
          </w:tcPr>
          <w:p w14:paraId="051FF36D" w14:textId="77777777" w:rsidR="000A4D34" w:rsidRPr="00DC7E72" w:rsidRDefault="000A4D34" w:rsidP="00AB0A23">
            <w:pPr>
              <w:spacing w:line="360" w:lineRule="auto"/>
              <w:rPr>
                <w:rFonts w:ascii="Times New Roman" w:hAnsi="Times New Roman" w:cs="Times New Roman"/>
                <w:sz w:val="22"/>
                <w:szCs w:val="22"/>
              </w:rPr>
            </w:pPr>
            <w:r w:rsidRPr="00DC7E72">
              <w:rPr>
                <w:rFonts w:ascii="Times New Roman" w:hAnsi="Times New Roman" w:cs="Times New Roman"/>
                <w:sz w:val="22"/>
                <w:szCs w:val="22"/>
              </w:rPr>
              <w:t>1 (14.3)</w:t>
            </w:r>
          </w:p>
        </w:tc>
        <w:tc>
          <w:tcPr>
            <w:tcW w:w="1701" w:type="dxa"/>
            <w:tcBorders>
              <w:top w:val="single" w:sz="4" w:space="0" w:color="auto"/>
            </w:tcBorders>
          </w:tcPr>
          <w:p w14:paraId="35CA486F" w14:textId="77777777" w:rsidR="000A4D34" w:rsidRPr="00DC7E72" w:rsidRDefault="000A4D34" w:rsidP="00AB0A23">
            <w:pPr>
              <w:spacing w:line="360" w:lineRule="auto"/>
              <w:rPr>
                <w:rFonts w:ascii="Times New Roman" w:hAnsi="Times New Roman" w:cs="Times New Roman"/>
                <w:sz w:val="22"/>
                <w:szCs w:val="22"/>
              </w:rPr>
            </w:pPr>
            <w:r w:rsidRPr="00DC7E72">
              <w:rPr>
                <w:rFonts w:ascii="Times New Roman" w:hAnsi="Times New Roman" w:cs="Times New Roman"/>
                <w:sz w:val="22"/>
                <w:szCs w:val="22"/>
              </w:rPr>
              <w:t>1 (6.3)</w:t>
            </w:r>
          </w:p>
        </w:tc>
        <w:tc>
          <w:tcPr>
            <w:tcW w:w="1134" w:type="dxa"/>
            <w:tcBorders>
              <w:top w:val="single" w:sz="4" w:space="0" w:color="auto"/>
            </w:tcBorders>
          </w:tcPr>
          <w:p w14:paraId="2C4987C4" w14:textId="77777777" w:rsidR="000A4D34" w:rsidRPr="00DC7E72" w:rsidRDefault="000A4D34" w:rsidP="00AB0A23">
            <w:pPr>
              <w:spacing w:line="360" w:lineRule="auto"/>
              <w:rPr>
                <w:rFonts w:ascii="Times New Roman" w:hAnsi="Times New Roman" w:cs="Times New Roman"/>
                <w:sz w:val="22"/>
                <w:szCs w:val="22"/>
              </w:rPr>
            </w:pPr>
            <w:r w:rsidRPr="00DC7E72">
              <w:rPr>
                <w:rFonts w:ascii="Times New Roman" w:hAnsi="Times New Roman" w:cs="Times New Roman"/>
                <w:sz w:val="22"/>
                <w:szCs w:val="22"/>
              </w:rPr>
              <w:t>0.448</w:t>
            </w:r>
          </w:p>
        </w:tc>
      </w:tr>
      <w:tr w:rsidR="000A4D34" w:rsidRPr="00DC7E72" w14:paraId="5E7FB5CE" w14:textId="77777777" w:rsidTr="00461353">
        <w:trPr>
          <w:trHeight w:val="326"/>
        </w:trPr>
        <w:tc>
          <w:tcPr>
            <w:tcW w:w="1365" w:type="dxa"/>
          </w:tcPr>
          <w:p w14:paraId="04F0AF4B" w14:textId="423E9FCA" w:rsidR="000A4D34" w:rsidRPr="00DC7E72" w:rsidRDefault="000A4D34" w:rsidP="00AB0A23">
            <w:pPr>
              <w:spacing w:line="360" w:lineRule="auto"/>
              <w:rPr>
                <w:rFonts w:ascii="Times New Roman" w:hAnsi="Times New Roman" w:cs="Times New Roman"/>
                <w:sz w:val="22"/>
                <w:szCs w:val="22"/>
                <w:vertAlign w:val="superscript"/>
              </w:rPr>
            </w:pPr>
            <w:r w:rsidRPr="00DC7E72">
              <w:rPr>
                <w:rFonts w:ascii="Times New Roman" w:hAnsi="Times New Roman" w:cs="Times New Roman"/>
                <w:sz w:val="22"/>
                <w:szCs w:val="22"/>
              </w:rPr>
              <w:t xml:space="preserve">Return to </w:t>
            </w:r>
            <w:r w:rsidR="00461353" w:rsidRPr="00DC7E72">
              <w:rPr>
                <w:rFonts w:ascii="Times New Roman" w:hAnsi="Times New Roman" w:cs="Times New Roman"/>
                <w:sz w:val="22"/>
                <w:szCs w:val="22"/>
              </w:rPr>
              <w:t xml:space="preserve">operating </w:t>
            </w:r>
            <w:r w:rsidRPr="00DC7E72">
              <w:rPr>
                <w:rFonts w:ascii="Times New Roman" w:hAnsi="Times New Roman" w:cs="Times New Roman"/>
                <w:sz w:val="22"/>
                <w:szCs w:val="22"/>
              </w:rPr>
              <w:t>theatre</w:t>
            </w:r>
          </w:p>
        </w:tc>
        <w:tc>
          <w:tcPr>
            <w:tcW w:w="1754" w:type="dxa"/>
          </w:tcPr>
          <w:p w14:paraId="20818393" w14:textId="77777777" w:rsidR="000A4D34" w:rsidRPr="00DC7E72" w:rsidRDefault="000A4D34" w:rsidP="00AB0A23">
            <w:pPr>
              <w:spacing w:line="360" w:lineRule="auto"/>
              <w:rPr>
                <w:rFonts w:ascii="Times New Roman" w:hAnsi="Times New Roman" w:cs="Times New Roman"/>
                <w:sz w:val="22"/>
                <w:szCs w:val="22"/>
                <w:vertAlign w:val="superscript"/>
              </w:rPr>
            </w:pPr>
            <w:r w:rsidRPr="00DC7E72">
              <w:rPr>
                <w:rFonts w:ascii="Times New Roman" w:hAnsi="Times New Roman" w:cs="Times New Roman"/>
                <w:sz w:val="22"/>
                <w:szCs w:val="22"/>
              </w:rPr>
              <w:t>9 (66.7)</w:t>
            </w:r>
          </w:p>
        </w:tc>
        <w:tc>
          <w:tcPr>
            <w:tcW w:w="1701" w:type="dxa"/>
          </w:tcPr>
          <w:p w14:paraId="23A16224" w14:textId="77777777" w:rsidR="000A4D34" w:rsidRPr="00DC7E72" w:rsidRDefault="000A4D34" w:rsidP="00AB0A23">
            <w:pPr>
              <w:spacing w:line="360" w:lineRule="auto"/>
              <w:rPr>
                <w:rFonts w:ascii="Times New Roman" w:hAnsi="Times New Roman" w:cs="Times New Roman"/>
                <w:sz w:val="22"/>
                <w:szCs w:val="22"/>
              </w:rPr>
            </w:pPr>
            <w:r w:rsidRPr="00DC7E72">
              <w:rPr>
                <w:rFonts w:ascii="Times New Roman" w:hAnsi="Times New Roman" w:cs="Times New Roman"/>
                <w:sz w:val="22"/>
                <w:szCs w:val="22"/>
              </w:rPr>
              <w:t>6 (37.5)</w:t>
            </w:r>
          </w:p>
        </w:tc>
        <w:tc>
          <w:tcPr>
            <w:tcW w:w="1134" w:type="dxa"/>
          </w:tcPr>
          <w:p w14:paraId="013EBA5A" w14:textId="77777777" w:rsidR="000A4D34" w:rsidRPr="00DC7E72" w:rsidRDefault="000A4D34" w:rsidP="00AB0A23">
            <w:pPr>
              <w:spacing w:line="360" w:lineRule="auto"/>
              <w:rPr>
                <w:rFonts w:ascii="Times New Roman" w:hAnsi="Times New Roman" w:cs="Times New Roman"/>
                <w:sz w:val="22"/>
                <w:szCs w:val="22"/>
              </w:rPr>
            </w:pPr>
            <w:r w:rsidRPr="00DC7E72">
              <w:rPr>
                <w:rFonts w:ascii="Times New Roman" w:hAnsi="Times New Roman" w:cs="Times New Roman"/>
                <w:sz w:val="22"/>
                <w:szCs w:val="22"/>
              </w:rPr>
              <w:t>0.136</w:t>
            </w:r>
          </w:p>
        </w:tc>
      </w:tr>
      <w:tr w:rsidR="000A4D34" w:rsidRPr="00DC7E72" w14:paraId="20D5EE34" w14:textId="77777777" w:rsidTr="00461353">
        <w:trPr>
          <w:trHeight w:val="326"/>
        </w:trPr>
        <w:tc>
          <w:tcPr>
            <w:tcW w:w="1365" w:type="dxa"/>
          </w:tcPr>
          <w:p w14:paraId="646E98FF" w14:textId="44A3415E" w:rsidR="000A4D34" w:rsidRPr="00DC7E72" w:rsidRDefault="000A4D34" w:rsidP="00AB0A23">
            <w:pPr>
              <w:spacing w:line="360" w:lineRule="auto"/>
              <w:rPr>
                <w:rFonts w:ascii="Times New Roman" w:hAnsi="Times New Roman" w:cs="Times New Roman"/>
                <w:sz w:val="22"/>
                <w:szCs w:val="22"/>
              </w:rPr>
            </w:pPr>
            <w:r w:rsidRPr="00DC7E72">
              <w:rPr>
                <w:rFonts w:ascii="Times New Roman" w:hAnsi="Times New Roman" w:cs="Times New Roman"/>
                <w:sz w:val="22"/>
                <w:szCs w:val="22"/>
              </w:rPr>
              <w:t>Neurological disability</w:t>
            </w:r>
          </w:p>
        </w:tc>
        <w:tc>
          <w:tcPr>
            <w:tcW w:w="1754" w:type="dxa"/>
          </w:tcPr>
          <w:p w14:paraId="01F048EE" w14:textId="77777777" w:rsidR="000A4D34" w:rsidRPr="00DC7E72" w:rsidRDefault="000A4D34" w:rsidP="00AB0A23">
            <w:pPr>
              <w:spacing w:line="360" w:lineRule="auto"/>
              <w:rPr>
                <w:rFonts w:ascii="Times New Roman" w:hAnsi="Times New Roman" w:cs="Times New Roman"/>
                <w:sz w:val="22"/>
                <w:szCs w:val="22"/>
              </w:rPr>
            </w:pPr>
            <w:r w:rsidRPr="00DC7E72">
              <w:rPr>
                <w:rFonts w:ascii="Times New Roman" w:hAnsi="Times New Roman" w:cs="Times New Roman"/>
                <w:sz w:val="22"/>
                <w:szCs w:val="22"/>
              </w:rPr>
              <w:t>3 (25)</w:t>
            </w:r>
          </w:p>
        </w:tc>
        <w:tc>
          <w:tcPr>
            <w:tcW w:w="1701" w:type="dxa"/>
          </w:tcPr>
          <w:p w14:paraId="7A2A8137" w14:textId="77777777" w:rsidR="000A4D34" w:rsidRPr="00DC7E72" w:rsidRDefault="000A4D34" w:rsidP="00AB0A23">
            <w:pPr>
              <w:spacing w:line="360" w:lineRule="auto"/>
              <w:rPr>
                <w:rFonts w:ascii="Times New Roman" w:hAnsi="Times New Roman" w:cs="Times New Roman"/>
                <w:sz w:val="22"/>
                <w:szCs w:val="22"/>
              </w:rPr>
            </w:pPr>
            <w:r w:rsidRPr="00DC7E72">
              <w:rPr>
                <w:rFonts w:ascii="Times New Roman" w:hAnsi="Times New Roman" w:cs="Times New Roman"/>
                <w:sz w:val="22"/>
                <w:szCs w:val="22"/>
              </w:rPr>
              <w:t>3 (20)</w:t>
            </w:r>
          </w:p>
        </w:tc>
        <w:tc>
          <w:tcPr>
            <w:tcW w:w="1134" w:type="dxa"/>
          </w:tcPr>
          <w:p w14:paraId="4BAC0202" w14:textId="77777777" w:rsidR="000A4D34" w:rsidRPr="00DC7E72" w:rsidRDefault="000A4D34" w:rsidP="00AB0A23">
            <w:pPr>
              <w:spacing w:line="360" w:lineRule="auto"/>
              <w:rPr>
                <w:rFonts w:ascii="Times New Roman" w:hAnsi="Times New Roman" w:cs="Times New Roman"/>
                <w:sz w:val="22"/>
                <w:szCs w:val="22"/>
              </w:rPr>
            </w:pPr>
            <w:r w:rsidRPr="00DC7E72">
              <w:rPr>
                <w:rFonts w:ascii="Times New Roman" w:hAnsi="Times New Roman" w:cs="Times New Roman"/>
                <w:sz w:val="22"/>
                <w:szCs w:val="22"/>
              </w:rPr>
              <w:t>0.557</w:t>
            </w:r>
          </w:p>
        </w:tc>
      </w:tr>
    </w:tbl>
    <w:p w14:paraId="4BCB33D2" w14:textId="5279D847" w:rsidR="000A4D34" w:rsidRPr="00AB0A23" w:rsidRDefault="00C674F3" w:rsidP="00AB0A23">
      <w:pPr>
        <w:spacing w:line="360" w:lineRule="auto"/>
        <w:rPr>
          <w:rFonts w:ascii="Times New Roman" w:hAnsi="Times New Roman" w:cs="Times New Roman"/>
          <w:sz w:val="22"/>
          <w:szCs w:val="22"/>
        </w:rPr>
      </w:pPr>
      <w:r w:rsidRPr="00DC7E72">
        <w:rPr>
          <w:rFonts w:ascii="Times New Roman" w:hAnsi="Times New Roman" w:cs="Times New Roman"/>
          <w:sz w:val="22"/>
          <w:szCs w:val="22"/>
        </w:rPr>
        <w:t>*</w:t>
      </w:r>
      <w:r w:rsidRPr="00DC7E72">
        <w:rPr>
          <w:rFonts w:ascii="Times New Roman" w:hAnsi="Times New Roman" w:cs="Times New Roman"/>
          <w:i/>
          <w:iCs/>
          <w:sz w:val="22"/>
          <w:szCs w:val="22"/>
        </w:rPr>
        <w:t xml:space="preserve">n = </w:t>
      </w:r>
      <w:r w:rsidRPr="00DC7E72">
        <w:rPr>
          <w:rFonts w:ascii="Times New Roman" w:hAnsi="Times New Roman" w:cs="Times New Roman"/>
          <w:sz w:val="22"/>
          <w:szCs w:val="22"/>
        </w:rPr>
        <w:t xml:space="preserve">14; </w:t>
      </w:r>
      <w:r w:rsidRPr="00DC7E72">
        <w:rPr>
          <w:rFonts w:ascii="Times New Roman" w:eastAsia="Times New Roman" w:hAnsi="Times New Roman" w:cs="Times New Roman"/>
          <w:sz w:val="22"/>
          <w:szCs w:val="22"/>
          <w:vertAlign w:val="superscript"/>
          <w:lang w:eastAsia="en-GB"/>
        </w:rPr>
        <w:t>†</w:t>
      </w:r>
      <w:r w:rsidRPr="00DC7E72">
        <w:rPr>
          <w:rFonts w:ascii="Times New Roman" w:hAnsi="Times New Roman" w:cs="Times New Roman"/>
          <w:i/>
          <w:iCs/>
          <w:sz w:val="22"/>
          <w:szCs w:val="22"/>
        </w:rPr>
        <w:t xml:space="preserve">n = </w:t>
      </w:r>
      <w:r w:rsidRPr="00DC7E72">
        <w:rPr>
          <w:rFonts w:ascii="Times New Roman" w:hAnsi="Times New Roman" w:cs="Times New Roman"/>
          <w:sz w:val="22"/>
          <w:szCs w:val="22"/>
        </w:rPr>
        <w:t>1</w:t>
      </w:r>
      <w:r w:rsidR="00461353" w:rsidRPr="00DC7E72">
        <w:rPr>
          <w:rFonts w:ascii="Times New Roman" w:hAnsi="Times New Roman" w:cs="Times New Roman"/>
          <w:sz w:val="22"/>
          <w:szCs w:val="22"/>
        </w:rPr>
        <w:t>6;</w:t>
      </w:r>
      <w:r w:rsidRPr="00DC7E72">
        <w:rPr>
          <w:rFonts w:ascii="Times New Roman" w:hAnsi="Times New Roman" w:cs="Times New Roman"/>
          <w:sz w:val="22"/>
          <w:szCs w:val="22"/>
        </w:rPr>
        <w:t xml:space="preserve"> </w:t>
      </w:r>
      <w:r w:rsidR="00461353" w:rsidRPr="00DC7E72">
        <w:rPr>
          <w:rFonts w:ascii="Times New Roman" w:hAnsi="Times New Roman" w:cs="Times New Roman"/>
          <w:sz w:val="22"/>
          <w:szCs w:val="22"/>
          <w:vertAlign w:val="superscript"/>
        </w:rPr>
        <w:t>‡</w:t>
      </w:r>
      <w:r w:rsidR="00461353" w:rsidRPr="00DC7E72">
        <w:rPr>
          <w:rFonts w:ascii="Times New Roman" w:hAnsi="Times New Roman" w:cs="Times New Roman"/>
          <w:sz w:val="22"/>
          <w:szCs w:val="22"/>
        </w:rPr>
        <w:t>r</w:t>
      </w:r>
      <w:r w:rsidR="000A4D34" w:rsidRPr="00DC7E72">
        <w:rPr>
          <w:rFonts w:ascii="Times New Roman" w:hAnsi="Times New Roman" w:cs="Times New Roman"/>
          <w:sz w:val="22"/>
          <w:szCs w:val="22"/>
        </w:rPr>
        <w:t>efers to either endoscopic sinus surgery, frontal trephine or balloon sinuplasty</w:t>
      </w:r>
      <w:r w:rsidR="00461353" w:rsidRPr="00DC7E72">
        <w:rPr>
          <w:rFonts w:ascii="Times New Roman" w:hAnsi="Times New Roman" w:cs="Times New Roman"/>
          <w:sz w:val="22"/>
          <w:szCs w:val="22"/>
        </w:rPr>
        <w:t>; **c</w:t>
      </w:r>
      <w:r w:rsidR="000A4D34" w:rsidRPr="00DC7E72">
        <w:rPr>
          <w:rFonts w:ascii="Times New Roman" w:hAnsi="Times New Roman" w:cs="Times New Roman"/>
          <w:sz w:val="22"/>
          <w:szCs w:val="22"/>
        </w:rPr>
        <w:t>hi-square test or Fisher’s exact test</w:t>
      </w:r>
    </w:p>
    <w:p w14:paraId="03ECA321" w14:textId="77777777" w:rsidR="000A4D34" w:rsidRPr="00AB0A23" w:rsidRDefault="000A4D34" w:rsidP="00AB0A23">
      <w:pPr>
        <w:widowControl w:val="0"/>
        <w:autoSpaceDE w:val="0"/>
        <w:autoSpaceDN w:val="0"/>
        <w:adjustRightInd w:val="0"/>
        <w:spacing w:line="360" w:lineRule="auto"/>
        <w:ind w:left="640" w:hanging="640"/>
        <w:rPr>
          <w:rFonts w:ascii="Times New Roman" w:eastAsia="Times New Roman" w:hAnsi="Times New Roman" w:cs="Times New Roman"/>
          <w:sz w:val="22"/>
          <w:szCs w:val="22"/>
          <w:lang w:eastAsia="en-GB"/>
        </w:rPr>
      </w:pPr>
    </w:p>
    <w:sectPr w:rsidR="000A4D34" w:rsidRPr="00AB0A23" w:rsidSect="00AB0A23">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115A" w14:textId="77777777" w:rsidR="00064D45" w:rsidRDefault="00064D45" w:rsidP="00490FEF">
      <w:r>
        <w:separator/>
      </w:r>
    </w:p>
  </w:endnote>
  <w:endnote w:type="continuationSeparator" w:id="0">
    <w:p w14:paraId="64776ACE" w14:textId="77777777" w:rsidR="00064D45" w:rsidRDefault="00064D45" w:rsidP="0049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7612646"/>
      <w:docPartObj>
        <w:docPartGallery w:val="Page Numbers (Bottom of Page)"/>
        <w:docPartUnique/>
      </w:docPartObj>
    </w:sdtPr>
    <w:sdtEndPr>
      <w:rPr>
        <w:rStyle w:val="PageNumber"/>
      </w:rPr>
    </w:sdtEndPr>
    <w:sdtContent>
      <w:p w14:paraId="38690C34" w14:textId="4C8AEC4C" w:rsidR="009E1AF1" w:rsidRDefault="009E1AF1" w:rsidP="00901F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EE8B75" w14:textId="77777777" w:rsidR="009E1AF1" w:rsidRDefault="009E1AF1" w:rsidP="00490F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870C" w14:textId="77777777" w:rsidR="009E1AF1" w:rsidRDefault="009E1AF1" w:rsidP="00490F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0D90" w14:textId="77777777" w:rsidR="00064D45" w:rsidRDefault="00064D45" w:rsidP="00490FEF">
      <w:r>
        <w:separator/>
      </w:r>
    </w:p>
  </w:footnote>
  <w:footnote w:type="continuationSeparator" w:id="0">
    <w:p w14:paraId="72DE98B8" w14:textId="77777777" w:rsidR="00064D45" w:rsidRDefault="00064D45" w:rsidP="00490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6A7"/>
    <w:multiLevelType w:val="hybridMultilevel"/>
    <w:tmpl w:val="0D049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D6D95"/>
    <w:multiLevelType w:val="hybridMultilevel"/>
    <w:tmpl w:val="8622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D5CC0"/>
    <w:multiLevelType w:val="hybridMultilevel"/>
    <w:tmpl w:val="EBDA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A756E"/>
    <w:multiLevelType w:val="hybridMultilevel"/>
    <w:tmpl w:val="AB92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06558"/>
    <w:multiLevelType w:val="hybridMultilevel"/>
    <w:tmpl w:val="3600EB9C"/>
    <w:lvl w:ilvl="0" w:tplc="221E38C4">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87789D"/>
    <w:multiLevelType w:val="hybridMultilevel"/>
    <w:tmpl w:val="5CC68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6579654">
    <w:abstractNumId w:val="4"/>
  </w:num>
  <w:num w:numId="2" w16cid:durableId="124784535">
    <w:abstractNumId w:val="1"/>
  </w:num>
  <w:num w:numId="3" w16cid:durableId="69929506">
    <w:abstractNumId w:val="2"/>
  </w:num>
  <w:num w:numId="4" w16cid:durableId="1705205933">
    <w:abstractNumId w:val="5"/>
  </w:num>
  <w:num w:numId="5" w16cid:durableId="1571424063">
    <w:abstractNumId w:val="3"/>
  </w:num>
  <w:num w:numId="6" w16cid:durableId="1878934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964"/>
    <w:rsid w:val="00000CDE"/>
    <w:rsid w:val="0000312B"/>
    <w:rsid w:val="0000331C"/>
    <w:rsid w:val="00006F44"/>
    <w:rsid w:val="00007D97"/>
    <w:rsid w:val="000154C7"/>
    <w:rsid w:val="0001599C"/>
    <w:rsid w:val="0002035E"/>
    <w:rsid w:val="00022EB2"/>
    <w:rsid w:val="00025001"/>
    <w:rsid w:val="00034786"/>
    <w:rsid w:val="00041B69"/>
    <w:rsid w:val="0004302A"/>
    <w:rsid w:val="00045193"/>
    <w:rsid w:val="0004552E"/>
    <w:rsid w:val="00047310"/>
    <w:rsid w:val="00054222"/>
    <w:rsid w:val="00063DF2"/>
    <w:rsid w:val="00064D1E"/>
    <w:rsid w:val="00064D45"/>
    <w:rsid w:val="00067FCC"/>
    <w:rsid w:val="00080B07"/>
    <w:rsid w:val="00081EAC"/>
    <w:rsid w:val="00082155"/>
    <w:rsid w:val="00083D5E"/>
    <w:rsid w:val="00084741"/>
    <w:rsid w:val="000915EA"/>
    <w:rsid w:val="000927CC"/>
    <w:rsid w:val="000A2E88"/>
    <w:rsid w:val="000A4D34"/>
    <w:rsid w:val="000B15FE"/>
    <w:rsid w:val="000B315F"/>
    <w:rsid w:val="000B52FA"/>
    <w:rsid w:val="000C0821"/>
    <w:rsid w:val="000C5DB4"/>
    <w:rsid w:val="000C6DF0"/>
    <w:rsid w:val="000D35FD"/>
    <w:rsid w:val="000D6908"/>
    <w:rsid w:val="000E1C66"/>
    <w:rsid w:val="000E1DA4"/>
    <w:rsid w:val="000E258F"/>
    <w:rsid w:val="000E2F15"/>
    <w:rsid w:val="000E3DDC"/>
    <w:rsid w:val="000E3EA5"/>
    <w:rsid w:val="000E41EB"/>
    <w:rsid w:val="000E4BF1"/>
    <w:rsid w:val="000E666F"/>
    <w:rsid w:val="000F0AE2"/>
    <w:rsid w:val="000F3719"/>
    <w:rsid w:val="000F5C6A"/>
    <w:rsid w:val="000F6206"/>
    <w:rsid w:val="001005A2"/>
    <w:rsid w:val="0010100C"/>
    <w:rsid w:val="00112911"/>
    <w:rsid w:val="00113387"/>
    <w:rsid w:val="001221E3"/>
    <w:rsid w:val="00126159"/>
    <w:rsid w:val="001261F7"/>
    <w:rsid w:val="00126B7E"/>
    <w:rsid w:val="00130964"/>
    <w:rsid w:val="00131354"/>
    <w:rsid w:val="00131BAE"/>
    <w:rsid w:val="001339EC"/>
    <w:rsid w:val="00135380"/>
    <w:rsid w:val="00136004"/>
    <w:rsid w:val="00136865"/>
    <w:rsid w:val="00137D0B"/>
    <w:rsid w:val="001433A2"/>
    <w:rsid w:val="00144C4F"/>
    <w:rsid w:val="00144D9C"/>
    <w:rsid w:val="001509BC"/>
    <w:rsid w:val="001537E6"/>
    <w:rsid w:val="001551E9"/>
    <w:rsid w:val="001551F5"/>
    <w:rsid w:val="00157802"/>
    <w:rsid w:val="00164CB6"/>
    <w:rsid w:val="00165677"/>
    <w:rsid w:val="00165AB0"/>
    <w:rsid w:val="0017404D"/>
    <w:rsid w:val="00177807"/>
    <w:rsid w:val="00180E91"/>
    <w:rsid w:val="00184070"/>
    <w:rsid w:val="001843E4"/>
    <w:rsid w:val="0018569E"/>
    <w:rsid w:val="00195BE8"/>
    <w:rsid w:val="001A37F2"/>
    <w:rsid w:val="001A4EDD"/>
    <w:rsid w:val="001B2341"/>
    <w:rsid w:val="001B36D6"/>
    <w:rsid w:val="001B6B93"/>
    <w:rsid w:val="001C040A"/>
    <w:rsid w:val="001C27DF"/>
    <w:rsid w:val="001C28D1"/>
    <w:rsid w:val="001D1941"/>
    <w:rsid w:val="001D2D41"/>
    <w:rsid w:val="001D4417"/>
    <w:rsid w:val="001D5AA5"/>
    <w:rsid w:val="001D6F55"/>
    <w:rsid w:val="001E0255"/>
    <w:rsid w:val="001E5B94"/>
    <w:rsid w:val="001E7D99"/>
    <w:rsid w:val="001F1A3D"/>
    <w:rsid w:val="001F5B48"/>
    <w:rsid w:val="00203667"/>
    <w:rsid w:val="00203DC2"/>
    <w:rsid w:val="00206419"/>
    <w:rsid w:val="00207D7A"/>
    <w:rsid w:val="00212369"/>
    <w:rsid w:val="0021251A"/>
    <w:rsid w:val="00212B44"/>
    <w:rsid w:val="0021472C"/>
    <w:rsid w:val="00217CDE"/>
    <w:rsid w:val="002222AA"/>
    <w:rsid w:val="002226DF"/>
    <w:rsid w:val="002261FA"/>
    <w:rsid w:val="0022706C"/>
    <w:rsid w:val="00227296"/>
    <w:rsid w:val="00227336"/>
    <w:rsid w:val="00233C69"/>
    <w:rsid w:val="00234CCF"/>
    <w:rsid w:val="00244B86"/>
    <w:rsid w:val="00244CC2"/>
    <w:rsid w:val="00245117"/>
    <w:rsid w:val="00247820"/>
    <w:rsid w:val="00251738"/>
    <w:rsid w:val="00251C95"/>
    <w:rsid w:val="00253AEE"/>
    <w:rsid w:val="00257C0F"/>
    <w:rsid w:val="0026027E"/>
    <w:rsid w:val="0026094F"/>
    <w:rsid w:val="00264C39"/>
    <w:rsid w:val="00273CAA"/>
    <w:rsid w:val="002765F1"/>
    <w:rsid w:val="00277D64"/>
    <w:rsid w:val="0028133A"/>
    <w:rsid w:val="00291D0F"/>
    <w:rsid w:val="002939B1"/>
    <w:rsid w:val="002A0DA6"/>
    <w:rsid w:val="002A44DC"/>
    <w:rsid w:val="002A4C59"/>
    <w:rsid w:val="002A7FE5"/>
    <w:rsid w:val="002B2871"/>
    <w:rsid w:val="002B5AD4"/>
    <w:rsid w:val="002C34A7"/>
    <w:rsid w:val="002C3D62"/>
    <w:rsid w:val="002C48BA"/>
    <w:rsid w:val="002C59B7"/>
    <w:rsid w:val="002D00C0"/>
    <w:rsid w:val="002D3661"/>
    <w:rsid w:val="002D3C2C"/>
    <w:rsid w:val="002D6621"/>
    <w:rsid w:val="002E3312"/>
    <w:rsid w:val="002E3D94"/>
    <w:rsid w:val="002E5288"/>
    <w:rsid w:val="002E549E"/>
    <w:rsid w:val="002E77FD"/>
    <w:rsid w:val="002F0144"/>
    <w:rsid w:val="002F0749"/>
    <w:rsid w:val="002F15C0"/>
    <w:rsid w:val="003035DC"/>
    <w:rsid w:val="00305F27"/>
    <w:rsid w:val="003168D0"/>
    <w:rsid w:val="00320FA0"/>
    <w:rsid w:val="0032167F"/>
    <w:rsid w:val="00322288"/>
    <w:rsid w:val="00323187"/>
    <w:rsid w:val="003253D4"/>
    <w:rsid w:val="00333852"/>
    <w:rsid w:val="00333F0A"/>
    <w:rsid w:val="00334E15"/>
    <w:rsid w:val="003351F9"/>
    <w:rsid w:val="003354F9"/>
    <w:rsid w:val="003365F1"/>
    <w:rsid w:val="00336EF0"/>
    <w:rsid w:val="00337A7C"/>
    <w:rsid w:val="00341B6F"/>
    <w:rsid w:val="003445FF"/>
    <w:rsid w:val="00344F06"/>
    <w:rsid w:val="00346581"/>
    <w:rsid w:val="00350E2A"/>
    <w:rsid w:val="003566D4"/>
    <w:rsid w:val="00356DB6"/>
    <w:rsid w:val="0036314C"/>
    <w:rsid w:val="00364427"/>
    <w:rsid w:val="003656B7"/>
    <w:rsid w:val="00366494"/>
    <w:rsid w:val="00370C15"/>
    <w:rsid w:val="0037101B"/>
    <w:rsid w:val="00371043"/>
    <w:rsid w:val="00376D02"/>
    <w:rsid w:val="003771AF"/>
    <w:rsid w:val="00377B13"/>
    <w:rsid w:val="003811D9"/>
    <w:rsid w:val="00387F44"/>
    <w:rsid w:val="00392373"/>
    <w:rsid w:val="0039391F"/>
    <w:rsid w:val="003A6BD0"/>
    <w:rsid w:val="003A708D"/>
    <w:rsid w:val="003B188A"/>
    <w:rsid w:val="003B34DE"/>
    <w:rsid w:val="003B38DD"/>
    <w:rsid w:val="003B4601"/>
    <w:rsid w:val="003B4A96"/>
    <w:rsid w:val="003B530B"/>
    <w:rsid w:val="003B6FA5"/>
    <w:rsid w:val="003C67AC"/>
    <w:rsid w:val="003D0E76"/>
    <w:rsid w:val="003D324A"/>
    <w:rsid w:val="003E6E60"/>
    <w:rsid w:val="003E6FDC"/>
    <w:rsid w:val="003F181D"/>
    <w:rsid w:val="003F3ACF"/>
    <w:rsid w:val="003F5F47"/>
    <w:rsid w:val="0040323C"/>
    <w:rsid w:val="004042AC"/>
    <w:rsid w:val="004157A3"/>
    <w:rsid w:val="0042131A"/>
    <w:rsid w:val="004217AD"/>
    <w:rsid w:val="00425049"/>
    <w:rsid w:val="004263AA"/>
    <w:rsid w:val="00426BAA"/>
    <w:rsid w:val="004373EF"/>
    <w:rsid w:val="00437CAA"/>
    <w:rsid w:val="00443CBA"/>
    <w:rsid w:val="00445AAF"/>
    <w:rsid w:val="00445E5F"/>
    <w:rsid w:val="004466BA"/>
    <w:rsid w:val="00450144"/>
    <w:rsid w:val="00454F8B"/>
    <w:rsid w:val="0045649D"/>
    <w:rsid w:val="0045718F"/>
    <w:rsid w:val="00460A54"/>
    <w:rsid w:val="00461353"/>
    <w:rsid w:val="004626AC"/>
    <w:rsid w:val="00465195"/>
    <w:rsid w:val="00470068"/>
    <w:rsid w:val="004753EF"/>
    <w:rsid w:val="00477F1F"/>
    <w:rsid w:val="00480B48"/>
    <w:rsid w:val="004820EC"/>
    <w:rsid w:val="00486333"/>
    <w:rsid w:val="00490D2D"/>
    <w:rsid w:val="00490F0D"/>
    <w:rsid w:val="00490FEF"/>
    <w:rsid w:val="00493969"/>
    <w:rsid w:val="0049509B"/>
    <w:rsid w:val="004A4F4B"/>
    <w:rsid w:val="004A590E"/>
    <w:rsid w:val="004A664C"/>
    <w:rsid w:val="004A6B79"/>
    <w:rsid w:val="004A6B7E"/>
    <w:rsid w:val="004B141E"/>
    <w:rsid w:val="004B55AD"/>
    <w:rsid w:val="004B71F3"/>
    <w:rsid w:val="004C08AD"/>
    <w:rsid w:val="004C0A78"/>
    <w:rsid w:val="004C24A6"/>
    <w:rsid w:val="004C37B7"/>
    <w:rsid w:val="004D0BD5"/>
    <w:rsid w:val="004D2435"/>
    <w:rsid w:val="004D2B6F"/>
    <w:rsid w:val="004E534F"/>
    <w:rsid w:val="004E5579"/>
    <w:rsid w:val="004E71C6"/>
    <w:rsid w:val="004F1EC5"/>
    <w:rsid w:val="004F24E5"/>
    <w:rsid w:val="004F3AF1"/>
    <w:rsid w:val="00500EE0"/>
    <w:rsid w:val="00501C81"/>
    <w:rsid w:val="0050241F"/>
    <w:rsid w:val="00503D62"/>
    <w:rsid w:val="0050432F"/>
    <w:rsid w:val="005069B1"/>
    <w:rsid w:val="0051256C"/>
    <w:rsid w:val="00514206"/>
    <w:rsid w:val="0051481F"/>
    <w:rsid w:val="00516856"/>
    <w:rsid w:val="0052339E"/>
    <w:rsid w:val="00527B4E"/>
    <w:rsid w:val="00530463"/>
    <w:rsid w:val="005369BA"/>
    <w:rsid w:val="0053713F"/>
    <w:rsid w:val="0054258F"/>
    <w:rsid w:val="005451C1"/>
    <w:rsid w:val="005459DD"/>
    <w:rsid w:val="005518A8"/>
    <w:rsid w:val="00557523"/>
    <w:rsid w:val="00561309"/>
    <w:rsid w:val="005650FF"/>
    <w:rsid w:val="00566A97"/>
    <w:rsid w:val="005672BB"/>
    <w:rsid w:val="00570442"/>
    <w:rsid w:val="00574E57"/>
    <w:rsid w:val="00576BD0"/>
    <w:rsid w:val="00577B90"/>
    <w:rsid w:val="00580EA3"/>
    <w:rsid w:val="0058210F"/>
    <w:rsid w:val="005832E7"/>
    <w:rsid w:val="00584276"/>
    <w:rsid w:val="005850A6"/>
    <w:rsid w:val="00591521"/>
    <w:rsid w:val="005927CE"/>
    <w:rsid w:val="00593F1E"/>
    <w:rsid w:val="005A1A09"/>
    <w:rsid w:val="005A2229"/>
    <w:rsid w:val="005A4101"/>
    <w:rsid w:val="005A6364"/>
    <w:rsid w:val="005B4E2E"/>
    <w:rsid w:val="005B5FA5"/>
    <w:rsid w:val="005C1C43"/>
    <w:rsid w:val="005D0C66"/>
    <w:rsid w:val="005D50F8"/>
    <w:rsid w:val="005E1A97"/>
    <w:rsid w:val="005E312F"/>
    <w:rsid w:val="005E6883"/>
    <w:rsid w:val="005E6CFC"/>
    <w:rsid w:val="005F01B6"/>
    <w:rsid w:val="005F26E5"/>
    <w:rsid w:val="005F5101"/>
    <w:rsid w:val="00600FCF"/>
    <w:rsid w:val="006032F0"/>
    <w:rsid w:val="006033F9"/>
    <w:rsid w:val="00604292"/>
    <w:rsid w:val="00607C84"/>
    <w:rsid w:val="0061024E"/>
    <w:rsid w:val="00613880"/>
    <w:rsid w:val="00617992"/>
    <w:rsid w:val="00617B4A"/>
    <w:rsid w:val="00621237"/>
    <w:rsid w:val="00621745"/>
    <w:rsid w:val="006248F0"/>
    <w:rsid w:val="006263B1"/>
    <w:rsid w:val="006272B3"/>
    <w:rsid w:val="006305A0"/>
    <w:rsid w:val="006306DE"/>
    <w:rsid w:val="00631E39"/>
    <w:rsid w:val="006403D6"/>
    <w:rsid w:val="006451A9"/>
    <w:rsid w:val="00654750"/>
    <w:rsid w:val="00654E98"/>
    <w:rsid w:val="00657A60"/>
    <w:rsid w:val="00660A56"/>
    <w:rsid w:val="00660A97"/>
    <w:rsid w:val="006610A5"/>
    <w:rsid w:val="00661AC6"/>
    <w:rsid w:val="00661DB6"/>
    <w:rsid w:val="006644D5"/>
    <w:rsid w:val="006667F8"/>
    <w:rsid w:val="006672A0"/>
    <w:rsid w:val="006739EE"/>
    <w:rsid w:val="00681076"/>
    <w:rsid w:val="0068176B"/>
    <w:rsid w:val="006827D6"/>
    <w:rsid w:val="00683B01"/>
    <w:rsid w:val="00691A29"/>
    <w:rsid w:val="00693389"/>
    <w:rsid w:val="006934F2"/>
    <w:rsid w:val="00696A85"/>
    <w:rsid w:val="00696C21"/>
    <w:rsid w:val="006A4FFC"/>
    <w:rsid w:val="006A5663"/>
    <w:rsid w:val="006A671F"/>
    <w:rsid w:val="006A72F8"/>
    <w:rsid w:val="006B10F5"/>
    <w:rsid w:val="006B444C"/>
    <w:rsid w:val="006B4CB6"/>
    <w:rsid w:val="006B4CF6"/>
    <w:rsid w:val="006B7DD4"/>
    <w:rsid w:val="006C2A2C"/>
    <w:rsid w:val="006C6CF0"/>
    <w:rsid w:val="006D1652"/>
    <w:rsid w:val="006D4B55"/>
    <w:rsid w:val="006D54DB"/>
    <w:rsid w:val="006D78B0"/>
    <w:rsid w:val="006D7AF6"/>
    <w:rsid w:val="006E034A"/>
    <w:rsid w:val="006E419B"/>
    <w:rsid w:val="006E5110"/>
    <w:rsid w:val="006F0C21"/>
    <w:rsid w:val="006F367A"/>
    <w:rsid w:val="006F459F"/>
    <w:rsid w:val="00703032"/>
    <w:rsid w:val="00705069"/>
    <w:rsid w:val="00710C5F"/>
    <w:rsid w:val="00711FC2"/>
    <w:rsid w:val="00712A75"/>
    <w:rsid w:val="00714CD1"/>
    <w:rsid w:val="00714DCC"/>
    <w:rsid w:val="0071767A"/>
    <w:rsid w:val="0072712F"/>
    <w:rsid w:val="00727A3B"/>
    <w:rsid w:val="00727B84"/>
    <w:rsid w:val="00732A60"/>
    <w:rsid w:val="007338CB"/>
    <w:rsid w:val="0074086F"/>
    <w:rsid w:val="00740BDC"/>
    <w:rsid w:val="007419D9"/>
    <w:rsid w:val="00752C70"/>
    <w:rsid w:val="00761F2D"/>
    <w:rsid w:val="007666CF"/>
    <w:rsid w:val="00766709"/>
    <w:rsid w:val="007724A4"/>
    <w:rsid w:val="00774883"/>
    <w:rsid w:val="00785B37"/>
    <w:rsid w:val="007901AD"/>
    <w:rsid w:val="00792689"/>
    <w:rsid w:val="00793D0B"/>
    <w:rsid w:val="00794DEF"/>
    <w:rsid w:val="007973AD"/>
    <w:rsid w:val="007A19C4"/>
    <w:rsid w:val="007A39AD"/>
    <w:rsid w:val="007B11A0"/>
    <w:rsid w:val="007B1AB3"/>
    <w:rsid w:val="007B3A8C"/>
    <w:rsid w:val="007B627D"/>
    <w:rsid w:val="007B7899"/>
    <w:rsid w:val="007C04DF"/>
    <w:rsid w:val="007D3180"/>
    <w:rsid w:val="007D47AC"/>
    <w:rsid w:val="007D6E0F"/>
    <w:rsid w:val="007E05A8"/>
    <w:rsid w:val="007E42B2"/>
    <w:rsid w:val="007E4B94"/>
    <w:rsid w:val="007F065A"/>
    <w:rsid w:val="007F32AC"/>
    <w:rsid w:val="007F4FCB"/>
    <w:rsid w:val="008000B6"/>
    <w:rsid w:val="0080040A"/>
    <w:rsid w:val="00805C4C"/>
    <w:rsid w:val="0080685F"/>
    <w:rsid w:val="0081045D"/>
    <w:rsid w:val="0081670F"/>
    <w:rsid w:val="00822097"/>
    <w:rsid w:val="00823426"/>
    <w:rsid w:val="00825003"/>
    <w:rsid w:val="00827632"/>
    <w:rsid w:val="008304D2"/>
    <w:rsid w:val="00832A7D"/>
    <w:rsid w:val="00834B8A"/>
    <w:rsid w:val="00836EFB"/>
    <w:rsid w:val="008404EE"/>
    <w:rsid w:val="0084204C"/>
    <w:rsid w:val="008440C3"/>
    <w:rsid w:val="00846748"/>
    <w:rsid w:val="008514D8"/>
    <w:rsid w:val="008556F1"/>
    <w:rsid w:val="00861E4C"/>
    <w:rsid w:val="008630F1"/>
    <w:rsid w:val="00864CC8"/>
    <w:rsid w:val="00864D10"/>
    <w:rsid w:val="00870D08"/>
    <w:rsid w:val="00870E55"/>
    <w:rsid w:val="0087261D"/>
    <w:rsid w:val="00894964"/>
    <w:rsid w:val="008A49B6"/>
    <w:rsid w:val="008A524D"/>
    <w:rsid w:val="008B3A32"/>
    <w:rsid w:val="008B75C4"/>
    <w:rsid w:val="008B760B"/>
    <w:rsid w:val="008C3812"/>
    <w:rsid w:val="008C3D2A"/>
    <w:rsid w:val="008C59FB"/>
    <w:rsid w:val="008D5FE4"/>
    <w:rsid w:val="008D6411"/>
    <w:rsid w:val="008D6D73"/>
    <w:rsid w:val="008E15DE"/>
    <w:rsid w:val="008E2193"/>
    <w:rsid w:val="008E6669"/>
    <w:rsid w:val="008E7AFC"/>
    <w:rsid w:val="008F0705"/>
    <w:rsid w:val="00901FC6"/>
    <w:rsid w:val="00904EB9"/>
    <w:rsid w:val="00905B36"/>
    <w:rsid w:val="009112E4"/>
    <w:rsid w:val="00912241"/>
    <w:rsid w:val="00913404"/>
    <w:rsid w:val="009238D7"/>
    <w:rsid w:val="00923EEC"/>
    <w:rsid w:val="009271A3"/>
    <w:rsid w:val="00927D2E"/>
    <w:rsid w:val="00933239"/>
    <w:rsid w:val="009452AB"/>
    <w:rsid w:val="00946692"/>
    <w:rsid w:val="0095289B"/>
    <w:rsid w:val="00953909"/>
    <w:rsid w:val="00953AB4"/>
    <w:rsid w:val="00956625"/>
    <w:rsid w:val="009646DE"/>
    <w:rsid w:val="009650FC"/>
    <w:rsid w:val="0097553A"/>
    <w:rsid w:val="00975E9B"/>
    <w:rsid w:val="00976A11"/>
    <w:rsid w:val="009771B7"/>
    <w:rsid w:val="009812DE"/>
    <w:rsid w:val="00984266"/>
    <w:rsid w:val="00987DD7"/>
    <w:rsid w:val="009A4299"/>
    <w:rsid w:val="009A72E2"/>
    <w:rsid w:val="009B3A46"/>
    <w:rsid w:val="009B4276"/>
    <w:rsid w:val="009B43C2"/>
    <w:rsid w:val="009B4832"/>
    <w:rsid w:val="009B6591"/>
    <w:rsid w:val="009C18F8"/>
    <w:rsid w:val="009C26F9"/>
    <w:rsid w:val="009C4E63"/>
    <w:rsid w:val="009C59DC"/>
    <w:rsid w:val="009D0008"/>
    <w:rsid w:val="009D0E17"/>
    <w:rsid w:val="009D1828"/>
    <w:rsid w:val="009D2819"/>
    <w:rsid w:val="009D5C9E"/>
    <w:rsid w:val="009E0DA9"/>
    <w:rsid w:val="009E1A40"/>
    <w:rsid w:val="009E1AF1"/>
    <w:rsid w:val="009E62F1"/>
    <w:rsid w:val="009E6BE5"/>
    <w:rsid w:val="009F01EA"/>
    <w:rsid w:val="009F2618"/>
    <w:rsid w:val="009F58BF"/>
    <w:rsid w:val="009F7316"/>
    <w:rsid w:val="00A01E71"/>
    <w:rsid w:val="00A07ADC"/>
    <w:rsid w:val="00A108A3"/>
    <w:rsid w:val="00A20F6A"/>
    <w:rsid w:val="00A234BC"/>
    <w:rsid w:val="00A26692"/>
    <w:rsid w:val="00A275AA"/>
    <w:rsid w:val="00A32869"/>
    <w:rsid w:val="00A34A74"/>
    <w:rsid w:val="00A36604"/>
    <w:rsid w:val="00A368E4"/>
    <w:rsid w:val="00A36E8E"/>
    <w:rsid w:val="00A37D71"/>
    <w:rsid w:val="00A40BE2"/>
    <w:rsid w:val="00A41751"/>
    <w:rsid w:val="00A41D38"/>
    <w:rsid w:val="00A4398C"/>
    <w:rsid w:val="00A439F9"/>
    <w:rsid w:val="00A4508D"/>
    <w:rsid w:val="00A4685B"/>
    <w:rsid w:val="00A4686C"/>
    <w:rsid w:val="00A47CE6"/>
    <w:rsid w:val="00A50DFD"/>
    <w:rsid w:val="00A51834"/>
    <w:rsid w:val="00A534C3"/>
    <w:rsid w:val="00A558CC"/>
    <w:rsid w:val="00A55D44"/>
    <w:rsid w:val="00A56E3A"/>
    <w:rsid w:val="00A62651"/>
    <w:rsid w:val="00A63433"/>
    <w:rsid w:val="00A6718F"/>
    <w:rsid w:val="00A67650"/>
    <w:rsid w:val="00A67F06"/>
    <w:rsid w:val="00A72EE9"/>
    <w:rsid w:val="00A7789D"/>
    <w:rsid w:val="00A82196"/>
    <w:rsid w:val="00A93342"/>
    <w:rsid w:val="00A95606"/>
    <w:rsid w:val="00AB0A23"/>
    <w:rsid w:val="00AB2359"/>
    <w:rsid w:val="00AB74AC"/>
    <w:rsid w:val="00AC137C"/>
    <w:rsid w:val="00AC2FBC"/>
    <w:rsid w:val="00AD21E7"/>
    <w:rsid w:val="00AD335D"/>
    <w:rsid w:val="00AD5A41"/>
    <w:rsid w:val="00AD5FA9"/>
    <w:rsid w:val="00AE230E"/>
    <w:rsid w:val="00AE2AB7"/>
    <w:rsid w:val="00AE2ACF"/>
    <w:rsid w:val="00AE3FFA"/>
    <w:rsid w:val="00AE4C9D"/>
    <w:rsid w:val="00AE5A83"/>
    <w:rsid w:val="00AE6EAD"/>
    <w:rsid w:val="00AE7302"/>
    <w:rsid w:val="00AF0088"/>
    <w:rsid w:val="00AF1391"/>
    <w:rsid w:val="00B02548"/>
    <w:rsid w:val="00B06994"/>
    <w:rsid w:val="00B077BC"/>
    <w:rsid w:val="00B10EB4"/>
    <w:rsid w:val="00B11C22"/>
    <w:rsid w:val="00B154B3"/>
    <w:rsid w:val="00B21E64"/>
    <w:rsid w:val="00B23519"/>
    <w:rsid w:val="00B239AE"/>
    <w:rsid w:val="00B24895"/>
    <w:rsid w:val="00B26020"/>
    <w:rsid w:val="00B306C5"/>
    <w:rsid w:val="00B325C3"/>
    <w:rsid w:val="00B37B03"/>
    <w:rsid w:val="00B402CD"/>
    <w:rsid w:val="00B41C7C"/>
    <w:rsid w:val="00B42B1B"/>
    <w:rsid w:val="00B42DF9"/>
    <w:rsid w:val="00B442CC"/>
    <w:rsid w:val="00B50699"/>
    <w:rsid w:val="00B51369"/>
    <w:rsid w:val="00B51BD0"/>
    <w:rsid w:val="00B5205A"/>
    <w:rsid w:val="00B55515"/>
    <w:rsid w:val="00B579D8"/>
    <w:rsid w:val="00B61074"/>
    <w:rsid w:val="00B62592"/>
    <w:rsid w:val="00B62C1F"/>
    <w:rsid w:val="00B63AFC"/>
    <w:rsid w:val="00B640C7"/>
    <w:rsid w:val="00B64149"/>
    <w:rsid w:val="00B64D73"/>
    <w:rsid w:val="00B653C9"/>
    <w:rsid w:val="00B65947"/>
    <w:rsid w:val="00B67D17"/>
    <w:rsid w:val="00B735C6"/>
    <w:rsid w:val="00B73640"/>
    <w:rsid w:val="00B73F64"/>
    <w:rsid w:val="00B77269"/>
    <w:rsid w:val="00B81803"/>
    <w:rsid w:val="00B828C1"/>
    <w:rsid w:val="00B82FDF"/>
    <w:rsid w:val="00B8560B"/>
    <w:rsid w:val="00B87F6D"/>
    <w:rsid w:val="00B9471A"/>
    <w:rsid w:val="00B971C1"/>
    <w:rsid w:val="00BA0893"/>
    <w:rsid w:val="00BA0DA1"/>
    <w:rsid w:val="00BA328E"/>
    <w:rsid w:val="00BA3FE6"/>
    <w:rsid w:val="00BA61AA"/>
    <w:rsid w:val="00BA63CA"/>
    <w:rsid w:val="00BA6E73"/>
    <w:rsid w:val="00BA7DE1"/>
    <w:rsid w:val="00BB159B"/>
    <w:rsid w:val="00BB1EAE"/>
    <w:rsid w:val="00BB2D6D"/>
    <w:rsid w:val="00BB4CA2"/>
    <w:rsid w:val="00BB635B"/>
    <w:rsid w:val="00BB7161"/>
    <w:rsid w:val="00BB79B6"/>
    <w:rsid w:val="00BC0417"/>
    <w:rsid w:val="00BC1E8E"/>
    <w:rsid w:val="00BC5A1A"/>
    <w:rsid w:val="00BD1301"/>
    <w:rsid w:val="00BD132F"/>
    <w:rsid w:val="00BD6408"/>
    <w:rsid w:val="00BE5F82"/>
    <w:rsid w:val="00BE727D"/>
    <w:rsid w:val="00BF0D28"/>
    <w:rsid w:val="00BF2B10"/>
    <w:rsid w:val="00BF31F7"/>
    <w:rsid w:val="00C05905"/>
    <w:rsid w:val="00C07C32"/>
    <w:rsid w:val="00C07E4F"/>
    <w:rsid w:val="00C11D9D"/>
    <w:rsid w:val="00C144F5"/>
    <w:rsid w:val="00C1473F"/>
    <w:rsid w:val="00C152B0"/>
    <w:rsid w:val="00C15876"/>
    <w:rsid w:val="00C1655A"/>
    <w:rsid w:val="00C21B28"/>
    <w:rsid w:val="00C27DB3"/>
    <w:rsid w:val="00C31BC7"/>
    <w:rsid w:val="00C32E1C"/>
    <w:rsid w:val="00C337FC"/>
    <w:rsid w:val="00C33E23"/>
    <w:rsid w:val="00C35F8E"/>
    <w:rsid w:val="00C40092"/>
    <w:rsid w:val="00C51E67"/>
    <w:rsid w:val="00C5769A"/>
    <w:rsid w:val="00C621D8"/>
    <w:rsid w:val="00C674F3"/>
    <w:rsid w:val="00C741FB"/>
    <w:rsid w:val="00C7677F"/>
    <w:rsid w:val="00C76CF5"/>
    <w:rsid w:val="00C85276"/>
    <w:rsid w:val="00C859B0"/>
    <w:rsid w:val="00C91246"/>
    <w:rsid w:val="00C92012"/>
    <w:rsid w:val="00C93CE3"/>
    <w:rsid w:val="00CA1458"/>
    <w:rsid w:val="00CB2CE2"/>
    <w:rsid w:val="00CC07DA"/>
    <w:rsid w:val="00CD5298"/>
    <w:rsid w:val="00CD52BD"/>
    <w:rsid w:val="00CE1AEE"/>
    <w:rsid w:val="00CE4F48"/>
    <w:rsid w:val="00CE72C0"/>
    <w:rsid w:val="00CF2C69"/>
    <w:rsid w:val="00CF3B0F"/>
    <w:rsid w:val="00CF4516"/>
    <w:rsid w:val="00CF5E68"/>
    <w:rsid w:val="00CF6394"/>
    <w:rsid w:val="00D008E2"/>
    <w:rsid w:val="00D00BB8"/>
    <w:rsid w:val="00D0483C"/>
    <w:rsid w:val="00D06E4D"/>
    <w:rsid w:val="00D076E8"/>
    <w:rsid w:val="00D13FC5"/>
    <w:rsid w:val="00D15D8D"/>
    <w:rsid w:val="00D16727"/>
    <w:rsid w:val="00D25178"/>
    <w:rsid w:val="00D258CE"/>
    <w:rsid w:val="00D26DFE"/>
    <w:rsid w:val="00D27259"/>
    <w:rsid w:val="00D27DC8"/>
    <w:rsid w:val="00D27FE5"/>
    <w:rsid w:val="00D325CD"/>
    <w:rsid w:val="00D328A8"/>
    <w:rsid w:val="00D341B7"/>
    <w:rsid w:val="00D34513"/>
    <w:rsid w:val="00D36C8F"/>
    <w:rsid w:val="00D371FD"/>
    <w:rsid w:val="00D41D5C"/>
    <w:rsid w:val="00D511FE"/>
    <w:rsid w:val="00D60346"/>
    <w:rsid w:val="00D744F6"/>
    <w:rsid w:val="00D749DA"/>
    <w:rsid w:val="00D759B5"/>
    <w:rsid w:val="00D76148"/>
    <w:rsid w:val="00D76381"/>
    <w:rsid w:val="00D80EF3"/>
    <w:rsid w:val="00D85A32"/>
    <w:rsid w:val="00D90BC9"/>
    <w:rsid w:val="00D92B6F"/>
    <w:rsid w:val="00D96702"/>
    <w:rsid w:val="00D96A76"/>
    <w:rsid w:val="00DA60F9"/>
    <w:rsid w:val="00DB1830"/>
    <w:rsid w:val="00DB3DB6"/>
    <w:rsid w:val="00DC37C4"/>
    <w:rsid w:val="00DC76C6"/>
    <w:rsid w:val="00DC7E72"/>
    <w:rsid w:val="00DD0309"/>
    <w:rsid w:val="00DD6B87"/>
    <w:rsid w:val="00DD7D7C"/>
    <w:rsid w:val="00DE0E97"/>
    <w:rsid w:val="00DE4A38"/>
    <w:rsid w:val="00DE76C9"/>
    <w:rsid w:val="00DF0DD8"/>
    <w:rsid w:val="00DF6E7B"/>
    <w:rsid w:val="00DF7F03"/>
    <w:rsid w:val="00E00FD5"/>
    <w:rsid w:val="00E02843"/>
    <w:rsid w:val="00E04A6E"/>
    <w:rsid w:val="00E11DA8"/>
    <w:rsid w:val="00E13E54"/>
    <w:rsid w:val="00E15CAF"/>
    <w:rsid w:val="00E15D36"/>
    <w:rsid w:val="00E16A6D"/>
    <w:rsid w:val="00E17C2A"/>
    <w:rsid w:val="00E20B63"/>
    <w:rsid w:val="00E2406A"/>
    <w:rsid w:val="00E24193"/>
    <w:rsid w:val="00E2530D"/>
    <w:rsid w:val="00E256AF"/>
    <w:rsid w:val="00E25805"/>
    <w:rsid w:val="00E26060"/>
    <w:rsid w:val="00E3087D"/>
    <w:rsid w:val="00E30B08"/>
    <w:rsid w:val="00E30EA0"/>
    <w:rsid w:val="00E315FA"/>
    <w:rsid w:val="00E37CBA"/>
    <w:rsid w:val="00E44501"/>
    <w:rsid w:val="00E479F2"/>
    <w:rsid w:val="00E47FEC"/>
    <w:rsid w:val="00E52A59"/>
    <w:rsid w:val="00E617A7"/>
    <w:rsid w:val="00E64D33"/>
    <w:rsid w:val="00E7033E"/>
    <w:rsid w:val="00E71C8D"/>
    <w:rsid w:val="00E869CE"/>
    <w:rsid w:val="00E90CAC"/>
    <w:rsid w:val="00E91F97"/>
    <w:rsid w:val="00EA0CA8"/>
    <w:rsid w:val="00EA335B"/>
    <w:rsid w:val="00EB083D"/>
    <w:rsid w:val="00EB1833"/>
    <w:rsid w:val="00EB329F"/>
    <w:rsid w:val="00EB55BB"/>
    <w:rsid w:val="00EB6359"/>
    <w:rsid w:val="00EC18B9"/>
    <w:rsid w:val="00EC2EFE"/>
    <w:rsid w:val="00EC4A0F"/>
    <w:rsid w:val="00ED1A31"/>
    <w:rsid w:val="00EE0174"/>
    <w:rsid w:val="00EE0228"/>
    <w:rsid w:val="00EE25CD"/>
    <w:rsid w:val="00EE2FA5"/>
    <w:rsid w:val="00EE5847"/>
    <w:rsid w:val="00EF0AD9"/>
    <w:rsid w:val="00EF3591"/>
    <w:rsid w:val="00EF6ACD"/>
    <w:rsid w:val="00EF7EE4"/>
    <w:rsid w:val="00F01E26"/>
    <w:rsid w:val="00F02EA3"/>
    <w:rsid w:val="00F05184"/>
    <w:rsid w:val="00F10E27"/>
    <w:rsid w:val="00F11BA1"/>
    <w:rsid w:val="00F1318C"/>
    <w:rsid w:val="00F13F7B"/>
    <w:rsid w:val="00F14095"/>
    <w:rsid w:val="00F17486"/>
    <w:rsid w:val="00F23061"/>
    <w:rsid w:val="00F249A2"/>
    <w:rsid w:val="00F31546"/>
    <w:rsid w:val="00F34389"/>
    <w:rsid w:val="00F3763D"/>
    <w:rsid w:val="00F431FF"/>
    <w:rsid w:val="00F4654D"/>
    <w:rsid w:val="00F46FCE"/>
    <w:rsid w:val="00F504CE"/>
    <w:rsid w:val="00F5129E"/>
    <w:rsid w:val="00F53783"/>
    <w:rsid w:val="00F53B8D"/>
    <w:rsid w:val="00F5713B"/>
    <w:rsid w:val="00F573AF"/>
    <w:rsid w:val="00F60212"/>
    <w:rsid w:val="00F64363"/>
    <w:rsid w:val="00F75D7E"/>
    <w:rsid w:val="00F77930"/>
    <w:rsid w:val="00F80802"/>
    <w:rsid w:val="00F812AF"/>
    <w:rsid w:val="00F82307"/>
    <w:rsid w:val="00F855CE"/>
    <w:rsid w:val="00F87348"/>
    <w:rsid w:val="00F94335"/>
    <w:rsid w:val="00F96F96"/>
    <w:rsid w:val="00FA582C"/>
    <w:rsid w:val="00FB1311"/>
    <w:rsid w:val="00FB5051"/>
    <w:rsid w:val="00FB60A1"/>
    <w:rsid w:val="00FC2768"/>
    <w:rsid w:val="00FC4CCA"/>
    <w:rsid w:val="00FC50C8"/>
    <w:rsid w:val="00FD5B56"/>
    <w:rsid w:val="00FD6023"/>
    <w:rsid w:val="00FD6796"/>
    <w:rsid w:val="00FD6DB9"/>
    <w:rsid w:val="00FE053F"/>
    <w:rsid w:val="00FE0550"/>
    <w:rsid w:val="00FE097A"/>
    <w:rsid w:val="00FE1B42"/>
    <w:rsid w:val="00FE2EE9"/>
    <w:rsid w:val="00FE5109"/>
    <w:rsid w:val="00FE5B50"/>
    <w:rsid w:val="00FF2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29849"/>
  <w15:chartTrackingRefBased/>
  <w15:docId w15:val="{62B1C0F4-DE36-2F43-B496-D0FC7704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90FEF"/>
  </w:style>
  <w:style w:type="paragraph" w:styleId="Footer">
    <w:name w:val="footer"/>
    <w:basedOn w:val="Normal"/>
    <w:link w:val="FooterChar"/>
    <w:uiPriority w:val="99"/>
    <w:unhideWhenUsed/>
    <w:rsid w:val="00490FEF"/>
    <w:pPr>
      <w:tabs>
        <w:tab w:val="center" w:pos="4680"/>
        <w:tab w:val="right" w:pos="9360"/>
      </w:tabs>
    </w:pPr>
  </w:style>
  <w:style w:type="character" w:customStyle="1" w:styleId="FooterChar">
    <w:name w:val="Footer Char"/>
    <w:basedOn w:val="DefaultParagraphFont"/>
    <w:link w:val="Footer"/>
    <w:uiPriority w:val="99"/>
    <w:rsid w:val="00490FEF"/>
  </w:style>
  <w:style w:type="character" w:styleId="PageNumber">
    <w:name w:val="page number"/>
    <w:basedOn w:val="DefaultParagraphFont"/>
    <w:uiPriority w:val="99"/>
    <w:semiHidden/>
    <w:unhideWhenUsed/>
    <w:rsid w:val="00490FEF"/>
  </w:style>
  <w:style w:type="paragraph" w:styleId="ListParagraph">
    <w:name w:val="List Paragraph"/>
    <w:basedOn w:val="Normal"/>
    <w:uiPriority w:val="34"/>
    <w:qFormat/>
    <w:rsid w:val="00253AEE"/>
    <w:pPr>
      <w:ind w:left="720"/>
      <w:contextualSpacing/>
    </w:pPr>
  </w:style>
  <w:style w:type="table" w:styleId="TableGrid">
    <w:name w:val="Table Grid"/>
    <w:basedOn w:val="TableNormal"/>
    <w:uiPriority w:val="39"/>
    <w:rsid w:val="00657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1745"/>
    <w:rPr>
      <w:color w:val="0563C1" w:themeColor="hyperlink"/>
      <w:u w:val="single"/>
    </w:rPr>
  </w:style>
  <w:style w:type="character" w:customStyle="1" w:styleId="UnresolvedMention1">
    <w:name w:val="Unresolved Mention1"/>
    <w:basedOn w:val="DefaultParagraphFont"/>
    <w:uiPriority w:val="99"/>
    <w:semiHidden/>
    <w:unhideWhenUsed/>
    <w:rsid w:val="00621745"/>
    <w:rPr>
      <w:color w:val="605E5C"/>
      <w:shd w:val="clear" w:color="auto" w:fill="E1DFDD"/>
    </w:rPr>
  </w:style>
  <w:style w:type="paragraph" w:styleId="FootnoteText">
    <w:name w:val="footnote text"/>
    <w:basedOn w:val="Normal"/>
    <w:link w:val="FootnoteTextChar"/>
    <w:uiPriority w:val="99"/>
    <w:semiHidden/>
    <w:unhideWhenUsed/>
    <w:rsid w:val="00C11D9D"/>
    <w:rPr>
      <w:sz w:val="20"/>
      <w:szCs w:val="20"/>
    </w:rPr>
  </w:style>
  <w:style w:type="character" w:customStyle="1" w:styleId="FootnoteTextChar">
    <w:name w:val="Footnote Text Char"/>
    <w:basedOn w:val="DefaultParagraphFont"/>
    <w:link w:val="FootnoteText"/>
    <w:uiPriority w:val="99"/>
    <w:semiHidden/>
    <w:rsid w:val="00C11D9D"/>
    <w:rPr>
      <w:sz w:val="20"/>
      <w:szCs w:val="20"/>
    </w:rPr>
  </w:style>
  <w:style w:type="paragraph" w:styleId="BalloonText">
    <w:name w:val="Balloon Text"/>
    <w:basedOn w:val="Normal"/>
    <w:link w:val="BalloonTextChar"/>
    <w:uiPriority w:val="99"/>
    <w:semiHidden/>
    <w:unhideWhenUsed/>
    <w:rsid w:val="008630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30F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27A3B"/>
    <w:rPr>
      <w:color w:val="954F72" w:themeColor="followedHyperlink"/>
      <w:u w:val="single"/>
    </w:rPr>
  </w:style>
  <w:style w:type="character" w:styleId="FootnoteReference">
    <w:name w:val="footnote reference"/>
    <w:basedOn w:val="DefaultParagraphFont"/>
    <w:uiPriority w:val="99"/>
    <w:semiHidden/>
    <w:unhideWhenUsed/>
    <w:rsid w:val="00F94335"/>
    <w:rPr>
      <w:vertAlign w:val="superscript"/>
    </w:rPr>
  </w:style>
  <w:style w:type="paragraph" w:styleId="NoSpacing">
    <w:name w:val="No Spacing"/>
    <w:uiPriority w:val="1"/>
    <w:qFormat/>
    <w:rsid w:val="00F94335"/>
  </w:style>
  <w:style w:type="paragraph" w:styleId="Header">
    <w:name w:val="header"/>
    <w:basedOn w:val="Normal"/>
    <w:link w:val="HeaderChar"/>
    <w:uiPriority w:val="99"/>
    <w:unhideWhenUsed/>
    <w:rsid w:val="007E42B2"/>
    <w:pPr>
      <w:tabs>
        <w:tab w:val="center" w:pos="4680"/>
        <w:tab w:val="right" w:pos="9360"/>
      </w:tabs>
    </w:pPr>
  </w:style>
  <w:style w:type="character" w:customStyle="1" w:styleId="HeaderChar">
    <w:name w:val="Header Char"/>
    <w:basedOn w:val="DefaultParagraphFont"/>
    <w:link w:val="Header"/>
    <w:uiPriority w:val="99"/>
    <w:rsid w:val="007E42B2"/>
  </w:style>
  <w:style w:type="character" w:styleId="CommentReference">
    <w:name w:val="annotation reference"/>
    <w:basedOn w:val="DefaultParagraphFont"/>
    <w:uiPriority w:val="99"/>
    <w:semiHidden/>
    <w:unhideWhenUsed/>
    <w:rsid w:val="00D85A32"/>
    <w:rPr>
      <w:sz w:val="16"/>
      <w:szCs w:val="16"/>
    </w:rPr>
  </w:style>
  <w:style w:type="paragraph" w:styleId="CommentText">
    <w:name w:val="annotation text"/>
    <w:basedOn w:val="Normal"/>
    <w:link w:val="CommentTextChar"/>
    <w:uiPriority w:val="99"/>
    <w:semiHidden/>
    <w:unhideWhenUsed/>
    <w:rsid w:val="00D85A32"/>
    <w:rPr>
      <w:sz w:val="20"/>
      <w:szCs w:val="20"/>
    </w:rPr>
  </w:style>
  <w:style w:type="character" w:customStyle="1" w:styleId="CommentTextChar">
    <w:name w:val="Comment Text Char"/>
    <w:basedOn w:val="DefaultParagraphFont"/>
    <w:link w:val="CommentText"/>
    <w:uiPriority w:val="99"/>
    <w:semiHidden/>
    <w:rsid w:val="00D85A32"/>
    <w:rPr>
      <w:sz w:val="20"/>
      <w:szCs w:val="20"/>
    </w:rPr>
  </w:style>
  <w:style w:type="paragraph" w:styleId="CommentSubject">
    <w:name w:val="annotation subject"/>
    <w:basedOn w:val="CommentText"/>
    <w:next w:val="CommentText"/>
    <w:link w:val="CommentSubjectChar"/>
    <w:uiPriority w:val="99"/>
    <w:semiHidden/>
    <w:unhideWhenUsed/>
    <w:rsid w:val="00D85A32"/>
    <w:rPr>
      <w:b/>
      <w:bCs/>
    </w:rPr>
  </w:style>
  <w:style w:type="character" w:customStyle="1" w:styleId="CommentSubjectChar">
    <w:name w:val="Comment Subject Char"/>
    <w:basedOn w:val="CommentTextChar"/>
    <w:link w:val="CommentSubject"/>
    <w:uiPriority w:val="99"/>
    <w:semiHidden/>
    <w:rsid w:val="00D85A32"/>
    <w:rPr>
      <w:b/>
      <w:bCs/>
      <w:sz w:val="20"/>
      <w:szCs w:val="20"/>
    </w:rPr>
  </w:style>
  <w:style w:type="character" w:styleId="PlaceholderText">
    <w:name w:val="Placeholder Text"/>
    <w:basedOn w:val="DefaultParagraphFont"/>
    <w:uiPriority w:val="99"/>
    <w:semiHidden/>
    <w:rsid w:val="00136004"/>
    <w:rPr>
      <w:color w:val="808080"/>
    </w:rPr>
  </w:style>
  <w:style w:type="paragraph" w:styleId="Revision">
    <w:name w:val="Revision"/>
    <w:hidden/>
    <w:uiPriority w:val="99"/>
    <w:semiHidden/>
    <w:rsid w:val="00696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3757">
      <w:bodyDiv w:val="1"/>
      <w:marLeft w:val="0"/>
      <w:marRight w:val="0"/>
      <w:marTop w:val="0"/>
      <w:marBottom w:val="0"/>
      <w:divBdr>
        <w:top w:val="none" w:sz="0" w:space="0" w:color="auto"/>
        <w:left w:val="none" w:sz="0" w:space="0" w:color="auto"/>
        <w:bottom w:val="none" w:sz="0" w:space="0" w:color="auto"/>
        <w:right w:val="none" w:sz="0" w:space="0" w:color="auto"/>
      </w:divBdr>
    </w:div>
    <w:div w:id="469203341">
      <w:bodyDiv w:val="1"/>
      <w:marLeft w:val="0"/>
      <w:marRight w:val="0"/>
      <w:marTop w:val="0"/>
      <w:marBottom w:val="0"/>
      <w:divBdr>
        <w:top w:val="none" w:sz="0" w:space="0" w:color="auto"/>
        <w:left w:val="none" w:sz="0" w:space="0" w:color="auto"/>
        <w:bottom w:val="none" w:sz="0" w:space="0" w:color="auto"/>
        <w:right w:val="none" w:sz="0" w:space="0" w:color="auto"/>
      </w:divBdr>
    </w:div>
    <w:div w:id="563495117">
      <w:bodyDiv w:val="1"/>
      <w:marLeft w:val="0"/>
      <w:marRight w:val="0"/>
      <w:marTop w:val="0"/>
      <w:marBottom w:val="0"/>
      <w:divBdr>
        <w:top w:val="none" w:sz="0" w:space="0" w:color="auto"/>
        <w:left w:val="none" w:sz="0" w:space="0" w:color="auto"/>
        <w:bottom w:val="none" w:sz="0" w:space="0" w:color="auto"/>
        <w:right w:val="none" w:sz="0" w:space="0" w:color="auto"/>
      </w:divBdr>
      <w:divsChild>
        <w:div w:id="454177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118992">
              <w:marLeft w:val="0"/>
              <w:marRight w:val="0"/>
              <w:marTop w:val="0"/>
              <w:marBottom w:val="0"/>
              <w:divBdr>
                <w:top w:val="none" w:sz="0" w:space="0" w:color="auto"/>
                <w:left w:val="none" w:sz="0" w:space="0" w:color="auto"/>
                <w:bottom w:val="none" w:sz="0" w:space="0" w:color="auto"/>
                <w:right w:val="none" w:sz="0" w:space="0" w:color="auto"/>
              </w:divBdr>
              <w:divsChild>
                <w:div w:id="823274867">
                  <w:marLeft w:val="0"/>
                  <w:marRight w:val="0"/>
                  <w:marTop w:val="0"/>
                  <w:marBottom w:val="0"/>
                  <w:divBdr>
                    <w:top w:val="none" w:sz="0" w:space="0" w:color="auto"/>
                    <w:left w:val="none" w:sz="0" w:space="0" w:color="auto"/>
                    <w:bottom w:val="none" w:sz="0" w:space="0" w:color="auto"/>
                    <w:right w:val="none" w:sz="0" w:space="0" w:color="auto"/>
                  </w:divBdr>
                  <w:divsChild>
                    <w:div w:id="617178088">
                      <w:marLeft w:val="0"/>
                      <w:marRight w:val="0"/>
                      <w:marTop w:val="0"/>
                      <w:marBottom w:val="0"/>
                      <w:divBdr>
                        <w:top w:val="none" w:sz="0" w:space="0" w:color="auto"/>
                        <w:left w:val="none" w:sz="0" w:space="0" w:color="auto"/>
                        <w:bottom w:val="none" w:sz="0" w:space="0" w:color="auto"/>
                        <w:right w:val="none" w:sz="0" w:space="0" w:color="auto"/>
                      </w:divBdr>
                    </w:div>
                    <w:div w:id="1412697156">
                      <w:marLeft w:val="0"/>
                      <w:marRight w:val="0"/>
                      <w:marTop w:val="0"/>
                      <w:marBottom w:val="0"/>
                      <w:divBdr>
                        <w:top w:val="none" w:sz="0" w:space="0" w:color="auto"/>
                        <w:left w:val="none" w:sz="0" w:space="0" w:color="auto"/>
                        <w:bottom w:val="none" w:sz="0" w:space="0" w:color="auto"/>
                        <w:right w:val="none" w:sz="0" w:space="0" w:color="auto"/>
                      </w:divBdr>
                    </w:div>
                    <w:div w:id="577520199">
                      <w:marLeft w:val="0"/>
                      <w:marRight w:val="0"/>
                      <w:marTop w:val="0"/>
                      <w:marBottom w:val="0"/>
                      <w:divBdr>
                        <w:top w:val="none" w:sz="0" w:space="0" w:color="auto"/>
                        <w:left w:val="none" w:sz="0" w:space="0" w:color="auto"/>
                        <w:bottom w:val="none" w:sz="0" w:space="0" w:color="auto"/>
                        <w:right w:val="none" w:sz="0" w:space="0" w:color="auto"/>
                      </w:divBdr>
                    </w:div>
                    <w:div w:id="1032193832">
                      <w:marLeft w:val="0"/>
                      <w:marRight w:val="0"/>
                      <w:marTop w:val="0"/>
                      <w:marBottom w:val="0"/>
                      <w:divBdr>
                        <w:top w:val="none" w:sz="0" w:space="0" w:color="auto"/>
                        <w:left w:val="none" w:sz="0" w:space="0" w:color="auto"/>
                        <w:bottom w:val="none" w:sz="0" w:space="0" w:color="auto"/>
                        <w:right w:val="none" w:sz="0" w:space="0" w:color="auto"/>
                      </w:divBdr>
                    </w:div>
                    <w:div w:id="231937656">
                      <w:marLeft w:val="0"/>
                      <w:marRight w:val="0"/>
                      <w:marTop w:val="0"/>
                      <w:marBottom w:val="0"/>
                      <w:divBdr>
                        <w:top w:val="none" w:sz="0" w:space="0" w:color="auto"/>
                        <w:left w:val="none" w:sz="0" w:space="0" w:color="auto"/>
                        <w:bottom w:val="none" w:sz="0" w:space="0" w:color="auto"/>
                        <w:right w:val="none" w:sz="0" w:space="0" w:color="auto"/>
                      </w:divBdr>
                    </w:div>
                    <w:div w:id="363989354">
                      <w:marLeft w:val="0"/>
                      <w:marRight w:val="0"/>
                      <w:marTop w:val="0"/>
                      <w:marBottom w:val="0"/>
                      <w:divBdr>
                        <w:top w:val="none" w:sz="0" w:space="0" w:color="auto"/>
                        <w:left w:val="none" w:sz="0" w:space="0" w:color="auto"/>
                        <w:bottom w:val="none" w:sz="0" w:space="0" w:color="auto"/>
                        <w:right w:val="none" w:sz="0" w:space="0" w:color="auto"/>
                      </w:divBdr>
                    </w:div>
                    <w:div w:id="1099906318">
                      <w:marLeft w:val="0"/>
                      <w:marRight w:val="0"/>
                      <w:marTop w:val="0"/>
                      <w:marBottom w:val="0"/>
                      <w:divBdr>
                        <w:top w:val="none" w:sz="0" w:space="0" w:color="auto"/>
                        <w:left w:val="none" w:sz="0" w:space="0" w:color="auto"/>
                        <w:bottom w:val="none" w:sz="0" w:space="0" w:color="auto"/>
                        <w:right w:val="none" w:sz="0" w:space="0" w:color="auto"/>
                      </w:divBdr>
                    </w:div>
                    <w:div w:id="1759057991">
                      <w:marLeft w:val="0"/>
                      <w:marRight w:val="0"/>
                      <w:marTop w:val="0"/>
                      <w:marBottom w:val="0"/>
                      <w:divBdr>
                        <w:top w:val="none" w:sz="0" w:space="0" w:color="auto"/>
                        <w:left w:val="none" w:sz="0" w:space="0" w:color="auto"/>
                        <w:bottom w:val="none" w:sz="0" w:space="0" w:color="auto"/>
                        <w:right w:val="none" w:sz="0" w:space="0" w:color="auto"/>
                      </w:divBdr>
                    </w:div>
                    <w:div w:id="1689208891">
                      <w:marLeft w:val="0"/>
                      <w:marRight w:val="0"/>
                      <w:marTop w:val="0"/>
                      <w:marBottom w:val="0"/>
                      <w:divBdr>
                        <w:top w:val="none" w:sz="0" w:space="0" w:color="auto"/>
                        <w:left w:val="none" w:sz="0" w:space="0" w:color="auto"/>
                        <w:bottom w:val="none" w:sz="0" w:space="0" w:color="auto"/>
                        <w:right w:val="none" w:sz="0" w:space="0" w:color="auto"/>
                      </w:divBdr>
                    </w:div>
                    <w:div w:id="262957682">
                      <w:marLeft w:val="0"/>
                      <w:marRight w:val="0"/>
                      <w:marTop w:val="0"/>
                      <w:marBottom w:val="0"/>
                      <w:divBdr>
                        <w:top w:val="none" w:sz="0" w:space="0" w:color="auto"/>
                        <w:left w:val="none" w:sz="0" w:space="0" w:color="auto"/>
                        <w:bottom w:val="none" w:sz="0" w:space="0" w:color="auto"/>
                        <w:right w:val="none" w:sz="0" w:space="0" w:color="auto"/>
                      </w:divBdr>
                    </w:div>
                    <w:div w:id="1044257427">
                      <w:marLeft w:val="0"/>
                      <w:marRight w:val="0"/>
                      <w:marTop w:val="0"/>
                      <w:marBottom w:val="0"/>
                      <w:divBdr>
                        <w:top w:val="none" w:sz="0" w:space="0" w:color="auto"/>
                        <w:left w:val="none" w:sz="0" w:space="0" w:color="auto"/>
                        <w:bottom w:val="none" w:sz="0" w:space="0" w:color="auto"/>
                        <w:right w:val="none" w:sz="0" w:space="0" w:color="auto"/>
                      </w:divBdr>
                    </w:div>
                    <w:div w:id="19743252">
                      <w:marLeft w:val="0"/>
                      <w:marRight w:val="0"/>
                      <w:marTop w:val="0"/>
                      <w:marBottom w:val="0"/>
                      <w:divBdr>
                        <w:top w:val="none" w:sz="0" w:space="0" w:color="auto"/>
                        <w:left w:val="none" w:sz="0" w:space="0" w:color="auto"/>
                        <w:bottom w:val="none" w:sz="0" w:space="0" w:color="auto"/>
                        <w:right w:val="none" w:sz="0" w:space="0" w:color="auto"/>
                      </w:divBdr>
                    </w:div>
                    <w:div w:id="6621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3893">
      <w:bodyDiv w:val="1"/>
      <w:marLeft w:val="0"/>
      <w:marRight w:val="0"/>
      <w:marTop w:val="0"/>
      <w:marBottom w:val="0"/>
      <w:divBdr>
        <w:top w:val="none" w:sz="0" w:space="0" w:color="auto"/>
        <w:left w:val="none" w:sz="0" w:space="0" w:color="auto"/>
        <w:bottom w:val="none" w:sz="0" w:space="0" w:color="auto"/>
        <w:right w:val="none" w:sz="0" w:space="0" w:color="auto"/>
      </w:divBdr>
    </w:div>
    <w:div w:id="1330214157">
      <w:bodyDiv w:val="1"/>
      <w:marLeft w:val="0"/>
      <w:marRight w:val="0"/>
      <w:marTop w:val="0"/>
      <w:marBottom w:val="0"/>
      <w:divBdr>
        <w:top w:val="none" w:sz="0" w:space="0" w:color="auto"/>
        <w:left w:val="none" w:sz="0" w:space="0" w:color="auto"/>
        <w:bottom w:val="none" w:sz="0" w:space="0" w:color="auto"/>
        <w:right w:val="none" w:sz="0" w:space="0" w:color="auto"/>
      </w:divBdr>
      <w:divsChild>
        <w:div w:id="1479110984">
          <w:marLeft w:val="640"/>
          <w:marRight w:val="0"/>
          <w:marTop w:val="0"/>
          <w:marBottom w:val="0"/>
          <w:divBdr>
            <w:top w:val="none" w:sz="0" w:space="0" w:color="auto"/>
            <w:left w:val="none" w:sz="0" w:space="0" w:color="auto"/>
            <w:bottom w:val="none" w:sz="0" w:space="0" w:color="auto"/>
            <w:right w:val="none" w:sz="0" w:space="0" w:color="auto"/>
          </w:divBdr>
        </w:div>
        <w:div w:id="1961180817">
          <w:marLeft w:val="640"/>
          <w:marRight w:val="0"/>
          <w:marTop w:val="0"/>
          <w:marBottom w:val="0"/>
          <w:divBdr>
            <w:top w:val="none" w:sz="0" w:space="0" w:color="auto"/>
            <w:left w:val="none" w:sz="0" w:space="0" w:color="auto"/>
            <w:bottom w:val="none" w:sz="0" w:space="0" w:color="auto"/>
            <w:right w:val="none" w:sz="0" w:space="0" w:color="auto"/>
          </w:divBdr>
        </w:div>
        <w:div w:id="1567302879">
          <w:marLeft w:val="640"/>
          <w:marRight w:val="0"/>
          <w:marTop w:val="0"/>
          <w:marBottom w:val="0"/>
          <w:divBdr>
            <w:top w:val="none" w:sz="0" w:space="0" w:color="auto"/>
            <w:left w:val="none" w:sz="0" w:space="0" w:color="auto"/>
            <w:bottom w:val="none" w:sz="0" w:space="0" w:color="auto"/>
            <w:right w:val="none" w:sz="0" w:space="0" w:color="auto"/>
          </w:divBdr>
        </w:div>
        <w:div w:id="269775908">
          <w:marLeft w:val="640"/>
          <w:marRight w:val="0"/>
          <w:marTop w:val="0"/>
          <w:marBottom w:val="0"/>
          <w:divBdr>
            <w:top w:val="none" w:sz="0" w:space="0" w:color="auto"/>
            <w:left w:val="none" w:sz="0" w:space="0" w:color="auto"/>
            <w:bottom w:val="none" w:sz="0" w:space="0" w:color="auto"/>
            <w:right w:val="none" w:sz="0" w:space="0" w:color="auto"/>
          </w:divBdr>
        </w:div>
        <w:div w:id="969631572">
          <w:marLeft w:val="640"/>
          <w:marRight w:val="0"/>
          <w:marTop w:val="0"/>
          <w:marBottom w:val="0"/>
          <w:divBdr>
            <w:top w:val="none" w:sz="0" w:space="0" w:color="auto"/>
            <w:left w:val="none" w:sz="0" w:space="0" w:color="auto"/>
            <w:bottom w:val="none" w:sz="0" w:space="0" w:color="auto"/>
            <w:right w:val="none" w:sz="0" w:space="0" w:color="auto"/>
          </w:divBdr>
        </w:div>
        <w:div w:id="984161759">
          <w:marLeft w:val="640"/>
          <w:marRight w:val="0"/>
          <w:marTop w:val="0"/>
          <w:marBottom w:val="0"/>
          <w:divBdr>
            <w:top w:val="none" w:sz="0" w:space="0" w:color="auto"/>
            <w:left w:val="none" w:sz="0" w:space="0" w:color="auto"/>
            <w:bottom w:val="none" w:sz="0" w:space="0" w:color="auto"/>
            <w:right w:val="none" w:sz="0" w:space="0" w:color="auto"/>
          </w:divBdr>
        </w:div>
        <w:div w:id="153647528">
          <w:marLeft w:val="640"/>
          <w:marRight w:val="0"/>
          <w:marTop w:val="0"/>
          <w:marBottom w:val="0"/>
          <w:divBdr>
            <w:top w:val="none" w:sz="0" w:space="0" w:color="auto"/>
            <w:left w:val="none" w:sz="0" w:space="0" w:color="auto"/>
            <w:bottom w:val="none" w:sz="0" w:space="0" w:color="auto"/>
            <w:right w:val="none" w:sz="0" w:space="0" w:color="auto"/>
          </w:divBdr>
        </w:div>
      </w:divsChild>
    </w:div>
    <w:div w:id="1607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z\Dropbox\JLO\Macros%20and%20relaunch\Copyedit%20menus\DJSCopyeditv2.3.6ASNe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3027B8-6D06-EA40-9C3D-DDF2E352FB92}">
  <we:reference id="wa104382081" version="1.28.0.0" store="en-GB" storeType="OMEX"/>
  <we:alternateReferences>
    <we:reference id="wa104382081" version="1.28.0.0" store="" storeType="OMEX"/>
  </we:alternateReferences>
  <we:properties>
    <we:property name="MENDELEY_CITATIONS" value="[{&quot;properties&quot;:{&quot;noteIndex&quot;:0},&quot;citationID&quot;:&quot;MENDELEY_CITATION_5a6a1009-4577-4022-a6f0-05311bc03e4a&quot;,&quot;isEdited&quot;:false,&quot;citationTag&quot;:&quot;MENDELEY_CITATION_v3_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&quot;,&quot;citationItems&quot;:[{&quot;id&quot;:&quot;7f027482-fa9d-3b3a-804d-c3cb03fdee43&quot;,&quot;itemData&quot;:{&quot;type&quot;:&quot;article-journal&quot;,&quot;id&quot;:&quot;7f027482-fa9d-3b3a-804d-c3cb03fdee43&quot;,&quot;title&quot;:&quot;Identifying and managing intracranial complications of sinusitis in children: A retrospective series&quot;,&quot;author&quot;:[{&quot;family&quot;:&quot;Hicks&quot;,&quot;given&quot;:&quot;Caitlin W.&quot;,&quot;parse-names&quot;:false,&quot;dropping-particle&quot;:&quot;&quot;,&quot;non-dropping-particle&quot;:&quot;&quot;},{&quot;family&quot;:&quot;Weber&quot;,&quot;given&quot;:&quot;Joseph G.&quot;,&quot;parse-names&quot;:false,&quot;dropping-particle&quot;:&quot;&quot;,&quot;non-dropping-particle&quot;:&quot;&quot;},{&quot;family&quot;:&quot;Reid&quot;,&quot;given&quot;:&quot;Janet R.&quot;,&quot;parse-names&quot;:false,&quot;dropping-particle&quot;:&quot;&quot;,&quot;non-dropping-particle&quot;:&quot;&quot;},{&quot;family&quot;:&quot;Moodley&quot;,&quot;given&quot;:&quot;Manikum&quot;,&quot;parse-names&quot;:false,&quot;dropping-particle&quot;:&quot;&quot;,&quot;non-dropping-particle&quot;:&quot;&quot;}],&quot;container-title&quot;:&quot;Pediatric Infectious Disease Journal&quot;,&quot;DOI&quot;:&quot;10.1097/INF.0b013e3181f86398&quot;,&quot;ISSN&quot;:&quot;15320987&quot;,&quot;issued&quot;:{&quot;date-parts&quot;:[[2011]]},&quot;abstract&quot;:&quot;BACKGROUND: Of patients admitted to hospital with sinusitis, about 3% have an intracranial complication. We describe the clinical features, laboratory data, imaging findings, and outcomes of pediatric patients with intracranial complications of sinusitis. METHODS: A retrospective chart review of all pediatric patients &lt;21 years of age admitted for intracranial complications of sinusitis to a tertiary hospital over a 10-year period. RESULTS: A total of 13 patients with a mean age of 13.3 ± 3.7 years presented with headache (92%), fever (85%), nausea/vomiting (62%), sinus tenderness (31%), and lethargy (23%). Physical examination findings included Pott puffy tumor (46%), orbital cellulitis (46%), altered level of consciousness (46%), new-onset seizure (31%), hemiparesis (23%), nuchal rigidity (23%), visual disturbance (23%), and slurred speech (15%). Computed tomography and magnetic resonance imaging demonstrated 16 instances of epidural and subdural empyema, and 1 brain abscess. One child had sagittal sinus thrombosis. CONCLUSIONS: Our findings suggest that acute sinusitis in combination with severe intractable headache, varying degrees of altered level of consciousness, focal neurologic deficits, and/or signs of meningeal irritation should raise clinical suspicion for potential intracranial complications of sinusitis. These signs and symptoms should prompt early and aggressive evaluation and management, including neuroimaging studies, neurologic and otolaryngologic consultations, and intravenous antibiotics. © 2011 Lippincott Williams &amp; Wilkins, Inc.&quot;,&quot;issue&quot;:&quot;3&quot;,&quot;volume&quot;:&quot;30&quot;},&quot;isTemporary&quot;:false}],&quot;manualOverride&quot;:{&quot;citeprocText&quot;:&quot;(1)&quot;,&quot;manualOverrideText&quot;:&quot;[1]&quot;,&quot;isManuallyOverriden&quot;:true}},{&quot;properties&quot;:{&quot;noteIndex&quot;:0},&quot;citationID&quot;:&quot;MENDELEY_CITATION_9325ec0a-2a9b-46ba-a3c9-047fbed6edbe&quot;,&quot;isEdited&quot;:false,&quot;citationTag&quot;:&quot;MENDELEY_CITATION_v3_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&quot;,&quot;citationItems&quot;:[{&quot;id&quot;:&quot;f62b24cf-dbea-38e8-897c-274eff83a850&quot;,&quot;itemData&quot;:{&quot;type&quot;:&quot;article-journal&quot;,&quot;id&quot;:&quot;f62b24cf-dbea-38e8-897c-274eff83a850&quot;,&quot;title&quot;:&quot;Management and outcomes in children with sinogenic intracranial abscesses&quot;,&quot;author&quot;:[{&quot;family&quot;:&quot;Patel&quot;,&quot;given&quot;:&quot;Anant P.&quot;,&quot;parse-names&quot;:false,&quot;dropping-particle&quot;:&quot;&quot;,&quot;non-dropping-particle&quot;:&quot;&quot;},{&quot;family&quot;:&quot;Masterson&quot;,&quot;given&quot;:&quot;Liam&quot;,&quot;parse-names&quot;:false,&quot;dropping-particle&quot;:&quot;&quot;,&quot;non-dropping-particle&quot;:&quot;&quot;},{&quot;family&quot;:&quot;Deutsch&quot;,&quot;given&quot;:&quot;Christopher J.&quot;,&quot;parse-names&quot;:false,&quot;dropping-particle&quot;:&quot;&quot;,&quot;non-dropping-particle&quot;:&quot;&quot;},{&quot;family&quot;:&quot;Scoffings&quot;,&quot;given&quot;:&quot;Daniel J.&quot;,&quot;parse-names&quot;:false,&quot;dropping-particle&quot;:&quot;&quot;,&quot;non-dropping-particle&quot;:&quot;&quot;},{&quot;family&quot;:&quot;Fish&quot;,&quot;given&quot;:&quot;Brian M.&quot;,&quot;parse-names&quot;:false,&quot;dropping-particle&quot;:&quot;&quot;,&quot;non-dropping-particle&quot;:&quot;&quot;}],&quot;container-title&quot;:&quot;International Journal of Pediatric Otorhinolaryngology&quot;,&quot;DOI&quot;:&quot;10.1016/j.ijporl.2015.03.020&quot;,&quot;ISSN&quot;:&quot;18728464&quot;,&quot;issued&quot;:{&quot;date-parts&quot;:[[2015]]},&quot;abstract&quot;:&quot;Objective: To report our experience of sinogenic intracranial abscesses in the paediatric population and to guide medical and surgical management. Methods: All children with sinogenic intracranial abscesses presenting to a large university teaching hospital over a five-year period were included in the study. Data on clinical presentation, radiological findings, microbiology, medical and surgical management and follow-up were recorded and analysed. Results: We identified 27 children aged 12.9. ±. 3.4 years of which 56% were male. Fourteen (52%) children had extradural abscesses, nine (33%) subdural abscesses and four (15%) parenchymal abscesses. Early sinus drainage procedures were performed on 24 (89%) patients, and the same number required neurosurgical drainage. Streptococcus milleri was isolated in 18 (67%) cases. An initial conservative neurosurgical approach failed in 50% of cases where trialled, and was associated with longer length of stay (. p=. 0.025). In comparison to extradural abscesses, subdural abscesses were more likely to present with neurological deficits (. p&lt;. 0.001) and reduced consciousness (. p=. 0.018), and required multiple neurosurgical procedures (. p&lt;. 0.001), longer stays (. p=. 0.017), and had greater morbidity at six months (. p=. 0.017). A third of children had significant morbidity at six months, which included cognitive and behavioural problems (25%), residual hemiparesis (19%) and expressive dysphasia (7%). There were no mortalities. Conclusion: Sinusitis complicated by intracranial abscess remains a contemporary problem. We demonstrate good outcomes with an early combined rhinological and neurosurgical approach. S. milleri is identified as the causative organism in the majority of cases, and empirical antimicrobial treatments should reflect this.&quot;,&quot;issue&quot;:&quot;6&quot;,&quot;volume&quot;:&quot;79&quot;},&quot;isTemporary&quot;:false}],&quot;manualOverride&quot;:{&quot;citeprocText&quot;:&quot;(2)&quot;,&quot;manualOverrideText&quot;:&quot;[2]&quot;,&quot;isManuallyOverriden&quot;:true}},{&quot;properties&quot;:{&quot;noteIndex&quot;:0},&quot;citationID&quot;:&quot;MENDELEY_CITATION_685e4e8a-7f7e-43e7-8deb-e4071c4aad69&quot;,&quot;isEdited&quot;:false,&quot;citationTag&quot;:&quot;MENDELEY_CITATION_v3_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&quot;,&quot;citationItems&quot;:[{&quot;id&quot;:&quot;f62b24cf-dbea-38e8-897c-274eff83a850&quot;,&quot;itemData&quot;:{&quot;type&quot;:&quot;article-journal&quot;,&quot;id&quot;:&quot;f62b24cf-dbea-38e8-897c-274eff83a850&quot;,&quot;title&quot;:&quot;Management and outcomes in children with sinogenic intracranial abscesses&quot;,&quot;author&quot;:[{&quot;family&quot;:&quot;Patel&quot;,&quot;given&quot;:&quot;Anant P.&quot;,&quot;parse-names&quot;:false,&quot;dropping-particle&quot;:&quot;&quot;,&quot;non-dropping-particle&quot;:&quot;&quot;},{&quot;family&quot;:&quot;Masterson&quot;,&quot;given&quot;:&quot;Liam&quot;,&quot;parse-names&quot;:false,&quot;dropping-particle&quot;:&quot;&quot;,&quot;non-dropping-particle&quot;:&quot;&quot;},{&quot;family&quot;:&quot;Deutsch&quot;,&quot;given&quot;:&quot;Christopher J.&quot;,&quot;parse-names&quot;:false,&quot;dropping-particle&quot;:&quot;&quot;,&quot;non-dropping-particle&quot;:&quot;&quot;},{&quot;family&quot;:&quot;Scoffings&quot;,&quot;given&quot;:&quot;Daniel J.&quot;,&quot;parse-names&quot;:false,&quot;dropping-particle&quot;:&quot;&quot;,&quot;non-dropping-particle&quot;:&quot;&quot;},{&quot;family&quot;:&quot;Fish&quot;,&quot;given&quot;:&quot;Brian M.&quot;,&quot;parse-names&quot;:false,&quot;dropping-particle&quot;:&quot;&quot;,&quot;non-dropping-particle&quot;:&quot;&quot;}],&quot;container-title&quot;:&quot;International Journal of Pediatric Otorhinolaryngology&quot;,&quot;DOI&quot;:&quot;10.1016/j.ijporl.2015.03.020&quot;,&quot;ISSN&quot;:&quot;18728464&quot;,&quot;issued&quot;:{&quot;date-parts&quot;:[[2015]]},&quot;abstract&quot;:&quot;Objective: To report our experience of sinogenic intracranial abscesses in the paediatric population and to guide medical and surgical management. Methods: All children with sinogenic intracranial abscesses presenting to a large university teaching hospital over a five-year period were included in the study. Data on clinical presentation, radiological findings, microbiology, medical and surgical management and follow-up were recorded and analysed. Results: We identified 27 children aged 12.9. ±. 3.4 years of which 56% were male. Fourteen (52%) children had extradural abscesses, nine (33%) subdural abscesses and four (15%) parenchymal abscesses. Early sinus drainage procedures were performed on 24 (89%) patients, and the same number required neurosurgical drainage. Streptococcus milleri was isolated in 18 (67%) cases. An initial conservative neurosurgical approach failed in 50% of cases where trialled, and was associated with longer length of stay (. p=. 0.025). In comparison to extradural abscesses, subdural abscesses were more likely to present with neurological deficits (. p&lt;. 0.001) and reduced consciousness (. p=. 0.018), and required multiple neurosurgical procedures (. p&lt;. 0.001), longer stays (. p=. 0.017), and had greater morbidity at six months (. p=. 0.017). A third of children had significant morbidity at six months, which included cognitive and behavioural problems (25%), residual hemiparesis (19%) and expressive dysphasia (7%). There were no mortalities. Conclusion: Sinusitis complicated by intracranial abscess remains a contemporary problem. We demonstrate good outcomes with an early combined rhinological and neurosurgical approach. S. milleri is identified as the causative organism in the majority of cases, and empirical antimicrobial treatments should reflect this.&quot;,&quot;issue&quot;:&quot;6&quot;,&quot;volume&quot;:&quot;79&quot;},&quot;isTemporary&quot;:false}],&quot;manualOverride&quot;:{&quot;citeprocText&quot;:&quot;(2)&quot;,&quot;manualOverrideText&quot;:&quot;[2]&quot;,&quot;isManuallyOverriden&quot;:true}},{&quot;properties&quot;:{&quot;noteIndex&quot;:0},&quot;citationID&quot;:&quot;MENDELEY_CITATION_0527fc1e-5c8f-4184-b06f-0d759d550bae&quot;,&quot;isEdited&quot;:false,&quot;citationTag&quot;:&quot;MENDELEY_CITATION_v3_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&quot;,&quot;citationItems&quot;:[{&quot;id&quot;:&quot;7f027482-fa9d-3b3a-804d-c3cb03fdee43&quot;,&quot;itemData&quot;:{&quot;type&quot;:&quot;article-journal&quot;,&quot;id&quot;:&quot;7f027482-fa9d-3b3a-804d-c3cb03fdee43&quot;,&quot;title&quot;:&quot;Identifying and managing intracranial complications of sinusitis in children: A retrospective series&quot;,&quot;author&quot;:[{&quot;family&quot;:&quot;Hicks&quot;,&quot;given&quot;:&quot;Caitlin W.&quot;,&quot;parse-names&quot;:false,&quot;dropping-particle&quot;:&quot;&quot;,&quot;non-dropping-particle&quot;:&quot;&quot;},{&quot;family&quot;:&quot;Weber&quot;,&quot;given&quot;:&quot;Joseph G.&quot;,&quot;parse-names&quot;:false,&quot;dropping-particle&quot;:&quot;&quot;,&quot;non-dropping-particle&quot;:&quot;&quot;},{&quot;family&quot;:&quot;Reid&quot;,&quot;given&quot;:&quot;Janet R.&quot;,&quot;parse-names&quot;:false,&quot;dropping-particle&quot;:&quot;&quot;,&quot;non-dropping-particle&quot;:&quot;&quot;},{&quot;family&quot;:&quot;Moodley&quot;,&quot;given&quot;:&quot;Manikum&quot;,&quot;parse-names&quot;:false,&quot;dropping-particle&quot;:&quot;&quot;,&quot;non-dropping-particle&quot;:&quot;&quot;}],&quot;container-title&quot;:&quot;Pediatric Infectious Disease Journal&quot;,&quot;DOI&quot;:&quot;10.1097/INF.0b013e3181f86398&quot;,&quot;ISSN&quot;:&quot;15320987&quot;,&quot;issued&quot;:{&quot;date-parts&quot;:[[2011]]},&quot;abstract&quot;:&quot;BACKGROUND: Of patients admitted to hospital with sinusitis, about 3% have an intracranial complication. We describe the clinical features, laboratory data, imaging findings, and outcomes of pediatric patients with intracranial complications of sinusitis. METHODS: A retrospective chart review of all pediatric patients &lt;21 years of age admitted for intracranial complications of sinusitis to a tertiary hospital over a 10-year period. RESULTS: A total of 13 patients with a mean age of 13.3 ± 3.7 years presented with headache (92%), fever (85%), nausea/vomiting (62%), sinus tenderness (31%), and lethargy (23%). Physical examination findings included Pott puffy tumor (46%), orbital cellulitis (46%), altered level of consciousness (46%), new-onset seizure (31%), hemiparesis (23%), nuchal rigidity (23%), visual disturbance (23%), and slurred speech (15%). Computed tomography and magnetic resonance imaging demonstrated 16 instances of epidural and subdural empyema, and 1 brain abscess. One child had sagittal sinus thrombosis. CONCLUSIONS: Our findings suggest that acute sinusitis in combination with severe intractable headache, varying degrees of altered level of consciousness, focal neurologic deficits, and/or signs of meningeal irritation should raise clinical suspicion for potential intracranial complications of sinusitis. These signs and symptoms should prompt early and aggressive evaluation and management, including neuroimaging studies, neurologic and otolaryngologic consultations, and intravenous antibiotics. © 2011 Lippincott Williams &amp; Wilkins, Inc.&quot;,&quot;issue&quot;:&quot;3&quot;,&quot;volume&quot;:&quot;30&quot;},&quot;isTemporary&quot;:false}],&quot;manualOverride&quot;:{&quot;citeprocText&quot;:&quot;(1)&quot;,&quot;manualOverrideText&quot;:&quot;[1]&quot;,&quot;isManuallyOverriden&quot;:true}},{&quot;properties&quot;:{&quot;noteIndex&quot;:0},&quot;citationID&quot;:&quot;MENDELEY_CITATION_27d3a1c2-7eaa-4dae-aabf-9b7c16570b31&quot;,&quot;isEdited&quot;:false,&quot;citationTag&quot;:&quot;MENDELEY_CITATION_v3_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&quot;,&quot;citationItems&quot;:[{&quot;id&quot;:&quot;f62b24cf-dbea-38e8-897c-274eff83a850&quot;,&quot;itemData&quot;:{&quot;type&quot;:&quot;article-journal&quot;,&quot;id&quot;:&quot;f62b24cf-dbea-38e8-897c-274eff83a850&quot;,&quot;title&quot;:&quot;Management and outcomes in children with sinogenic intracranial abscesses&quot;,&quot;author&quot;:[{&quot;family&quot;:&quot;Patel&quot;,&quot;given&quot;:&quot;Anant P.&quot;,&quot;parse-names&quot;:false,&quot;dropping-particle&quot;:&quot;&quot;,&quot;non-dropping-particle&quot;:&quot;&quot;},{&quot;family&quot;:&quot;Masterson&quot;,&quot;given&quot;:&quot;Liam&quot;,&quot;parse-names&quot;:false,&quot;dropping-particle&quot;:&quot;&quot;,&quot;non-dropping-particle&quot;:&quot;&quot;},{&quot;family&quot;:&quot;Deutsch&quot;,&quot;given&quot;:&quot;Christopher J.&quot;,&quot;parse-names&quot;:false,&quot;dropping-particle&quot;:&quot;&quot;,&quot;non-dropping-particle&quot;:&quot;&quot;},{&quot;family&quot;:&quot;Scoffings&quot;,&quot;given&quot;:&quot;Daniel J.&quot;,&quot;parse-names&quot;:false,&quot;dropping-particle&quot;:&quot;&quot;,&quot;non-dropping-particle&quot;:&quot;&quot;},{&quot;family&quot;:&quot;Fish&quot;,&quot;given&quot;:&quot;Brian M.&quot;,&quot;parse-names&quot;:false,&quot;dropping-particle&quot;:&quot;&quot;,&quot;non-dropping-particle&quot;:&quot;&quot;}],&quot;container-title&quot;:&quot;International Journal of Pediatric Otorhinolaryngology&quot;,&quot;DOI&quot;:&quot;10.1016/j.ijporl.2015.03.020&quot;,&quot;ISSN&quot;:&quot;18728464&quot;,&quot;issued&quot;:{&quot;date-parts&quot;:[[2015]]},&quot;abstract&quot;:&quot;Objective: To report our experience of sinogenic intracranial abscesses in the paediatric population and to guide medical and surgical management. Methods: All children with sinogenic intracranial abscesses presenting to a large university teaching hospital over a five-year period were included in the study. Data on clinical presentation, radiological findings, microbiology, medical and surgical management and follow-up were recorded and analysed. Results: We identified 27 children aged 12.9. ±. 3.4 years of which 56% were male. Fourteen (52%) children had extradural abscesses, nine (33%) subdural abscesses and four (15%) parenchymal abscesses. Early sinus drainage procedures were performed on 24 (89%) patients, and the same number required neurosurgical drainage. Streptococcus milleri was isolated in 18 (67%) cases. An initial conservative neurosurgical approach failed in 50% of cases where trialled, and was associated with longer length of stay (. p=. 0.025). In comparison to extradural abscesses, subdural abscesses were more likely to present with neurological deficits (. p&lt;. 0.001) and reduced consciousness (. p=. 0.018), and required multiple neurosurgical procedures (. p&lt;. 0.001), longer stays (. p=. 0.017), and had greater morbidity at six months (. p=. 0.017). A third of children had significant morbidity at six months, which included cognitive and behavioural problems (25%), residual hemiparesis (19%) and expressive dysphasia (7%). There were no mortalities. Conclusion: Sinusitis complicated by intracranial abscess remains a contemporary problem. We demonstrate good outcomes with an early combined rhinological and neurosurgical approach. S. milleri is identified as the causative organism in the majority of cases, and empirical antimicrobial treatments should reflect this.&quot;,&quot;issue&quot;:&quot;6&quot;,&quot;volume&quot;:&quot;79&quot;},&quot;isTemporary&quot;:false}],&quot;manualOverride&quot;:{&quot;citeprocText&quot;:&quot;(2)&quot;,&quot;manualOverrideText&quot;:&quot;[2]&quot;,&quot;isManuallyOverriden&quot;:true}},{&quot;properties&quot;:{&quot;noteIndex&quot;:0},&quot;citationID&quot;:&quot;MENDELEY_CITATION_1c30d12e-39d4-4a56-b6d6-b373b0711a58&quot;,&quot;isEdited&quot;:false,&quot;citationTag&quot;:&quot;MENDELEY_CITATION_v3_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&quot;,&quot;citationItems&quot;:[{&quot;id&quot;:&quot;f627088a-2374-3fb4-a081-c23c28f3f90c&quot;,&quot;itemData&quot;:{&quot;type&quot;:&quot;article-journal&quot;,&quot;id&quot;:&quot;f627088a-2374-3fb4-a081-c23c28f3f90c&quot;,&quot;title&quot;:&quot;Conservative neurosurgical management of intracranial epidural abscesses in children&quot;,&quot;author&quot;:[{&quot;family&quot;:&quot;Heran&quot;,&quot;given&quot;:&quot;Navraj Singh&quot;,&quot;parse-names&quot;:false,&quot;dropping-particle&quot;:&quot;&quot;,&quot;non-dropping-particle&quot;:&quot;&quot;},{&quot;family&quot;:&quot;Steinbok&quot;,&quot;given&quot;:&quot;Paul&quot;,&quot;parse-names&quot;:false,&quot;dropping-particle&quot;:&quot;&quot;,&quot;non-dropping-particle&quot;:&quot;&quot;},{&quot;family&quot;:&quot;Cochrane&quot;,&quot;given&quot;:&quot;D. Douglas&quot;,&quot;parse-names&quot;:false,&quot;dropping-particle&quot;:&quot;&quot;,&quot;non-dropping-particle&quot;:&quot;&quot;},{&quot;family&quot;:&quot;Chapman&quot;,&quot;given&quot;:&quot;Paul H.&quot;,&quot;parse-names&quot;:false,&quot;dropping-particle&quot;:&quot;&quot;,&quot;non-dropping-particle&quot;:&quot;&quot;},{&quot;family&quot;:&quot;Humphreys&quot;,&quot;given&quot;:&quot;Robin P.&quot;,&quot;parse-names&quot;:false,&quot;dropping-particle&quot;:&quot;&quot;,&quot;non-dropping-particle&quot;:&quot;&quot;},{&quot;family&quot;:&quot;Adelson&quot;,&quot;given&quot;:&quot;P. David&quot;,&quot;parse-names&quot;:false,&quot;dropping-particle&quot;:&quot;&quot;,&quot;non-dropping-particle&quot;:&quot;&quot;}],&quot;container-title&quot;:&quot;Neurosurgery&quot;,&quot;DOI&quot;:&quot;10.1227/01.NEU.0000084163.51521.58&quot;,&quot;ISSN&quot;:&quot;0148396X&quot;,&quot;issued&quot;:{&quot;date-parts&quot;:[[2003]]},&quot;abstract&quot;:&quot;OBJECTIVE: Traditional management of epidural abscesses caused by sinusitis in children involves neurosurgical drainage. With better techniques to drain affected sinuses, to identify causative organisms, and to guide medical therapy, some pediatric epidural intracranial abscesses may be treated effectively with sinus drainage and antibiotics, without an intracranial procedure. METHODS: Charts and computed tomographic scans of children with isolated intracranial epidural abscess associated with sinusitis who were treated in a pediatric hospital were reviewed retrospectively. RESULTS: Eight patients were treated between 1982 and 2002. All patients received antibiotic therapy appropriate to the causative organism(s). Four patients treated before mid-1997 had an intracranial procedure additionally (operative group, Group 1), and four patients treated thereafter did not (conservative group, Group 2). Abscesses had a mean size of 3 × 3 × 1 cm (length × width × depth) in both groups. All patients experienced clinical and radiographic resolution of the infection with treatment. In Group 1, neurosurgical management consisted of burr hole drainage in two patients and craniotomy in two patients. Extranasal otorhinolaryngological procedures for sinus drainage were performed in two patients. In Group 2, endonasal procedures were used in three patients for paranasal sinus infections to effect drainage and obtain specimens for culture. A radical mastoidectomy was required in the single patient with mastoiditis. Although two of four patients initially demonstrated transient worsening of headaches, all patients subsequently improved rapidly after the first week of treatment. Computed tomographic follow-up revealed minimal or no enlargement of the abscess or mass effect at 1 week, decrease or stable size at 2 weeks, and resolution by 6 weeks. CONCLUSION: Sinus-related intracranial epidural abscesses in children may be managed without neurosurgical procedures in the setting of adequate sinus drainage, appropriate antibiotic therapy, and minimal extradural mass effect from the abscess. Symptomatic worsening without significant increase in mass effect during the first week of therapy is not necessarily an indication for an intracranial drainage procedure.&quot;,&quot;issue&quot;:&quot;4&quot;,&quot;volume&quot;:&quot;53&quot;},&quot;isTemporary&quot;:false}],&quot;manualOverride&quot;:{&quot;citeprocText&quot;:&quot;(3)&quot;,&quot;manualOverrideText&quot;:&quot;[3]&quot;,&quot;isManuallyOverriden&quot;:true}},{&quot;properties&quot;:{&quot;noteIndex&quot;:0},&quot;citationID&quot;:&quot;MENDELEY_CITATION_db94076a-1757-4576-8af3-50a084479802&quot;,&quot;isEdited&quot;:false,&quot;citationItems&quot;:[{&quot;id&quot;:&quot;349d4149-144e-3529-80ae-5bae46fb6b09&quot;,&quot;itemData&quot;:{&quot;type&quot;:&quot;article-journal&quot;,&quot;id&quot;:&quot;349d4149-144e-3529-80ae-5bae46fb6b09&quot;,&quot;title&quot;:&quot;Pediatric sinogenic epidural and subdural empyema: The role of endoscopic sinus surgery&quot;,&quot;author&quot;:[{&quot;family&quot;:&quot;Garin&quot;,&quot;given&quot;:&quot;A.&quot;,&quot;parse-names&quot;:false,&quot;dropping-particle&quot;:&quot;&quot;,&quot;non-dropping-particle&quot;:&quot;&quot;},{&quot;family&quot;:&quot;Thierry&quot;,&quot;given&quot;:&quot;B.&quot;,&quot;parse-names&quot;:false,&quot;dropping-particle&quot;:&quot;&quot;,&quot;non-dropping-particle&quot;:&quot;&quot;},{&quot;family&quot;:&quot;Leboulanger&quot;,&quot;given&quot;:&quot;N.&quot;,&quot;parse-names&quot;:false,&quot;dropping-particle&quot;:&quot;&quot;,&quot;non-dropping-particle&quot;:&quot;&quot;},{&quot;family&quot;:&quot;Blauwblomme&quot;,&quot;given&quot;:&quot;T.&quot;,&quot;parse-names&quot;:false,&quot;dropping-particle&quot;:&quot;&quot;,&quot;non-dropping-particle&quot;:&quot;&quot;},{&quot;family&quot;:&quot;Grevent&quot;,&quot;given&quot;:&quot;D.&quot;,&quot;parse-names&quot;:false,&quot;dropping-particle&quot;:&quot;&quot;,&quot;non-dropping-particle&quot;:&quot;&quot;},{&quot;family&quot;:&quot;Blanot&quot;,&quot;given&quot;:&quot;S.&quot;,&quot;parse-names&quot;:false,&quot;dropping-particle&quot;:&quot;&quot;,&quot;non-dropping-particle&quot;:&quot;&quot;},{&quot;family&quot;:&quot;Garabedian&quot;,&quot;given&quot;:&quot;N.&quot;,&quot;parse-names&quot;:false,&quot;dropping-particle&quot;:&quot;&quot;,&quot;non-dropping-particle&quot;:&quot;&quot;},{&quot;family&quot;:&quot;Couloigner&quot;,&quot;given&quot;:&quot;V.&quot;,&quot;parse-names&quot;:false,&quot;dropping-particle&quot;:&quot;&quot;,&quot;non-dropping-particle&quot;:&quot;&quot;}],&quot;container-title&quot;:&quot;International Journal of Pediatric Otorhinolaryngology&quot;,&quot;DOI&quot;:&quot;10.1016/j.ijporl.2015.08.007&quot;,&quot;ISSN&quot;:&quot;18728464&quot;,&quot;issued&quot;:{&quot;date-parts&quot;:[[2015]]},&quot;abstract&quot;:&quot;Aim: To analyze the indications and outcomes of open neurosurgical approaches (ONA) and endoscopic transnasal approaches (ETA) in the surgical management of pediatric sinogenic subdural and epidural empyema. Material and methods: Retrospective single-center study design within a tertiary care referral center setting. Children less than 18 years of age consecutively operated on between January 2012 and February 2014 for drainage of a sinogenic subdural empyema (SE) or epidural (EE) empyema were included. Main outcome measures: success of first surgical procedure, persistent symptoms and sequelae at the end of the follow-up period. Results: Nine SE (53%) and 8 EE (47%) were observed. Neurological symptoms, especially seizures, were more frequent in the SE group. Perioperative pus samples were positive in 67% of the SE group and in 75% of the EE group. The most frequently isolated bacteria belonged to the Streptococcus anginosus group. CT or MR imaging showed that most empyema probably originated from the frontal sinus. However, two cases resulted from an ethmoiditis and one case from a Pott's puffy tumor, without any direct contact with the paranasal sinus. In cases of SE, the most effective surgical technique was ONA with craniotomy. Associated endoscopic sinus drainage was useful for the purpose of bacteriological diagnosis. In cases of EE, effectiveness was noted in both ONA and ETA techniques. In two cases of EE, the ETA procedure encompassed direct drainage of the empyema through the posterior wall of the frontal sinus (Draf III approach). The number of patients successfully treated after a single surgical procedure was higher in the EE group (p = 0.05). Regarding outcomes, no mortalities were observed. Persistent disorders at the end of the follow-up period, especially headaches, cognitive, concentration or schooling problems, tended to be more frequent in the SE group than in the EE group (67% vs 29%), and were more commonly observed in cases requiring several surgical procedures (75% vs 12.5%) (p = 0.05). Discussion: Endoscopic sinus surgery plays a critical role in the surgical management of pediatric sinogenic SE and EE. In cases of small volume EE, the endoscopic approach associated with antibiotherapy may be sufficient to treat the infectious process.&quot;,&quot;issue&quot;:&quot;10&quot;,&quot;volume&quot;:&quot;79&quot;},&quot;isTemporary&quot;:false},{&quot;id&quot;:&quot;1096f7e1-e0ba-338d-885b-e5628fd065e7&quot;,&quot;itemData&quot;:{&quot;type&quot;:&quot;article-journal&quot;,&quot;id&quot;:&quot;1096f7e1-e0ba-338d-885b-e5628fd065e7&quot;,&quot;title&quot;:&quot;Intracranial complications of sinusitis: what is the role of endoscopic sinus surgery in the acute setting&quot;,&quot;author&quot;:[{&quot;family&quot;:&quot;DelGaudio&quot;,&quot;given&quot;:&quot;John M.&quot;,&quot;parse-names&quot;:false,&quot;dropping-particle&quot;:&quot;&quot;,&quot;non-dropping-particle&quot;:&quot;&quot;},{&quot;family&quot;:&quot;Evans&quot;,&quot;given&quot;:&quot;Seth H.&quot;,&quot;parse-names&quot;:false,&quot;dropping-particle&quot;:&quot;&quot;,&quot;non-dropping-particle&quot;:&quot;&quot;},{&quot;family&quot;:&quot;Sobol&quot;,&quot;given&quot;:&quot;Steven E.&quot;,&quot;parse-names&quot;:false,&quot;dropping-particle&quot;:&quot;&quot;,&quot;non-dropping-particle&quot;:&quot;&quot;},{&quot;family&quot;:&quot;Parikh&quot;,&quot;given&quot;:&quot;Shatul L.&quot;,&quot;parse-names&quot;:false,&quot;dropping-particle&quot;:&quot;&quot;,&quot;non-dropping-particle&quot;:&quot;&quot;}],&quot;container-title&quot;:&quot;American Journal of Otolaryngology - Head and Neck Medicine and Surgery&quot;,&quot;DOI&quot;:&quot;10.1016/j.amjoto.2008.09.009&quot;,&quot;ISSN&quot;:&quot;01960709&quot;,&quot;issued&quot;:{&quot;date-parts&quot;:[[2010]]},&quot;abstract&quot;:&quot;Objective: Intracranial complications of sinusitis (ICS) are uncommon in the antibiotic era. The role of neurosurgical drainage of ICS is fairly well established, but the role for acute surgical intervention for the sinus disease is not well defined. We retrospectively reviewed our experience with ICS to see if we could identify the role and effectiveness of endoscopic sinus surgery (ESS) in the acute setting of ICS. Methods: The study used a retrospective review of patients presenting to a tertiary care academic medical center for a 6-year period. Results: Twenty-three patients were identified with ICS, including epidural (8), subdural (10), intracerebral abscesses (2), and meningitis (3). Males were more affected than females (7:1). Twenty patients were 21 years old or younger. Twenty-two patients (96%) had radiologic evidence of frontal sinusitis with prefrontal or frontal lobe ICS at presentation. Medical therapy alone was successful in avoiding craniotomy in only 3 of 8 cases. Endoscopic sinus surgery and intravenous antibiotics as initial treatment was successful in avoiding craniotomy in only 1 of 6 patients. Of 23 patients, 18 underwent neurosurgical procedures-9 emergent procedures for abscesses more than 1 cm and 9 delayed procedures for persistent disease despite ICS less than 1 cm at presentation. Conclusions: Intracranial complications of sinusitis usually result from indirect spread of acute frontal sinusitis. The role of ESS in the initial treatment of ICS is not clear. In our series, ESS did not appear to alter the need for neurosurgical intervention, which was ultimately necessary in most patients with ICS, even with lesions less than 1 cm. © 2010 Elsevier Inc. All rights reserved.&quot;,&quot;issue&quot;:&quot;1&quot;,&quot;volume&quot;:&quot;31&quot;},&quot;isTemporary&quot;:false},{&quot;id&quot;:&quot;f62b24cf-dbea-38e8-897c-274eff83a850&quot;,&quot;itemData&quot;:{&quot;type&quot;:&quot;article-journal&quot;,&quot;id&quot;:&quot;f62b24cf-dbea-38e8-897c-274eff83a850&quot;,&quot;title&quot;:&quot;Management and outcomes in children with sinogenic intracranial abscesses&quot;,&quot;author&quot;:[{&quot;family&quot;:&quot;Patel&quot;,&quot;given&quot;:&quot;Anant P.&quot;,&quot;parse-names&quot;:false,&quot;dropping-particle&quot;:&quot;&quot;,&quot;non-dropping-particle&quot;:&quot;&quot;},{&quot;family&quot;:&quot;Masterson&quot;,&quot;given&quot;:&quot;Liam&quot;,&quot;parse-names&quot;:false,&quot;dropping-particle&quot;:&quot;&quot;,&quot;non-dropping-particle&quot;:&quot;&quot;},{&quot;family&quot;:&quot;Deutsch&quot;,&quot;given&quot;:&quot;Christopher J.&quot;,&quot;parse-names&quot;:false,&quot;dropping-particle&quot;:&quot;&quot;,&quot;non-dropping-particle&quot;:&quot;&quot;},{&quot;family&quot;:&quot;Scoffings&quot;,&quot;given&quot;:&quot;Daniel J.&quot;,&quot;parse-names&quot;:false,&quot;dropping-particle&quot;:&quot;&quot;,&quot;non-dropping-particle&quot;:&quot;&quot;},{&quot;family&quot;:&quot;Fish&quot;,&quot;given&quot;:&quot;Brian M.&quot;,&quot;parse-names&quot;:false,&quot;dropping-particle&quot;:&quot;&quot;,&quot;non-dropping-particle&quot;:&quot;&quot;}],&quot;container-title&quot;:&quot;International Journal of Pediatric Otorhinolaryngology&quot;,&quot;DOI&quot;:&quot;10.1016/j.ijporl.2015.03.020&quot;,&quot;ISSN&quot;:&quot;18728464&quot;,&quot;issued&quot;:{&quot;date-parts&quot;:[[2015]]},&quot;abstract&quot;:&quot;Objective: To report our experience of sinogenic intracranial abscesses in the paediatric population and to guide medical and surgical management. Methods: All children with sinogenic intracranial abscesses presenting to a large university teaching hospital over a five-year period were included in the study. Data on clinical presentation, radiological findings, microbiology, medical and surgical management and follow-up were recorded and analysed. Results: We identified 27 children aged 12.9. ±. 3.4 years of which 56% were male. Fourteen (52%) children had extradural abscesses, nine (33%) subdural abscesses and four (15%) parenchymal abscesses. Early sinus drainage procedures were performed on 24 (89%) patients, and the same number required neurosurgical drainage. Streptococcus milleri was isolated in 18 (67%) cases. An initial conservative neurosurgical approach failed in 50% of cases where trialled, and was associated with longer length of stay (. p=. 0.025). In comparison to extradural abscesses, subdural abscesses were more likely to present with neurological deficits (. p&lt;. 0.001) and reduced consciousness (. p=. 0.018), and required multiple neurosurgical procedures (. p&lt;. 0.001), longer stays (. p=. 0.017), and had greater morbidity at six months (. p=. 0.017). A third of children had significant morbidity at six months, which included cognitive and behavioural problems (25%), residual hemiparesis (19%) and expressive dysphasia (7%). There were no mortalities. Conclusion: Sinusitis complicated by intracranial abscess remains a contemporary problem. We demonstrate good outcomes with an early combined rhinological and neurosurgical approach. S. milleri is identified as the causative organism in the majority of cases, and empirical antimicrobial treatments should reflect this.&quot;,&quot;issue&quot;:&quot;6&quot;,&quot;volume&quot;:&quot;79&quot;},&quot;isTemporary&quot;:false}],&quot;citationTag&quot;:&quot;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&quot;,&quot;manualOverride&quot;:{&quot;manualOverrideText&quot;:&quot;[2,4,5]&quot;,&quot;isManuallyOverriden&quot;:true,&quot;citeprocText&quot;:&quot;(2,4,5)&quot;}},{&quot;properties&quot;:{&quot;noteIndex&quot;:0},&quot;citationID&quot;:&quot;MENDELEY_CITATION_ce38cfcf-cf2d-4082-9593-45223c6695b3&quot;,&quot;isEdited&quot;:false,&quot;citationTag&quot;:&quot;MENDELEY_CITATION_v3_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&quot;,&quot;citationItems&quot;:[{&quot;id&quot;:&quot;349d4149-144e-3529-80ae-5bae46fb6b09&quot;,&quot;itemData&quot;:{&quot;type&quot;:&quot;article-journal&quot;,&quot;id&quot;:&quot;349d4149-144e-3529-80ae-5bae46fb6b09&quot;,&quot;title&quot;:&quot;Pediatric sinogenic epidural and subdural empyema: The role of endoscopic sinus surgery&quot;,&quot;author&quot;:[{&quot;family&quot;:&quot;Garin&quot;,&quot;given&quot;:&quot;A.&quot;,&quot;parse-names&quot;:false,&quot;dropping-particle&quot;:&quot;&quot;,&quot;non-dropping-particle&quot;:&quot;&quot;},{&quot;family&quot;:&quot;Thierry&quot;,&quot;given&quot;:&quot;B.&quot;,&quot;parse-names&quot;:false,&quot;dropping-particle&quot;:&quot;&quot;,&quot;non-dropping-particle&quot;:&quot;&quot;},{&quot;family&quot;:&quot;Leboulanger&quot;,&quot;given&quot;:&quot;N.&quot;,&quot;parse-names&quot;:false,&quot;dropping-particle&quot;:&quot;&quot;,&quot;non-dropping-particle&quot;:&quot;&quot;},{&quot;family&quot;:&quot;Blauwblomme&quot;,&quot;given&quot;:&quot;T.&quot;,&quot;parse-names&quot;:false,&quot;dropping-particle&quot;:&quot;&quot;,&quot;non-dropping-particle&quot;:&quot;&quot;},{&quot;family&quot;:&quot;Grevent&quot;,&quot;given&quot;:&quot;D.&quot;,&quot;parse-names&quot;:false,&quot;dropping-particle&quot;:&quot;&quot;,&quot;non-dropping-particle&quot;:&quot;&quot;},{&quot;family&quot;:&quot;Blanot&quot;,&quot;given&quot;:&quot;S.&quot;,&quot;parse-names&quot;:false,&quot;dropping-particle&quot;:&quot;&quot;,&quot;non-dropping-particle&quot;:&quot;&quot;},{&quot;family&quot;:&quot;Garabedian&quot;,&quot;given&quot;:&quot;N.&quot;,&quot;parse-names&quot;:false,&quot;dropping-particle&quot;:&quot;&quot;,&quot;non-dropping-particle&quot;:&quot;&quot;},{&quot;family&quot;:&quot;Couloigner&quot;,&quot;given&quot;:&quot;V.&quot;,&quot;parse-names&quot;:false,&quot;dropping-particle&quot;:&quot;&quot;,&quot;non-dropping-particle&quot;:&quot;&quot;}],&quot;container-title&quot;:&quot;International Journal of Pediatric Otorhinolaryngology&quot;,&quot;DOI&quot;:&quot;10.1016/j.ijporl.2015.08.007&quot;,&quot;ISSN&quot;:&quot;18728464&quot;,&quot;issued&quot;:{&quot;date-parts&quot;:[[2015]]},&quot;abstract&quot;:&quot;Aim: To analyze the indications and outcomes of open neurosurgical approaches (ONA) and endoscopic transnasal approaches (ETA) in the surgical management of pediatric sinogenic subdural and epidural empyema. Material and methods: Retrospective single-center study design within a tertiary care referral center setting. Children less than 18 years of age consecutively operated on between January 2012 and February 2014 for drainage of a sinogenic subdural empyema (SE) or epidural (EE) empyema were included. Main outcome measures: success of first surgical procedure, persistent symptoms and sequelae at the end of the follow-up period. Results: Nine SE (53%) and 8 EE (47%) were observed. Neurological symptoms, especially seizures, were more frequent in the SE group. Perioperative pus samples were positive in 67% of the SE group and in 75% of the EE group. The most frequently isolated bacteria belonged to the Streptococcus anginosus group. CT or MR imaging showed that most empyema probably originated from the frontal sinus. However, two cases resulted from an ethmoiditis and one case from a Pott's puffy tumor, without any direct contact with the paranasal sinus. In cases of SE, the most effective surgical technique was ONA with craniotomy. Associated endoscopic sinus drainage was useful for the purpose of bacteriological diagnosis. In cases of EE, effectiveness was noted in both ONA and ETA techniques. In two cases of EE, the ETA procedure encompassed direct drainage of the empyema through the posterior wall of the frontal sinus (Draf III approach). The number of patients successfully treated after a single surgical procedure was higher in the EE group (p = 0.05). Regarding outcomes, no mortalities were observed. Persistent disorders at the end of the follow-up period, especially headaches, cognitive, concentration or schooling problems, tended to be more frequent in the SE group than in the EE group (67% vs 29%), and were more commonly observed in cases requiring several surgical procedures (75% vs 12.5%) (p = 0.05). Discussion: Endoscopic sinus surgery plays a critical role in the surgical management of pediatric sinogenic SE and EE. In cases of small volume EE, the endoscopic approach associated with antibiotherapy may be sufficient to treat the infectious process.&quot;,&quot;issue&quot;:&quot;10&quot;,&quot;volume&quot;:&quot;79&quot;},&quot;isTemporary&quot;:false}],&quot;manualOverride&quot;:{&quot;citeprocText&quot;:&quot;(4)&quot;,&quot;manualOverrideText&quot;:&quot;[4]&quot;,&quot;isManuallyOverriden&quot;:true}},{&quot;properties&quot;:{&quot;noteIndex&quot;:0},&quot;citationID&quot;:&quot;MENDELEY_CITATION_437bc70d-a523-4f8a-a1bf-d828c45d48f0&quot;,&quot;isEdited&quot;:false,&quot;citationTag&quot;:&quot;MENDELEY_CITATION_v3_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&quot;,&quot;citationItems&quot;:[{&quot;id&quot;:&quot;ae7d68c5-0649-325d-8a9b-8361d23b15e4&quot;,&quot;itemData&quot;:{&quot;type&quot;:&quot;article-journal&quot;,&quot;id&quot;:&quot;ae7d68c5-0649-325d-8a9b-8361d23b15e4&quot;,&quot;title&quot;:&quot;Reducing Surgical Revisions in Intracranial Complications of Pediatric Acute Sinusitis&quot;,&quot;author&quot;:[{&quot;family&quot;:&quot;Gitomer&quot;,&quot;given&quot;:&quot;Sarah A.&quot;,&quot;parse-names&quot;:false,&quot;dropping-particle&quot;:&quot;&quot;,&quot;non-dropping-particle&quot;:&quot;&quot;},{&quot;family&quot;:&quot;Zhang&quot;,&quot;given&quot;:&quot;Wei&quot;,&quot;parse-names&quot;:false,&quot;dropping-particle&quot;:&quot;&quot;,&quot;non-dropping-particle&quot;:&quot;&quot;},{&quot;family&quot;:&quot;Marquez&quot;,&quot;given&quot;:&quot;Lucila&quot;,&quot;parse-names&quot;:false,&quot;dropping-particle&quot;:&quot;&quot;,&quot;non-dropping-particle&quot;:&quot;&quot;},{&quot;family&quot;:&quot;Chandy&quot;,&quot;given&quot;:&quot;Binoy M.&quot;,&quot;parse-names&quot;:false,&quot;dropping-particle&quot;:&quot;&quot;,&quot;non-dropping-particle&quot;:&quot;&quot;}],&quot;container-title&quot;:&quot;Otolaryngology - Head and Neck Surgery (United States)&quot;,&quot;DOI&quot;:&quot;10.1177/0194599818765160&quot;,&quot;ISSN&quot;:&quot;10976817&quot;,&quot;issued&quot;:{&quot;date-parts&quot;:[[2018]]},&quot;abstract&quot;:&quot;Objective: (1) To describe the demographics and clinical course of children with intracranial complications of sinusitis. (2) To elucidate factors that predict revision surgery in this population, such as type of initial surgery. Study Design: Case series with chart review. Setting: Tertiary care academic children’s hospital. Subjects and Methods: A 15-year retrospective review identified 71 patients with intracranial complications of acute sinusitis. Primary outcome was need for revision surgery. Secondary outcomes were readmission, length of hospitalization, and long-term complications. Results: This study is the largest to date examining this disease process. Overall, 69 (97%) patients had surgery; 33 (46%) required revision surgery. Half of the patients with frontal sinus opacification underwent frontal sinus surgery at presentation (endoscopic, trephination, or cranialization). There was no difference in revision surgery between patients who had frontal sinus surgery and those who did not. Patients with frontal sinus surgery did not have a higher rate of complications or chronic sinusitis (P &gt;.05). Subdural abscess was associated with multiple surgical procedures (odds ratio, 20.0; P &lt;.01). Thirty-four patients (49%) required neurosurgery. These patients had a longer length of stay (odds ratio, 11.0; P &lt;.01) and a higher readmission rate (P =.02). During the mean 92-month follow-up, 22 patients (33%) had long-term complications, and there was 1 death (1.4%). Conclusion: Almost half of this cohort required multiple surgical procedures. In particular, patients with subdural abscess had significantly higher rates of revision surgery. Type of frontal sinus surgery was not correlated with need for revision surgery and was not associated with an increased rate of complications.&quot;,&quot;issue&quot;:&quot;2&quot;,&quot;volume&quot;:&quot;159&quot;},&quot;isTemporary&quot;:false}],&quot;manualOverride&quot;:{&quot;citeprocText&quot;:&quot;(6)&quot;,&quot;manualOverrideText&quot;:&quot;[6]&quot;,&quot;isManuallyOverriden&quot;:true}},{&quot;properties&quot;:{&quot;noteIndex&quot;:0},&quot;citationID&quot;:&quot;MENDELEY_CITATION_3babbba7-7163-49dd-a9c2-a3181b2445f3&quot;,&quot;isEdited&quot;:false,&quot;citationTag&quot;:&quot;MENDELEY_CITATION_v3_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&quot;,&quot;citationItems&quot;:[{&quot;id&quot;:&quot;cf48ad07-d08b-3a52-9819-46576a92603d&quot;,&quot;itemData&quot;:{&quot;type&quot;:&quot;article-journal&quot;,&quot;id&quot;:&quot;cf48ad07-d08b-3a52-9819-46576a92603d&quot;,&quot;title&quot;:&quot;Outcomes of endoscopic sinus surgery for sinusitis-induced intracranial abscess in patients undergoing neurosurgery&quot;,&quot;author&quot;:[{&quot;family&quot;:&quot;Koizumi&quot;,&quot;given&quot;:&quot;Megumi&quot;,&quot;parse-names&quot;:false,&quot;dropping-particle&quot;:&quot;&quot;,&quot;non-dropping-particle&quot;:&quot;&quot;},{&quot;family&quot;:&quot;Ishimaru&quot;,&quot;given&quot;:&quot;Miho&quot;,&quot;parse-names&quot;:false,&quot;dropping-particle&quot;:&quot;&quot;,&quot;non-dropping-particle&quot;:&quot;&quot;},{&quot;family&quot;:&quot;Matsui&quot;,&quot;given&quot;:&quot;Hiroki&quot;,&quot;parse-names&quot;:false,&quot;dropping-particle&quot;:&quot;&quot;,&quot;non-dropping-particle&quot;:&quot;&quot;},{&quot;family&quot;:&quot;Fushimi&quot;,&quot;given&quot;:&quot;Kiyohide&quot;,&quot;parse-names&quot;:false,&quot;dropping-particle&quot;:&quot;&quot;,&quot;non-dropping-particle&quot;:&quot;&quot;},{&quot;family&quot;:&quot;Yamasoba&quot;,&quot;given&quot;:&quot;Tatsuya&quot;,&quot;parse-names&quot;:false,&quot;dropping-particle&quot;:&quot;&quot;,&quot;non-dropping-particle&quot;:&quot;&quot;},{&quot;family&quot;:&quot;Yasunaga&quot;,&quot;given&quot;:&quot;Hideo&quot;,&quot;parse-names&quot;:false,&quot;dropping-particle&quot;:&quot;&quot;,&quot;non-dropping-particle&quot;:&quot;&quot;}],&quot;container-title&quot;:&quot;Neurosurgical Focus&quot;,&quot;DOI&quot;:&quot;10.3171/2019.5.FOCUS1947&quot;,&quot;ISSN&quot;:&quot;10920684&quot;,&quot;issued&quot;:{&quot;date-parts&quot;:[[2019]]},&quot;abstract&quot;:&quot;OBJECTIVE Although sinusitis-induced intracranial complications rarely occur in the current era of antibiotics, they can induce neurological symptoms or death. The authors of this study investigated the association between endoscopic sinus surgery (ESS) and outcomes in patients who had undergone neurosurgical procedures for sinusitis-induced intracranial abscess. METHODS The authors obtained data on patients with sinusitis-induced intracranial abscess from the Japanese Diagnosis Procedure Combination inpatient data for the period from 2010 to 2017. They excluded patients with fungal sinusitis, orbital complications, immunodeficiency, and malignant disease. They also excluded patients who had received antifungal agents, chemotherapy, immunosuppressants, and antidiabetic drugs. Eligible patients were divided into those with and those without neurosurgical procedures. Propensity score-adjusted regression analyses were performed to examine the association between ESS within the same hospitalization and outcomes (mortality, blood transfusion, readmission, revision neurosurgery, and length of stay). RESULTS Of the 552 potentially eligible patients, 255 were treated with neurosurgical procedures, including 104 who underwent ESS within the same hospitalization and 151 who did not. ESS was not significantly associated with mortality (OR 0.54, 95% CI 0.05-5.81, p = 0.61), blood transfusion (OR 1.95, 95% CI 0.84-4.51, p = 0.12), readmission (OR 0.86, 95% CI 0.34-2.16, p = 0.75), revision neurosurgery (OR 0.65, 95% CI 0.24-1.74, p = 0.39), or length of stay (percent difference -10.8%, 95% CI -24.4% to 5.1%, p = 0.18). CONCLUSIONS The present study suggests that ESS may not have significant benefits with respect to reducing mortality, blood transfusion, readmission, revision neurosurgery, or length of stay.&quot;,&quot;issue&quot;:&quot;2&quot;,&quot;volume&quot;:&quot;47&quot;},&quot;isTemporary&quot;:false},{&quot;id&quot;:&quot;1096f7e1-e0ba-338d-885b-e5628fd065e7&quot;,&quot;itemData&quot;:{&quot;type&quot;:&quot;article-journal&quot;,&quot;id&quot;:&quot;1096f7e1-e0ba-338d-885b-e5628fd065e7&quot;,&quot;title&quot;:&quot;Intracranial complications of sinusitis: what is the role of endoscopic sinus surgery in the acute setting&quot;,&quot;author&quot;:[{&quot;family&quot;:&quot;DelGaudio&quot;,&quot;given&quot;:&quot;John M.&quot;,&quot;parse-names&quot;:false,&quot;dropping-particle&quot;:&quot;&quot;,&quot;non-dropping-particle&quot;:&quot;&quot;},{&quot;family&quot;:&quot;Evans&quot;,&quot;given&quot;:&quot;Seth H.&quot;,&quot;parse-names&quot;:false,&quot;dropping-particle&quot;:&quot;&quot;,&quot;non-dropping-particle&quot;:&quot;&quot;},{&quot;family&quot;:&quot;Sobol&quot;,&quot;given&quot;:&quot;Steven E.&quot;,&quot;parse-names&quot;:false,&quot;dropping-particle&quot;:&quot;&quot;,&quot;non-dropping-particle&quot;:&quot;&quot;},{&quot;family&quot;:&quot;Parikh&quot;,&quot;given&quot;:&quot;Shatul L.&quot;,&quot;parse-names&quot;:false,&quot;dropping-particle&quot;:&quot;&quot;,&quot;non-dropping-particle&quot;:&quot;&quot;}],&quot;container-title&quot;:&quot;American Journal of Otolaryngology - Head and Neck Medicine and Surgery&quot;,&quot;DOI&quot;:&quot;10.1016/j.amjoto.2008.09.009&quot;,&quot;ISSN&quot;:&quot;01960709&quot;,&quot;issued&quot;:{&quot;date-parts&quot;:[[2010]]},&quot;abstract&quot;:&quot;Objective: Intracranial complications of sinusitis (ICS) are uncommon in the antibiotic era. The role of neurosurgical drainage of ICS is fairly well established, but the role for acute surgical intervention for the sinus disease is not well defined. We retrospectively reviewed our experience with ICS to see if we could identify the role and effectiveness of endoscopic sinus surgery (ESS) in the acute setting of ICS. Methods: The study used a retrospective review of patients presenting to a tertiary care academic medical center for a 6-year period. Results: Twenty-three patients were identified with ICS, including epidural (8), subdural (10), intracerebral abscesses (2), and meningitis (3). Males were more affected than females (7:1). Twenty patients were 21 years old or younger. Twenty-two patients (96%) had radiologic evidence of frontal sinusitis with prefrontal or frontal lobe ICS at presentation. Medical therapy alone was successful in avoiding craniotomy in only 3 of 8 cases. Endoscopic sinus surgery and intravenous antibiotics as initial treatment was successful in avoiding craniotomy in only 1 of 6 patients. Of 23 patients, 18 underwent neurosurgical procedures-9 emergent procedures for abscesses more than 1 cm and 9 delayed procedures for persistent disease despite ICS less than 1 cm at presentation. Conclusions: Intracranial complications of sinusitis usually result from indirect spread of acute frontal sinusitis. The role of ESS in the initial treatment of ICS is not clear. In our series, ESS did not appear to alter the need for neurosurgical intervention, which was ultimately necessary in most patients with ICS, even with lesions less than 1 cm. © 2010 Elsevier Inc. All rights reserved.&quot;,&quot;issue&quot;:&quot;1&quot;,&quot;volume&quot;:&quot;31&quot;},&quot;isTemporary&quot;:false}],&quot;manualOverride&quot;:{&quot;citeprocText&quot;:&quot;(5,7)&quot;,&quot;manualOverrideText&quot;:&quot;[5,7]&quot;,&quot;isManuallyOverriden&quot;:true}},{&quot;properties&quot;:{&quot;noteIndex&quot;:0},&quot;citationID&quot;:&quot;MENDELEY_CITATION_3e6d6633-42cd-4fdf-af0a-4a8ca3adc0ca&quot;,&quot;isEdited&quot;:false,&quot;citationTag&quot;:&quot;MENDELEY_CITATION_v3_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&quot;,&quot;citationItems&quot;:[{&quot;id&quot;:&quot;cf48ad07-d08b-3a52-9819-46576a92603d&quot;,&quot;itemData&quot;:{&quot;type&quot;:&quot;article-journal&quot;,&quot;id&quot;:&quot;cf48ad07-d08b-3a52-9819-46576a92603d&quot;,&quot;title&quot;:&quot;Outcomes of endoscopic sinus surgery for sinusitis-induced intracranial abscess in patients undergoing neurosurgery&quot;,&quot;author&quot;:[{&quot;family&quot;:&quot;Koizumi&quot;,&quot;given&quot;:&quot;Megumi&quot;,&quot;parse-names&quot;:false,&quot;dropping-particle&quot;:&quot;&quot;,&quot;non-dropping-particle&quot;:&quot;&quot;},{&quot;family&quot;:&quot;Ishimaru&quot;,&quot;given&quot;:&quot;Miho&quot;,&quot;parse-names&quot;:false,&quot;dropping-particle&quot;:&quot;&quot;,&quot;non-dropping-particle&quot;:&quot;&quot;},{&quot;family&quot;:&quot;Matsui&quot;,&quot;given&quot;:&quot;Hiroki&quot;,&quot;parse-names&quot;:false,&quot;dropping-particle&quot;:&quot;&quot;,&quot;non-dropping-particle&quot;:&quot;&quot;},{&quot;family&quot;:&quot;Fushimi&quot;,&quot;given&quot;:&quot;Kiyohide&quot;,&quot;parse-names&quot;:false,&quot;dropping-particle&quot;:&quot;&quot;,&quot;non-dropping-particle&quot;:&quot;&quot;},{&quot;family&quot;:&quot;Yamasoba&quot;,&quot;given&quot;:&quot;Tatsuya&quot;,&quot;parse-names&quot;:false,&quot;dropping-particle&quot;:&quot;&quot;,&quot;non-dropping-particle&quot;:&quot;&quot;},{&quot;family&quot;:&quot;Yasunaga&quot;,&quot;given&quot;:&quot;Hideo&quot;,&quot;parse-names&quot;:false,&quot;dropping-particle&quot;:&quot;&quot;,&quot;non-dropping-particle&quot;:&quot;&quot;}],&quot;container-title&quot;:&quot;Neurosurgical Focus&quot;,&quot;DOI&quot;:&quot;10.3171/2019.5.FOCUS1947&quot;,&quot;ISSN&quot;:&quot;10920684&quot;,&quot;issued&quot;:{&quot;date-parts&quot;:[[2019]]},&quot;abstract&quot;:&quot;OBJECTIVE Although sinusitis-induced intracranial complications rarely occur in the current era of antibiotics, they can induce neurological symptoms or death. The authors of this study investigated the association between endoscopic sinus surgery (ESS) and outcomes in patients who had undergone neurosurgical procedures for sinusitis-induced intracranial abscess. METHODS The authors obtained data on patients with sinusitis-induced intracranial abscess from the Japanese Diagnosis Procedure Combination inpatient data for the period from 2010 to 2017. They excluded patients with fungal sinusitis, orbital complications, immunodeficiency, and malignant disease. They also excluded patients who had received antifungal agents, chemotherapy, immunosuppressants, and antidiabetic drugs. Eligible patients were divided into those with and those without neurosurgical procedures. Propensity score-adjusted regression analyses were performed to examine the association between ESS within the same hospitalization and outcomes (mortality, blood transfusion, readmission, revision neurosurgery, and length of stay). RESULTS Of the 552 potentially eligible patients, 255 were treated with neurosurgical procedures, including 104 who underwent ESS within the same hospitalization and 151 who did not. ESS was not significantly associated with mortality (OR 0.54, 95% CI 0.05-5.81, p = 0.61), blood transfusion (OR 1.95, 95% CI 0.84-4.51, p = 0.12), readmission (OR 0.86, 95% CI 0.34-2.16, p = 0.75), revision neurosurgery (OR 0.65, 95% CI 0.24-1.74, p = 0.39), or length of stay (percent difference -10.8%, 95% CI -24.4% to 5.1%, p = 0.18). CONCLUSIONS The present study suggests that ESS may not have significant benefits with respect to reducing mortality, blood transfusion, readmission, revision neurosurgery, or length of stay.&quot;,&quot;issue&quot;:&quot;2&quot;,&quot;volume&quot;:&quot;47&quot;},&quot;isTemporary&quot;:false}],&quot;manualOverride&quot;:{&quot;citeprocText&quot;:&quot;(7)&quot;,&quot;manualOverrideText&quot;:&quot;[7]&quot;,&quot;isManuallyOverriden&quot;:true}},{&quot;properties&quot;:{&quot;noteIndex&quot;:0},&quot;citationID&quot;:&quot;MENDELEY_CITATION_cd698970-e6bc-45a9-b3fb-cc1c4f12889d&quot;,&quot;isEdited&quot;:false,&quot;citationTag&quot;:&quot;MENDELEY_CITATION_v3_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&quot;,&quot;citationItems&quot;:[{&quot;id&quot;:&quot;349d4149-144e-3529-80ae-5bae46fb6b09&quot;,&quot;itemData&quot;:{&quot;type&quot;:&quot;article-journal&quot;,&quot;id&quot;:&quot;349d4149-144e-3529-80ae-5bae46fb6b09&quot;,&quot;title&quot;:&quot;Pediatric sinogenic epidural and subdural empyema: The role of endoscopic sinus surgery&quot;,&quot;author&quot;:[{&quot;family&quot;:&quot;Garin&quot;,&quot;given&quot;:&quot;A.&quot;,&quot;parse-names&quot;:false,&quot;dropping-particle&quot;:&quot;&quot;,&quot;non-dropping-particle&quot;:&quot;&quot;},{&quot;family&quot;:&quot;Thierry&quot;,&quot;given&quot;:&quot;B.&quot;,&quot;parse-names&quot;:false,&quot;dropping-particle&quot;:&quot;&quot;,&quot;non-dropping-particle&quot;:&quot;&quot;},{&quot;family&quot;:&quot;Leboulanger&quot;,&quot;given&quot;:&quot;N.&quot;,&quot;parse-names&quot;:false,&quot;dropping-particle&quot;:&quot;&quot;,&quot;non-dropping-particle&quot;:&quot;&quot;},{&quot;family&quot;:&quot;Blauwblomme&quot;,&quot;given&quot;:&quot;T.&quot;,&quot;parse-names&quot;:false,&quot;dropping-particle&quot;:&quot;&quot;,&quot;non-dropping-particle&quot;:&quot;&quot;},{&quot;family&quot;:&quot;Grevent&quot;,&quot;given&quot;:&quot;D.&quot;,&quot;parse-names&quot;:false,&quot;dropping-particle&quot;:&quot;&quot;,&quot;non-dropping-particle&quot;:&quot;&quot;},{&quot;family&quot;:&quot;Blanot&quot;,&quot;given&quot;:&quot;S.&quot;,&quot;parse-names&quot;:false,&quot;dropping-particle&quot;:&quot;&quot;,&quot;non-dropping-particle&quot;:&quot;&quot;},{&quot;family&quot;:&quot;Garabedian&quot;,&quot;given&quot;:&quot;N.&quot;,&quot;parse-names&quot;:false,&quot;dropping-particle&quot;:&quot;&quot;,&quot;non-dropping-particle&quot;:&quot;&quot;},{&quot;family&quot;:&quot;Couloigner&quot;,&quot;given&quot;:&quot;V.&quot;,&quot;parse-names&quot;:false,&quot;dropping-particle&quot;:&quot;&quot;,&quot;non-dropping-particle&quot;:&quot;&quot;}],&quot;container-title&quot;:&quot;International Journal of Pediatric Otorhinolaryngology&quot;,&quot;DOI&quot;:&quot;10.1016/j.ijporl.2015.08.007&quot;,&quot;ISSN&quot;:&quot;18728464&quot;,&quot;issued&quot;:{&quot;date-parts&quot;:[[2015]]},&quot;abstract&quot;:&quot;Aim: To analyze the indications and outcomes of open neurosurgical approaches (ONA) and endoscopic transnasal approaches (ETA) in the surgical management of pediatric sinogenic subdural and epidural empyema. Material and methods: Retrospective single-center study design within a tertiary care referral center setting. Children less than 18 years of age consecutively operated on between January 2012 and February 2014 for drainage of a sinogenic subdural empyema (SE) or epidural (EE) empyema were included. Main outcome measures: success of first surgical procedure, persistent symptoms and sequelae at the end of the follow-up period. Results: Nine SE (53%) and 8 EE (47%) were observed. Neurological symptoms, especially seizures, were more frequent in the SE group. Perioperative pus samples were positive in 67% of the SE group and in 75% of the EE group. The most frequently isolated bacteria belonged to the Streptococcus anginosus group. CT or MR imaging showed that most empyema probably originated from the frontal sinus. However, two cases resulted from an ethmoiditis and one case from a Pott's puffy tumor, without any direct contact with the paranasal sinus. In cases of SE, the most effective surgical technique was ONA with craniotomy. Associated endoscopic sinus drainage was useful for the purpose of bacteriological diagnosis. In cases of EE, effectiveness was noted in both ONA and ETA techniques. In two cases of EE, the ETA procedure encompassed direct drainage of the empyema through the posterior wall of the frontal sinus (Draf III approach). The number of patients successfully treated after a single surgical procedure was higher in the EE group (p = 0.05). Regarding outcomes, no mortalities were observed. Persistent disorders at the end of the follow-up period, especially headaches, cognitive, concentration or schooling problems, tended to be more frequent in the SE group than in the EE group (67% vs 29%), and were more commonly observed in cases requiring several surgical procedures (75% vs 12.5%) (p = 0.05). Discussion: Endoscopic sinus surgery plays a critical role in the surgical management of pediatric sinogenic SE and EE. In cases of small volume EE, the endoscopic approach associated with antibiotherapy may be sufficient to treat the infectious process.&quot;,&quot;issue&quot;:&quot;10&quot;,&quot;volume&quot;:&quot;79&quot;},&quot;isTemporary&quot;:false}],&quot;manualOverride&quot;:{&quot;citeprocText&quot;:&quot;(4)&quot;,&quot;manualOverrideText&quot;:&quot;[4]&quot;,&quot;isManuallyOverriden&quot;:true}}]"/>
    <we:property name="MENDELEY_CITATIONS_STYLE" value="&quot;https://www.zotero.org/styles/cardiff-university-vancouve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69276-AAEF-46C1-87AB-357F654D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DJSCopyeditv2.3.6ASNeph.dot</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Kristijonas Milinis</dc:creator>
  <cp:keywords/>
  <dc:description/>
  <cp:lastModifiedBy>rdserver1</cp:lastModifiedBy>
  <cp:revision>5</cp:revision>
  <dcterms:created xsi:type="dcterms:W3CDTF">2023-07-02T21:09:00Z</dcterms:created>
  <dcterms:modified xsi:type="dcterms:W3CDTF">2023-07-08T04:38:00Z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http://www.zotero.org/styles/european-journal-of-surgical-oncology</vt:lpwstr>
  </property>
  <property fmtid="{D5CDD505-2E9C-101B-9397-08002B2CF9AE}" pid="11" name="Mendeley Recent Style Name 4_1">
    <vt:lpwstr>European Journal of Surgical Oncology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c2db2fdd-c9a5-3ab7-aea9-639256857518</vt:lpwstr>
  </property>
  <property fmtid="{D5CDD505-2E9C-101B-9397-08002B2CF9AE}" pid="24" name="Mendeley Citation Style_1">
    <vt:lpwstr>http://www.zotero.org/styles/european-journal-of-surgical-oncology</vt:lpwstr>
  </property>
</Properties>
</file>