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F488" w14:textId="6C0A7EAA" w:rsidR="00FD6D1A" w:rsidRDefault="00D0708D" w:rsidP="00FD6D1A">
      <w:pPr>
        <w:keepNext/>
      </w:pPr>
      <w:bookmarkStart w:id="0" w:name="_GoBack"/>
      <w:bookmarkEnd w:id="0"/>
      <w:r>
        <w:rPr>
          <w:noProof/>
        </w:rPr>
        <w:drawing>
          <wp:inline distT="0" distB="0" distL="0" distR="0" wp14:anchorId="69AA41E8" wp14:editId="6C413A91">
            <wp:extent cx="5727700" cy="6263640"/>
            <wp:effectExtent l="0" t="0" r="0" b="0"/>
            <wp:docPr id="1627280956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280956" name="Picture 1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ED7B" w14:textId="2186D9AB" w:rsidR="00FD6D1A" w:rsidRDefault="00FD6D1A" w:rsidP="00FD6D1A">
      <w:pPr>
        <w:pStyle w:val="Caption"/>
      </w:pPr>
      <w:r w:rsidRPr="00B032B1">
        <w:t>Fig</w:t>
      </w:r>
      <w:r>
        <w:t>. S1</w:t>
      </w:r>
      <w:r w:rsidRPr="00B032B1">
        <w:t>: Evolution over time of ice volume above flotation in the ABUMIP ABU</w:t>
      </w:r>
      <w:r>
        <w:t>C</w:t>
      </w:r>
      <w:r w:rsidRPr="00B032B1">
        <w:t xml:space="preserve"> experiment </w:t>
      </w:r>
      <w:r>
        <w:t xml:space="preserve">with fixed ice shelf geometry (left panels), and the difference between the ABUM and ABUC experiment (right panels), </w:t>
      </w:r>
      <w:r w:rsidRPr="00B032B1">
        <w:t>using A</w:t>
      </w:r>
      <w:r>
        <w:t>-B</w:t>
      </w:r>
      <w:r w:rsidRPr="00B032B1">
        <w:t xml:space="preserve">) different sliding laws and basal roughness (32 km resolution, FCMP, </w:t>
      </w:r>
      <w:proofErr w:type="spellStart"/>
      <w:r w:rsidRPr="00B032B1">
        <w:rPr>
          <w:i/>
          <w:iCs/>
        </w:rPr>
        <w:t>f</w:t>
      </w:r>
      <w:r w:rsidRPr="00B032B1">
        <w:rPr>
          <w:i/>
          <w:iCs/>
          <w:vertAlign w:val="subscript"/>
        </w:rPr>
        <w:t>enh,gr</w:t>
      </w:r>
      <w:proofErr w:type="spellEnd"/>
      <w:r w:rsidRPr="00B032B1">
        <w:t xml:space="preserve"> = 1) (solid green,</w:t>
      </w:r>
      <w:r>
        <w:t xml:space="preserve"> black</w:t>
      </w:r>
      <w:r w:rsidRPr="00B032B1">
        <w:t xml:space="preserve"> and blue lines overlap</w:t>
      </w:r>
      <w:r>
        <w:t>, only blue is visible</w:t>
      </w:r>
      <w:r w:rsidRPr="00B032B1">
        <w:t xml:space="preserve">), </w:t>
      </w:r>
      <w:r>
        <w:t>C-D</w:t>
      </w:r>
      <w:r w:rsidRPr="00B032B1">
        <w:t xml:space="preserve">) different flow enhancement factors (32 km resolution, FCMP), </w:t>
      </w:r>
      <w:r>
        <w:t>E-F</w:t>
      </w:r>
      <w:r w:rsidRPr="00B032B1">
        <w:t xml:space="preserve">) different </w:t>
      </w:r>
      <w:r>
        <w:t xml:space="preserve">resolutions and (only for ABUM-ABUC) </w:t>
      </w:r>
      <w:r w:rsidRPr="00B032B1">
        <w:t xml:space="preserve">sub-grid melt schemes (32 km resolution, </w:t>
      </w:r>
      <w:proofErr w:type="spellStart"/>
      <w:r w:rsidRPr="00B032B1">
        <w:rPr>
          <w:i/>
          <w:iCs/>
        </w:rPr>
        <w:t>f</w:t>
      </w:r>
      <w:r w:rsidRPr="00B032B1">
        <w:rPr>
          <w:i/>
          <w:iCs/>
          <w:vertAlign w:val="subscript"/>
        </w:rPr>
        <w:t>enh,gr</w:t>
      </w:r>
      <w:proofErr w:type="spellEnd"/>
      <w:r w:rsidRPr="00B032B1">
        <w:t xml:space="preserve"> = 1).</w:t>
      </w:r>
      <w:r>
        <w:t xml:space="preserve"> </w:t>
      </w:r>
    </w:p>
    <w:p w14:paraId="00F74B93" w14:textId="7140C347" w:rsidR="003E4C85" w:rsidRDefault="003E4C85" w:rsidP="003E4C85">
      <w:pPr>
        <w:rPr>
          <w:color w:val="000000" w:themeColor="text1"/>
        </w:rPr>
      </w:pPr>
    </w:p>
    <w:p w14:paraId="2A1AFA1B" w14:textId="77777777" w:rsidR="003E4C85" w:rsidRDefault="003E4C85" w:rsidP="003E4C85">
      <w:pPr>
        <w:pStyle w:val="Caption"/>
      </w:pPr>
      <w:r>
        <w:rPr>
          <w:noProof/>
        </w:rPr>
        <w:lastRenderedPageBreak/>
        <w:drawing>
          <wp:inline distT="0" distB="0" distL="0" distR="0" wp14:anchorId="529D6AED" wp14:editId="7C1BF0F1">
            <wp:extent cx="6371590" cy="3221355"/>
            <wp:effectExtent l="0" t="0" r="3810" b="4445"/>
            <wp:docPr id="17" name="Picture 17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99E05" w14:textId="15350EF8" w:rsidR="003E4C85" w:rsidRDefault="003E4C85" w:rsidP="003E4C85">
      <w:pPr>
        <w:pStyle w:val="Caption"/>
      </w:pPr>
      <w:r w:rsidRPr="00B032B1">
        <w:t>Fig</w:t>
      </w:r>
      <w:r>
        <w:t>. S</w:t>
      </w:r>
      <w:r w:rsidR="00FD6D1A">
        <w:t>2</w:t>
      </w:r>
      <w:r w:rsidRPr="00B032B1">
        <w:t xml:space="preserve">: </w:t>
      </w:r>
      <w:r>
        <w:t>Thermal forcing (leftmost column), and sub-shelf</w:t>
      </w:r>
      <w:r w:rsidRPr="00B032B1">
        <w:t xml:space="preserve"> </w:t>
      </w:r>
      <w:r>
        <w:t xml:space="preserve">melt rates underneath the ice shelves at the start of the experiments at 16 km resolution using ocean forcing from the HR-CESM control simulation, with different sub-shelf melt parameterisations. For the forcing and each parameterisation, the rows show (top to bottom) the Amundsen Sea embayment, the Filchner-Ronne embayment, the Ross embayment, and the Amery embayment. </w:t>
      </w:r>
    </w:p>
    <w:p w14:paraId="6E3024B4" w14:textId="77777777" w:rsidR="003E4C85" w:rsidRPr="005C5179" w:rsidRDefault="003E4C85" w:rsidP="003E4C85">
      <w:r>
        <w:rPr>
          <w:noProof/>
        </w:rPr>
        <w:drawing>
          <wp:inline distT="0" distB="0" distL="0" distR="0" wp14:anchorId="56F74E80" wp14:editId="688B7591">
            <wp:extent cx="6371590" cy="3221355"/>
            <wp:effectExtent l="0" t="0" r="3810" b="4445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70CF" w14:textId="2F8C040E" w:rsidR="00982D12" w:rsidRDefault="003E4C85" w:rsidP="003E4C85">
      <w:pPr>
        <w:pStyle w:val="Caption"/>
      </w:pPr>
      <w:r w:rsidRPr="00B032B1">
        <w:t>Fig</w:t>
      </w:r>
      <w:r>
        <w:t>. S</w:t>
      </w:r>
      <w:r w:rsidR="00FD6D1A">
        <w:t>3</w:t>
      </w:r>
      <w:r w:rsidRPr="00B032B1">
        <w:t xml:space="preserve">: </w:t>
      </w:r>
      <w:r>
        <w:t>Thermal forcing (leftmost column), and sub-shelf</w:t>
      </w:r>
      <w:r w:rsidRPr="00B032B1">
        <w:t xml:space="preserve"> </w:t>
      </w:r>
      <w:r>
        <w:t xml:space="preserve">melt rates underneath the ice shelves at the start of the experiments at 16 km resolution using ocean forcing from the LR-CESM control simulation, with different sub-shelf melt parameterisations. For the forcing and each parameterisation, the rows show (top to bottom) the Amundsen Sea embayment, the Filchner-Ronne embayment, the Ross embayment, and the Amery embayment. </w:t>
      </w:r>
    </w:p>
    <w:sectPr w:rsidR="00982D12" w:rsidSect="00EC09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85"/>
    <w:rsid w:val="001A52C6"/>
    <w:rsid w:val="003E4C85"/>
    <w:rsid w:val="00A62E8B"/>
    <w:rsid w:val="00D0708D"/>
    <w:rsid w:val="00E847F7"/>
    <w:rsid w:val="00EC098D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3D625E"/>
  <w15:chartTrackingRefBased/>
  <w15:docId w15:val="{CF7DE742-9ABC-754A-AD98-55C6D44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8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4C85"/>
    <w:pPr>
      <w:spacing w:after="200" w:line="240" w:lineRule="auto"/>
    </w:pPr>
    <w:rPr>
      <w:b/>
      <w:bCs/>
      <w:sz w:val="18"/>
      <w:szCs w:val="18"/>
    </w:rPr>
  </w:style>
  <w:style w:type="paragraph" w:styleId="Revision">
    <w:name w:val="Revision"/>
    <w:hidden/>
    <w:uiPriority w:val="99"/>
    <w:semiHidden/>
    <w:rsid w:val="00E847F7"/>
    <w:rPr>
      <w:rFonts w:ascii="Times New Roman" w:eastAsia="Times New Roman" w:hAnsi="Times New Roman" w:cs="Times New Roman"/>
      <w:sz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8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8B"/>
    <w:rPr>
      <w:rFonts w:ascii="Times New Roman" w:eastAsia="Times New Roman" w:hAnsi="Times New Roman" w:cs="Times New Roman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2022-06-22T12:36:00Z</dcterms:created>
  <dcterms:modified xsi:type="dcterms:W3CDTF">2023-05-02T07:27:00Z</dcterms:modified>
</cp:coreProperties>
</file>