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A3857"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b/>
          <w:bCs/>
          <w:lang w:val="en-GB"/>
        </w:rPr>
        <w:t>Seismic Characterization of a Rapidly-Rising Jökulhlaup Cycle at the A.P. Olsen Ice Cap, NE-Greenland</w:t>
      </w:r>
    </w:p>
    <w:p w14:paraId="04603621" w14:textId="3A50E16F" w:rsidR="00243A88" w:rsidRPr="00D101BF" w:rsidRDefault="00243A88" w:rsidP="00243A88">
      <w:pPr>
        <w:spacing w:line="480" w:lineRule="auto"/>
        <w:jc w:val="both"/>
        <w:rPr>
          <w:rFonts w:asciiTheme="minorHAnsi" w:hAnsiTheme="minorHAnsi" w:cstheme="minorHAnsi"/>
          <w:lang w:val="en-GB"/>
        </w:rPr>
      </w:pPr>
      <w:bookmarkStart w:id="0" w:name="_Hlk29413874"/>
      <w:r w:rsidRPr="00D101BF">
        <w:rPr>
          <w:rFonts w:asciiTheme="minorHAnsi" w:eastAsia="Cantarell" w:hAnsiTheme="minorHAnsi" w:cstheme="minorHAnsi"/>
          <w:lang w:val="en-GB"/>
        </w:rPr>
        <w:t>Michael Behm</w:t>
      </w:r>
      <w:r w:rsidRPr="00243A88">
        <w:rPr>
          <w:rFonts w:asciiTheme="minorHAnsi" w:eastAsia="Cantarell" w:hAnsiTheme="minorHAnsi" w:cstheme="minorHAnsi"/>
          <w:vertAlign w:val="superscript"/>
          <w:lang w:val="en-GB"/>
        </w:rPr>
        <w:t>1</w:t>
      </w:r>
      <w:r w:rsidRPr="00D101BF">
        <w:rPr>
          <w:rFonts w:asciiTheme="minorHAnsi" w:eastAsia="Cantarell" w:hAnsiTheme="minorHAnsi" w:cstheme="minorHAnsi"/>
          <w:lang w:val="en-GB"/>
        </w:rPr>
        <w:t>, Jacob I. Walter</w:t>
      </w:r>
      <w:r w:rsidRPr="00243A88">
        <w:rPr>
          <w:rFonts w:asciiTheme="minorHAnsi" w:eastAsia="Cantarell" w:hAnsiTheme="minorHAnsi" w:cstheme="minorHAnsi"/>
          <w:vertAlign w:val="superscript"/>
          <w:lang w:val="en-GB"/>
        </w:rPr>
        <w:t>2</w:t>
      </w:r>
      <w:r w:rsidRPr="00D101BF">
        <w:rPr>
          <w:rFonts w:asciiTheme="minorHAnsi" w:eastAsia="Cantarell" w:hAnsiTheme="minorHAnsi" w:cstheme="minorHAnsi"/>
          <w:lang w:val="en-GB"/>
        </w:rPr>
        <w:t>, Daniel Binder</w:t>
      </w:r>
      <w:r w:rsidRPr="00243A88">
        <w:rPr>
          <w:rFonts w:asciiTheme="minorHAnsi" w:eastAsia="Cantarell" w:hAnsiTheme="minorHAnsi" w:cstheme="minorHAnsi"/>
          <w:vertAlign w:val="superscript"/>
          <w:lang w:val="en-GB"/>
        </w:rPr>
        <w:t>3,4,12</w:t>
      </w:r>
      <w:r w:rsidRPr="00D101BF">
        <w:rPr>
          <w:rFonts w:asciiTheme="minorHAnsi" w:eastAsia="Cantarell" w:hAnsiTheme="minorHAnsi" w:cstheme="minorHAnsi"/>
          <w:lang w:val="en-GB"/>
        </w:rPr>
        <w:t>, Feng Cheng</w:t>
      </w:r>
      <w:r w:rsidRPr="00243A88">
        <w:rPr>
          <w:rFonts w:asciiTheme="minorHAnsi" w:eastAsia="Cantarell" w:hAnsiTheme="minorHAnsi" w:cstheme="minorHAnsi"/>
          <w:vertAlign w:val="superscript"/>
          <w:lang w:val="en-GB"/>
        </w:rPr>
        <w:t>5</w:t>
      </w:r>
      <w:r w:rsidRPr="00D101BF">
        <w:rPr>
          <w:rFonts w:asciiTheme="minorHAnsi" w:eastAsia="Cantarell" w:hAnsiTheme="minorHAnsi" w:cstheme="minorHAnsi"/>
          <w:lang w:val="en-GB"/>
        </w:rPr>
        <w:t xml:space="preserve">, </w:t>
      </w:r>
      <w:r>
        <w:rPr>
          <w:rFonts w:asciiTheme="minorHAnsi" w:eastAsia="Cantarell" w:hAnsiTheme="minorHAnsi" w:cstheme="minorHAnsi"/>
          <w:lang w:val="en-GB"/>
        </w:rPr>
        <w:t xml:space="preserve">Michele </w:t>
      </w:r>
      <w:r w:rsidRPr="00D101BF">
        <w:rPr>
          <w:rFonts w:asciiTheme="minorHAnsi" w:eastAsia="Cantarell" w:hAnsiTheme="minorHAnsi" w:cstheme="minorHAnsi"/>
          <w:lang w:val="en-GB"/>
        </w:rPr>
        <w:t>Citterio</w:t>
      </w:r>
      <w:r w:rsidRPr="00243A88">
        <w:rPr>
          <w:rFonts w:asciiTheme="minorHAnsi" w:eastAsia="Cantarell" w:hAnsiTheme="minorHAnsi" w:cstheme="minorHAnsi"/>
          <w:vertAlign w:val="superscript"/>
          <w:lang w:val="en-GB"/>
        </w:rPr>
        <w:t>4</w:t>
      </w:r>
      <w:r w:rsidRPr="00D101BF">
        <w:rPr>
          <w:rFonts w:asciiTheme="minorHAnsi" w:eastAsia="Cantarell" w:hAnsiTheme="minorHAnsi" w:cstheme="minorHAnsi"/>
          <w:lang w:val="en-GB"/>
        </w:rPr>
        <w:t>, Bernd Kulessa</w:t>
      </w:r>
      <w:r w:rsidRPr="00243A88">
        <w:rPr>
          <w:rFonts w:asciiTheme="minorHAnsi" w:eastAsia="Cantarell" w:hAnsiTheme="minorHAnsi" w:cstheme="minorHAnsi"/>
          <w:vertAlign w:val="superscript"/>
          <w:lang w:val="en-GB"/>
        </w:rPr>
        <w:t>6</w:t>
      </w:r>
      <w:r w:rsidRPr="00D101BF">
        <w:rPr>
          <w:rFonts w:asciiTheme="minorHAnsi" w:eastAsia="Cantarell" w:hAnsiTheme="minorHAnsi" w:cstheme="minorHAnsi"/>
          <w:lang w:val="en-GB"/>
        </w:rPr>
        <w:t>, Kirsty Langley</w:t>
      </w:r>
      <w:r w:rsidRPr="00243A88">
        <w:rPr>
          <w:rFonts w:asciiTheme="minorHAnsi" w:eastAsia="Cantarell" w:hAnsiTheme="minorHAnsi" w:cstheme="minorHAnsi"/>
          <w:vertAlign w:val="superscript"/>
          <w:lang w:val="en-GB"/>
        </w:rPr>
        <w:t>7</w:t>
      </w:r>
      <w:r w:rsidRPr="00D101BF">
        <w:rPr>
          <w:rFonts w:asciiTheme="minorHAnsi" w:eastAsia="Cantarell" w:hAnsiTheme="minorHAnsi" w:cstheme="minorHAnsi"/>
          <w:lang w:val="en-GB"/>
        </w:rPr>
        <w:t>, Phillipe Limpach</w:t>
      </w:r>
      <w:r w:rsidRPr="00243A88">
        <w:rPr>
          <w:rFonts w:asciiTheme="minorHAnsi" w:eastAsia="Cantarell" w:hAnsiTheme="minorHAnsi" w:cstheme="minorHAnsi"/>
          <w:vertAlign w:val="superscript"/>
          <w:lang w:val="en-GB"/>
        </w:rPr>
        <w:t>8</w:t>
      </w:r>
      <w:r w:rsidRPr="00D101BF">
        <w:rPr>
          <w:rFonts w:asciiTheme="minorHAnsi" w:eastAsia="Cantarell" w:hAnsiTheme="minorHAnsi" w:cstheme="minorHAnsi"/>
          <w:lang w:val="en-GB"/>
        </w:rPr>
        <w:t>, Stefan Mertl</w:t>
      </w:r>
      <w:r w:rsidRPr="00243A88">
        <w:rPr>
          <w:rFonts w:asciiTheme="minorHAnsi" w:eastAsia="Cantarell" w:hAnsiTheme="minorHAnsi" w:cstheme="minorHAnsi"/>
          <w:vertAlign w:val="superscript"/>
          <w:lang w:val="en-GB"/>
        </w:rPr>
        <w:t>9</w:t>
      </w:r>
      <w:r w:rsidRPr="00D101BF">
        <w:rPr>
          <w:rFonts w:asciiTheme="minorHAnsi" w:eastAsia="Cantarell" w:hAnsiTheme="minorHAnsi" w:cstheme="minorHAnsi"/>
          <w:lang w:val="en-GB"/>
        </w:rPr>
        <w:t>, Wolfgang Schöner</w:t>
      </w:r>
      <w:r w:rsidRPr="00243A88">
        <w:rPr>
          <w:rFonts w:asciiTheme="minorHAnsi" w:eastAsia="Cantarell" w:hAnsiTheme="minorHAnsi" w:cstheme="minorHAnsi"/>
          <w:vertAlign w:val="superscript"/>
          <w:lang w:val="en-GB"/>
        </w:rPr>
        <w:t>10,12</w:t>
      </w:r>
      <w:r w:rsidRPr="00D101BF">
        <w:rPr>
          <w:rFonts w:asciiTheme="minorHAnsi" w:eastAsia="Cantarell" w:hAnsiTheme="minorHAnsi" w:cstheme="minorHAnsi"/>
          <w:lang w:val="en-GB"/>
        </w:rPr>
        <w:t xml:space="preserve">, </w:t>
      </w:r>
      <w:r>
        <w:rPr>
          <w:rFonts w:asciiTheme="minorHAnsi" w:eastAsia="Cantarell" w:hAnsiTheme="minorHAnsi" w:cstheme="minorHAnsi"/>
          <w:lang w:val="en-GB"/>
        </w:rPr>
        <w:t xml:space="preserve">Mikkel </w:t>
      </w:r>
      <w:r w:rsidRPr="00D101BF">
        <w:rPr>
          <w:rFonts w:asciiTheme="minorHAnsi" w:eastAsia="Cantarell" w:hAnsiTheme="minorHAnsi" w:cstheme="minorHAnsi"/>
          <w:lang w:val="en-GB"/>
        </w:rPr>
        <w:t>Tamstorf</w:t>
      </w:r>
      <w:r w:rsidRPr="00243A88">
        <w:rPr>
          <w:rFonts w:asciiTheme="minorHAnsi" w:eastAsia="Cantarell" w:hAnsiTheme="minorHAnsi" w:cstheme="minorHAnsi"/>
          <w:vertAlign w:val="superscript"/>
          <w:lang w:val="en-GB"/>
        </w:rPr>
        <w:t>11</w:t>
      </w:r>
      <w:r w:rsidRPr="00D101BF">
        <w:rPr>
          <w:rFonts w:asciiTheme="minorHAnsi" w:eastAsia="Cantarell" w:hAnsiTheme="minorHAnsi" w:cstheme="minorHAnsi"/>
          <w:lang w:val="en-GB"/>
        </w:rPr>
        <w:t>, Gernot Weyss</w:t>
      </w:r>
      <w:r w:rsidRPr="00243A88">
        <w:rPr>
          <w:rFonts w:asciiTheme="minorHAnsi" w:eastAsia="Cantarell" w:hAnsiTheme="minorHAnsi" w:cstheme="minorHAnsi"/>
          <w:vertAlign w:val="superscript"/>
          <w:lang w:val="en-GB"/>
        </w:rPr>
        <w:t>3,12</w:t>
      </w:r>
    </w:p>
    <w:bookmarkEnd w:id="0"/>
    <w:p w14:paraId="7A093F44"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(1) School of Geosciences, University of Oklahoma (Norman, US)</w:t>
      </w:r>
    </w:p>
    <w:p w14:paraId="4FCD0525"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(2) Oklahoma Geological Survey, University of Oklahoma (Norman, US)</w:t>
      </w:r>
    </w:p>
    <w:p w14:paraId="074B3695"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(3) Climate Section, ZAMG - Central Institute for Meteorology and Geodynamics (Vienna, A)</w:t>
      </w:r>
    </w:p>
    <w:p w14:paraId="6B79B94F" w14:textId="77777777" w:rsidR="00243A88" w:rsidRDefault="00243A88" w:rsidP="00243A88">
      <w:pPr>
        <w:spacing w:line="480" w:lineRule="auto"/>
        <w:jc w:val="both"/>
        <w:rPr>
          <w:rFonts w:asciiTheme="minorHAnsi" w:eastAsia="Cantarell" w:hAnsiTheme="minorHAnsi" w:cstheme="minorHAnsi"/>
          <w:lang w:val="en-GB"/>
        </w:rPr>
      </w:pPr>
      <w:r>
        <w:rPr>
          <w:rFonts w:asciiTheme="minorHAnsi" w:eastAsia="Cantarell" w:hAnsiTheme="minorHAnsi" w:cstheme="minorHAnsi"/>
          <w:lang w:val="en-GB"/>
        </w:rPr>
        <w:t>(4) Glaciology and Climate Department, GEUS - Geological Survey of Denmark and Greenland (Copenhagen, DK)</w:t>
      </w:r>
    </w:p>
    <w:p w14:paraId="37C6FAF8"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(5) Lawrence Berkeley National Laboratory (Berkeley, US)</w:t>
      </w:r>
    </w:p>
    <w:p w14:paraId="6796CBE4"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(6) Glaciology Group, Swansea University (GB)</w:t>
      </w:r>
    </w:p>
    <w:p w14:paraId="1F18D4D4"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(7) Greenland Survey, ASIAQ (Nuuk, Greenland)</w:t>
      </w:r>
    </w:p>
    <w:p w14:paraId="16A98B2E"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(8) Institute of Geodesy and Photogrammetry, ETH Zurich (CH)</w:t>
      </w:r>
    </w:p>
    <w:p w14:paraId="014D261A"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(9) Mertl Research GmbH (Vienna, A)</w:t>
      </w:r>
    </w:p>
    <w:p w14:paraId="07BB6461"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(10) Institute of Geography and Regional Research, Graz University (A)</w:t>
      </w:r>
    </w:p>
    <w:p w14:paraId="3B0681CE"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(11)  Department of Bioscience, Aarhus University (DK)</w:t>
      </w:r>
    </w:p>
    <w:p w14:paraId="03AE9365" w14:textId="77777777" w:rsidR="00243A88" w:rsidRDefault="00243A88" w:rsidP="00243A88">
      <w:pPr>
        <w:spacing w:line="480" w:lineRule="auto"/>
        <w:jc w:val="both"/>
        <w:rPr>
          <w:rFonts w:asciiTheme="minorHAnsi" w:hAnsiTheme="minorHAnsi" w:cstheme="minorHAnsi"/>
          <w:lang w:val="en-GB"/>
        </w:rPr>
      </w:pPr>
      <w:r>
        <w:rPr>
          <w:rFonts w:asciiTheme="minorHAnsi" w:eastAsia="Cantarell" w:hAnsiTheme="minorHAnsi" w:cstheme="minorHAnsi"/>
          <w:lang w:val="en-GB"/>
        </w:rPr>
        <w:t>(12) Austrian Polar Research Institute (APRI)</w:t>
      </w:r>
    </w:p>
    <w:p w14:paraId="1F09B3FA" w14:textId="77777777" w:rsidR="00243A88" w:rsidRDefault="00243A88" w:rsidP="000B6ED4">
      <w:pPr>
        <w:spacing w:line="480" w:lineRule="auto"/>
        <w:jc w:val="both"/>
        <w:rPr>
          <w:rFonts w:asciiTheme="minorHAnsi" w:eastAsia="Cantarell" w:hAnsiTheme="minorHAnsi" w:cstheme="minorHAnsi"/>
          <w:b/>
          <w:bCs/>
          <w:lang w:val="en-GB"/>
        </w:rPr>
      </w:pPr>
    </w:p>
    <w:p w14:paraId="3215E22A" w14:textId="39702A0B" w:rsidR="000B6ED4" w:rsidRDefault="000B6ED4" w:rsidP="000B6ED4">
      <w:pPr>
        <w:spacing w:line="480" w:lineRule="auto"/>
        <w:jc w:val="both"/>
        <w:rPr>
          <w:rFonts w:asciiTheme="minorHAnsi" w:eastAsia="Cantarell" w:hAnsiTheme="minorHAnsi" w:cstheme="minorHAnsi"/>
          <w:b/>
          <w:bCs/>
          <w:lang w:val="en-GB"/>
        </w:rPr>
      </w:pPr>
      <w:r>
        <w:rPr>
          <w:rFonts w:asciiTheme="minorHAnsi" w:eastAsia="Cantarell" w:hAnsiTheme="minorHAnsi" w:cstheme="minorHAnsi"/>
          <w:b/>
          <w:bCs/>
          <w:lang w:val="en-GB"/>
        </w:rPr>
        <w:t>Supplementary material:</w:t>
      </w:r>
    </w:p>
    <w:p w14:paraId="0C92318A" w14:textId="77777777" w:rsidR="000B6ED4" w:rsidRDefault="000B6ED4" w:rsidP="000B6ED4">
      <w:pPr>
        <w:spacing w:line="480" w:lineRule="auto"/>
        <w:jc w:val="both"/>
        <w:rPr>
          <w:rFonts w:asciiTheme="minorHAnsi" w:eastAsia="Cantarell" w:hAnsiTheme="minorHAnsi" w:cstheme="minorHAnsi"/>
          <w:lang w:val="en-GB"/>
        </w:rPr>
      </w:pPr>
    </w:p>
    <w:p w14:paraId="5F832B29" w14:textId="77777777" w:rsidR="000B6ED4" w:rsidRDefault="000B6ED4" w:rsidP="000B6ED4">
      <w:pPr>
        <w:spacing w:line="480" w:lineRule="auto"/>
        <w:jc w:val="both"/>
        <w:rPr>
          <w:rFonts w:asciiTheme="minorHAnsi" w:eastAsia="Cantarell" w:hAnsiTheme="minorHAnsi" w:cstheme="minorHAnsi"/>
          <w:lang w:val="en-GB"/>
        </w:rPr>
      </w:pPr>
      <w:r>
        <w:rPr>
          <w:noProof/>
        </w:rPr>
        <w:lastRenderedPageBreak/>
        <w:drawing>
          <wp:inline distT="0" distB="0" distL="0" distR="0" wp14:anchorId="132BB9A9" wp14:editId="0F7E3A9A">
            <wp:extent cx="5895975" cy="333121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7"/>
                    <a:srcRect t="4979" b="4632"/>
                    <a:stretch>
                      <a:fillRect/>
                    </a:stretch>
                  </pic:blipFill>
                  <pic:spPr bwMode="auto">
                    <a:xfrm>
                      <a:off x="0" y="0"/>
                      <a:ext cx="5895975" cy="3331210"/>
                    </a:xfrm>
                    <a:prstGeom prst="rect">
                      <a:avLst/>
                    </a:prstGeom>
                  </pic:spPr>
                </pic:pic>
              </a:graphicData>
            </a:graphic>
          </wp:inline>
        </w:drawing>
      </w:r>
    </w:p>
    <w:p w14:paraId="461BAE4B" w14:textId="77777777" w:rsidR="000B6ED4" w:rsidRDefault="000B6ED4" w:rsidP="000B6ED4">
      <w:pPr>
        <w:spacing w:line="480" w:lineRule="auto"/>
        <w:jc w:val="both"/>
        <w:rPr>
          <w:rFonts w:asciiTheme="minorHAnsi" w:eastAsia="Cantarell" w:hAnsiTheme="minorHAnsi" w:cstheme="minorHAnsi"/>
          <w:lang w:val="en-GB"/>
        </w:rPr>
      </w:pPr>
      <w:r>
        <w:rPr>
          <w:rFonts w:asciiTheme="minorHAnsi" w:eastAsia="Cantarell" w:hAnsiTheme="minorHAnsi" w:cstheme="minorHAnsi"/>
          <w:lang w:val="en-GB"/>
        </w:rPr>
        <w:t>Fig. S1: Measured group velocity dispersion images of the station pair APO3-APO2 (causal part).The dashed line indicates the forward computed group velocity dispersion curve from the velocity model shown in Figure  10d.</w:t>
      </w:r>
    </w:p>
    <w:p w14:paraId="2EFA4A64" w14:textId="77777777" w:rsidR="000B6ED4" w:rsidRDefault="000B6ED4" w:rsidP="000B6ED4">
      <w:pPr>
        <w:spacing w:line="480" w:lineRule="auto"/>
        <w:jc w:val="both"/>
        <w:rPr>
          <w:rFonts w:asciiTheme="minorHAnsi" w:eastAsia="Cantarell" w:hAnsiTheme="minorHAnsi" w:cstheme="minorHAnsi"/>
          <w:lang w:val="en-GB"/>
        </w:rPr>
      </w:pPr>
    </w:p>
    <w:p w14:paraId="53049B52" w14:textId="7EF11AB0" w:rsidR="000B6ED4" w:rsidRDefault="00DE5D70" w:rsidP="000B6ED4">
      <w:pPr>
        <w:spacing w:line="480" w:lineRule="auto"/>
        <w:jc w:val="both"/>
        <w:rPr>
          <w:rFonts w:asciiTheme="minorHAnsi" w:eastAsia="Cantarell" w:hAnsiTheme="minorHAnsi" w:cstheme="minorHAnsi"/>
          <w:lang w:val="en-GB"/>
        </w:rPr>
      </w:pPr>
      <w:r>
        <w:rPr>
          <w:noProof/>
        </w:rPr>
        <w:lastRenderedPageBreak/>
        <w:drawing>
          <wp:inline distT="0" distB="0" distL="0" distR="0" wp14:anchorId="0299C1A9" wp14:editId="2E7B0D69">
            <wp:extent cx="5943600" cy="356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65525"/>
                    </a:xfrm>
                    <a:prstGeom prst="rect">
                      <a:avLst/>
                    </a:prstGeom>
                  </pic:spPr>
                </pic:pic>
              </a:graphicData>
            </a:graphic>
          </wp:inline>
        </w:drawing>
      </w:r>
    </w:p>
    <w:p w14:paraId="72C76D15" w14:textId="77777777" w:rsidR="000B6ED4" w:rsidRDefault="000B6ED4" w:rsidP="000B6ED4">
      <w:pPr>
        <w:spacing w:line="480" w:lineRule="auto"/>
        <w:jc w:val="both"/>
        <w:rPr>
          <w:rFonts w:asciiTheme="minorHAnsi" w:eastAsia="Cantarell" w:hAnsiTheme="minorHAnsi" w:cstheme="minorHAnsi"/>
          <w:lang w:val="en-GB"/>
        </w:rPr>
      </w:pPr>
      <w:r>
        <w:rPr>
          <w:rFonts w:asciiTheme="minorHAnsi" w:eastAsia="Cantarell" w:hAnsiTheme="minorHAnsi" w:cstheme="minorHAnsi"/>
          <w:lang w:val="en-GB"/>
        </w:rPr>
        <w:t xml:space="preserve">Fig. S2: Inversion result of the dispersion curve (Fig. 10b) for a 2-layer model. </w:t>
      </w:r>
      <w:r>
        <w:rPr>
          <w:rFonts w:asciiTheme="minorHAnsi" w:eastAsia="Cantarell" w:hAnsiTheme="minorHAnsi" w:cstheme="minorHAnsi"/>
          <w:lang w:val="en-GB"/>
        </w:rPr>
        <w:t>(a)</w:t>
      </w:r>
      <w:r>
        <w:rPr>
          <w:rFonts w:asciiTheme="minorHAnsi" w:eastAsia="Cantarell" w:hAnsiTheme="minorHAnsi" w:cstheme="minorHAnsi"/>
          <w:lang w:val="en-GB"/>
        </w:rPr>
        <w:t xml:space="preserve"> shows measured (black lines) and inverted phase velocity dispersion curves, respectively. Colors are representing the data misfit expressed as relative RMS error. </w:t>
      </w:r>
      <w:r>
        <w:rPr>
          <w:rFonts w:asciiTheme="minorHAnsi" w:eastAsia="Cantarell" w:hAnsiTheme="minorHAnsi" w:cstheme="minorHAnsi"/>
          <w:lang w:val="en-GB"/>
        </w:rPr>
        <w:t>(b)</w:t>
      </w:r>
      <w:r>
        <w:rPr>
          <w:rFonts w:asciiTheme="minorHAnsi" w:eastAsia="Cantarell" w:hAnsiTheme="minorHAnsi" w:cstheme="minorHAnsi"/>
          <w:lang w:val="en-GB"/>
        </w:rPr>
        <w:t xml:space="preserve"> shows the corresponding shear-wave velocity models for the dispersion curves. The grey curve is the model with the smallest RMS error. Compared to the 3-layer model (Fig. 10), the error is significantly larger, and the obtained models result in an unrealistic thick low-velocity basal zone.</w:t>
      </w:r>
    </w:p>
    <w:p w14:paraId="67B0A5BA" w14:textId="77777777" w:rsidR="000B6ED4" w:rsidRDefault="000B6ED4" w:rsidP="000B6ED4">
      <w:pPr>
        <w:spacing w:line="480" w:lineRule="auto"/>
        <w:jc w:val="both"/>
        <w:rPr>
          <w:rFonts w:asciiTheme="minorHAnsi" w:eastAsia="Cantarell" w:hAnsiTheme="minorHAnsi" w:cstheme="minorHAnsi"/>
          <w:lang w:val="en-GB"/>
        </w:rPr>
      </w:pPr>
    </w:p>
    <w:p w14:paraId="7ED2CE5F" w14:textId="77777777" w:rsidR="000B6ED4" w:rsidRDefault="000B6ED4" w:rsidP="000B6ED4">
      <w:pPr>
        <w:spacing w:line="480" w:lineRule="auto"/>
        <w:jc w:val="both"/>
        <w:rPr>
          <w:rFonts w:asciiTheme="minorHAnsi" w:hAnsiTheme="minorHAnsi" w:cstheme="minorHAnsi"/>
          <w:lang w:val="en-GB"/>
        </w:rPr>
      </w:pPr>
      <w:r>
        <w:rPr>
          <w:noProof/>
        </w:rPr>
        <w:lastRenderedPageBreak/>
        <w:drawing>
          <wp:inline distT="0" distB="0" distL="0" distR="0" wp14:anchorId="57264B82" wp14:editId="732B9B7B">
            <wp:extent cx="5829300" cy="529717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9"/>
                    <a:stretch>
                      <a:fillRect/>
                    </a:stretch>
                  </pic:blipFill>
                  <pic:spPr bwMode="auto">
                    <a:xfrm>
                      <a:off x="0" y="0"/>
                      <a:ext cx="5829300" cy="5297170"/>
                    </a:xfrm>
                    <a:prstGeom prst="rect">
                      <a:avLst/>
                    </a:prstGeom>
                  </pic:spPr>
                </pic:pic>
              </a:graphicData>
            </a:graphic>
          </wp:inline>
        </w:drawing>
      </w:r>
    </w:p>
    <w:p w14:paraId="784411BD" w14:textId="77777777" w:rsidR="000B6ED4" w:rsidRDefault="000B6ED4" w:rsidP="000B6ED4">
      <w:pPr>
        <w:spacing w:line="480" w:lineRule="auto"/>
        <w:jc w:val="both"/>
        <w:rPr>
          <w:rFonts w:asciiTheme="minorHAnsi" w:eastAsia="Cantarell" w:hAnsiTheme="minorHAnsi" w:cstheme="minorHAnsi"/>
          <w:lang w:val="en-GB"/>
        </w:rPr>
      </w:pPr>
      <w:r>
        <w:rPr>
          <w:rFonts w:asciiTheme="minorHAnsi" w:eastAsia="Cantarell" w:hAnsiTheme="minorHAnsi" w:cstheme="minorHAnsi"/>
          <w:lang w:val="en-GB"/>
        </w:rPr>
        <w:t>Figure S3: Time-lapse interferogram sections for the station pairs AP03-AP04 and AP02-AP03 in two different frequency bands. Traces are scaled to the maximum amplitude within each section. Red lines: Move-out velocities of 1400 m/s and 1700 m/s, respectively. Vertical grey line indicates the occurrence of the jökulhlaup at 8/6/2012. Pre- and post-discharge periods correspond to measured discharge rates &lt; 1.75 m</w:t>
      </w:r>
      <w:r>
        <w:rPr>
          <w:rFonts w:asciiTheme="minorHAnsi" w:eastAsia="Cantarell" w:hAnsiTheme="minorHAnsi" w:cstheme="minorHAnsi"/>
          <w:vertAlign w:val="superscript"/>
          <w:lang w:val="en-GB"/>
        </w:rPr>
        <w:t>3</w:t>
      </w:r>
      <w:r>
        <w:rPr>
          <w:rFonts w:asciiTheme="minorHAnsi" w:eastAsia="Cantarell" w:hAnsiTheme="minorHAnsi" w:cstheme="minorHAnsi"/>
          <w:lang w:val="en-GB"/>
        </w:rPr>
        <w:t>/s. See text for details.</w:t>
      </w:r>
    </w:p>
    <w:p w14:paraId="666969FB" w14:textId="77777777" w:rsidR="000B6ED4" w:rsidRDefault="000B6ED4" w:rsidP="000B6ED4">
      <w:pPr>
        <w:spacing w:line="480" w:lineRule="auto"/>
        <w:jc w:val="both"/>
        <w:rPr>
          <w:rFonts w:asciiTheme="minorHAnsi" w:eastAsia="Cantarell" w:hAnsiTheme="minorHAnsi" w:cstheme="minorHAnsi"/>
          <w:lang w:val="en-GB"/>
        </w:rPr>
      </w:pPr>
    </w:p>
    <w:p w14:paraId="7513B8CB" w14:textId="239E6CD6" w:rsidR="000B6ED4" w:rsidRDefault="00DE5D70" w:rsidP="000B6ED4">
      <w:pPr>
        <w:spacing w:line="480" w:lineRule="auto"/>
        <w:jc w:val="both"/>
        <w:rPr>
          <w:rFonts w:asciiTheme="minorHAnsi" w:hAnsiTheme="minorHAnsi" w:cstheme="minorHAnsi"/>
          <w:lang w:val="en-GB"/>
        </w:rPr>
      </w:pPr>
      <w:r>
        <w:rPr>
          <w:noProof/>
        </w:rPr>
        <w:lastRenderedPageBreak/>
        <w:drawing>
          <wp:inline distT="0" distB="0" distL="0" distR="0" wp14:anchorId="0720F5FE" wp14:editId="50B0A45D">
            <wp:extent cx="5631815" cy="822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1815" cy="8229600"/>
                    </a:xfrm>
                    <a:prstGeom prst="rect">
                      <a:avLst/>
                    </a:prstGeom>
                    <a:noFill/>
                    <a:ln>
                      <a:noFill/>
                    </a:ln>
                  </pic:spPr>
                </pic:pic>
              </a:graphicData>
            </a:graphic>
          </wp:inline>
        </w:drawing>
      </w:r>
    </w:p>
    <w:p w14:paraId="10A53232" w14:textId="77777777" w:rsidR="000B6ED4" w:rsidRDefault="000B6ED4" w:rsidP="000B6ED4">
      <w:pPr>
        <w:spacing w:line="480" w:lineRule="auto"/>
        <w:jc w:val="both"/>
        <w:rPr>
          <w:rFonts w:asciiTheme="minorHAnsi" w:hAnsiTheme="minorHAnsi" w:cstheme="minorHAnsi"/>
          <w:lang w:val="en-GB"/>
        </w:rPr>
      </w:pPr>
      <w:r>
        <w:rPr>
          <w:rFonts w:asciiTheme="minorHAnsi" w:hAnsiTheme="minorHAnsi" w:cstheme="minorHAnsi"/>
          <w:lang w:val="en-GB"/>
        </w:rPr>
        <w:lastRenderedPageBreak/>
        <w:t>Fig. S4</w:t>
      </w:r>
    </w:p>
    <w:p w14:paraId="2C8351C0" w14:textId="7497D783" w:rsidR="000B6ED4" w:rsidRDefault="000B6ED4" w:rsidP="000B6ED4">
      <w:pPr>
        <w:spacing w:line="480" w:lineRule="auto"/>
        <w:jc w:val="both"/>
        <w:rPr>
          <w:rFonts w:asciiTheme="minorHAnsi" w:hAnsiTheme="minorHAnsi" w:cstheme="minorHAnsi"/>
          <w:lang w:val="en-GB"/>
        </w:rPr>
      </w:pPr>
      <w:r>
        <w:rPr>
          <w:rFonts w:asciiTheme="minorHAnsi" w:hAnsiTheme="minorHAnsi" w:cstheme="minorHAnsi"/>
          <w:lang w:val="en-GB"/>
        </w:rPr>
        <w:t xml:space="preserve">Amplitude spectra vs. deployment time for vertical component data. Vertical axis: Frequency (Hz). Horizontal axis: deployment time (month/day). </w:t>
      </w:r>
      <w:r>
        <w:rPr>
          <w:rFonts w:asciiTheme="minorHAnsi" w:hAnsiTheme="minorHAnsi" w:cstheme="minorHAnsi"/>
          <w:lang w:val="en-GB"/>
        </w:rPr>
        <w:t>(a)</w:t>
      </w:r>
      <w:r>
        <w:rPr>
          <w:rFonts w:asciiTheme="minorHAnsi" w:hAnsiTheme="minorHAnsi" w:cstheme="minorHAnsi"/>
          <w:lang w:val="en-GB"/>
        </w:rPr>
        <w:t xml:space="preserve"> Spectrogram of raw data recorded at station APO1. This station has been chosen since it is located in the center of the deployment. White lines are the apparent velocity changes at the station pairs APO2-APO5 and APO3-APO5 (Fig. 13). </w:t>
      </w:r>
      <w:r>
        <w:rPr>
          <w:rFonts w:asciiTheme="minorHAnsi" w:hAnsiTheme="minorHAnsi" w:cstheme="minorHAnsi"/>
          <w:lang w:val="en-GB"/>
        </w:rPr>
        <w:t xml:space="preserve">(b – </w:t>
      </w:r>
      <w:r w:rsidR="00DE5D70">
        <w:rPr>
          <w:rFonts w:asciiTheme="minorHAnsi" w:hAnsiTheme="minorHAnsi" w:cstheme="minorHAnsi"/>
          <w:lang w:val="en-GB"/>
        </w:rPr>
        <w:t>g</w:t>
      </w:r>
      <w:bookmarkStart w:id="1" w:name="_GoBack"/>
      <w:bookmarkEnd w:id="1"/>
      <w:r>
        <w:rPr>
          <w:rFonts w:asciiTheme="minorHAnsi" w:hAnsiTheme="minorHAnsi" w:cstheme="minorHAnsi"/>
          <w:lang w:val="en-GB"/>
        </w:rPr>
        <w:t>)</w:t>
      </w:r>
      <w:r>
        <w:rPr>
          <w:rFonts w:asciiTheme="minorHAnsi" w:hAnsiTheme="minorHAnsi" w:cstheme="minorHAnsi"/>
          <w:lang w:val="en-GB"/>
        </w:rPr>
        <w:t xml:space="preserve">: Amplitude spectra of the station pairs shown in Fig. 12. Black lines are the corresponding apparent velocity changes. </w:t>
      </w:r>
    </w:p>
    <w:p w14:paraId="44E40552" w14:textId="77777777" w:rsidR="000B6ED4" w:rsidRDefault="000B6ED4" w:rsidP="000B6ED4">
      <w:pPr>
        <w:spacing w:line="480" w:lineRule="auto"/>
        <w:jc w:val="both"/>
        <w:rPr>
          <w:rFonts w:asciiTheme="minorHAnsi" w:hAnsiTheme="minorHAnsi" w:cstheme="minorHAnsi"/>
          <w:lang w:val="en-GB"/>
        </w:rPr>
      </w:pPr>
      <w:r>
        <w:rPr>
          <w:rFonts w:asciiTheme="minorHAnsi" w:hAnsiTheme="minorHAnsi" w:cstheme="minorHAnsi"/>
          <w:lang w:val="en-GB"/>
        </w:rPr>
        <w:t xml:space="preserve">The gradual increase of the apparent velocities prior to the </w:t>
      </w:r>
      <w:r>
        <w:rPr>
          <w:rFonts w:asciiTheme="minorHAnsi" w:eastAsia="Cantarell" w:hAnsiTheme="minorHAnsi" w:cstheme="minorHAnsi"/>
          <w:lang w:val="en-GB"/>
        </w:rPr>
        <w:t xml:space="preserve">jökulhlaup does not find an according expression in the spectral domain. The local velocity peak at the end of June at station pair APO2-APO5 </w:t>
      </w:r>
      <w:r>
        <w:rPr>
          <w:rFonts w:asciiTheme="minorHAnsi" w:eastAsia="Cantarell" w:hAnsiTheme="minorHAnsi" w:cstheme="minorHAnsi"/>
          <w:lang w:val="en-GB"/>
        </w:rPr>
        <w:t xml:space="preserve">(d) </w:t>
      </w:r>
      <w:r>
        <w:rPr>
          <w:rFonts w:asciiTheme="minorHAnsi" w:eastAsia="Cantarell" w:hAnsiTheme="minorHAnsi" w:cstheme="minorHAnsi"/>
          <w:lang w:val="en-GB"/>
        </w:rPr>
        <w:t>does however correlate with the emergence of an additional noise source in the band 30 – 40 Hz, which lasts for ca. 2 weeks.</w:t>
      </w:r>
    </w:p>
    <w:p w14:paraId="7AACFB12" w14:textId="77777777" w:rsidR="000B6ED4" w:rsidRDefault="000B6ED4" w:rsidP="000B6ED4">
      <w:pPr>
        <w:spacing w:line="480" w:lineRule="auto"/>
        <w:jc w:val="both"/>
        <w:rPr>
          <w:rFonts w:asciiTheme="minorHAnsi" w:hAnsiTheme="minorHAnsi" w:cstheme="minorHAnsi"/>
          <w:lang w:val="en-GB"/>
        </w:rPr>
      </w:pPr>
      <w:r>
        <w:rPr>
          <w:rFonts w:asciiTheme="minorHAnsi" w:hAnsiTheme="minorHAnsi" w:cstheme="minorHAnsi"/>
          <w:lang w:val="en-GB"/>
        </w:rPr>
        <w:t xml:space="preserve"> </w:t>
      </w:r>
    </w:p>
    <w:p w14:paraId="5928CB09" w14:textId="77777777" w:rsidR="000B6ED4" w:rsidRDefault="000B6ED4" w:rsidP="000B6ED4">
      <w:pPr>
        <w:spacing w:line="480" w:lineRule="auto"/>
        <w:jc w:val="both"/>
        <w:rPr>
          <w:rFonts w:asciiTheme="minorHAnsi" w:eastAsia="Cantarell" w:hAnsiTheme="minorHAnsi" w:cstheme="minorHAnsi"/>
          <w:lang w:val="en-GB"/>
        </w:rPr>
      </w:pPr>
      <w:r>
        <w:rPr>
          <w:noProof/>
        </w:rPr>
        <w:lastRenderedPageBreak/>
        <w:drawing>
          <wp:inline distT="0" distB="0" distL="0" distR="0" wp14:anchorId="3E3D4BF4" wp14:editId="50979ADE">
            <wp:extent cx="3707765" cy="634365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11"/>
                    <a:stretch>
                      <a:fillRect/>
                    </a:stretch>
                  </pic:blipFill>
                  <pic:spPr bwMode="auto">
                    <a:xfrm>
                      <a:off x="0" y="0"/>
                      <a:ext cx="3707765" cy="6343650"/>
                    </a:xfrm>
                    <a:prstGeom prst="rect">
                      <a:avLst/>
                    </a:prstGeom>
                  </pic:spPr>
                </pic:pic>
              </a:graphicData>
            </a:graphic>
          </wp:inline>
        </w:drawing>
      </w:r>
    </w:p>
    <w:p w14:paraId="0D020EE2" w14:textId="77777777" w:rsidR="000B6ED4" w:rsidRDefault="000B6ED4" w:rsidP="000B6ED4">
      <w:pPr>
        <w:spacing w:line="480" w:lineRule="auto"/>
        <w:jc w:val="both"/>
        <w:rPr>
          <w:rFonts w:asciiTheme="minorHAnsi" w:hAnsiTheme="minorHAnsi" w:cstheme="minorHAnsi"/>
          <w:lang w:val="en-GB"/>
        </w:rPr>
      </w:pPr>
      <w:r>
        <w:rPr>
          <w:rFonts w:asciiTheme="minorHAnsi" w:hAnsiTheme="minorHAnsi" w:cstheme="minorHAnsi"/>
          <w:lang w:val="en-GB"/>
        </w:rPr>
        <w:t>Fig. S5: Sensitivity kernel for the fundamental mode phase velocity based on the best fitted inversion model in (Fig. 10d).</w:t>
      </w:r>
    </w:p>
    <w:p w14:paraId="2301BC2F" w14:textId="77777777" w:rsidR="00E16BC0" w:rsidRPr="000B6ED4" w:rsidRDefault="00DE5D70">
      <w:pPr>
        <w:rPr>
          <w:lang w:val="en-GB"/>
        </w:rPr>
      </w:pPr>
    </w:p>
    <w:sectPr w:rsidR="00E16BC0" w:rsidRPr="000B6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Cantarell">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ED4"/>
    <w:rsid w:val="000B6ED4"/>
    <w:rsid w:val="002112DD"/>
    <w:rsid w:val="00243A88"/>
    <w:rsid w:val="005C029C"/>
    <w:rsid w:val="006228BD"/>
    <w:rsid w:val="006938CD"/>
    <w:rsid w:val="00DE5D70"/>
    <w:rsid w:val="00F031A7"/>
    <w:rsid w:val="00F7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AC4C4"/>
  <w15:chartTrackingRefBased/>
  <w15:docId w15:val="{F77B3899-64EE-44B4-867B-39541CE5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ED4"/>
    <w:pPr>
      <w:spacing w:after="0" w:line="240" w:lineRule="auto"/>
    </w:pPr>
    <w:rPr>
      <w:rFonts w:ascii="Liberation Serif" w:eastAsia="WenQuanYi Micro Hei" w:hAnsi="Liberation Serif" w:cs="Lohit Devanagari"/>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35E9B34D4B540A5782920032EE300" ma:contentTypeVersion="13" ma:contentTypeDescription="Create a new document." ma:contentTypeScope="" ma:versionID="4e7465cd6ce3a857a7c13b5c010282bf">
  <xsd:schema xmlns:xsd="http://www.w3.org/2001/XMLSchema" xmlns:xs="http://www.w3.org/2001/XMLSchema" xmlns:p="http://schemas.microsoft.com/office/2006/metadata/properties" xmlns:ns3="84414299-4190-4ce0-817c-498f52f0e748" xmlns:ns4="a93bf28d-c3e5-4b25-b576-f1cfe2078d75" targetNamespace="http://schemas.microsoft.com/office/2006/metadata/properties" ma:root="true" ma:fieldsID="caac6917733426c79634c842ba422af0" ns3:_="" ns4:_="">
    <xsd:import namespace="84414299-4190-4ce0-817c-498f52f0e748"/>
    <xsd:import namespace="a93bf28d-c3e5-4b25-b576-f1cfe2078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14299-4190-4ce0-817c-498f52f0e74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bf28d-c3e5-4b25-b576-f1cfe2078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189CB3-148E-4D36-A884-00D92269F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14299-4190-4ce0-817c-498f52f0e748"/>
    <ds:schemaRef ds:uri="a93bf28d-c3e5-4b25-b576-f1cfe2078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ECFC8-0E89-4B7D-877F-44CF9A2E3C36}">
  <ds:schemaRefs>
    <ds:schemaRef ds:uri="http://schemas.microsoft.com/sharepoint/v3/contenttype/forms"/>
  </ds:schemaRefs>
</ds:datastoreItem>
</file>

<file path=customXml/itemProps3.xml><?xml version="1.0" encoding="utf-8"?>
<ds:datastoreItem xmlns:ds="http://schemas.openxmlformats.org/officeDocument/2006/customXml" ds:itemID="{1FFB7F5D-38CF-4473-93E2-A2753D16F2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Behm</dc:creator>
  <cp:keywords/>
  <dc:description/>
  <cp:lastModifiedBy>Michael Behm</cp:lastModifiedBy>
  <cp:revision>3</cp:revision>
  <dcterms:created xsi:type="dcterms:W3CDTF">2020-01-08T20:35:00Z</dcterms:created>
  <dcterms:modified xsi:type="dcterms:W3CDTF">2020-01-09T04:28:00Z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0x01010029B35E9B34D4B540A5782920032EE300</vt:lpwstr>
  </property>
</Properties>
</file>