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AD7" w:rsidRDefault="00000000">
      <w:pPr>
        <w:rPr>
          <w:rFonts w:ascii="Times New Roman" w:hAnsi="Times New Roman" w:cs="Times New Roman"/>
        </w:rPr>
      </w:pPr>
      <w:r>
        <w:rPr>
          <w:rFonts w:ascii="Times New Roman" w:hAnsi="Times New Roman" w:cs="Times New Roman"/>
        </w:rPr>
        <w:t xml:space="preserve">Movie </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 xml:space="preserve">Instantaneous flow structures visualized by volume rendering of temperature anomaly for </w:t>
      </w:r>
      <w:r w:rsidR="002C7BFC">
        <w:rPr>
          <w:rFonts w:ascii="Times New Roman" w:hAnsi="Times New Roman" w:cs="Times New Roman"/>
          <w:noProof/>
          <w:position w:val="-6"/>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1pt;height:13.85pt;mso-width-percent:0;mso-height-percent:0;mso-width-percent:0;mso-height-percent:0" o:ole="">
            <v:imagedata r:id="rId5" o:title=""/>
          </v:shape>
          <o:OLEObject Type="Embed" ProgID="Equation.KSEE3" ShapeID="_x0000_i1026" DrawAspect="Content" ObjectID="_1726489259" r:id="rId6"/>
        </w:object>
      </w:r>
      <w:r>
        <w:rPr>
          <w:rFonts w:ascii="Times New Roman" w:hAnsi="Times New Roman" w:cs="Times New Roman" w:hint="eastAsia"/>
        </w:rPr>
        <w:t xml:space="preserve">, </w:t>
      </w:r>
      <w:r w:rsidRPr="0064150D">
        <w:rPr>
          <w:rFonts w:ascii="Times New Roman" w:hAnsi="Times New Roman" w:cs="Times New Roman" w:hint="eastAsia"/>
          <w:i/>
          <w:iCs/>
        </w:rPr>
        <w:t>Ra</w:t>
      </w:r>
      <w:r>
        <w:rPr>
          <w:rFonts w:ascii="Times New Roman" w:hAnsi="Times New Roman" w:cs="Times New Roman"/>
        </w:rPr>
        <w:t xml:space="preserve"> = 10</w:t>
      </w:r>
      <w:r>
        <w:rPr>
          <w:rFonts w:ascii="Times New Roman" w:hAnsi="Times New Roman" w:cs="Times New Roman" w:hint="eastAsia"/>
          <w:vertAlign w:val="superscript"/>
        </w:rPr>
        <w:t>9</w:t>
      </w:r>
      <w:r>
        <w:rPr>
          <w:rFonts w:ascii="Times New Roman" w:hAnsi="Times New Roman" w:cs="Times New Roman"/>
        </w:rPr>
        <w:t xml:space="preserve">, </w:t>
      </w:r>
      <w:proofErr w:type="spellStart"/>
      <w:r>
        <w:rPr>
          <w:rFonts w:ascii="Times New Roman" w:hAnsi="Times New Roman" w:cs="Times New Roman" w:hint="eastAsia"/>
        </w:rPr>
        <w:t>Pr</w:t>
      </w:r>
      <w:proofErr w:type="spellEnd"/>
      <w:r>
        <w:rPr>
          <w:rFonts w:ascii="Times New Roman" w:hAnsi="Times New Roman" w:cs="Times New Roman"/>
        </w:rPr>
        <w:t xml:space="preserve">=4.38, and </w:t>
      </w:r>
      <w:r w:rsidR="002C7BFC">
        <w:rPr>
          <w:rFonts w:ascii="Times New Roman" w:hAnsi="Times New Roman" w:cs="Times New Roman"/>
          <w:noProof/>
          <w:position w:val="-6"/>
        </w:rPr>
        <w:object w:dxaOrig="1359" w:dyaOrig="320">
          <v:shape id="_x0000_i1025" type="#_x0000_t75" alt="" style="width:68.1pt;height:16.05pt;mso-width-percent:0;mso-height-percent:0;mso-width-percent:0;mso-height-percent:0" o:ole="">
            <v:imagedata r:id="rId7" o:title=""/>
          </v:shape>
          <o:OLEObject Type="Embed" ProgID="Equation.KSEE3" ShapeID="_x0000_i1025" DrawAspect="Content" ObjectID="_1726489260" r:id="rId8"/>
        </w:object>
      </w:r>
      <w:r>
        <w:rPr>
          <w:rFonts w:ascii="Times New Roman" w:hAnsi="Times New Roman" w:cs="Times New Roman" w:hint="eastAsia"/>
        </w:rPr>
        <w:t>,</w:t>
      </w:r>
      <w:r>
        <w:rPr>
          <w:rFonts w:ascii="Times New Roman" w:hAnsi="Times New Roman" w:cs="Times New Roman"/>
        </w:rPr>
        <w:t xml:space="preserve"> corresponding to </w:t>
      </w:r>
      <w:r w:rsidR="0064150D">
        <w:rPr>
          <w:rFonts w:ascii="Times New Roman" w:hAnsi="Times New Roman" w:cs="Times New Roman"/>
        </w:rPr>
        <w:t xml:space="preserve">figure </w:t>
      </w:r>
      <w:r>
        <w:rPr>
          <w:rFonts w:ascii="Times New Roman" w:hAnsi="Times New Roman" w:cs="Times New Roman" w:hint="eastAsia"/>
        </w:rPr>
        <w:t>1(</w:t>
      </w:r>
      <w:r w:rsidR="0064150D" w:rsidRPr="00767527">
        <w:rPr>
          <w:rFonts w:ascii="Times New Roman" w:hAnsi="Times New Roman" w:cs="Times New Roman"/>
          <w:i/>
          <w:iCs/>
        </w:rPr>
        <w:t>c</w:t>
      </w:r>
      <w:r w:rsidR="0064150D">
        <w:rPr>
          <w:rFonts w:ascii="Times New Roman" w:hAnsi="Times New Roman" w:cs="Times New Roman"/>
        </w:rPr>
        <w:t>,</w:t>
      </w:r>
      <w:r>
        <w:rPr>
          <w:rFonts w:ascii="Times New Roman" w:hAnsi="Times New Roman" w:cs="Times New Roman"/>
        </w:rPr>
        <w:t xml:space="preserve"> </w:t>
      </w:r>
      <w:r w:rsidR="0064150D" w:rsidRPr="00767527">
        <w:rPr>
          <w:rFonts w:ascii="Times New Roman" w:hAnsi="Times New Roman" w:cs="Times New Roman"/>
          <w:i/>
          <w:iCs/>
        </w:rPr>
        <w:t>f</w:t>
      </w:r>
      <w:r>
        <w:rPr>
          <w:rFonts w:ascii="Times New Roman" w:hAnsi="Times New Roman" w:cs="Times New Roman" w:hint="eastAsia"/>
        </w:rPr>
        <w:t>)</w:t>
      </w:r>
      <w:r>
        <w:rPr>
          <w:rFonts w:ascii="Times New Roman" w:hAnsi="Times New Roman" w:cs="Times New Roman"/>
        </w:rPr>
        <w:t>. The action of vertical vibration attenuates the intensity of buoyancy-driven convection and stabilizes thermal boundary layer, thereby prevents thermal plumes from fragmenting by turbulent fluctuations and suppresses the plume emission. With increasing the frequency, the eruption of thermal plumes and the plume fragmentation are more significantly suppressed.</w:t>
      </w:r>
    </w:p>
    <w:sectPr w:rsidR="00210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D7"/>
    <w:rsid w:val="00210AD7"/>
    <w:rsid w:val="002C7BFC"/>
    <w:rsid w:val="005C5439"/>
    <w:rsid w:val="006151D1"/>
    <w:rsid w:val="0064150D"/>
    <w:rsid w:val="00767527"/>
    <w:rsid w:val="00C266CE"/>
    <w:rsid w:val="00F8225A"/>
    <w:rsid w:val="00FF2954"/>
    <w:rsid w:val="307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12954"/>
  <w15:docId w15:val="{665DA977-3BBA-B74F-B6A1-6E9F39A2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szevol</dc:creator>
  <cp:lastModifiedBy>Microsoft Office User</cp:lastModifiedBy>
  <cp:revision>4</cp:revision>
  <dcterms:created xsi:type="dcterms:W3CDTF">2022-10-05T07:09:00Z</dcterms:created>
  <dcterms:modified xsi:type="dcterms:W3CDTF">2022-10-05T07:33:00Z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