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2A9F4" w14:textId="77777777" w:rsidR="00727E98" w:rsidRDefault="00727E98" w:rsidP="00050951">
      <w:pPr>
        <w:pStyle w:val="Author"/>
        <w:rPr>
          <w:b/>
          <w:sz w:val="32"/>
          <w:szCs w:val="32"/>
        </w:rPr>
      </w:pPr>
    </w:p>
    <w:p w14:paraId="4298E0F8" w14:textId="0561839C" w:rsidR="00050951" w:rsidRPr="009A6A06" w:rsidRDefault="00050951" w:rsidP="00050951">
      <w:pPr>
        <w:pStyle w:val="Author"/>
        <w:rPr>
          <w:b/>
          <w:sz w:val="32"/>
          <w:szCs w:val="32"/>
        </w:rPr>
      </w:pPr>
      <w:r w:rsidRPr="009A6A06">
        <w:rPr>
          <w:b/>
          <w:sz w:val="32"/>
          <w:szCs w:val="32"/>
        </w:rPr>
        <w:t>FOR ONLINE PUBLICATION ONLY</w:t>
      </w:r>
    </w:p>
    <w:p w14:paraId="60D356C2" w14:textId="77777777" w:rsidR="001D7078" w:rsidRDefault="001D7078" w:rsidP="001D7078">
      <w:pPr>
        <w:pStyle w:val="Author"/>
      </w:pPr>
      <w:r>
        <w:t>Figures A-1, A-2, and A-3: RESULTS distinguishing between metallic reserves and foreign exchange</w:t>
      </w:r>
    </w:p>
    <w:p w14:paraId="26B4309D" w14:textId="77777777" w:rsidR="001D7078" w:rsidRDefault="001D7078" w:rsidP="001D7078">
      <w:pPr>
        <w:pStyle w:val="FigureNotes"/>
        <w:rPr>
          <w:color w:val="222222"/>
          <w:sz w:val="24"/>
          <w:szCs w:val="24"/>
          <w:shd w:val="clear" w:color="auto" w:fill="FFFFFF"/>
        </w:rPr>
      </w:pPr>
      <w:r>
        <w:rPr>
          <w:color w:val="222222"/>
          <w:sz w:val="24"/>
          <w:szCs w:val="24"/>
          <w:shd w:val="clear" w:color="auto" w:fill="FFFFFF"/>
        </w:rPr>
        <w:t>Figures A-1, A-2, A-3 complement</w:t>
      </w:r>
      <w:r w:rsidRPr="00377668">
        <w:rPr>
          <w:color w:val="222222"/>
          <w:sz w:val="24"/>
          <w:szCs w:val="24"/>
          <w:shd w:val="clear" w:color="auto" w:fill="FFFFFF"/>
        </w:rPr>
        <w:t xml:space="preserve"> figure</w:t>
      </w:r>
      <w:r>
        <w:rPr>
          <w:color w:val="222222"/>
          <w:sz w:val="24"/>
          <w:szCs w:val="24"/>
          <w:shd w:val="clear" w:color="auto" w:fill="FFFFFF"/>
        </w:rPr>
        <w:t xml:space="preserve">s 1, 2 and 3 </w:t>
      </w:r>
      <w:r w:rsidRPr="00377668">
        <w:rPr>
          <w:color w:val="222222"/>
          <w:sz w:val="24"/>
          <w:szCs w:val="24"/>
          <w:shd w:val="clear" w:color="auto" w:fill="FFFFFF"/>
        </w:rPr>
        <w:t xml:space="preserve">in the main text. </w:t>
      </w:r>
      <w:r>
        <w:rPr>
          <w:color w:val="222222"/>
          <w:sz w:val="24"/>
          <w:szCs w:val="24"/>
          <w:shd w:val="clear" w:color="auto" w:fill="FFFFFF"/>
        </w:rPr>
        <w:t>Our baseline results draw on the “international portfolio” of central banks. Figures A-1, A-2 and A-3 separate this combined series into its components, namely “metallic reserves” (time series 1) and “foreign exchange” (time series 2 and 3, i.e., “foreign paper” plus “foreign funds”).</w:t>
      </w:r>
    </w:p>
    <w:p w14:paraId="69B9AC3B" w14:textId="77777777" w:rsidR="001D7078" w:rsidRPr="00453CB2" w:rsidRDefault="001D7078" w:rsidP="001D7078">
      <w:pPr>
        <w:spacing w:line="240" w:lineRule="auto"/>
        <w:ind w:firstLine="204"/>
      </w:pPr>
      <w:r>
        <w:tab/>
        <w:t>As foreign exchange data for France only begin in 1907 and do not exist at all for Germany (on a monthly basis), we cannot do this distinction for either country (cf. data appendix for details). Consequently, we decided to calculate Belgium, Austria-Hungary and the Netherlands separately and list results as Figures A-1A, A-1B and A-1C.</w:t>
      </w:r>
    </w:p>
    <w:p w14:paraId="5F9F149B" w14:textId="77777777" w:rsidR="001D7078" w:rsidRDefault="001D7078" w:rsidP="001D7078">
      <w:pPr>
        <w:pStyle w:val="FigureTitle"/>
      </w:pPr>
    </w:p>
    <w:p w14:paraId="16D69223" w14:textId="3473F587" w:rsidR="001D7078" w:rsidRDefault="001D7078" w:rsidP="001D7078">
      <w:pPr>
        <w:pStyle w:val="FigureTitle"/>
      </w:pPr>
      <w:r w:rsidRPr="00A44296">
        <w:rPr>
          <w:noProof/>
          <w:lang w:val="fr-FR" w:eastAsia="fr-FR"/>
        </w:rPr>
        <w:drawing>
          <wp:inline distT="0" distB="0" distL="0" distR="0" wp14:anchorId="1B32652E" wp14:editId="7760668E">
            <wp:extent cx="5130800" cy="3759200"/>
            <wp:effectExtent l="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0800" cy="3759200"/>
                    </a:xfrm>
                    <a:prstGeom prst="rect">
                      <a:avLst/>
                    </a:prstGeom>
                    <a:noFill/>
                    <a:ln>
                      <a:noFill/>
                    </a:ln>
                  </pic:spPr>
                </pic:pic>
              </a:graphicData>
            </a:graphic>
          </wp:inline>
        </w:drawing>
      </w:r>
    </w:p>
    <w:p w14:paraId="293EF42B" w14:textId="77777777" w:rsidR="001D7078" w:rsidRPr="009A6A06" w:rsidRDefault="001D7078" w:rsidP="001D7078">
      <w:pPr>
        <w:pStyle w:val="FigureTitle"/>
      </w:pPr>
      <w:r>
        <w:t>Figure A-1a</w:t>
      </w:r>
      <w:r w:rsidRPr="009A6A06">
        <w:t>.</w:t>
      </w:r>
      <w:r>
        <w:t xml:space="preserve"> </w:t>
      </w:r>
      <w:r w:rsidRPr="009A6A06">
        <w:t xml:space="preserve">The reaction of </w:t>
      </w:r>
      <w:r>
        <w:t xml:space="preserve">Belgium </w:t>
      </w:r>
      <w:r w:rsidRPr="009A6A06">
        <w:t>to an English discount rate shock of 100 basis points in the first eight months.</w:t>
      </w:r>
    </w:p>
    <w:p w14:paraId="6F29CE90" w14:textId="77777777" w:rsidR="001D7078" w:rsidRPr="009A6A06" w:rsidRDefault="001D7078" w:rsidP="001D7078">
      <w:pPr>
        <w:pStyle w:val="FigureNotes"/>
      </w:pPr>
      <w:r w:rsidRPr="009A6A06">
        <w:t xml:space="preserve">Sources: </w:t>
      </w:r>
      <w:r w:rsidRPr="009A6A06">
        <w:tab/>
        <w:t>Own calculations based on sources as described in the main text and the appendix.</w:t>
      </w:r>
    </w:p>
    <w:p w14:paraId="31E66C50" w14:textId="77777777" w:rsidR="001D7078" w:rsidRPr="009A6A06" w:rsidRDefault="001D7078" w:rsidP="001D7078">
      <w:pPr>
        <w:pStyle w:val="FigureNotes"/>
        <w:rPr>
          <w:color w:val="222222"/>
          <w:shd w:val="clear" w:color="auto" w:fill="FFFFFF"/>
        </w:rPr>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xml:space="preserve"> (positive exchange-rate response in lower right panel indicates depreciation). </w:t>
      </w:r>
    </w:p>
    <w:p w14:paraId="6FD61898" w14:textId="77777777" w:rsidR="001D7078" w:rsidRPr="009A6A06" w:rsidRDefault="001D7078" w:rsidP="001D7078">
      <w:pPr>
        <w:pStyle w:val="FigureNotes"/>
        <w:rPr>
          <w:color w:val="222222"/>
          <w:shd w:val="clear" w:color="auto" w:fill="FFFFFF"/>
        </w:rPr>
      </w:pPr>
      <w:r>
        <w:rPr>
          <w:color w:val="222222"/>
          <w:shd w:val="clear" w:color="auto" w:fill="FFFFFF"/>
        </w:rPr>
        <w:t>Notes: “foreign exchange</w:t>
      </w:r>
      <w:r w:rsidRPr="009A6A06">
        <w:rPr>
          <w:color w:val="222222"/>
          <w:shd w:val="clear" w:color="auto" w:fill="FFFFFF"/>
        </w:rPr>
        <w:t>” and “</w:t>
      </w:r>
      <w:r>
        <w:rPr>
          <w:color w:val="222222"/>
          <w:shd w:val="clear" w:color="auto" w:fill="FFFFFF"/>
        </w:rPr>
        <w:t>metallic reserves</w:t>
      </w:r>
      <w:r w:rsidRPr="009A6A06">
        <w:rPr>
          <w:color w:val="222222"/>
          <w:shd w:val="clear" w:color="auto" w:fill="FFFFFF"/>
        </w:rPr>
        <w:t xml:space="preserve">” </w:t>
      </w:r>
      <w:r>
        <w:rPr>
          <w:color w:val="222222"/>
          <w:shd w:val="clear" w:color="auto" w:fill="FFFFFF"/>
        </w:rPr>
        <w:t xml:space="preserve">combined </w:t>
      </w:r>
      <w:r w:rsidRPr="009A6A06">
        <w:rPr>
          <w:color w:val="222222"/>
          <w:shd w:val="clear" w:color="auto" w:fill="FFFFFF"/>
        </w:rPr>
        <w:t xml:space="preserve">denote the international </w:t>
      </w:r>
      <w:r>
        <w:rPr>
          <w:color w:val="222222"/>
          <w:shd w:val="clear" w:color="auto" w:fill="FFFFFF"/>
        </w:rPr>
        <w:t>portfolio</w:t>
      </w:r>
      <w:r w:rsidRPr="009A6A06">
        <w:rPr>
          <w:color w:val="222222"/>
          <w:shd w:val="clear" w:color="auto" w:fill="FFFFFF"/>
        </w:rPr>
        <w:t xml:space="preserve"> of central banks</w:t>
      </w:r>
      <w:r>
        <w:rPr>
          <w:color w:val="222222"/>
          <w:shd w:val="clear" w:color="auto" w:fill="FFFFFF"/>
        </w:rPr>
        <w:t xml:space="preserve">. Individually, “foreign exchange” stands for the sum of “foreign paper” (time series 2) and “foreign funds” (time series 3); “metallic reserves” </w:t>
      </w:r>
      <w:proofErr w:type="gramStart"/>
      <w:r>
        <w:rPr>
          <w:color w:val="222222"/>
          <w:shd w:val="clear" w:color="auto" w:fill="FFFFFF"/>
        </w:rPr>
        <w:t>is</w:t>
      </w:r>
      <w:proofErr w:type="gramEnd"/>
      <w:r>
        <w:rPr>
          <w:color w:val="222222"/>
          <w:shd w:val="clear" w:color="auto" w:fill="FFFFFF"/>
        </w:rPr>
        <w:t xml:space="preserve"> time series 1. “domestic” denote the domestic portfolio and “rate” denote</w:t>
      </w:r>
      <w:r w:rsidRPr="009A6A06">
        <w:rPr>
          <w:color w:val="222222"/>
          <w:shd w:val="clear" w:color="auto" w:fill="FFFFFF"/>
        </w:rPr>
        <w:t xml:space="preserve"> the discount rate of central banks</w:t>
      </w:r>
      <w:r>
        <w:rPr>
          <w:color w:val="222222"/>
          <w:shd w:val="clear" w:color="auto" w:fill="FFFFFF"/>
        </w:rPr>
        <w:t xml:space="preserve">. </w:t>
      </w:r>
      <w:r w:rsidRPr="009A6A06">
        <w:rPr>
          <w:color w:val="222222"/>
          <w:shd w:val="clear" w:color="auto" w:fill="FFFFFF"/>
        </w:rPr>
        <w:t xml:space="preserve">“x” </w:t>
      </w:r>
      <w:r>
        <w:rPr>
          <w:color w:val="222222"/>
          <w:shd w:val="clear" w:color="auto" w:fill="FFFFFF"/>
        </w:rPr>
        <w:t xml:space="preserve">is </w:t>
      </w:r>
      <w:r w:rsidRPr="009A6A06">
        <w:rPr>
          <w:color w:val="222222"/>
          <w:shd w:val="clear" w:color="auto" w:fill="FFFFFF"/>
        </w:rPr>
        <w:t xml:space="preserve">the exchange rate on London. </w:t>
      </w:r>
    </w:p>
    <w:p w14:paraId="037A6FC4" w14:textId="77777777" w:rsidR="001D7078" w:rsidRDefault="001D7078" w:rsidP="001D7078">
      <w:r>
        <w:br w:type="column"/>
      </w:r>
      <w:r w:rsidRPr="00A44296">
        <w:rPr>
          <w:noProof/>
          <w:lang w:val="fr-FR" w:eastAsia="fr-FR"/>
        </w:rPr>
        <w:lastRenderedPageBreak/>
        <w:drawing>
          <wp:inline distT="0" distB="0" distL="0" distR="0" wp14:anchorId="484B556A" wp14:editId="0D1898DB">
            <wp:extent cx="5130800" cy="3759200"/>
            <wp:effectExtent l="0" t="0" r="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0800" cy="3759200"/>
                    </a:xfrm>
                    <a:prstGeom prst="rect">
                      <a:avLst/>
                    </a:prstGeom>
                    <a:noFill/>
                    <a:ln>
                      <a:noFill/>
                    </a:ln>
                  </pic:spPr>
                </pic:pic>
              </a:graphicData>
            </a:graphic>
          </wp:inline>
        </w:drawing>
      </w:r>
    </w:p>
    <w:p w14:paraId="0B1E5F17" w14:textId="77777777" w:rsidR="001D7078" w:rsidRDefault="001D7078" w:rsidP="001D7078">
      <w:pPr>
        <w:pStyle w:val="FigureTitle"/>
      </w:pPr>
    </w:p>
    <w:p w14:paraId="2732A144" w14:textId="77777777" w:rsidR="001D7078" w:rsidRPr="009A6A06" w:rsidRDefault="001D7078" w:rsidP="001D7078">
      <w:pPr>
        <w:pStyle w:val="FigureTitle"/>
      </w:pPr>
      <w:r>
        <w:t>A-1B</w:t>
      </w:r>
      <w:r w:rsidRPr="009A6A06">
        <w:t>.</w:t>
      </w:r>
      <w:r>
        <w:t xml:space="preserve"> </w:t>
      </w:r>
      <w:r w:rsidRPr="009A6A06">
        <w:t xml:space="preserve">The reaction of </w:t>
      </w:r>
      <w:proofErr w:type="spellStart"/>
      <w:r>
        <w:t>AUSTRIA-hungary</w:t>
      </w:r>
      <w:proofErr w:type="spellEnd"/>
      <w:r>
        <w:t xml:space="preserve"> </w:t>
      </w:r>
      <w:r w:rsidRPr="009A6A06">
        <w:t>to an English discount rate shock of 100 basis points in the first eight months.</w:t>
      </w:r>
    </w:p>
    <w:p w14:paraId="5C61721C" w14:textId="77777777" w:rsidR="001D7078" w:rsidRPr="009A6A06" w:rsidRDefault="001D7078" w:rsidP="001D7078">
      <w:pPr>
        <w:pStyle w:val="FigureNotes"/>
      </w:pPr>
      <w:r w:rsidRPr="009A6A06">
        <w:t xml:space="preserve">Sources: </w:t>
      </w:r>
      <w:r w:rsidRPr="009A6A06">
        <w:tab/>
        <w:t>Own calculations based on sources as described in the main text and the appendix.</w:t>
      </w:r>
    </w:p>
    <w:p w14:paraId="21639628" w14:textId="77777777" w:rsidR="001D7078" w:rsidRPr="009A6A06" w:rsidRDefault="001D7078" w:rsidP="001D7078">
      <w:pPr>
        <w:pStyle w:val="FigureNotes"/>
        <w:rPr>
          <w:color w:val="222222"/>
          <w:shd w:val="clear" w:color="auto" w:fill="FFFFFF"/>
        </w:rPr>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xml:space="preserve"> (positive exchange-rate response in lower right panel indicates depreciation). </w:t>
      </w:r>
    </w:p>
    <w:p w14:paraId="04844B49" w14:textId="77777777" w:rsidR="001D7078" w:rsidRPr="009A6A06" w:rsidRDefault="001D7078" w:rsidP="001D7078">
      <w:pPr>
        <w:pStyle w:val="FigureNotes"/>
        <w:rPr>
          <w:color w:val="222222"/>
          <w:shd w:val="clear" w:color="auto" w:fill="FFFFFF"/>
        </w:rPr>
      </w:pPr>
      <w:r>
        <w:rPr>
          <w:color w:val="222222"/>
          <w:shd w:val="clear" w:color="auto" w:fill="FFFFFF"/>
        </w:rPr>
        <w:t>Notes: “foreign exchange</w:t>
      </w:r>
      <w:r w:rsidRPr="009A6A06">
        <w:rPr>
          <w:color w:val="222222"/>
          <w:shd w:val="clear" w:color="auto" w:fill="FFFFFF"/>
        </w:rPr>
        <w:t>” and “</w:t>
      </w:r>
      <w:r>
        <w:rPr>
          <w:color w:val="222222"/>
          <w:shd w:val="clear" w:color="auto" w:fill="FFFFFF"/>
        </w:rPr>
        <w:t>metallic reserves</w:t>
      </w:r>
      <w:r w:rsidRPr="009A6A06">
        <w:rPr>
          <w:color w:val="222222"/>
          <w:shd w:val="clear" w:color="auto" w:fill="FFFFFF"/>
        </w:rPr>
        <w:t xml:space="preserve">” </w:t>
      </w:r>
      <w:r>
        <w:rPr>
          <w:color w:val="222222"/>
          <w:shd w:val="clear" w:color="auto" w:fill="FFFFFF"/>
        </w:rPr>
        <w:t xml:space="preserve">combined </w:t>
      </w:r>
      <w:r w:rsidRPr="009A6A06">
        <w:rPr>
          <w:color w:val="222222"/>
          <w:shd w:val="clear" w:color="auto" w:fill="FFFFFF"/>
        </w:rPr>
        <w:t xml:space="preserve">denote the international </w:t>
      </w:r>
      <w:r>
        <w:rPr>
          <w:color w:val="222222"/>
          <w:shd w:val="clear" w:color="auto" w:fill="FFFFFF"/>
        </w:rPr>
        <w:t>portfolio</w:t>
      </w:r>
      <w:r w:rsidRPr="009A6A06">
        <w:rPr>
          <w:color w:val="222222"/>
          <w:shd w:val="clear" w:color="auto" w:fill="FFFFFF"/>
        </w:rPr>
        <w:t xml:space="preserve"> of central banks</w:t>
      </w:r>
      <w:r>
        <w:rPr>
          <w:color w:val="222222"/>
          <w:shd w:val="clear" w:color="auto" w:fill="FFFFFF"/>
        </w:rPr>
        <w:t xml:space="preserve">. Individually, “foreign exchange” stands for the sum of “foreign paper” (time series 2) and “foreign funds” (time series 3); “metallic reserves” </w:t>
      </w:r>
      <w:proofErr w:type="gramStart"/>
      <w:r>
        <w:rPr>
          <w:color w:val="222222"/>
          <w:shd w:val="clear" w:color="auto" w:fill="FFFFFF"/>
        </w:rPr>
        <w:t>is</w:t>
      </w:r>
      <w:proofErr w:type="gramEnd"/>
      <w:r>
        <w:rPr>
          <w:color w:val="222222"/>
          <w:shd w:val="clear" w:color="auto" w:fill="FFFFFF"/>
        </w:rPr>
        <w:t xml:space="preserve"> time series 1. “domestic” denote the domestic portfolio and “rate” denote</w:t>
      </w:r>
      <w:r w:rsidRPr="009A6A06">
        <w:rPr>
          <w:color w:val="222222"/>
          <w:shd w:val="clear" w:color="auto" w:fill="FFFFFF"/>
        </w:rPr>
        <w:t xml:space="preserve"> the discount rate of central banks</w:t>
      </w:r>
      <w:r>
        <w:rPr>
          <w:color w:val="222222"/>
          <w:shd w:val="clear" w:color="auto" w:fill="FFFFFF"/>
        </w:rPr>
        <w:t xml:space="preserve">. </w:t>
      </w:r>
      <w:r w:rsidRPr="009A6A06">
        <w:rPr>
          <w:color w:val="222222"/>
          <w:shd w:val="clear" w:color="auto" w:fill="FFFFFF"/>
        </w:rPr>
        <w:t xml:space="preserve">“x” </w:t>
      </w:r>
      <w:r>
        <w:rPr>
          <w:color w:val="222222"/>
          <w:shd w:val="clear" w:color="auto" w:fill="FFFFFF"/>
        </w:rPr>
        <w:t xml:space="preserve">is </w:t>
      </w:r>
      <w:r w:rsidRPr="009A6A06">
        <w:rPr>
          <w:color w:val="222222"/>
          <w:shd w:val="clear" w:color="auto" w:fill="FFFFFF"/>
        </w:rPr>
        <w:t xml:space="preserve">the exchange rate on London. </w:t>
      </w:r>
    </w:p>
    <w:p w14:paraId="6248DF52" w14:textId="77777777" w:rsidR="001D7078" w:rsidRDefault="001D7078" w:rsidP="001D7078"/>
    <w:p w14:paraId="20AC48A6" w14:textId="77777777" w:rsidR="001D7078" w:rsidRDefault="001D7078" w:rsidP="001D7078">
      <w:pPr>
        <w:pStyle w:val="FigureTitle"/>
      </w:pPr>
      <w:r>
        <w:br w:type="column"/>
      </w:r>
      <w:r w:rsidRPr="00A44296">
        <w:rPr>
          <w:noProof/>
          <w:lang w:val="fr-FR" w:eastAsia="fr-FR"/>
        </w:rPr>
        <w:lastRenderedPageBreak/>
        <w:drawing>
          <wp:inline distT="0" distB="0" distL="0" distR="0" wp14:anchorId="03ACB8C4" wp14:editId="1438FB51">
            <wp:extent cx="5130800" cy="3759200"/>
            <wp:effectExtent l="0" t="0" r="0"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0800" cy="3759200"/>
                    </a:xfrm>
                    <a:prstGeom prst="rect">
                      <a:avLst/>
                    </a:prstGeom>
                    <a:noFill/>
                    <a:ln>
                      <a:noFill/>
                    </a:ln>
                  </pic:spPr>
                </pic:pic>
              </a:graphicData>
            </a:graphic>
          </wp:inline>
        </w:drawing>
      </w:r>
      <w:r w:rsidRPr="00CE520F">
        <w:t xml:space="preserve"> </w:t>
      </w:r>
    </w:p>
    <w:p w14:paraId="0C6BC573" w14:textId="77777777" w:rsidR="001D7078" w:rsidRDefault="001D7078" w:rsidP="001D7078">
      <w:pPr>
        <w:pStyle w:val="FigureTitle"/>
      </w:pPr>
    </w:p>
    <w:p w14:paraId="1D8288A6" w14:textId="77777777" w:rsidR="001D7078" w:rsidRPr="009A6A06" w:rsidRDefault="001D7078" w:rsidP="001D7078">
      <w:pPr>
        <w:pStyle w:val="FigureTitle"/>
      </w:pPr>
      <w:r>
        <w:t>A-1C</w:t>
      </w:r>
      <w:r w:rsidRPr="009A6A06">
        <w:t>.</w:t>
      </w:r>
      <w:r>
        <w:t xml:space="preserve"> </w:t>
      </w:r>
      <w:r w:rsidRPr="009A6A06">
        <w:t xml:space="preserve">The reaction of </w:t>
      </w:r>
      <w:r>
        <w:t xml:space="preserve">the </w:t>
      </w:r>
      <w:proofErr w:type="spellStart"/>
      <w:r>
        <w:t>netherlands</w:t>
      </w:r>
      <w:proofErr w:type="spellEnd"/>
      <w:r>
        <w:t xml:space="preserve"> </w:t>
      </w:r>
      <w:r w:rsidRPr="009A6A06">
        <w:t>to an English discount rate shock of 100 basis points in the first eight months.</w:t>
      </w:r>
    </w:p>
    <w:p w14:paraId="33C100CD" w14:textId="77777777" w:rsidR="001D7078" w:rsidRPr="009A6A06" w:rsidRDefault="001D7078" w:rsidP="001D7078">
      <w:pPr>
        <w:pStyle w:val="FigureNotes"/>
      </w:pPr>
      <w:r w:rsidRPr="009A6A06">
        <w:t xml:space="preserve">Sources: </w:t>
      </w:r>
      <w:r w:rsidRPr="009A6A06">
        <w:tab/>
        <w:t>Own calculations based on sources as described in the main text and the appendix.</w:t>
      </w:r>
    </w:p>
    <w:p w14:paraId="0E4890AB" w14:textId="77777777" w:rsidR="001D7078" w:rsidRPr="009A6A06" w:rsidRDefault="001D7078" w:rsidP="001D7078">
      <w:pPr>
        <w:pStyle w:val="FigureNotes"/>
        <w:rPr>
          <w:color w:val="222222"/>
          <w:shd w:val="clear" w:color="auto" w:fill="FFFFFF"/>
        </w:rPr>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xml:space="preserve"> (positive exchange-rate response in lower right panel indicates depreciation). </w:t>
      </w:r>
    </w:p>
    <w:p w14:paraId="10E29B95" w14:textId="77777777" w:rsidR="001D7078" w:rsidRPr="009A6A06" w:rsidRDefault="001D7078" w:rsidP="001D7078">
      <w:pPr>
        <w:pStyle w:val="FigureNotes"/>
        <w:rPr>
          <w:color w:val="222222"/>
          <w:shd w:val="clear" w:color="auto" w:fill="FFFFFF"/>
        </w:rPr>
      </w:pPr>
      <w:r>
        <w:rPr>
          <w:color w:val="222222"/>
          <w:shd w:val="clear" w:color="auto" w:fill="FFFFFF"/>
        </w:rPr>
        <w:t>Notes: “foreign exchange</w:t>
      </w:r>
      <w:r w:rsidRPr="009A6A06">
        <w:rPr>
          <w:color w:val="222222"/>
          <w:shd w:val="clear" w:color="auto" w:fill="FFFFFF"/>
        </w:rPr>
        <w:t>” and “</w:t>
      </w:r>
      <w:r>
        <w:rPr>
          <w:color w:val="222222"/>
          <w:shd w:val="clear" w:color="auto" w:fill="FFFFFF"/>
        </w:rPr>
        <w:t>metallic reserves</w:t>
      </w:r>
      <w:r w:rsidRPr="009A6A06">
        <w:rPr>
          <w:color w:val="222222"/>
          <w:shd w:val="clear" w:color="auto" w:fill="FFFFFF"/>
        </w:rPr>
        <w:t xml:space="preserve">” </w:t>
      </w:r>
      <w:r>
        <w:rPr>
          <w:color w:val="222222"/>
          <w:shd w:val="clear" w:color="auto" w:fill="FFFFFF"/>
        </w:rPr>
        <w:t xml:space="preserve">combined </w:t>
      </w:r>
      <w:r w:rsidRPr="009A6A06">
        <w:rPr>
          <w:color w:val="222222"/>
          <w:shd w:val="clear" w:color="auto" w:fill="FFFFFF"/>
        </w:rPr>
        <w:t xml:space="preserve">denote the international </w:t>
      </w:r>
      <w:r>
        <w:rPr>
          <w:color w:val="222222"/>
          <w:shd w:val="clear" w:color="auto" w:fill="FFFFFF"/>
        </w:rPr>
        <w:t>portfolio</w:t>
      </w:r>
      <w:r w:rsidRPr="009A6A06">
        <w:rPr>
          <w:color w:val="222222"/>
          <w:shd w:val="clear" w:color="auto" w:fill="FFFFFF"/>
        </w:rPr>
        <w:t xml:space="preserve"> of central banks</w:t>
      </w:r>
      <w:r>
        <w:rPr>
          <w:color w:val="222222"/>
          <w:shd w:val="clear" w:color="auto" w:fill="FFFFFF"/>
        </w:rPr>
        <w:t xml:space="preserve">. Individually, “foreign exchange” stands for the sum of “foreign paper” (time series 2) and “foreign funds” (time series 3); “metallic reserves” </w:t>
      </w:r>
      <w:proofErr w:type="gramStart"/>
      <w:r>
        <w:rPr>
          <w:color w:val="222222"/>
          <w:shd w:val="clear" w:color="auto" w:fill="FFFFFF"/>
        </w:rPr>
        <w:t>is</w:t>
      </w:r>
      <w:proofErr w:type="gramEnd"/>
      <w:r>
        <w:rPr>
          <w:color w:val="222222"/>
          <w:shd w:val="clear" w:color="auto" w:fill="FFFFFF"/>
        </w:rPr>
        <w:t xml:space="preserve"> time series 1. “domestic” denote the domestic portfolio and “rate” denote</w:t>
      </w:r>
      <w:r w:rsidRPr="009A6A06">
        <w:rPr>
          <w:color w:val="222222"/>
          <w:shd w:val="clear" w:color="auto" w:fill="FFFFFF"/>
        </w:rPr>
        <w:t xml:space="preserve"> the discount rate of central banks</w:t>
      </w:r>
      <w:r>
        <w:rPr>
          <w:color w:val="222222"/>
          <w:shd w:val="clear" w:color="auto" w:fill="FFFFFF"/>
        </w:rPr>
        <w:t xml:space="preserve">. </w:t>
      </w:r>
      <w:r w:rsidRPr="009A6A06">
        <w:rPr>
          <w:color w:val="222222"/>
          <w:shd w:val="clear" w:color="auto" w:fill="FFFFFF"/>
        </w:rPr>
        <w:t xml:space="preserve">“x” </w:t>
      </w:r>
      <w:r>
        <w:rPr>
          <w:color w:val="222222"/>
          <w:shd w:val="clear" w:color="auto" w:fill="FFFFFF"/>
        </w:rPr>
        <w:t xml:space="preserve">is </w:t>
      </w:r>
      <w:r w:rsidRPr="009A6A06">
        <w:rPr>
          <w:color w:val="222222"/>
          <w:shd w:val="clear" w:color="auto" w:fill="FFFFFF"/>
        </w:rPr>
        <w:t xml:space="preserve">the exchange rate on London. </w:t>
      </w:r>
    </w:p>
    <w:p w14:paraId="60776417" w14:textId="77777777" w:rsidR="001D7078" w:rsidRDefault="001D7078" w:rsidP="001D7078">
      <w:pPr>
        <w:spacing w:line="240" w:lineRule="auto"/>
        <w:ind w:firstLine="0"/>
        <w:jc w:val="left"/>
      </w:pPr>
      <w:r>
        <w:br w:type="page"/>
      </w:r>
    </w:p>
    <w:p w14:paraId="5F47B2B3" w14:textId="77777777" w:rsidR="001D7078" w:rsidRDefault="001D7078" w:rsidP="001D7078">
      <w:r w:rsidRPr="00C3471E">
        <w:rPr>
          <w:noProof/>
          <w:lang w:val="fr-FR" w:eastAsia="fr-FR"/>
        </w:rPr>
        <w:lastRenderedPageBreak/>
        <w:drawing>
          <wp:inline distT="0" distB="0" distL="0" distR="0" wp14:anchorId="690E0A2C" wp14:editId="5AA91938">
            <wp:extent cx="5130800" cy="3759200"/>
            <wp:effectExtent l="0" t="0" r="0" b="0"/>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0800" cy="3759200"/>
                    </a:xfrm>
                    <a:prstGeom prst="rect">
                      <a:avLst/>
                    </a:prstGeom>
                    <a:noFill/>
                    <a:ln>
                      <a:noFill/>
                    </a:ln>
                  </pic:spPr>
                </pic:pic>
              </a:graphicData>
            </a:graphic>
          </wp:inline>
        </w:drawing>
      </w:r>
    </w:p>
    <w:p w14:paraId="5C9F6FE4" w14:textId="77777777" w:rsidR="001D7078" w:rsidRDefault="001D7078" w:rsidP="001D7078">
      <w:pPr>
        <w:spacing w:line="240" w:lineRule="auto"/>
        <w:ind w:firstLine="0"/>
        <w:jc w:val="left"/>
      </w:pPr>
    </w:p>
    <w:p w14:paraId="6B946920" w14:textId="77777777" w:rsidR="001D7078" w:rsidRPr="009A6A06" w:rsidRDefault="001D7078" w:rsidP="001D7078">
      <w:pPr>
        <w:pStyle w:val="FigureTitle"/>
      </w:pPr>
      <w:r>
        <w:t xml:space="preserve">A-2. </w:t>
      </w:r>
      <w:r w:rsidRPr="009A6A06">
        <w:t xml:space="preserve">The reaction of </w:t>
      </w:r>
      <w:r>
        <w:t xml:space="preserve">CENTRAL BANKS in GOLD STANDARD PERIPHERAL COUNTRIES </w:t>
      </w:r>
      <w:r w:rsidRPr="009A6A06">
        <w:t>to an English discount rate shock of 100 basis points in the first eight months.</w:t>
      </w:r>
    </w:p>
    <w:p w14:paraId="3791CEA9" w14:textId="77777777" w:rsidR="001D7078" w:rsidRPr="009A6A06" w:rsidRDefault="001D7078" w:rsidP="001D7078">
      <w:pPr>
        <w:pStyle w:val="FigureNotes"/>
      </w:pPr>
      <w:r w:rsidRPr="009A6A06">
        <w:t xml:space="preserve">Sources: </w:t>
      </w:r>
      <w:r w:rsidRPr="009A6A06">
        <w:tab/>
        <w:t>Own calculations based on sources as described in the main text and the appendix.</w:t>
      </w:r>
    </w:p>
    <w:p w14:paraId="6FB201BB" w14:textId="77777777" w:rsidR="001D7078" w:rsidRPr="009A6A06" w:rsidRDefault="001D7078" w:rsidP="001D7078">
      <w:pPr>
        <w:pStyle w:val="FigureNotes"/>
        <w:rPr>
          <w:color w:val="222222"/>
          <w:shd w:val="clear" w:color="auto" w:fill="FFFFFF"/>
        </w:rPr>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xml:space="preserve"> (positive exchange-rate response in lower right panel indicates depreciation). </w:t>
      </w:r>
    </w:p>
    <w:p w14:paraId="1AF9690F" w14:textId="77777777" w:rsidR="001D7078" w:rsidRPr="009A6A06" w:rsidRDefault="001D7078" w:rsidP="001D7078">
      <w:pPr>
        <w:pStyle w:val="FigureNotes"/>
        <w:rPr>
          <w:color w:val="222222"/>
          <w:shd w:val="clear" w:color="auto" w:fill="FFFFFF"/>
        </w:rPr>
      </w:pPr>
      <w:r>
        <w:rPr>
          <w:color w:val="222222"/>
          <w:shd w:val="clear" w:color="auto" w:fill="FFFFFF"/>
        </w:rPr>
        <w:t>Notes: “foreign exchange</w:t>
      </w:r>
      <w:r w:rsidRPr="009A6A06">
        <w:rPr>
          <w:color w:val="222222"/>
          <w:shd w:val="clear" w:color="auto" w:fill="FFFFFF"/>
        </w:rPr>
        <w:t>” and “</w:t>
      </w:r>
      <w:r>
        <w:rPr>
          <w:color w:val="222222"/>
          <w:shd w:val="clear" w:color="auto" w:fill="FFFFFF"/>
        </w:rPr>
        <w:t>metallic reserves</w:t>
      </w:r>
      <w:r w:rsidRPr="009A6A06">
        <w:rPr>
          <w:color w:val="222222"/>
          <w:shd w:val="clear" w:color="auto" w:fill="FFFFFF"/>
        </w:rPr>
        <w:t xml:space="preserve">” </w:t>
      </w:r>
      <w:r>
        <w:rPr>
          <w:color w:val="222222"/>
          <w:shd w:val="clear" w:color="auto" w:fill="FFFFFF"/>
        </w:rPr>
        <w:t xml:space="preserve">combined </w:t>
      </w:r>
      <w:r w:rsidRPr="009A6A06">
        <w:rPr>
          <w:color w:val="222222"/>
          <w:shd w:val="clear" w:color="auto" w:fill="FFFFFF"/>
        </w:rPr>
        <w:t xml:space="preserve">denote the international </w:t>
      </w:r>
      <w:r>
        <w:rPr>
          <w:color w:val="222222"/>
          <w:shd w:val="clear" w:color="auto" w:fill="FFFFFF"/>
        </w:rPr>
        <w:t>portfolio</w:t>
      </w:r>
      <w:r w:rsidRPr="009A6A06">
        <w:rPr>
          <w:color w:val="222222"/>
          <w:shd w:val="clear" w:color="auto" w:fill="FFFFFF"/>
        </w:rPr>
        <w:t xml:space="preserve"> of central banks</w:t>
      </w:r>
      <w:r>
        <w:rPr>
          <w:color w:val="222222"/>
          <w:shd w:val="clear" w:color="auto" w:fill="FFFFFF"/>
        </w:rPr>
        <w:t xml:space="preserve">. Individually, “foreign exchange” stands for the sum of “foreign paper” (time series 2) and “foreign funds” (time series 3); “metallic reserves” </w:t>
      </w:r>
      <w:proofErr w:type="gramStart"/>
      <w:r>
        <w:rPr>
          <w:color w:val="222222"/>
          <w:shd w:val="clear" w:color="auto" w:fill="FFFFFF"/>
        </w:rPr>
        <w:t>is</w:t>
      </w:r>
      <w:proofErr w:type="gramEnd"/>
      <w:r>
        <w:rPr>
          <w:color w:val="222222"/>
          <w:shd w:val="clear" w:color="auto" w:fill="FFFFFF"/>
        </w:rPr>
        <w:t xml:space="preserve"> time series 1. “domestic” denote the domestic portfolio and “rate” denote</w:t>
      </w:r>
      <w:r w:rsidRPr="009A6A06">
        <w:rPr>
          <w:color w:val="222222"/>
          <w:shd w:val="clear" w:color="auto" w:fill="FFFFFF"/>
        </w:rPr>
        <w:t xml:space="preserve"> the discount rate of central banks</w:t>
      </w:r>
      <w:r>
        <w:rPr>
          <w:color w:val="222222"/>
          <w:shd w:val="clear" w:color="auto" w:fill="FFFFFF"/>
        </w:rPr>
        <w:t xml:space="preserve">. </w:t>
      </w:r>
      <w:r w:rsidRPr="009A6A06">
        <w:rPr>
          <w:color w:val="222222"/>
          <w:shd w:val="clear" w:color="auto" w:fill="FFFFFF"/>
        </w:rPr>
        <w:t xml:space="preserve">“x” </w:t>
      </w:r>
      <w:r>
        <w:rPr>
          <w:color w:val="222222"/>
          <w:shd w:val="clear" w:color="auto" w:fill="FFFFFF"/>
        </w:rPr>
        <w:t xml:space="preserve">is </w:t>
      </w:r>
      <w:r w:rsidRPr="009A6A06">
        <w:rPr>
          <w:color w:val="222222"/>
          <w:shd w:val="clear" w:color="auto" w:fill="FFFFFF"/>
        </w:rPr>
        <w:t xml:space="preserve">the exchange rate on London. </w:t>
      </w:r>
    </w:p>
    <w:p w14:paraId="6D401D51" w14:textId="77777777" w:rsidR="001D7078" w:rsidRDefault="001D7078" w:rsidP="001D7078">
      <w:pPr>
        <w:spacing w:line="240" w:lineRule="auto"/>
        <w:ind w:firstLine="0"/>
        <w:jc w:val="left"/>
        <w:rPr>
          <w:rFonts w:cs="TimesLTStd-Roman"/>
          <w:smallCaps/>
          <w:color w:val="000000"/>
          <w:spacing w:val="-1"/>
          <w:sz w:val="16"/>
          <w:szCs w:val="16"/>
        </w:rPr>
      </w:pPr>
      <w:r>
        <w:br w:type="page"/>
      </w:r>
    </w:p>
    <w:p w14:paraId="4FB1A775" w14:textId="77777777" w:rsidR="001D7078" w:rsidRDefault="001D7078" w:rsidP="001D7078">
      <w:pPr>
        <w:pStyle w:val="FigureTitle"/>
      </w:pPr>
      <w:r w:rsidRPr="006E2CB2">
        <w:rPr>
          <w:noProof/>
          <w:lang w:val="fr-FR" w:eastAsia="fr-FR"/>
        </w:rPr>
        <w:lastRenderedPageBreak/>
        <w:drawing>
          <wp:inline distT="0" distB="0" distL="0" distR="0" wp14:anchorId="24394E04" wp14:editId="4572ACAB">
            <wp:extent cx="5130800" cy="3759200"/>
            <wp:effectExtent l="0" t="0" r="0" b="0"/>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0800" cy="3759200"/>
                    </a:xfrm>
                    <a:prstGeom prst="rect">
                      <a:avLst/>
                    </a:prstGeom>
                    <a:noFill/>
                    <a:ln>
                      <a:noFill/>
                    </a:ln>
                  </pic:spPr>
                </pic:pic>
              </a:graphicData>
            </a:graphic>
          </wp:inline>
        </w:drawing>
      </w:r>
      <w:r w:rsidRPr="00B37A89">
        <w:t xml:space="preserve"> </w:t>
      </w:r>
    </w:p>
    <w:p w14:paraId="6D72173B" w14:textId="77777777" w:rsidR="001D7078" w:rsidRDefault="001D7078" w:rsidP="001D7078">
      <w:pPr>
        <w:pStyle w:val="FigureTitle"/>
      </w:pPr>
    </w:p>
    <w:p w14:paraId="4CF22992" w14:textId="77777777" w:rsidR="001D7078" w:rsidRPr="009A6A06" w:rsidRDefault="001D7078" w:rsidP="001D7078">
      <w:pPr>
        <w:pStyle w:val="FigureTitle"/>
      </w:pPr>
      <w:r>
        <w:t>A-3</w:t>
      </w:r>
      <w:r w:rsidRPr="009A6A06">
        <w:t>.</w:t>
      </w:r>
      <w:r>
        <w:t xml:space="preserve"> </w:t>
      </w:r>
      <w:r w:rsidRPr="009A6A06">
        <w:t>The reaction of central banks in fiat standard countries to an English discount rate shock of 100 basis points in the first eight months.</w:t>
      </w:r>
    </w:p>
    <w:p w14:paraId="013198B0" w14:textId="77777777" w:rsidR="001D7078" w:rsidRPr="009A6A06" w:rsidRDefault="001D7078" w:rsidP="001D7078">
      <w:pPr>
        <w:pStyle w:val="FigureNotes"/>
      </w:pPr>
      <w:r w:rsidRPr="009A6A06">
        <w:t xml:space="preserve">Sources: </w:t>
      </w:r>
      <w:r w:rsidRPr="009A6A06">
        <w:tab/>
        <w:t>Own calculations based on sources as described in the main text and the appendix.</w:t>
      </w:r>
    </w:p>
    <w:p w14:paraId="66BB58D3" w14:textId="77777777" w:rsidR="001D7078" w:rsidRPr="009A6A06" w:rsidRDefault="001D7078" w:rsidP="001D7078">
      <w:pPr>
        <w:pStyle w:val="FigureNotes"/>
        <w:rPr>
          <w:color w:val="222222"/>
          <w:shd w:val="clear" w:color="auto" w:fill="FFFFFF"/>
        </w:rPr>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xml:space="preserve"> (positive exchange-rate response in lower right panel indicates depreciation). </w:t>
      </w:r>
    </w:p>
    <w:p w14:paraId="3C4B7C08" w14:textId="77777777" w:rsidR="001D7078" w:rsidRPr="009A6A06" w:rsidRDefault="001D7078" w:rsidP="001D7078">
      <w:pPr>
        <w:pStyle w:val="FigureNotes"/>
        <w:rPr>
          <w:color w:val="222222"/>
          <w:shd w:val="clear" w:color="auto" w:fill="FFFFFF"/>
        </w:rPr>
      </w:pPr>
      <w:r>
        <w:rPr>
          <w:color w:val="222222"/>
          <w:shd w:val="clear" w:color="auto" w:fill="FFFFFF"/>
        </w:rPr>
        <w:t>Notes: “foreign exchange</w:t>
      </w:r>
      <w:r w:rsidRPr="009A6A06">
        <w:rPr>
          <w:color w:val="222222"/>
          <w:shd w:val="clear" w:color="auto" w:fill="FFFFFF"/>
        </w:rPr>
        <w:t>” and “</w:t>
      </w:r>
      <w:r>
        <w:rPr>
          <w:color w:val="222222"/>
          <w:shd w:val="clear" w:color="auto" w:fill="FFFFFF"/>
        </w:rPr>
        <w:t>metallic reserves</w:t>
      </w:r>
      <w:r w:rsidRPr="009A6A06">
        <w:rPr>
          <w:color w:val="222222"/>
          <w:shd w:val="clear" w:color="auto" w:fill="FFFFFF"/>
        </w:rPr>
        <w:t xml:space="preserve">” </w:t>
      </w:r>
      <w:r>
        <w:rPr>
          <w:color w:val="222222"/>
          <w:shd w:val="clear" w:color="auto" w:fill="FFFFFF"/>
        </w:rPr>
        <w:t xml:space="preserve">combined </w:t>
      </w:r>
      <w:r w:rsidRPr="009A6A06">
        <w:rPr>
          <w:color w:val="222222"/>
          <w:shd w:val="clear" w:color="auto" w:fill="FFFFFF"/>
        </w:rPr>
        <w:t xml:space="preserve">denote the international </w:t>
      </w:r>
      <w:r>
        <w:rPr>
          <w:color w:val="222222"/>
          <w:shd w:val="clear" w:color="auto" w:fill="FFFFFF"/>
        </w:rPr>
        <w:t>portfolio</w:t>
      </w:r>
      <w:r w:rsidRPr="009A6A06">
        <w:rPr>
          <w:color w:val="222222"/>
          <w:shd w:val="clear" w:color="auto" w:fill="FFFFFF"/>
        </w:rPr>
        <w:t xml:space="preserve"> of central banks</w:t>
      </w:r>
      <w:r>
        <w:rPr>
          <w:color w:val="222222"/>
          <w:shd w:val="clear" w:color="auto" w:fill="FFFFFF"/>
        </w:rPr>
        <w:t xml:space="preserve">. Individually, “foreign exchange” stands for the sum of “foreign paper” (time series 2) and “foreign funds” (time series 3); “metallic reserves” </w:t>
      </w:r>
      <w:proofErr w:type="gramStart"/>
      <w:r>
        <w:rPr>
          <w:color w:val="222222"/>
          <w:shd w:val="clear" w:color="auto" w:fill="FFFFFF"/>
        </w:rPr>
        <w:t>is</w:t>
      </w:r>
      <w:proofErr w:type="gramEnd"/>
      <w:r>
        <w:rPr>
          <w:color w:val="222222"/>
          <w:shd w:val="clear" w:color="auto" w:fill="FFFFFF"/>
        </w:rPr>
        <w:t xml:space="preserve"> time series 1. “domestic” denote the domestic portfolio and “rate” denote</w:t>
      </w:r>
      <w:r w:rsidRPr="009A6A06">
        <w:rPr>
          <w:color w:val="222222"/>
          <w:shd w:val="clear" w:color="auto" w:fill="FFFFFF"/>
        </w:rPr>
        <w:t xml:space="preserve"> the discount rate of central banks</w:t>
      </w:r>
      <w:r>
        <w:rPr>
          <w:color w:val="222222"/>
          <w:shd w:val="clear" w:color="auto" w:fill="FFFFFF"/>
        </w:rPr>
        <w:t xml:space="preserve">. </w:t>
      </w:r>
      <w:r w:rsidRPr="009A6A06">
        <w:rPr>
          <w:color w:val="222222"/>
          <w:shd w:val="clear" w:color="auto" w:fill="FFFFFF"/>
        </w:rPr>
        <w:t xml:space="preserve">“x” </w:t>
      </w:r>
      <w:r>
        <w:rPr>
          <w:color w:val="222222"/>
          <w:shd w:val="clear" w:color="auto" w:fill="FFFFFF"/>
        </w:rPr>
        <w:t xml:space="preserve">is </w:t>
      </w:r>
      <w:r w:rsidRPr="009A6A06">
        <w:rPr>
          <w:color w:val="222222"/>
          <w:shd w:val="clear" w:color="auto" w:fill="FFFFFF"/>
        </w:rPr>
        <w:t xml:space="preserve">the exchange rate on London. </w:t>
      </w:r>
    </w:p>
    <w:p w14:paraId="642C8B65" w14:textId="194EAE75" w:rsidR="001D7078" w:rsidRDefault="001D7078" w:rsidP="001D7078">
      <w:pPr>
        <w:pStyle w:val="Author"/>
      </w:pPr>
      <w:r>
        <w:br w:type="page"/>
      </w:r>
      <w:r>
        <w:lastRenderedPageBreak/>
        <w:t>Figures A-4: US RESULTS WITHOUT DOMESTIC PORTFOLIO</w:t>
      </w:r>
    </w:p>
    <w:p w14:paraId="1BEC9E26" w14:textId="77777777" w:rsidR="001D7078" w:rsidRDefault="001D7078" w:rsidP="001D7078">
      <w:pPr>
        <w:pStyle w:val="FigureNotes"/>
        <w:rPr>
          <w:color w:val="222222"/>
          <w:sz w:val="24"/>
          <w:szCs w:val="24"/>
          <w:shd w:val="clear" w:color="auto" w:fill="FFFFFF"/>
        </w:rPr>
      </w:pPr>
      <w:r w:rsidRPr="00377668">
        <w:rPr>
          <w:color w:val="222222"/>
          <w:sz w:val="24"/>
          <w:szCs w:val="24"/>
          <w:shd w:val="clear" w:color="auto" w:fill="FFFFFF"/>
        </w:rPr>
        <w:t>Figure A-</w:t>
      </w:r>
      <w:r>
        <w:rPr>
          <w:color w:val="222222"/>
          <w:sz w:val="24"/>
          <w:szCs w:val="24"/>
          <w:shd w:val="clear" w:color="auto" w:fill="FFFFFF"/>
        </w:rPr>
        <w:t>4</w:t>
      </w:r>
      <w:r w:rsidRPr="00377668">
        <w:rPr>
          <w:color w:val="222222"/>
          <w:sz w:val="24"/>
          <w:szCs w:val="24"/>
          <w:shd w:val="clear" w:color="auto" w:fill="FFFFFF"/>
        </w:rPr>
        <w:t xml:space="preserve"> complements figure 4 in the main text (baseline result).</w:t>
      </w:r>
      <w:r>
        <w:rPr>
          <w:color w:val="222222"/>
          <w:sz w:val="24"/>
          <w:szCs w:val="24"/>
          <w:shd w:val="clear" w:color="auto" w:fill="FFFFFF"/>
        </w:rPr>
        <w:t xml:space="preserve"> It suppresses the domestic portfolio, thereby discounting any proto-central bank function which the U.S. Treasury might have played before the establishment of the Federal Reserve System. The results remain qualitatively unchanged.</w:t>
      </w:r>
    </w:p>
    <w:p w14:paraId="5F7BE654" w14:textId="77777777" w:rsidR="001D7078" w:rsidRDefault="001D7078" w:rsidP="001D7078"/>
    <w:p w14:paraId="2F400C25" w14:textId="77777777" w:rsidR="001D7078" w:rsidRPr="009A6A06" w:rsidRDefault="001D7078" w:rsidP="001D7078">
      <w:pPr>
        <w:jc w:val="center"/>
      </w:pPr>
      <w:r w:rsidRPr="0007482D">
        <w:rPr>
          <w:noProof/>
          <w:lang w:val="en-GB" w:eastAsia="en-GB"/>
        </w:rPr>
        <w:drawing>
          <wp:inline distT="0" distB="0" distL="0" distR="0" wp14:anchorId="67EDEB8D" wp14:editId="2D7269B9">
            <wp:extent cx="5554980" cy="40609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4980" cy="4060945"/>
                    </a:xfrm>
                    <a:prstGeom prst="rect">
                      <a:avLst/>
                    </a:prstGeom>
                    <a:noFill/>
                    <a:ln>
                      <a:noFill/>
                    </a:ln>
                  </pic:spPr>
                </pic:pic>
              </a:graphicData>
            </a:graphic>
          </wp:inline>
        </w:drawing>
      </w:r>
    </w:p>
    <w:p w14:paraId="471EA2EF" w14:textId="77777777" w:rsidR="001D7078" w:rsidRPr="009A6A06" w:rsidRDefault="001D7078" w:rsidP="001D7078">
      <w:pPr>
        <w:pStyle w:val="FigureTitle"/>
      </w:pPr>
      <w:r w:rsidRPr="009A6A06">
        <w:t xml:space="preserve">Figure </w:t>
      </w:r>
      <w:r>
        <w:t>A-4</w:t>
      </w:r>
      <w:r w:rsidRPr="009A6A06">
        <w:t xml:space="preserve">. </w:t>
      </w:r>
      <w:r>
        <w:t xml:space="preserve"> </w:t>
      </w:r>
      <w:r w:rsidRPr="009A6A06">
        <w:t>The reaction of the U.S. monetary system to an English discount rate shock of 100 basis points in the first eight months.</w:t>
      </w:r>
    </w:p>
    <w:p w14:paraId="7D5D8D34" w14:textId="77777777" w:rsidR="001D7078" w:rsidRPr="009A6A06" w:rsidRDefault="001D7078" w:rsidP="001D7078">
      <w:pPr>
        <w:pStyle w:val="FigureNotes"/>
      </w:pPr>
      <w:r w:rsidRPr="009A6A06">
        <w:t xml:space="preserve">Sources: </w:t>
      </w:r>
      <w:r w:rsidRPr="009A6A06">
        <w:tab/>
        <w:t>Own calculations based on sources as described in the main text and the appendix.</w:t>
      </w:r>
    </w:p>
    <w:p w14:paraId="08FEF0B1" w14:textId="77777777" w:rsidR="001D7078" w:rsidRPr="009A6A06" w:rsidRDefault="001D7078" w:rsidP="001D7078">
      <w:pPr>
        <w:pStyle w:val="FigureNotes"/>
        <w:rPr>
          <w:color w:val="222222"/>
          <w:shd w:val="clear" w:color="auto" w:fill="FFFFFF"/>
        </w:rPr>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(positive exchange-rate response in lower right panel indicates depreciation).</w:t>
      </w:r>
    </w:p>
    <w:p w14:paraId="37645FE3" w14:textId="77777777" w:rsidR="001D7078" w:rsidRPr="009A6A06" w:rsidRDefault="001D7078" w:rsidP="001D7078">
      <w:pPr>
        <w:pStyle w:val="FigureNotes"/>
        <w:rPr>
          <w:color w:val="222222"/>
          <w:shd w:val="clear" w:color="auto" w:fill="FFFFFF"/>
        </w:rPr>
      </w:pPr>
      <w:r w:rsidRPr="009A6A06">
        <w:rPr>
          <w:color w:val="222222"/>
          <w:shd w:val="clear" w:color="auto" w:fill="FFFFFF"/>
        </w:rPr>
        <w:t xml:space="preserve">Notes: “international” denotes the gold reserves of the U.S. Treasury, </w:t>
      </w:r>
      <w:r w:rsidRPr="00B57324">
        <w:rPr>
          <w:color w:val="000000" w:themeColor="text1"/>
          <w:shd w:val="clear" w:color="auto" w:fill="FFFFFF"/>
        </w:rPr>
        <w:t xml:space="preserve">“rate” is the commercial paper rate in New York </w:t>
      </w:r>
      <w:r w:rsidRPr="009A6A06">
        <w:rPr>
          <w:color w:val="222222"/>
          <w:shd w:val="clear" w:color="auto" w:fill="FFFFFF"/>
        </w:rPr>
        <w:t xml:space="preserve">and “x” the exchange rate in New York on London. </w:t>
      </w:r>
    </w:p>
    <w:p w14:paraId="20BF5A0A" w14:textId="77777777" w:rsidR="001D7078" w:rsidRDefault="001D7078" w:rsidP="001D7078">
      <w:pPr>
        <w:spacing w:line="240" w:lineRule="auto"/>
        <w:ind w:firstLine="0"/>
        <w:jc w:val="left"/>
      </w:pPr>
      <w:r>
        <w:br w:type="page"/>
      </w:r>
    </w:p>
    <w:p w14:paraId="36E21AFE" w14:textId="74E672F8" w:rsidR="001D7078" w:rsidRDefault="001D7078">
      <w:pPr>
        <w:spacing w:line="240" w:lineRule="auto"/>
        <w:ind w:firstLine="0"/>
        <w:jc w:val="left"/>
      </w:pPr>
    </w:p>
    <w:p w14:paraId="47D58D2D" w14:textId="77777777" w:rsidR="001D7078" w:rsidRDefault="001D7078" w:rsidP="001D7078">
      <w:pPr>
        <w:spacing w:line="240" w:lineRule="auto"/>
        <w:ind w:firstLine="0"/>
        <w:jc w:val="left"/>
      </w:pPr>
    </w:p>
    <w:p w14:paraId="569817B3" w14:textId="084EABE5" w:rsidR="00983C80" w:rsidRDefault="00377668" w:rsidP="00377668">
      <w:pPr>
        <w:pStyle w:val="Author"/>
      </w:pPr>
      <w:r>
        <w:t>Figures A-</w:t>
      </w:r>
      <w:r w:rsidR="00774431">
        <w:t>5</w:t>
      </w:r>
      <w:r>
        <w:t>, A-</w:t>
      </w:r>
      <w:r w:rsidR="00774431">
        <w:t>6</w:t>
      </w:r>
      <w:r>
        <w:t>, A-</w:t>
      </w:r>
      <w:r w:rsidR="00774431">
        <w:t>7</w:t>
      </w:r>
      <w:r>
        <w:t>: US RESULTS BASED ON CALL MONEY RATE INSTEAD OF COMMERCIAL MONEY RATE</w:t>
      </w:r>
    </w:p>
    <w:p w14:paraId="7FABCE3C" w14:textId="7BBAF8FF" w:rsidR="00377668" w:rsidRPr="00377668" w:rsidRDefault="00377668" w:rsidP="00377668">
      <w:pPr>
        <w:pStyle w:val="FigureNotes"/>
        <w:rPr>
          <w:color w:val="222222"/>
          <w:sz w:val="24"/>
          <w:szCs w:val="24"/>
          <w:shd w:val="clear" w:color="auto" w:fill="FFFFFF"/>
        </w:rPr>
      </w:pPr>
      <w:r w:rsidRPr="00377668">
        <w:rPr>
          <w:color w:val="222222"/>
          <w:sz w:val="24"/>
          <w:szCs w:val="24"/>
          <w:shd w:val="clear" w:color="auto" w:fill="FFFFFF"/>
        </w:rPr>
        <w:t>Figure A-</w:t>
      </w:r>
      <w:r w:rsidR="00774431">
        <w:rPr>
          <w:color w:val="222222"/>
          <w:sz w:val="24"/>
          <w:szCs w:val="24"/>
          <w:shd w:val="clear" w:color="auto" w:fill="FFFFFF"/>
        </w:rPr>
        <w:t>5</w:t>
      </w:r>
      <w:r w:rsidRPr="00377668">
        <w:rPr>
          <w:color w:val="222222"/>
          <w:sz w:val="24"/>
          <w:szCs w:val="24"/>
          <w:shd w:val="clear" w:color="auto" w:fill="FFFFFF"/>
        </w:rPr>
        <w:t xml:space="preserve"> complements figure 4 in the main text (baseline result). Figure 4 in the main text is based on the commercial paper rate in New York, as taken from the </w:t>
      </w:r>
      <w:r w:rsidRPr="00377668">
        <w:rPr>
          <w:i/>
          <w:color w:val="222222"/>
          <w:sz w:val="24"/>
          <w:szCs w:val="24"/>
          <w:shd w:val="clear" w:color="auto" w:fill="FFFFFF"/>
        </w:rPr>
        <w:t>Commercial and Financial Chronicle</w:t>
      </w:r>
      <w:r w:rsidRPr="00377668">
        <w:rPr>
          <w:color w:val="222222"/>
          <w:sz w:val="24"/>
          <w:szCs w:val="24"/>
          <w:shd w:val="clear" w:color="auto" w:fill="FFFFFF"/>
        </w:rPr>
        <w:t>. By contrast, figure A-</w:t>
      </w:r>
      <w:r w:rsidR="00774431">
        <w:rPr>
          <w:color w:val="222222"/>
          <w:sz w:val="24"/>
          <w:szCs w:val="24"/>
          <w:shd w:val="clear" w:color="auto" w:fill="FFFFFF"/>
        </w:rPr>
        <w:t>5</w:t>
      </w:r>
      <w:r w:rsidRPr="00377668">
        <w:rPr>
          <w:color w:val="222222"/>
          <w:sz w:val="24"/>
          <w:szCs w:val="24"/>
          <w:shd w:val="clear" w:color="auto" w:fill="FFFFFF"/>
        </w:rPr>
        <w:t xml:space="preserve"> is based on the call money rate in New York as reproduced in Neal and </w:t>
      </w:r>
      <w:proofErr w:type="spellStart"/>
      <w:r w:rsidRPr="00377668">
        <w:rPr>
          <w:color w:val="222222"/>
          <w:sz w:val="24"/>
          <w:szCs w:val="24"/>
          <w:shd w:val="clear" w:color="auto" w:fill="FFFFFF"/>
        </w:rPr>
        <w:t>Weidenmier</w:t>
      </w:r>
      <w:proofErr w:type="spellEnd"/>
      <w:r w:rsidRPr="00377668">
        <w:rPr>
          <w:color w:val="222222"/>
          <w:sz w:val="24"/>
          <w:szCs w:val="24"/>
          <w:shd w:val="clear" w:color="auto" w:fill="FFFFFF"/>
        </w:rPr>
        <w:t xml:space="preserve"> (2003).</w:t>
      </w:r>
      <w:r w:rsidR="00505F97">
        <w:rPr>
          <w:color w:val="222222"/>
          <w:sz w:val="24"/>
          <w:szCs w:val="24"/>
          <w:shd w:val="clear" w:color="auto" w:fill="FFFFFF"/>
        </w:rPr>
        <w:t xml:space="preserve"> The results remain qualitatively unchanged.</w:t>
      </w:r>
    </w:p>
    <w:p w14:paraId="3F7AE3E3" w14:textId="1803A209" w:rsidR="00983C80" w:rsidRPr="009A6A06" w:rsidRDefault="00DE68E9" w:rsidP="00983C80">
      <w:pPr>
        <w:jc w:val="center"/>
      </w:pPr>
      <w:r w:rsidRPr="00DE68E9">
        <w:rPr>
          <w:noProof/>
          <w:lang w:val="fr-FR" w:eastAsia="fr-FR"/>
        </w:rPr>
        <w:drawing>
          <wp:inline distT="0" distB="0" distL="0" distR="0" wp14:anchorId="502E5198" wp14:editId="34D59EE9">
            <wp:extent cx="4907280" cy="358749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1350" cy="3590467"/>
                    </a:xfrm>
                    <a:prstGeom prst="rect">
                      <a:avLst/>
                    </a:prstGeom>
                    <a:noFill/>
                    <a:ln>
                      <a:noFill/>
                    </a:ln>
                  </pic:spPr>
                </pic:pic>
              </a:graphicData>
            </a:graphic>
          </wp:inline>
        </w:drawing>
      </w:r>
    </w:p>
    <w:p w14:paraId="68855202" w14:textId="4DB61F98" w:rsidR="00983C80" w:rsidRPr="009A6A06" w:rsidRDefault="00983C80" w:rsidP="00983C80">
      <w:pPr>
        <w:pStyle w:val="FigureTitle"/>
      </w:pPr>
      <w:r w:rsidRPr="009A6A06">
        <w:t xml:space="preserve">Figure </w:t>
      </w:r>
      <w:r>
        <w:t>A-</w:t>
      </w:r>
      <w:r w:rsidR="00774431">
        <w:t>5</w:t>
      </w:r>
      <w:r w:rsidRPr="009A6A06">
        <w:t>.</w:t>
      </w:r>
      <w:r>
        <w:t xml:space="preserve"> </w:t>
      </w:r>
      <w:r w:rsidRPr="009A6A06">
        <w:t>The reaction of the U.S. monetary system to an English discount rate shock of 100 basis points in the first eight months.</w:t>
      </w:r>
    </w:p>
    <w:p w14:paraId="5DA7FFB3" w14:textId="77777777" w:rsidR="00983C80" w:rsidRPr="009A6A06" w:rsidRDefault="00983C80" w:rsidP="00983C80">
      <w:pPr>
        <w:pStyle w:val="FigureNotes"/>
      </w:pPr>
      <w:r w:rsidRPr="009A6A06">
        <w:t xml:space="preserve">Sources: </w:t>
      </w:r>
      <w:r w:rsidRPr="009A6A06">
        <w:tab/>
        <w:t>Own calculations based on sources as described in the main text and the appendix.</w:t>
      </w:r>
    </w:p>
    <w:p w14:paraId="1109623A" w14:textId="77777777" w:rsidR="00983C80" w:rsidRPr="009A6A06" w:rsidRDefault="00983C80" w:rsidP="00983C80">
      <w:pPr>
        <w:pStyle w:val="FigureNotes"/>
        <w:rPr>
          <w:color w:val="222222"/>
          <w:shd w:val="clear" w:color="auto" w:fill="FFFFFF"/>
        </w:rPr>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(positive exchange-rate response in lower right panel indicates depreciation).</w:t>
      </w:r>
    </w:p>
    <w:p w14:paraId="11AD4AE7" w14:textId="7BBFCC7C" w:rsidR="00983C80" w:rsidRPr="00DE68E9" w:rsidRDefault="00983C80" w:rsidP="00DE68E9">
      <w:pPr>
        <w:pStyle w:val="FigureNotes"/>
        <w:rPr>
          <w:color w:val="222222"/>
          <w:shd w:val="clear" w:color="auto" w:fill="FFFFFF"/>
        </w:rPr>
      </w:pPr>
      <w:r w:rsidRPr="009A6A06">
        <w:rPr>
          <w:color w:val="222222"/>
          <w:shd w:val="clear" w:color="auto" w:fill="FFFFFF"/>
        </w:rPr>
        <w:t>Notes: “international” denotes the gold reserves of the U.S. Treasury, “rate” is the call money rate in New York and “x” the exchange rate in New York on London.</w:t>
      </w:r>
    </w:p>
    <w:p w14:paraId="4134FDDA" w14:textId="77777777" w:rsidR="001D7078" w:rsidRDefault="001D7078">
      <w:pPr>
        <w:spacing w:line="240" w:lineRule="auto"/>
        <w:ind w:firstLine="0"/>
        <w:jc w:val="left"/>
        <w:rPr>
          <w:rFonts w:cs="TimesLTStd-Roman"/>
          <w:color w:val="222222"/>
          <w:shd w:val="clear" w:color="auto" w:fill="FFFFFF"/>
        </w:rPr>
      </w:pPr>
      <w:r>
        <w:rPr>
          <w:color w:val="222222"/>
          <w:shd w:val="clear" w:color="auto" w:fill="FFFFFF"/>
        </w:rPr>
        <w:br w:type="page"/>
      </w:r>
    </w:p>
    <w:p w14:paraId="4D2F87F4" w14:textId="79B21DFA" w:rsidR="00377668" w:rsidRDefault="00377668" w:rsidP="00377668">
      <w:pPr>
        <w:pStyle w:val="FigureNotes"/>
        <w:rPr>
          <w:color w:val="222222"/>
          <w:sz w:val="24"/>
          <w:szCs w:val="24"/>
          <w:shd w:val="clear" w:color="auto" w:fill="FFFFFF"/>
        </w:rPr>
      </w:pPr>
      <w:r w:rsidRPr="00377668">
        <w:rPr>
          <w:color w:val="222222"/>
          <w:sz w:val="24"/>
          <w:szCs w:val="24"/>
          <w:shd w:val="clear" w:color="auto" w:fill="FFFFFF"/>
        </w:rPr>
        <w:lastRenderedPageBreak/>
        <w:t>Figures A-</w:t>
      </w:r>
      <w:r w:rsidR="00774431">
        <w:rPr>
          <w:color w:val="222222"/>
          <w:sz w:val="24"/>
          <w:szCs w:val="24"/>
          <w:shd w:val="clear" w:color="auto" w:fill="FFFFFF"/>
        </w:rPr>
        <w:t>6</w:t>
      </w:r>
      <w:r w:rsidRPr="00377668">
        <w:rPr>
          <w:color w:val="222222"/>
          <w:sz w:val="24"/>
          <w:szCs w:val="24"/>
          <w:shd w:val="clear" w:color="auto" w:fill="FFFFFF"/>
        </w:rPr>
        <w:t xml:space="preserve"> and A-</w:t>
      </w:r>
      <w:r w:rsidR="00774431">
        <w:rPr>
          <w:color w:val="222222"/>
          <w:sz w:val="24"/>
          <w:szCs w:val="24"/>
          <w:shd w:val="clear" w:color="auto" w:fill="FFFFFF"/>
        </w:rPr>
        <w:t>7</w:t>
      </w:r>
      <w:r>
        <w:rPr>
          <w:color w:val="222222"/>
          <w:sz w:val="24"/>
          <w:szCs w:val="24"/>
          <w:shd w:val="clear" w:color="auto" w:fill="FFFFFF"/>
        </w:rPr>
        <w:t xml:space="preserve"> complement</w:t>
      </w:r>
      <w:r w:rsidRPr="00377668">
        <w:rPr>
          <w:color w:val="222222"/>
          <w:sz w:val="24"/>
          <w:szCs w:val="24"/>
          <w:shd w:val="clear" w:color="auto" w:fill="FFFFFF"/>
        </w:rPr>
        <w:t xml:space="preserve"> figure </w:t>
      </w:r>
      <w:r w:rsidR="00BE1F9A">
        <w:rPr>
          <w:color w:val="222222"/>
          <w:sz w:val="24"/>
          <w:szCs w:val="24"/>
          <w:shd w:val="clear" w:color="auto" w:fill="FFFFFF"/>
        </w:rPr>
        <w:t>6</w:t>
      </w:r>
      <w:r w:rsidRPr="00377668">
        <w:rPr>
          <w:color w:val="222222"/>
          <w:sz w:val="24"/>
          <w:szCs w:val="24"/>
          <w:shd w:val="clear" w:color="auto" w:fill="FFFFFF"/>
        </w:rPr>
        <w:t xml:space="preserve"> in the main text </w:t>
      </w:r>
      <w:r w:rsidR="00BE1F9A">
        <w:rPr>
          <w:color w:val="222222"/>
          <w:sz w:val="24"/>
          <w:szCs w:val="24"/>
          <w:shd w:val="clear" w:color="auto" w:fill="FFFFFF"/>
        </w:rPr>
        <w:t>and figure A-1</w:t>
      </w:r>
      <w:r w:rsidR="00774431">
        <w:rPr>
          <w:color w:val="222222"/>
          <w:sz w:val="24"/>
          <w:szCs w:val="24"/>
          <w:shd w:val="clear" w:color="auto" w:fill="FFFFFF"/>
        </w:rPr>
        <w:t>2</w:t>
      </w:r>
      <w:r w:rsidR="00BE1F9A">
        <w:rPr>
          <w:color w:val="222222"/>
          <w:sz w:val="24"/>
          <w:szCs w:val="24"/>
          <w:shd w:val="clear" w:color="auto" w:fill="FFFFFF"/>
        </w:rPr>
        <w:t xml:space="preserve"> in this appendix </w:t>
      </w:r>
      <w:r w:rsidRPr="00377668">
        <w:rPr>
          <w:color w:val="222222"/>
          <w:sz w:val="24"/>
          <w:szCs w:val="24"/>
          <w:shd w:val="clear" w:color="auto" w:fill="FFFFFF"/>
        </w:rPr>
        <w:t xml:space="preserve">(robustness </w:t>
      </w:r>
      <w:r w:rsidR="00774431">
        <w:rPr>
          <w:color w:val="222222"/>
          <w:sz w:val="24"/>
          <w:szCs w:val="24"/>
          <w:shd w:val="clear" w:color="auto" w:fill="FFFFFF"/>
        </w:rPr>
        <w:t>checks</w:t>
      </w:r>
      <w:r w:rsidRPr="00377668">
        <w:rPr>
          <w:color w:val="222222"/>
          <w:sz w:val="24"/>
          <w:szCs w:val="24"/>
          <w:shd w:val="clear" w:color="auto" w:fill="FFFFFF"/>
        </w:rPr>
        <w:t xml:space="preserve">). Figure </w:t>
      </w:r>
      <w:r w:rsidR="00BE1F9A">
        <w:rPr>
          <w:color w:val="222222"/>
          <w:sz w:val="24"/>
          <w:szCs w:val="24"/>
          <w:shd w:val="clear" w:color="auto" w:fill="FFFFFF"/>
        </w:rPr>
        <w:t>6 in the main text</w:t>
      </w:r>
      <w:r w:rsidRPr="00377668">
        <w:rPr>
          <w:color w:val="222222"/>
          <w:sz w:val="24"/>
          <w:szCs w:val="24"/>
          <w:shd w:val="clear" w:color="auto" w:fill="FFFFFF"/>
        </w:rPr>
        <w:t xml:space="preserve"> and </w:t>
      </w:r>
      <w:r w:rsidR="00BE1F9A">
        <w:rPr>
          <w:color w:val="222222"/>
          <w:sz w:val="24"/>
          <w:szCs w:val="24"/>
          <w:shd w:val="clear" w:color="auto" w:fill="FFFFFF"/>
        </w:rPr>
        <w:t>figure A-1</w:t>
      </w:r>
      <w:r w:rsidR="00774431">
        <w:rPr>
          <w:color w:val="222222"/>
          <w:sz w:val="24"/>
          <w:szCs w:val="24"/>
          <w:shd w:val="clear" w:color="auto" w:fill="FFFFFF"/>
        </w:rPr>
        <w:t>2</w:t>
      </w:r>
      <w:r w:rsidRPr="00377668">
        <w:rPr>
          <w:color w:val="222222"/>
          <w:sz w:val="24"/>
          <w:szCs w:val="24"/>
          <w:shd w:val="clear" w:color="auto" w:fill="FFFFFF"/>
        </w:rPr>
        <w:t xml:space="preserve"> in </w:t>
      </w:r>
      <w:r w:rsidR="00BE1F9A">
        <w:rPr>
          <w:color w:val="222222"/>
          <w:sz w:val="24"/>
          <w:szCs w:val="24"/>
          <w:shd w:val="clear" w:color="auto" w:fill="FFFFFF"/>
        </w:rPr>
        <w:t>this appendix</w:t>
      </w:r>
      <w:r w:rsidRPr="00377668">
        <w:rPr>
          <w:color w:val="222222"/>
          <w:sz w:val="24"/>
          <w:szCs w:val="24"/>
          <w:shd w:val="clear" w:color="auto" w:fill="FFFFFF"/>
        </w:rPr>
        <w:t xml:space="preserve"> are based on the commercial paper rate in New York, as taken from the </w:t>
      </w:r>
      <w:r w:rsidRPr="00377668">
        <w:rPr>
          <w:i/>
          <w:color w:val="222222"/>
          <w:sz w:val="24"/>
          <w:szCs w:val="24"/>
          <w:shd w:val="clear" w:color="auto" w:fill="FFFFFF"/>
        </w:rPr>
        <w:t>Commercial and Financial Chronicle</w:t>
      </w:r>
      <w:r w:rsidRPr="00377668">
        <w:rPr>
          <w:color w:val="222222"/>
          <w:sz w:val="24"/>
          <w:szCs w:val="24"/>
          <w:shd w:val="clear" w:color="auto" w:fill="FFFFFF"/>
        </w:rPr>
        <w:t>. By contrast, figures A-</w:t>
      </w:r>
      <w:r w:rsidR="00774431">
        <w:rPr>
          <w:color w:val="222222"/>
          <w:sz w:val="24"/>
          <w:szCs w:val="24"/>
          <w:shd w:val="clear" w:color="auto" w:fill="FFFFFF"/>
        </w:rPr>
        <w:t>6</w:t>
      </w:r>
      <w:r w:rsidRPr="00377668">
        <w:rPr>
          <w:color w:val="222222"/>
          <w:sz w:val="24"/>
          <w:szCs w:val="24"/>
          <w:shd w:val="clear" w:color="auto" w:fill="FFFFFF"/>
        </w:rPr>
        <w:t xml:space="preserve"> and A-</w:t>
      </w:r>
      <w:r w:rsidR="00774431">
        <w:rPr>
          <w:color w:val="222222"/>
          <w:sz w:val="24"/>
          <w:szCs w:val="24"/>
          <w:shd w:val="clear" w:color="auto" w:fill="FFFFFF"/>
        </w:rPr>
        <w:t>7</w:t>
      </w:r>
      <w:r w:rsidRPr="00377668">
        <w:rPr>
          <w:color w:val="222222"/>
          <w:sz w:val="24"/>
          <w:szCs w:val="24"/>
          <w:shd w:val="clear" w:color="auto" w:fill="FFFFFF"/>
        </w:rPr>
        <w:t xml:space="preserve"> are based on the call money rate in New York as reproduced in Neal and </w:t>
      </w:r>
      <w:proofErr w:type="spellStart"/>
      <w:r w:rsidRPr="00377668">
        <w:rPr>
          <w:color w:val="222222"/>
          <w:sz w:val="24"/>
          <w:szCs w:val="24"/>
          <w:shd w:val="clear" w:color="auto" w:fill="FFFFFF"/>
        </w:rPr>
        <w:t>Weidenmier</w:t>
      </w:r>
      <w:proofErr w:type="spellEnd"/>
      <w:r w:rsidRPr="00377668">
        <w:rPr>
          <w:color w:val="222222"/>
          <w:sz w:val="24"/>
          <w:szCs w:val="24"/>
          <w:shd w:val="clear" w:color="auto" w:fill="FFFFFF"/>
        </w:rPr>
        <w:t xml:space="preserve"> (2003).</w:t>
      </w:r>
    </w:p>
    <w:p w14:paraId="2209E308" w14:textId="77777777" w:rsidR="00377668" w:rsidRPr="00377668" w:rsidRDefault="00377668" w:rsidP="00377668"/>
    <w:p w14:paraId="57F5BD06" w14:textId="671E17EE" w:rsidR="00377668" w:rsidRPr="009A6A06" w:rsidRDefault="00DE68E9" w:rsidP="00377668">
      <w:pPr>
        <w:jc w:val="center"/>
      </w:pPr>
      <w:r w:rsidRPr="00DE68E9">
        <w:rPr>
          <w:noProof/>
          <w:lang w:val="fr-FR" w:eastAsia="fr-FR"/>
        </w:rPr>
        <w:drawing>
          <wp:inline distT="0" distB="0" distL="0" distR="0" wp14:anchorId="623107AA" wp14:editId="43F69E27">
            <wp:extent cx="5128260" cy="374904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8260" cy="3749040"/>
                    </a:xfrm>
                    <a:prstGeom prst="rect">
                      <a:avLst/>
                    </a:prstGeom>
                    <a:noFill/>
                    <a:ln>
                      <a:noFill/>
                    </a:ln>
                  </pic:spPr>
                </pic:pic>
              </a:graphicData>
            </a:graphic>
          </wp:inline>
        </w:drawing>
      </w:r>
    </w:p>
    <w:p w14:paraId="096177C9" w14:textId="6C5D5F46" w:rsidR="00377668" w:rsidRPr="009A6A06" w:rsidRDefault="00377668" w:rsidP="00377668">
      <w:pPr>
        <w:pStyle w:val="FigureTitle"/>
      </w:pPr>
      <w:r>
        <w:t>Figure A-</w:t>
      </w:r>
      <w:r w:rsidR="00774431">
        <w:t>6</w:t>
      </w:r>
      <w:r w:rsidRPr="009A6A06">
        <w:t>. The reaction of the U.S. monetary system to an English discount rate shock of 100 basis points in the first eight months. Alternative measure based on Lennard (2018) and English control variables included.</w:t>
      </w:r>
    </w:p>
    <w:p w14:paraId="7B3CFD02" w14:textId="77777777" w:rsidR="00377668" w:rsidRPr="009A6A06" w:rsidRDefault="00377668" w:rsidP="00377668">
      <w:pPr>
        <w:pStyle w:val="FigureNotes"/>
      </w:pPr>
      <w:r w:rsidRPr="009A6A06">
        <w:t xml:space="preserve">Sources: </w:t>
      </w:r>
      <w:r w:rsidRPr="009A6A06">
        <w:tab/>
        <w:t>Own calculations based on sources as described in the main text and the appendix.</w:t>
      </w:r>
    </w:p>
    <w:p w14:paraId="6DC32F42" w14:textId="77777777" w:rsidR="00377668" w:rsidRPr="009A6A06" w:rsidRDefault="00377668" w:rsidP="00377668">
      <w:pPr>
        <w:pStyle w:val="FigureNotes"/>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xml:space="preserve"> (positive exchange-rate response in lower right panel indicates depreciation).</w:t>
      </w:r>
    </w:p>
    <w:p w14:paraId="73F8E8CA" w14:textId="77777777" w:rsidR="00377668" w:rsidRPr="009A6A06" w:rsidRDefault="00377668" w:rsidP="00377668">
      <w:pPr>
        <w:pStyle w:val="FigureNotes"/>
        <w:rPr>
          <w:color w:val="222222"/>
          <w:shd w:val="clear" w:color="auto" w:fill="FFFFFF"/>
        </w:rPr>
      </w:pPr>
      <w:r w:rsidRPr="009A6A06">
        <w:rPr>
          <w:color w:val="222222"/>
          <w:shd w:val="clear" w:color="auto" w:fill="FFFFFF"/>
        </w:rPr>
        <w:t xml:space="preserve">Notes: “international” denotes the gold reserves of the U.S. Treasury, “rate” is the call money rate in New York and “x” the exchange rate in New York on London. </w:t>
      </w:r>
    </w:p>
    <w:p w14:paraId="2F078A4A" w14:textId="77777777" w:rsidR="00377668" w:rsidRPr="009A6A06" w:rsidRDefault="00377668" w:rsidP="00377668">
      <w:pPr>
        <w:ind w:firstLine="0"/>
      </w:pPr>
    </w:p>
    <w:p w14:paraId="4F510AEE" w14:textId="77777777" w:rsidR="00377668" w:rsidRDefault="00377668" w:rsidP="00377668">
      <w:pPr>
        <w:spacing w:line="240" w:lineRule="auto"/>
        <w:ind w:firstLine="0"/>
        <w:jc w:val="left"/>
      </w:pPr>
    </w:p>
    <w:p w14:paraId="731D2253" w14:textId="77777777" w:rsidR="00377668" w:rsidRPr="009A6A06" w:rsidRDefault="00377668" w:rsidP="00377668"/>
    <w:p w14:paraId="3FBAD080" w14:textId="6845CADD" w:rsidR="00377668" w:rsidRPr="009A6A06" w:rsidRDefault="00DE68E9" w:rsidP="00377668">
      <w:pPr>
        <w:spacing w:after="160" w:line="256" w:lineRule="auto"/>
        <w:jc w:val="center"/>
        <w:rPr>
          <w:rFonts w:ascii="Garamond" w:hAnsi="Garamond"/>
        </w:rPr>
      </w:pPr>
      <w:r w:rsidRPr="00DE68E9">
        <w:rPr>
          <w:rFonts w:ascii="Garamond" w:hAnsi="Garamond"/>
          <w:noProof/>
          <w:lang w:val="fr-FR" w:eastAsia="fr-FR"/>
        </w:rPr>
        <w:lastRenderedPageBreak/>
        <w:drawing>
          <wp:inline distT="0" distB="0" distL="0" distR="0" wp14:anchorId="1545F573" wp14:editId="6AE82E51">
            <wp:extent cx="5128260" cy="374904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8260" cy="3749040"/>
                    </a:xfrm>
                    <a:prstGeom prst="rect">
                      <a:avLst/>
                    </a:prstGeom>
                    <a:noFill/>
                    <a:ln>
                      <a:noFill/>
                    </a:ln>
                  </pic:spPr>
                </pic:pic>
              </a:graphicData>
            </a:graphic>
          </wp:inline>
        </w:drawing>
      </w:r>
    </w:p>
    <w:p w14:paraId="7CDD8C32" w14:textId="50194D5D" w:rsidR="00377668" w:rsidRPr="009A6A06" w:rsidRDefault="00377668" w:rsidP="00377668">
      <w:pPr>
        <w:pStyle w:val="FigureTitle"/>
      </w:pPr>
      <w:r>
        <w:t>Figure A-</w:t>
      </w:r>
      <w:r w:rsidR="00774431">
        <w:t>7</w:t>
      </w:r>
      <w:r>
        <w:t xml:space="preserve"> </w:t>
      </w:r>
      <w:r w:rsidRPr="009A6A06">
        <w:t>The reaction of the U.S. monetary system to an English discount rate shock of 100 basis points in the first eight months. Alternative measure based on GREEN (2018) as discussed in this section.</w:t>
      </w:r>
    </w:p>
    <w:p w14:paraId="5A58683A" w14:textId="77777777" w:rsidR="00377668" w:rsidRPr="009A6A06" w:rsidRDefault="00377668" w:rsidP="00377668">
      <w:pPr>
        <w:pStyle w:val="FigureNotes"/>
      </w:pPr>
      <w:r w:rsidRPr="009A6A06">
        <w:t xml:space="preserve">Sources: </w:t>
      </w:r>
      <w:r w:rsidRPr="009A6A06">
        <w:tab/>
        <w:t>Own calculations based on sources as described in the main text and the appendix.</w:t>
      </w:r>
    </w:p>
    <w:p w14:paraId="0CA361E6" w14:textId="77777777" w:rsidR="00377668" w:rsidRPr="009A6A06" w:rsidRDefault="00377668" w:rsidP="00377668">
      <w:pPr>
        <w:pStyle w:val="FigureNotes"/>
        <w:rPr>
          <w:color w:val="222222"/>
          <w:shd w:val="clear" w:color="auto" w:fill="FFFFFF"/>
        </w:rPr>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(positive exchange-rate response in lower right panel indicates depreciation).</w:t>
      </w:r>
    </w:p>
    <w:p w14:paraId="72EF6C73" w14:textId="77777777" w:rsidR="00377668" w:rsidRDefault="00377668" w:rsidP="00377668">
      <w:pPr>
        <w:pStyle w:val="FigureNotes"/>
      </w:pPr>
      <w:r w:rsidRPr="009A6A06">
        <w:rPr>
          <w:color w:val="222222"/>
          <w:shd w:val="clear" w:color="auto" w:fill="FFFFFF"/>
        </w:rPr>
        <w:t xml:space="preserve">Notes: “international” denotes the gold reserves of the U.S. Treasury, “rate” is the call money rate in New York and “x” the exchange rate in New York on London. </w:t>
      </w:r>
      <w:r w:rsidRPr="009A6A06">
        <w:rPr>
          <w:shd w:val="clear" w:color="auto" w:fill="FFFFFF"/>
        </w:rPr>
        <w:br w:type="page"/>
      </w:r>
    </w:p>
    <w:p w14:paraId="4D06CA22" w14:textId="18855864" w:rsidR="00EE0BAD" w:rsidRDefault="00EE0BAD">
      <w:pPr>
        <w:spacing w:line="240" w:lineRule="auto"/>
        <w:ind w:firstLine="0"/>
        <w:jc w:val="left"/>
      </w:pPr>
    </w:p>
    <w:p w14:paraId="4E9CA63B" w14:textId="77777777" w:rsidR="00EE0BAD" w:rsidRDefault="00EE0BAD">
      <w:pPr>
        <w:spacing w:line="240" w:lineRule="auto"/>
        <w:ind w:firstLine="0"/>
        <w:jc w:val="left"/>
      </w:pPr>
    </w:p>
    <w:p w14:paraId="10E59987" w14:textId="44476A6E" w:rsidR="00EE0BAD" w:rsidRDefault="0086389A" w:rsidP="00EE0BAD">
      <w:pPr>
        <w:pStyle w:val="FigureTitle"/>
      </w:pPr>
      <w:r w:rsidRPr="0086389A">
        <w:rPr>
          <w:noProof/>
          <w:lang w:val="fr-FR" w:eastAsia="fr-FR"/>
        </w:rPr>
        <w:drawing>
          <wp:inline distT="0" distB="0" distL="0" distR="0" wp14:anchorId="2FAAD70B" wp14:editId="55B62554">
            <wp:extent cx="5280660" cy="3860453"/>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2566" cy="3861846"/>
                    </a:xfrm>
                    <a:prstGeom prst="rect">
                      <a:avLst/>
                    </a:prstGeom>
                    <a:noFill/>
                    <a:ln>
                      <a:noFill/>
                    </a:ln>
                  </pic:spPr>
                </pic:pic>
              </a:graphicData>
            </a:graphic>
          </wp:inline>
        </w:drawing>
      </w:r>
    </w:p>
    <w:p w14:paraId="65E33F96" w14:textId="77777777" w:rsidR="00EE0BAD" w:rsidRDefault="00EE0BAD" w:rsidP="00EE0BAD">
      <w:pPr>
        <w:pStyle w:val="FigureTitle"/>
      </w:pPr>
    </w:p>
    <w:p w14:paraId="480472A4" w14:textId="70B5908F" w:rsidR="00EE0BAD" w:rsidRPr="009A6A06" w:rsidRDefault="00EE0BAD" w:rsidP="00EE0BAD">
      <w:pPr>
        <w:pStyle w:val="FigureTitle"/>
      </w:pPr>
      <w:r>
        <w:t>A-</w:t>
      </w:r>
      <w:r w:rsidR="00774431">
        <w:t>8</w:t>
      </w:r>
      <w:r w:rsidRPr="009A6A06">
        <w:t>.</w:t>
      </w:r>
      <w:r>
        <w:t xml:space="preserve"> </w:t>
      </w:r>
      <w:r w:rsidRPr="009A6A06">
        <w:t xml:space="preserve">The </w:t>
      </w:r>
      <w:r>
        <w:t xml:space="preserve">REACTION OF INTEREST RATES OF THE U.S. AND OF EUROPEAN CORE COUNTRIES </w:t>
      </w:r>
      <w:r w:rsidRPr="009A6A06">
        <w:t>to an English discount rate shock of 100 basis points in the first eight months.</w:t>
      </w:r>
    </w:p>
    <w:p w14:paraId="6DAEC61B" w14:textId="77777777" w:rsidR="00EE0BAD" w:rsidRPr="009A6A06" w:rsidRDefault="00EE0BAD" w:rsidP="00EE0BAD">
      <w:pPr>
        <w:pStyle w:val="FigureNotes"/>
      </w:pPr>
      <w:r w:rsidRPr="009A6A06">
        <w:t xml:space="preserve">Sources: </w:t>
      </w:r>
      <w:r w:rsidRPr="009A6A06">
        <w:tab/>
        <w:t>Own calculations based on sources as described in the main text and the appendix.</w:t>
      </w:r>
    </w:p>
    <w:p w14:paraId="64F2F36A" w14:textId="3039D74D" w:rsidR="00EE0BAD" w:rsidRPr="009A6A06" w:rsidRDefault="00EE0BAD" w:rsidP="00EE0BAD">
      <w:pPr>
        <w:pStyle w:val="FigureNotes"/>
        <w:rPr>
          <w:color w:val="222222"/>
          <w:shd w:val="clear" w:color="auto" w:fill="FFFFFF"/>
        </w:rPr>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p>
    <w:p w14:paraId="73DCDE5D" w14:textId="0837A46D" w:rsidR="00EE0BAD" w:rsidRDefault="00EE0BAD" w:rsidP="00EE0BAD">
      <w:pPr>
        <w:pStyle w:val="FigureNotes"/>
        <w:rPr>
          <w:color w:val="222222"/>
          <w:shd w:val="clear" w:color="auto" w:fill="FFFFFF"/>
        </w:rPr>
      </w:pPr>
      <w:r>
        <w:rPr>
          <w:color w:val="222222"/>
          <w:shd w:val="clear" w:color="auto" w:fill="FFFFFF"/>
        </w:rPr>
        <w:t xml:space="preserve">Notes: We report the central estimate, replicating results from figures 1 and 4 for </w:t>
      </w:r>
      <w:r w:rsidR="007B3D6E">
        <w:rPr>
          <w:color w:val="222222"/>
          <w:shd w:val="clear" w:color="auto" w:fill="FFFFFF"/>
        </w:rPr>
        <w:t>the European core countries (Austria, Belgium, France, Germany and the Netherlands) and the U.S., respectively (red and blue lines). To this we add an estimate for the response of the private market rates of the European core countries (green line). Please see footnote 2</w:t>
      </w:r>
      <w:r w:rsidR="00774431">
        <w:rPr>
          <w:color w:val="222222"/>
          <w:shd w:val="clear" w:color="auto" w:fill="FFFFFF"/>
        </w:rPr>
        <w:t>9</w:t>
      </w:r>
      <w:r w:rsidR="007B3D6E">
        <w:rPr>
          <w:color w:val="222222"/>
          <w:shd w:val="clear" w:color="auto" w:fill="FFFFFF"/>
        </w:rPr>
        <w:t xml:space="preserve"> in the main text for details.</w:t>
      </w:r>
    </w:p>
    <w:p w14:paraId="490E634E" w14:textId="6F687B9F" w:rsidR="00E05BF0" w:rsidRDefault="00E05BF0">
      <w:pPr>
        <w:spacing w:line="240" w:lineRule="auto"/>
        <w:ind w:firstLine="0"/>
        <w:jc w:val="left"/>
      </w:pPr>
      <w:r>
        <w:br w:type="page"/>
      </w:r>
    </w:p>
    <w:p w14:paraId="3C956A01" w14:textId="06797E5F" w:rsidR="00BE1F9A" w:rsidRDefault="00BE1F9A" w:rsidP="00BE1F9A">
      <w:pPr>
        <w:pStyle w:val="Author"/>
      </w:pPr>
      <w:r>
        <w:lastRenderedPageBreak/>
        <w:t>Figures A-</w:t>
      </w:r>
      <w:r w:rsidR="00774431">
        <w:t>9</w:t>
      </w:r>
      <w:r>
        <w:t>, A-1</w:t>
      </w:r>
      <w:r w:rsidR="00774431">
        <w:t>0</w:t>
      </w:r>
      <w:r>
        <w:t>, A-1</w:t>
      </w:r>
      <w:r w:rsidR="00774431">
        <w:t>1</w:t>
      </w:r>
      <w:r>
        <w:t xml:space="preserve">: </w:t>
      </w:r>
      <w:r w:rsidR="007F2D5F">
        <w:t xml:space="preserve">Robustness </w:t>
      </w:r>
      <w:r w:rsidR="00E037EB">
        <w:t>c</w:t>
      </w:r>
      <w:r w:rsidR="007F2D5F">
        <w:t>hecks I</w:t>
      </w:r>
    </w:p>
    <w:p w14:paraId="4B10887F" w14:textId="17419415" w:rsidR="00BE1F9A" w:rsidRDefault="00BE1F9A" w:rsidP="007F2D5F">
      <w:pPr>
        <w:pStyle w:val="FigureNotes"/>
        <w:rPr>
          <w:color w:val="222222"/>
          <w:sz w:val="24"/>
          <w:szCs w:val="24"/>
          <w:shd w:val="clear" w:color="auto" w:fill="FFFFFF"/>
        </w:rPr>
      </w:pPr>
      <w:r w:rsidRPr="00377668">
        <w:rPr>
          <w:color w:val="222222"/>
          <w:sz w:val="24"/>
          <w:szCs w:val="24"/>
          <w:shd w:val="clear" w:color="auto" w:fill="FFFFFF"/>
        </w:rPr>
        <w:t>Figure</w:t>
      </w:r>
      <w:r>
        <w:rPr>
          <w:color w:val="222222"/>
          <w:sz w:val="24"/>
          <w:szCs w:val="24"/>
          <w:shd w:val="clear" w:color="auto" w:fill="FFFFFF"/>
        </w:rPr>
        <w:t>s</w:t>
      </w:r>
      <w:r w:rsidRPr="00377668">
        <w:rPr>
          <w:color w:val="222222"/>
          <w:sz w:val="24"/>
          <w:szCs w:val="24"/>
          <w:shd w:val="clear" w:color="auto" w:fill="FFFFFF"/>
        </w:rPr>
        <w:t xml:space="preserve"> A-</w:t>
      </w:r>
      <w:r w:rsidR="00774431">
        <w:rPr>
          <w:color w:val="222222"/>
          <w:sz w:val="24"/>
          <w:szCs w:val="24"/>
          <w:shd w:val="clear" w:color="auto" w:fill="FFFFFF"/>
        </w:rPr>
        <w:t>9</w:t>
      </w:r>
      <w:r>
        <w:rPr>
          <w:color w:val="222222"/>
          <w:sz w:val="24"/>
          <w:szCs w:val="24"/>
          <w:shd w:val="clear" w:color="auto" w:fill="FFFFFF"/>
        </w:rPr>
        <w:t>, A-1</w:t>
      </w:r>
      <w:r w:rsidR="00774431">
        <w:rPr>
          <w:color w:val="222222"/>
          <w:sz w:val="24"/>
          <w:szCs w:val="24"/>
          <w:shd w:val="clear" w:color="auto" w:fill="FFFFFF"/>
        </w:rPr>
        <w:t>0</w:t>
      </w:r>
      <w:r>
        <w:rPr>
          <w:color w:val="222222"/>
          <w:sz w:val="24"/>
          <w:szCs w:val="24"/>
          <w:shd w:val="clear" w:color="auto" w:fill="FFFFFF"/>
        </w:rPr>
        <w:t>, and A-1</w:t>
      </w:r>
      <w:r w:rsidR="00774431">
        <w:rPr>
          <w:color w:val="222222"/>
          <w:sz w:val="24"/>
          <w:szCs w:val="24"/>
          <w:shd w:val="clear" w:color="auto" w:fill="FFFFFF"/>
        </w:rPr>
        <w:t>1</w:t>
      </w:r>
      <w:r w:rsidRPr="00377668">
        <w:rPr>
          <w:color w:val="222222"/>
          <w:sz w:val="24"/>
          <w:szCs w:val="24"/>
          <w:shd w:val="clear" w:color="auto" w:fill="FFFFFF"/>
        </w:rPr>
        <w:t xml:space="preserve"> complement figure</w:t>
      </w:r>
      <w:r>
        <w:rPr>
          <w:color w:val="222222"/>
          <w:sz w:val="24"/>
          <w:szCs w:val="24"/>
          <w:shd w:val="clear" w:color="auto" w:fill="FFFFFF"/>
        </w:rPr>
        <w:t xml:space="preserve"> 6</w:t>
      </w:r>
      <w:r w:rsidRPr="00377668">
        <w:rPr>
          <w:color w:val="222222"/>
          <w:sz w:val="24"/>
          <w:szCs w:val="24"/>
          <w:shd w:val="clear" w:color="auto" w:fill="FFFFFF"/>
        </w:rPr>
        <w:t xml:space="preserve"> in the main text.</w:t>
      </w:r>
      <w:r>
        <w:rPr>
          <w:color w:val="222222"/>
          <w:sz w:val="24"/>
          <w:szCs w:val="24"/>
          <w:shd w:val="clear" w:color="auto" w:fill="FFFFFF"/>
        </w:rPr>
        <w:t xml:space="preserve"> </w:t>
      </w:r>
      <w:r w:rsidR="007F2D5F">
        <w:rPr>
          <w:color w:val="222222"/>
          <w:sz w:val="24"/>
          <w:szCs w:val="24"/>
          <w:shd w:val="clear" w:color="auto" w:fill="FFFFFF"/>
        </w:rPr>
        <w:t>Figure 6</w:t>
      </w:r>
      <w:r>
        <w:rPr>
          <w:color w:val="222222"/>
          <w:sz w:val="24"/>
          <w:szCs w:val="24"/>
          <w:shd w:val="clear" w:color="auto" w:fill="FFFFFF"/>
        </w:rPr>
        <w:t xml:space="preserve"> show</w:t>
      </w:r>
      <w:r w:rsidR="007F2D5F">
        <w:rPr>
          <w:color w:val="222222"/>
          <w:sz w:val="24"/>
          <w:szCs w:val="24"/>
          <w:shd w:val="clear" w:color="auto" w:fill="FFFFFF"/>
        </w:rPr>
        <w:t>s</w:t>
      </w:r>
      <w:r>
        <w:rPr>
          <w:color w:val="222222"/>
          <w:sz w:val="24"/>
          <w:szCs w:val="24"/>
          <w:shd w:val="clear" w:color="auto" w:fill="FFFFFF"/>
        </w:rPr>
        <w:t xml:space="preserve"> a</w:t>
      </w:r>
      <w:r w:rsidR="007F2D5F">
        <w:rPr>
          <w:color w:val="222222"/>
          <w:sz w:val="24"/>
          <w:szCs w:val="24"/>
          <w:shd w:val="clear" w:color="auto" w:fill="FFFFFF"/>
        </w:rPr>
        <w:t xml:space="preserve"> robustness check for the U.S.</w:t>
      </w:r>
      <w:r>
        <w:rPr>
          <w:color w:val="222222"/>
          <w:sz w:val="24"/>
          <w:szCs w:val="24"/>
          <w:shd w:val="clear" w:color="auto" w:fill="FFFFFF"/>
        </w:rPr>
        <w:t xml:space="preserve"> based on Lennard (2018</w:t>
      </w:r>
      <w:r w:rsidR="007F2D5F">
        <w:rPr>
          <w:color w:val="222222"/>
          <w:sz w:val="24"/>
          <w:szCs w:val="24"/>
          <w:shd w:val="clear" w:color="auto" w:fill="FFFFFF"/>
        </w:rPr>
        <w:t>). Figures A-</w:t>
      </w:r>
      <w:r w:rsidR="00774431">
        <w:rPr>
          <w:color w:val="222222"/>
          <w:sz w:val="24"/>
          <w:szCs w:val="24"/>
          <w:shd w:val="clear" w:color="auto" w:fill="FFFFFF"/>
        </w:rPr>
        <w:t>9</w:t>
      </w:r>
      <w:r w:rsidR="007F2D5F">
        <w:rPr>
          <w:color w:val="222222"/>
          <w:sz w:val="24"/>
          <w:szCs w:val="24"/>
          <w:shd w:val="clear" w:color="auto" w:fill="FFFFFF"/>
        </w:rPr>
        <w:t>, A-1</w:t>
      </w:r>
      <w:r w:rsidR="00774431">
        <w:rPr>
          <w:color w:val="222222"/>
          <w:sz w:val="24"/>
          <w:szCs w:val="24"/>
          <w:shd w:val="clear" w:color="auto" w:fill="FFFFFF"/>
        </w:rPr>
        <w:t>0</w:t>
      </w:r>
      <w:r w:rsidR="007F2D5F">
        <w:rPr>
          <w:color w:val="222222"/>
          <w:sz w:val="24"/>
          <w:szCs w:val="24"/>
          <w:shd w:val="clear" w:color="auto" w:fill="FFFFFF"/>
        </w:rPr>
        <w:t xml:space="preserve"> and A-1</w:t>
      </w:r>
      <w:r w:rsidR="00774431">
        <w:rPr>
          <w:color w:val="222222"/>
          <w:sz w:val="24"/>
          <w:szCs w:val="24"/>
          <w:shd w:val="clear" w:color="auto" w:fill="FFFFFF"/>
        </w:rPr>
        <w:t>1</w:t>
      </w:r>
      <w:r w:rsidR="007F2D5F">
        <w:rPr>
          <w:color w:val="222222"/>
          <w:sz w:val="24"/>
          <w:szCs w:val="24"/>
          <w:shd w:val="clear" w:color="auto" w:fill="FFFFFF"/>
        </w:rPr>
        <w:t xml:space="preserve"> complement figure 6 by showing the same robustness checks for gold standard core countries, gold standard peripheral countries and floating countries. </w:t>
      </w:r>
      <w:r>
        <w:rPr>
          <w:color w:val="222222"/>
          <w:sz w:val="24"/>
          <w:szCs w:val="24"/>
          <w:shd w:val="clear" w:color="auto" w:fill="FFFFFF"/>
        </w:rPr>
        <w:t>The results remain qualitatively unchanged.</w:t>
      </w:r>
    </w:p>
    <w:p w14:paraId="6E2595AF" w14:textId="77777777" w:rsidR="00E05BF0" w:rsidRDefault="00E05BF0" w:rsidP="00E05BF0">
      <w:pPr>
        <w:spacing w:line="240" w:lineRule="auto"/>
        <w:ind w:firstLine="0"/>
        <w:jc w:val="left"/>
      </w:pPr>
    </w:p>
    <w:p w14:paraId="32EC3C82" w14:textId="77777777" w:rsidR="00E05BF0" w:rsidRDefault="00E05BF0" w:rsidP="00E05BF0">
      <w:pPr>
        <w:spacing w:line="240" w:lineRule="auto"/>
        <w:ind w:firstLine="0"/>
        <w:jc w:val="left"/>
      </w:pPr>
    </w:p>
    <w:p w14:paraId="2BDA0A4A" w14:textId="76F85620" w:rsidR="00E05BF0" w:rsidRPr="009A6A06" w:rsidRDefault="00A56853" w:rsidP="00E05BF0">
      <w:r w:rsidRPr="00E92E54">
        <w:rPr>
          <w:noProof/>
          <w:lang w:eastAsia="fr-FR"/>
        </w:rPr>
        <w:drawing>
          <wp:inline distT="0" distB="0" distL="0" distR="0" wp14:anchorId="300CFAB1" wp14:editId="7CFA35E2">
            <wp:extent cx="5128260" cy="3749040"/>
            <wp:effectExtent l="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8260" cy="3749040"/>
                    </a:xfrm>
                    <a:prstGeom prst="rect">
                      <a:avLst/>
                    </a:prstGeom>
                    <a:noFill/>
                    <a:ln>
                      <a:noFill/>
                    </a:ln>
                  </pic:spPr>
                </pic:pic>
              </a:graphicData>
            </a:graphic>
          </wp:inline>
        </w:drawing>
      </w:r>
      <w:bookmarkStart w:id="0" w:name="_GoBack"/>
      <w:bookmarkEnd w:id="0"/>
    </w:p>
    <w:p w14:paraId="66C98229" w14:textId="77777777" w:rsidR="00E05BF0" w:rsidRPr="009A6A06" w:rsidRDefault="00E05BF0" w:rsidP="00E05BF0">
      <w:pPr>
        <w:jc w:val="center"/>
        <w:rPr>
          <w:rFonts w:ascii="Garamond" w:hAnsi="Garamond"/>
        </w:rPr>
      </w:pPr>
    </w:p>
    <w:p w14:paraId="5B935175" w14:textId="471BE523" w:rsidR="00E05BF0" w:rsidRPr="009A6A06" w:rsidRDefault="00E05BF0" w:rsidP="00E05BF0">
      <w:pPr>
        <w:pStyle w:val="FigureTitle"/>
      </w:pPr>
      <w:r>
        <w:t xml:space="preserve">Figure </w:t>
      </w:r>
      <w:r w:rsidR="007C16CC">
        <w:t>A-</w:t>
      </w:r>
      <w:r w:rsidR="00774431">
        <w:t>9</w:t>
      </w:r>
      <w:r w:rsidRPr="009A6A06">
        <w:t>. The reaction of central banks in gold standard core countries to an English discount rate shock of 100 basis points in the first eight months. Alternative measure based on Lennard (2018) and English control variables included.</w:t>
      </w:r>
    </w:p>
    <w:p w14:paraId="3DA8EB4B" w14:textId="77777777" w:rsidR="00E05BF0" w:rsidRPr="009A6A06" w:rsidRDefault="00E05BF0" w:rsidP="00E05BF0">
      <w:pPr>
        <w:pStyle w:val="FigureNotes"/>
      </w:pPr>
      <w:r w:rsidRPr="009A6A06">
        <w:t xml:space="preserve">Sources: </w:t>
      </w:r>
      <w:r w:rsidRPr="009A6A06">
        <w:tab/>
        <w:t>Own calculations based on sources as described in the main text and the appendix.</w:t>
      </w:r>
    </w:p>
    <w:p w14:paraId="14576468" w14:textId="77777777" w:rsidR="00E05BF0" w:rsidRPr="009A6A06" w:rsidRDefault="00E05BF0" w:rsidP="00E05BF0">
      <w:pPr>
        <w:pStyle w:val="FigureNotes"/>
        <w:rPr>
          <w:color w:val="222222"/>
          <w:shd w:val="clear" w:color="auto" w:fill="FFFFFF"/>
        </w:rPr>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xml:space="preserve"> (positive exchange-rate response in lower right panel indicates depreciation).</w:t>
      </w:r>
    </w:p>
    <w:p w14:paraId="77B39A2F" w14:textId="77777777" w:rsidR="00E05BF0" w:rsidRPr="009A6A06" w:rsidRDefault="00E05BF0" w:rsidP="00E05BF0">
      <w:pPr>
        <w:pStyle w:val="FigureNotes"/>
        <w:rPr>
          <w:color w:val="222222"/>
          <w:shd w:val="clear" w:color="auto" w:fill="FFFFFF"/>
        </w:rPr>
      </w:pPr>
      <w:r w:rsidRPr="009A6A06">
        <w:rPr>
          <w:color w:val="222222"/>
          <w:shd w:val="clear" w:color="auto" w:fill="FFFFFF"/>
        </w:rPr>
        <w:t xml:space="preserve">Notes: “international” and “domestic” denote the international and domestic portfolios of central banks, “rate” is the discount rate of central banks and “x” the exchange rate on London. </w:t>
      </w:r>
    </w:p>
    <w:p w14:paraId="402EE3F3" w14:textId="77777777" w:rsidR="00E05BF0" w:rsidRPr="009A6A06" w:rsidRDefault="00E05BF0" w:rsidP="00E05BF0">
      <w:pPr>
        <w:jc w:val="center"/>
        <w:rPr>
          <w:rFonts w:ascii="Garamond" w:hAnsi="Garamond"/>
        </w:rPr>
      </w:pPr>
      <w:r>
        <w:rPr>
          <w:rFonts w:ascii="Garamond" w:hAnsi="Garamond"/>
          <w:noProof/>
          <w:lang w:val="en-GB" w:eastAsia="en-GB"/>
        </w:rPr>
        <w:lastRenderedPageBreak/>
        <w:drawing>
          <wp:inline distT="0" distB="0" distL="0" distR="0" wp14:anchorId="0E2569AA" wp14:editId="4C5369FC">
            <wp:extent cx="5126990" cy="3749675"/>
            <wp:effectExtent l="0" t="0" r="0" b="3175"/>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6990" cy="3749675"/>
                    </a:xfrm>
                    <a:prstGeom prst="rect">
                      <a:avLst/>
                    </a:prstGeom>
                    <a:noFill/>
                  </pic:spPr>
                </pic:pic>
              </a:graphicData>
            </a:graphic>
          </wp:inline>
        </w:drawing>
      </w:r>
    </w:p>
    <w:p w14:paraId="61EBCA40" w14:textId="6A5BE5D0" w:rsidR="00E05BF0" w:rsidRPr="009A6A06" w:rsidRDefault="00E05BF0" w:rsidP="00E05BF0">
      <w:pPr>
        <w:pStyle w:val="FigureTitle"/>
      </w:pPr>
      <w:r>
        <w:t xml:space="preserve">Figure </w:t>
      </w:r>
      <w:r w:rsidR="007C16CC">
        <w:t>A-</w:t>
      </w:r>
      <w:r>
        <w:t>1</w:t>
      </w:r>
      <w:r w:rsidR="00774431">
        <w:t>0</w:t>
      </w:r>
      <w:r w:rsidRPr="009A6A06">
        <w:t>. The reaction of central banks in gold standard peripheral countries to an English discount rate shock of 100 basis points in the first eight months. Alternative measure based on Lennard (2018) and English control variables included.</w:t>
      </w:r>
    </w:p>
    <w:p w14:paraId="2DBAE573" w14:textId="77777777" w:rsidR="00E05BF0" w:rsidRPr="009A6A06" w:rsidRDefault="00E05BF0" w:rsidP="00E05BF0">
      <w:pPr>
        <w:pStyle w:val="FigureNotes"/>
      </w:pPr>
      <w:r w:rsidRPr="009A6A06">
        <w:t xml:space="preserve">Sources: </w:t>
      </w:r>
      <w:r w:rsidRPr="009A6A06">
        <w:tab/>
        <w:t>Own calculations based on sources as described in the main text and the appendix.</w:t>
      </w:r>
    </w:p>
    <w:p w14:paraId="76012B57" w14:textId="77777777" w:rsidR="00E05BF0" w:rsidRPr="009A6A06" w:rsidRDefault="00E05BF0" w:rsidP="00E05BF0">
      <w:pPr>
        <w:pStyle w:val="FigureNotes"/>
        <w:rPr>
          <w:color w:val="222222"/>
          <w:shd w:val="clear" w:color="auto" w:fill="FFFFFF"/>
        </w:rPr>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 xml:space="preserve">1 </w:t>
      </w:r>
      <w:r w:rsidRPr="009A6A06">
        <w:rPr>
          <w:color w:val="222222"/>
          <w:shd w:val="clear" w:color="auto" w:fill="FFFFFF"/>
        </w:rPr>
        <w:t>(positive exchange-rate response in lower right panel indicates depreciation).</w:t>
      </w:r>
    </w:p>
    <w:p w14:paraId="25E89C26" w14:textId="77777777" w:rsidR="00E05BF0" w:rsidRPr="009A6A06" w:rsidRDefault="00E05BF0" w:rsidP="00E05BF0">
      <w:pPr>
        <w:pStyle w:val="FigureNotes"/>
        <w:rPr>
          <w:color w:val="222222"/>
          <w:shd w:val="clear" w:color="auto" w:fill="FFFFFF"/>
        </w:rPr>
      </w:pPr>
      <w:r w:rsidRPr="009A6A06">
        <w:rPr>
          <w:color w:val="222222"/>
          <w:shd w:val="clear" w:color="auto" w:fill="FFFFFF"/>
        </w:rPr>
        <w:t xml:space="preserve">Notes: “international” and “domestic” denote the international and domestic portfolios of central banks, “rate” is the discount rate of central banks and “x” the exchange rate on London. </w:t>
      </w:r>
    </w:p>
    <w:p w14:paraId="67BB14E0" w14:textId="77777777" w:rsidR="00E05BF0" w:rsidRPr="009A6A06" w:rsidRDefault="00E05BF0" w:rsidP="00E05BF0">
      <w:pPr>
        <w:spacing w:line="288" w:lineRule="auto"/>
        <w:ind w:left="1418" w:hanging="1418"/>
        <w:rPr>
          <w:rFonts w:ascii="Garamond" w:hAnsi="Garamond"/>
        </w:rPr>
      </w:pPr>
    </w:p>
    <w:p w14:paraId="0F1CC2A0" w14:textId="77777777" w:rsidR="00E05BF0" w:rsidRPr="009A6A06" w:rsidRDefault="00E05BF0" w:rsidP="00E05BF0">
      <w:pPr>
        <w:jc w:val="center"/>
      </w:pPr>
      <w:r>
        <w:rPr>
          <w:noProof/>
          <w:lang w:val="en-GB" w:eastAsia="en-GB"/>
        </w:rPr>
        <w:lastRenderedPageBreak/>
        <w:drawing>
          <wp:inline distT="0" distB="0" distL="0" distR="0" wp14:anchorId="3715D079" wp14:editId="5AEB8952">
            <wp:extent cx="5126990" cy="3749675"/>
            <wp:effectExtent l="0" t="0" r="0" b="3175"/>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6990" cy="3749675"/>
                    </a:xfrm>
                    <a:prstGeom prst="rect">
                      <a:avLst/>
                    </a:prstGeom>
                    <a:noFill/>
                  </pic:spPr>
                </pic:pic>
              </a:graphicData>
            </a:graphic>
          </wp:inline>
        </w:drawing>
      </w:r>
    </w:p>
    <w:p w14:paraId="5D632128" w14:textId="3C00D1B2" w:rsidR="00E05BF0" w:rsidRPr="009A6A06" w:rsidRDefault="00E05BF0" w:rsidP="00E05BF0">
      <w:pPr>
        <w:pStyle w:val="FigureTitle"/>
      </w:pPr>
      <w:r>
        <w:t xml:space="preserve">Figure </w:t>
      </w:r>
      <w:r w:rsidR="007C16CC">
        <w:t>A-</w:t>
      </w:r>
      <w:r>
        <w:t>1</w:t>
      </w:r>
      <w:r w:rsidR="00774431">
        <w:t>1</w:t>
      </w:r>
      <w:r w:rsidRPr="009A6A06">
        <w:t>. The reaction of central banks in fiat standard countries to an English discount rate shock of 100 basis points in the first eight months. Alternative measure based on Lennard (2018) and English control variables included.</w:t>
      </w:r>
    </w:p>
    <w:p w14:paraId="3EFBDBBD" w14:textId="77777777" w:rsidR="00E05BF0" w:rsidRPr="009A6A06" w:rsidRDefault="00E05BF0" w:rsidP="00E05BF0">
      <w:pPr>
        <w:pStyle w:val="FigureNotes"/>
      </w:pPr>
      <w:r w:rsidRPr="009A6A06">
        <w:t xml:space="preserve">Sources: </w:t>
      </w:r>
      <w:r w:rsidRPr="009A6A06">
        <w:tab/>
        <w:t>Own calculations based on sources as described in the main text and the appendix.</w:t>
      </w:r>
    </w:p>
    <w:p w14:paraId="5F29C430" w14:textId="77777777" w:rsidR="00E05BF0" w:rsidRPr="009A6A06" w:rsidRDefault="00E05BF0" w:rsidP="00E05BF0">
      <w:pPr>
        <w:pStyle w:val="FigureNotes"/>
        <w:rPr>
          <w:color w:val="222222"/>
          <w:shd w:val="clear" w:color="auto" w:fill="FFFFFF"/>
        </w:rPr>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xml:space="preserve"> (positive exchange-rate response in lower right panel indicates depreciation).</w:t>
      </w:r>
    </w:p>
    <w:p w14:paraId="6058602B" w14:textId="653BAFE1" w:rsidR="00E05BF0" w:rsidRDefault="00E05BF0" w:rsidP="00E05BF0">
      <w:pPr>
        <w:pStyle w:val="FigureNotes"/>
        <w:rPr>
          <w:color w:val="222222"/>
          <w:shd w:val="clear" w:color="auto" w:fill="FFFFFF"/>
        </w:rPr>
      </w:pPr>
      <w:r w:rsidRPr="009A6A06">
        <w:rPr>
          <w:color w:val="222222"/>
          <w:shd w:val="clear" w:color="auto" w:fill="FFFFFF"/>
        </w:rPr>
        <w:t xml:space="preserve">Notes: “international” and “domestic” denote the international and domestic portfolios of central banks, “rate” is the discount rate of central banks and “x” the exchange rate on London. </w:t>
      </w:r>
    </w:p>
    <w:p w14:paraId="3DD729D3" w14:textId="5112CF2C" w:rsidR="00E05BF0" w:rsidRDefault="00E05BF0">
      <w:pPr>
        <w:spacing w:line="240" w:lineRule="auto"/>
        <w:ind w:firstLine="0"/>
        <w:jc w:val="left"/>
        <w:rPr>
          <w:color w:val="222222"/>
          <w:shd w:val="clear" w:color="auto" w:fill="FFFFFF"/>
        </w:rPr>
      </w:pPr>
      <w:r>
        <w:rPr>
          <w:color w:val="222222"/>
          <w:shd w:val="clear" w:color="auto" w:fill="FFFFFF"/>
        </w:rPr>
        <w:br w:type="page"/>
      </w:r>
    </w:p>
    <w:p w14:paraId="4F5DA70A" w14:textId="4E14A99E" w:rsidR="007F2D5F" w:rsidRDefault="007F2D5F" w:rsidP="007F2D5F">
      <w:pPr>
        <w:pStyle w:val="Author"/>
      </w:pPr>
      <w:r>
        <w:lastRenderedPageBreak/>
        <w:t>Figure A-1</w:t>
      </w:r>
      <w:r w:rsidR="001D7078">
        <w:t>2</w:t>
      </w:r>
      <w:r>
        <w:t>: Robustness checks II</w:t>
      </w:r>
    </w:p>
    <w:p w14:paraId="56DE0DD6" w14:textId="1102034A" w:rsidR="007F2D5F" w:rsidRDefault="007F2D5F" w:rsidP="007F2D5F">
      <w:pPr>
        <w:pStyle w:val="FigureNotes"/>
        <w:rPr>
          <w:color w:val="222222"/>
          <w:sz w:val="24"/>
          <w:szCs w:val="24"/>
          <w:shd w:val="clear" w:color="auto" w:fill="FFFFFF"/>
        </w:rPr>
      </w:pPr>
      <w:r w:rsidRPr="00377668">
        <w:rPr>
          <w:color w:val="222222"/>
          <w:sz w:val="24"/>
          <w:szCs w:val="24"/>
          <w:shd w:val="clear" w:color="auto" w:fill="FFFFFF"/>
        </w:rPr>
        <w:t>Figure A-1</w:t>
      </w:r>
      <w:r w:rsidR="001D7078">
        <w:rPr>
          <w:color w:val="222222"/>
          <w:sz w:val="24"/>
          <w:szCs w:val="24"/>
          <w:shd w:val="clear" w:color="auto" w:fill="FFFFFF"/>
        </w:rPr>
        <w:t>2</w:t>
      </w:r>
      <w:r>
        <w:rPr>
          <w:color w:val="222222"/>
          <w:sz w:val="24"/>
          <w:szCs w:val="24"/>
          <w:shd w:val="clear" w:color="auto" w:fill="FFFFFF"/>
        </w:rPr>
        <w:t xml:space="preserve"> </w:t>
      </w:r>
      <w:r w:rsidRPr="00377668">
        <w:rPr>
          <w:color w:val="222222"/>
          <w:sz w:val="24"/>
          <w:szCs w:val="24"/>
          <w:shd w:val="clear" w:color="auto" w:fill="FFFFFF"/>
        </w:rPr>
        <w:t>complement</w:t>
      </w:r>
      <w:r>
        <w:rPr>
          <w:color w:val="222222"/>
          <w:sz w:val="24"/>
          <w:szCs w:val="24"/>
          <w:shd w:val="clear" w:color="auto" w:fill="FFFFFF"/>
        </w:rPr>
        <w:t>s</w:t>
      </w:r>
      <w:r w:rsidRPr="00377668">
        <w:rPr>
          <w:color w:val="222222"/>
          <w:sz w:val="24"/>
          <w:szCs w:val="24"/>
          <w:shd w:val="clear" w:color="auto" w:fill="FFFFFF"/>
        </w:rPr>
        <w:t xml:space="preserve"> figure</w:t>
      </w:r>
      <w:r>
        <w:rPr>
          <w:color w:val="222222"/>
          <w:sz w:val="24"/>
          <w:szCs w:val="24"/>
          <w:shd w:val="clear" w:color="auto" w:fill="FFFFFF"/>
        </w:rPr>
        <w:t xml:space="preserve"> 6</w:t>
      </w:r>
      <w:r w:rsidRPr="00377668">
        <w:rPr>
          <w:color w:val="222222"/>
          <w:sz w:val="24"/>
          <w:szCs w:val="24"/>
          <w:shd w:val="clear" w:color="auto" w:fill="FFFFFF"/>
        </w:rPr>
        <w:t xml:space="preserve"> in the main text.</w:t>
      </w:r>
      <w:r>
        <w:rPr>
          <w:color w:val="222222"/>
          <w:sz w:val="24"/>
          <w:szCs w:val="24"/>
          <w:shd w:val="clear" w:color="auto" w:fill="FFFFFF"/>
        </w:rPr>
        <w:t xml:space="preserve"> Figure 6 shows a robustness check for the U.S. based on Lennard (2018). Figure A-1</w:t>
      </w:r>
      <w:r w:rsidR="001D7078">
        <w:rPr>
          <w:color w:val="222222"/>
          <w:sz w:val="24"/>
          <w:szCs w:val="24"/>
          <w:shd w:val="clear" w:color="auto" w:fill="FFFFFF"/>
        </w:rPr>
        <w:t>2</w:t>
      </w:r>
      <w:r>
        <w:rPr>
          <w:color w:val="222222"/>
          <w:sz w:val="24"/>
          <w:szCs w:val="24"/>
          <w:shd w:val="clear" w:color="auto" w:fill="FFFFFF"/>
        </w:rPr>
        <w:t xml:space="preserve"> complements figure 6 by showing a robustness check based on Green (2018). The results remain qualitatively unchanged.</w:t>
      </w:r>
    </w:p>
    <w:p w14:paraId="59A2A340" w14:textId="77777777" w:rsidR="007F2D5F" w:rsidRDefault="007F2D5F">
      <w:pPr>
        <w:spacing w:line="240" w:lineRule="auto"/>
        <w:ind w:firstLine="0"/>
        <w:jc w:val="left"/>
        <w:rPr>
          <w:rFonts w:cs="TimesLTStd-Roman"/>
          <w:color w:val="222222"/>
          <w:sz w:val="16"/>
          <w:szCs w:val="16"/>
          <w:shd w:val="clear" w:color="auto" w:fill="FFFFFF"/>
        </w:rPr>
      </w:pPr>
    </w:p>
    <w:p w14:paraId="26B327F6" w14:textId="45904ACA" w:rsidR="00E05BF0" w:rsidRPr="009A6A06" w:rsidRDefault="00E05BF0" w:rsidP="00E05BF0">
      <w:pPr>
        <w:spacing w:after="160" w:line="256" w:lineRule="auto"/>
        <w:jc w:val="center"/>
        <w:rPr>
          <w:rFonts w:ascii="Garamond" w:hAnsi="Garamond"/>
        </w:rPr>
      </w:pPr>
      <w:r w:rsidRPr="00180BFE">
        <w:rPr>
          <w:noProof/>
          <w:lang w:eastAsia="fr-FR"/>
        </w:rPr>
        <w:drawing>
          <wp:inline distT="0" distB="0" distL="0" distR="0" wp14:anchorId="4B91FCBA" wp14:editId="3A994124">
            <wp:extent cx="5128260" cy="3749040"/>
            <wp:effectExtent l="0" t="0" r="0" b="0"/>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28260" cy="3749040"/>
                    </a:xfrm>
                    <a:prstGeom prst="rect">
                      <a:avLst/>
                    </a:prstGeom>
                    <a:noFill/>
                    <a:ln>
                      <a:noFill/>
                    </a:ln>
                  </pic:spPr>
                </pic:pic>
              </a:graphicData>
            </a:graphic>
          </wp:inline>
        </w:drawing>
      </w:r>
    </w:p>
    <w:p w14:paraId="4210C85C" w14:textId="0DCE6060" w:rsidR="00E05BF0" w:rsidRPr="009A6A06" w:rsidRDefault="00E05BF0" w:rsidP="00E05BF0">
      <w:pPr>
        <w:pStyle w:val="FigureTitle"/>
      </w:pPr>
      <w:r>
        <w:t xml:space="preserve">Figure </w:t>
      </w:r>
      <w:r w:rsidR="007C16CC">
        <w:t>A-</w:t>
      </w:r>
      <w:r>
        <w:t>1</w:t>
      </w:r>
      <w:r w:rsidR="001D7078">
        <w:t>2</w:t>
      </w:r>
      <w:r>
        <w:t xml:space="preserve">. </w:t>
      </w:r>
      <w:r w:rsidRPr="009A6A06">
        <w:t>The reaction of the U.S. monetary system to an English discount rate shock of 100 basis points in the first eight months. Alternative measure based on GREEN (2018) as discussed in this section.</w:t>
      </w:r>
    </w:p>
    <w:p w14:paraId="18E3408D" w14:textId="77777777" w:rsidR="00E05BF0" w:rsidRPr="009A6A06" w:rsidRDefault="00E05BF0" w:rsidP="00E05BF0">
      <w:pPr>
        <w:pStyle w:val="FigureNotes"/>
      </w:pPr>
      <w:r w:rsidRPr="009A6A06">
        <w:t xml:space="preserve">Sources: </w:t>
      </w:r>
      <w:r w:rsidRPr="009A6A06">
        <w:tab/>
        <w:t>Own calculations based on sources as described in the main text and the appendix.</w:t>
      </w:r>
    </w:p>
    <w:p w14:paraId="61300D81" w14:textId="77777777" w:rsidR="00E05BF0" w:rsidRPr="009A6A06" w:rsidRDefault="00E05BF0" w:rsidP="00E05BF0">
      <w:pPr>
        <w:pStyle w:val="FigureNotes"/>
        <w:rPr>
          <w:color w:val="222222"/>
          <w:shd w:val="clear" w:color="auto" w:fill="FFFFFF"/>
        </w:rPr>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(positive exchange-rate response in lower right panel indicates depreciation).</w:t>
      </w:r>
    </w:p>
    <w:p w14:paraId="0B82F51E" w14:textId="022A94F7" w:rsidR="00E05BF0" w:rsidRDefault="00E05BF0" w:rsidP="00E05BF0">
      <w:pPr>
        <w:pStyle w:val="FigureNotes"/>
        <w:rPr>
          <w:color w:val="222222"/>
          <w:shd w:val="clear" w:color="auto" w:fill="FFFFFF"/>
        </w:rPr>
      </w:pPr>
      <w:r w:rsidRPr="009A6A06">
        <w:rPr>
          <w:color w:val="222222"/>
          <w:shd w:val="clear" w:color="auto" w:fill="FFFFFF"/>
        </w:rPr>
        <w:t xml:space="preserve">Notes: “international” denotes the gold reserves of the U.S. Treasury, </w:t>
      </w:r>
      <w:r w:rsidRPr="00B57324">
        <w:rPr>
          <w:color w:val="000000" w:themeColor="text1"/>
          <w:shd w:val="clear" w:color="auto" w:fill="FFFFFF"/>
        </w:rPr>
        <w:t xml:space="preserve">“rate” is the commercial paper rate in New York </w:t>
      </w:r>
      <w:r w:rsidRPr="009A6A06">
        <w:rPr>
          <w:color w:val="222222"/>
          <w:shd w:val="clear" w:color="auto" w:fill="FFFFFF"/>
        </w:rPr>
        <w:t xml:space="preserve">and “x” the exchange rate in New York on London. </w:t>
      </w:r>
    </w:p>
    <w:p w14:paraId="5A8BCFFA" w14:textId="77777777" w:rsidR="001D7078" w:rsidRDefault="001D7078">
      <w:pPr>
        <w:spacing w:line="240" w:lineRule="auto"/>
        <w:ind w:firstLine="0"/>
        <w:jc w:val="left"/>
        <w:rPr>
          <w:rFonts w:cs="TimesLTStd-Roman"/>
          <w:smallCaps/>
          <w:color w:val="000000"/>
          <w:szCs w:val="22"/>
        </w:rPr>
      </w:pPr>
      <w:r>
        <w:br w:type="page"/>
      </w:r>
    </w:p>
    <w:p w14:paraId="6B179C67" w14:textId="32A0B6A6" w:rsidR="001D7078" w:rsidRDefault="001D7078" w:rsidP="001D7078">
      <w:pPr>
        <w:pStyle w:val="Author"/>
      </w:pPr>
      <w:r>
        <w:lastRenderedPageBreak/>
        <w:t>Figures A-13, A-14, A-15, A-16: RESULTS BASED ON MONTHLY FIXED EFFECTS INSTEAD OF TIME TREND</w:t>
      </w:r>
    </w:p>
    <w:p w14:paraId="03D8005A" w14:textId="77777777" w:rsidR="001D7078" w:rsidRDefault="001D7078" w:rsidP="001D7078">
      <w:pPr>
        <w:pStyle w:val="FigureNotes"/>
        <w:rPr>
          <w:color w:val="222222"/>
          <w:sz w:val="24"/>
          <w:szCs w:val="24"/>
          <w:shd w:val="clear" w:color="auto" w:fill="FFFFFF"/>
        </w:rPr>
      </w:pPr>
      <w:r>
        <w:rPr>
          <w:color w:val="222222"/>
          <w:sz w:val="24"/>
          <w:szCs w:val="24"/>
          <w:shd w:val="clear" w:color="auto" w:fill="FFFFFF"/>
        </w:rPr>
        <w:t>Figures A-13, A-14, A-15 and A-16 complement</w:t>
      </w:r>
      <w:r w:rsidRPr="00377668">
        <w:rPr>
          <w:color w:val="222222"/>
          <w:sz w:val="24"/>
          <w:szCs w:val="24"/>
          <w:shd w:val="clear" w:color="auto" w:fill="FFFFFF"/>
        </w:rPr>
        <w:t xml:space="preserve"> figure</w:t>
      </w:r>
      <w:r>
        <w:rPr>
          <w:color w:val="222222"/>
          <w:sz w:val="24"/>
          <w:szCs w:val="24"/>
          <w:shd w:val="clear" w:color="auto" w:fill="FFFFFF"/>
        </w:rPr>
        <w:t>s 1, 2, 3 and 4</w:t>
      </w:r>
      <w:r w:rsidRPr="00377668">
        <w:rPr>
          <w:color w:val="222222"/>
          <w:sz w:val="24"/>
          <w:szCs w:val="24"/>
          <w:shd w:val="clear" w:color="auto" w:fill="FFFFFF"/>
        </w:rPr>
        <w:t xml:space="preserve"> in the main text. </w:t>
      </w:r>
      <w:r>
        <w:rPr>
          <w:color w:val="222222"/>
          <w:sz w:val="24"/>
          <w:szCs w:val="24"/>
          <w:shd w:val="clear" w:color="auto" w:fill="FFFFFF"/>
        </w:rPr>
        <w:t xml:space="preserve">Our baseline results are based on a time trend. </w:t>
      </w:r>
      <w:r w:rsidRPr="00377668">
        <w:rPr>
          <w:color w:val="222222"/>
          <w:sz w:val="24"/>
          <w:szCs w:val="24"/>
          <w:shd w:val="clear" w:color="auto" w:fill="FFFFFF"/>
        </w:rPr>
        <w:t>By contrast, figure</w:t>
      </w:r>
      <w:r>
        <w:rPr>
          <w:color w:val="222222"/>
          <w:sz w:val="24"/>
          <w:szCs w:val="24"/>
          <w:shd w:val="clear" w:color="auto" w:fill="FFFFFF"/>
        </w:rPr>
        <w:t>s A-13, A-14, A-15 and A-16 are based on monthly fixed effects. The results remain qualitatively unchanged.</w:t>
      </w:r>
    </w:p>
    <w:p w14:paraId="10922396" w14:textId="77777777" w:rsidR="001D7078" w:rsidRPr="00505F97" w:rsidRDefault="001D7078" w:rsidP="001D7078"/>
    <w:p w14:paraId="516BEF62" w14:textId="77777777" w:rsidR="001D7078" w:rsidRDefault="001D7078" w:rsidP="001D7078">
      <w:r w:rsidRPr="009C1204">
        <w:rPr>
          <w:noProof/>
          <w:lang w:val="fr-FR" w:eastAsia="fr-FR"/>
        </w:rPr>
        <w:drawing>
          <wp:inline distT="0" distB="0" distL="0" distR="0" wp14:anchorId="29E5234A" wp14:editId="56878E65">
            <wp:extent cx="5554980" cy="406106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54980" cy="4061062"/>
                    </a:xfrm>
                    <a:prstGeom prst="rect">
                      <a:avLst/>
                    </a:prstGeom>
                    <a:noFill/>
                    <a:ln>
                      <a:noFill/>
                    </a:ln>
                  </pic:spPr>
                </pic:pic>
              </a:graphicData>
            </a:graphic>
          </wp:inline>
        </w:drawing>
      </w:r>
    </w:p>
    <w:p w14:paraId="34CB5DCA" w14:textId="77777777" w:rsidR="001D7078" w:rsidRDefault="001D7078" w:rsidP="001D7078"/>
    <w:p w14:paraId="78D9EA64" w14:textId="77777777" w:rsidR="001D7078" w:rsidRPr="009A6A06" w:rsidRDefault="001D7078" w:rsidP="001D7078">
      <w:pPr>
        <w:pStyle w:val="FigureTitle"/>
      </w:pPr>
      <w:r w:rsidRPr="009A6A06">
        <w:t xml:space="preserve">Figure </w:t>
      </w:r>
      <w:r>
        <w:t>A-13</w:t>
      </w:r>
      <w:r w:rsidRPr="009A6A06">
        <w:t>.</w:t>
      </w:r>
      <w:r>
        <w:t xml:space="preserve"> </w:t>
      </w:r>
      <w:r w:rsidRPr="009A6A06">
        <w:t>The reaction of central banks in gold standard core countries to an English discount rate shock of 100 basis points in the first eight months.</w:t>
      </w:r>
    </w:p>
    <w:p w14:paraId="5B0200A1" w14:textId="77777777" w:rsidR="001D7078" w:rsidRPr="009A6A06" w:rsidRDefault="001D7078" w:rsidP="001D7078">
      <w:pPr>
        <w:pStyle w:val="FigureNotes"/>
      </w:pPr>
      <w:r w:rsidRPr="009A6A06">
        <w:t xml:space="preserve">Sources: </w:t>
      </w:r>
      <w:r w:rsidRPr="009A6A06">
        <w:tab/>
        <w:t>Own calculations based on sources as described in the main text and the appendix.</w:t>
      </w:r>
    </w:p>
    <w:p w14:paraId="76DEF587" w14:textId="77777777" w:rsidR="001D7078" w:rsidRPr="009A6A06" w:rsidRDefault="001D7078" w:rsidP="001D7078">
      <w:pPr>
        <w:pStyle w:val="FigureNotes"/>
        <w:rPr>
          <w:color w:val="222222"/>
          <w:shd w:val="clear" w:color="auto" w:fill="FFFFFF"/>
        </w:rPr>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xml:space="preserve"> (positive exchange-rate response in lower right panel indicates depreciation). </w:t>
      </w:r>
    </w:p>
    <w:p w14:paraId="627E4276" w14:textId="77777777" w:rsidR="001D7078" w:rsidRPr="009A6A06" w:rsidRDefault="001D7078" w:rsidP="001D7078">
      <w:pPr>
        <w:pStyle w:val="FigureNotes"/>
        <w:rPr>
          <w:color w:val="222222"/>
          <w:shd w:val="clear" w:color="auto" w:fill="FFFFFF"/>
        </w:rPr>
      </w:pPr>
      <w:r w:rsidRPr="009A6A06">
        <w:rPr>
          <w:color w:val="222222"/>
          <w:shd w:val="clear" w:color="auto" w:fill="FFFFFF"/>
        </w:rPr>
        <w:t xml:space="preserve">Notes: “international” and “domestic” denote the international and domestic portfolios of central banks, “rate” is the discount rate of central banks and “x” the exchange rate on London. </w:t>
      </w:r>
    </w:p>
    <w:p w14:paraId="20C8A3FA" w14:textId="77777777" w:rsidR="001D7078" w:rsidRDefault="001D7078" w:rsidP="001D7078"/>
    <w:p w14:paraId="4C477201" w14:textId="77777777" w:rsidR="001D7078" w:rsidRDefault="001D7078" w:rsidP="001D7078">
      <w:r w:rsidRPr="004F5EF3">
        <w:rPr>
          <w:noProof/>
          <w:lang w:val="fr-FR" w:eastAsia="fr-FR"/>
        </w:rPr>
        <w:lastRenderedPageBreak/>
        <w:drawing>
          <wp:inline distT="0" distB="0" distL="0" distR="0" wp14:anchorId="296EA198" wp14:editId="143A0316">
            <wp:extent cx="5554980" cy="4061282"/>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54980" cy="4061282"/>
                    </a:xfrm>
                    <a:prstGeom prst="rect">
                      <a:avLst/>
                    </a:prstGeom>
                    <a:noFill/>
                    <a:ln>
                      <a:noFill/>
                    </a:ln>
                  </pic:spPr>
                </pic:pic>
              </a:graphicData>
            </a:graphic>
          </wp:inline>
        </w:drawing>
      </w:r>
    </w:p>
    <w:p w14:paraId="6BED7570" w14:textId="77777777" w:rsidR="001D7078" w:rsidRDefault="001D7078" w:rsidP="001D7078">
      <w:pPr>
        <w:pStyle w:val="FigureTitle"/>
      </w:pPr>
    </w:p>
    <w:p w14:paraId="0FBF4B2B" w14:textId="77777777" w:rsidR="001D7078" w:rsidRDefault="001D7078" w:rsidP="001D7078">
      <w:pPr>
        <w:pStyle w:val="FigureTitle"/>
      </w:pPr>
    </w:p>
    <w:p w14:paraId="38B35F4D" w14:textId="77777777" w:rsidR="001D7078" w:rsidRPr="009A6A06" w:rsidRDefault="001D7078" w:rsidP="001D7078">
      <w:pPr>
        <w:pStyle w:val="FigureTitle"/>
      </w:pPr>
      <w:r>
        <w:t xml:space="preserve">Figure A-14 </w:t>
      </w:r>
      <w:r w:rsidRPr="009A6A06">
        <w:t>The reaction of central banks in gold standard peripheral countries to an English discount rate shock of 100 basis points in the first eight months.</w:t>
      </w:r>
    </w:p>
    <w:p w14:paraId="545BED08" w14:textId="77777777" w:rsidR="001D7078" w:rsidRPr="009A6A06" w:rsidRDefault="001D7078" w:rsidP="001D7078">
      <w:pPr>
        <w:pStyle w:val="FigureNotes"/>
      </w:pPr>
      <w:r w:rsidRPr="009A6A06">
        <w:t xml:space="preserve">Sources: </w:t>
      </w:r>
      <w:r w:rsidRPr="009A6A06">
        <w:tab/>
        <w:t>Own calculations based on sources as described in the main text and the appendix.</w:t>
      </w:r>
    </w:p>
    <w:p w14:paraId="65A12080" w14:textId="77777777" w:rsidR="001D7078" w:rsidRPr="009A6A06" w:rsidRDefault="001D7078" w:rsidP="001D7078">
      <w:pPr>
        <w:pStyle w:val="FigureNotes"/>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(positive exchange-rate response in lower right panel indicates depreciation).</w:t>
      </w:r>
    </w:p>
    <w:p w14:paraId="7168AB1C" w14:textId="77777777" w:rsidR="001D7078" w:rsidRPr="009A6A06" w:rsidRDefault="001D7078" w:rsidP="001D7078">
      <w:pPr>
        <w:pStyle w:val="FigureNotes"/>
        <w:rPr>
          <w:color w:val="222222"/>
          <w:shd w:val="clear" w:color="auto" w:fill="FFFFFF"/>
        </w:rPr>
      </w:pPr>
      <w:r w:rsidRPr="009A6A06">
        <w:rPr>
          <w:color w:val="222222"/>
          <w:shd w:val="clear" w:color="auto" w:fill="FFFFFF"/>
        </w:rPr>
        <w:t xml:space="preserve">Notes: “international” and “domestic” denote the international and domestic portfolios of central banks, “rate” is the discount rate of central banks and “x” the exchange rate on London. </w:t>
      </w:r>
    </w:p>
    <w:p w14:paraId="57793E7E" w14:textId="77777777" w:rsidR="001D7078" w:rsidRDefault="001D7078" w:rsidP="001D7078">
      <w:r>
        <w:br w:type="column"/>
      </w:r>
      <w:r w:rsidRPr="004F5EF3">
        <w:rPr>
          <w:noProof/>
          <w:lang w:val="fr-FR" w:eastAsia="fr-FR"/>
        </w:rPr>
        <w:lastRenderedPageBreak/>
        <w:drawing>
          <wp:inline distT="0" distB="0" distL="0" distR="0" wp14:anchorId="109525AE" wp14:editId="44D35103">
            <wp:extent cx="5554980" cy="406046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54980" cy="4060461"/>
                    </a:xfrm>
                    <a:prstGeom prst="rect">
                      <a:avLst/>
                    </a:prstGeom>
                    <a:noFill/>
                    <a:ln>
                      <a:noFill/>
                    </a:ln>
                  </pic:spPr>
                </pic:pic>
              </a:graphicData>
            </a:graphic>
          </wp:inline>
        </w:drawing>
      </w:r>
    </w:p>
    <w:p w14:paraId="615F4236" w14:textId="77777777" w:rsidR="001D7078" w:rsidRDefault="001D7078" w:rsidP="001D7078"/>
    <w:p w14:paraId="1E7BF4AD" w14:textId="77777777" w:rsidR="001D7078" w:rsidRPr="009A6A06" w:rsidRDefault="001D7078" w:rsidP="001D7078">
      <w:pPr>
        <w:pStyle w:val="FigureTitle"/>
      </w:pPr>
      <w:r>
        <w:t>Figure A-15</w:t>
      </w:r>
      <w:r w:rsidRPr="009A6A06">
        <w:t>.</w:t>
      </w:r>
      <w:r>
        <w:t xml:space="preserve"> </w:t>
      </w:r>
      <w:r w:rsidRPr="009A6A06">
        <w:t>The reaction of central banks in fiat standard countries to an English discount rate shock of 100 basis points in the first eight months.</w:t>
      </w:r>
    </w:p>
    <w:p w14:paraId="14664946" w14:textId="77777777" w:rsidR="001D7078" w:rsidRPr="009A6A06" w:rsidRDefault="001D7078" w:rsidP="001D7078">
      <w:pPr>
        <w:pStyle w:val="FigureNotes"/>
      </w:pPr>
      <w:r w:rsidRPr="009A6A06">
        <w:t xml:space="preserve">Sources: </w:t>
      </w:r>
      <w:r w:rsidRPr="009A6A06">
        <w:tab/>
        <w:t>Own calculations based on sources as described in the main text and the appendix.</w:t>
      </w:r>
    </w:p>
    <w:p w14:paraId="3315AD4A" w14:textId="77777777" w:rsidR="001D7078" w:rsidRPr="009A6A06" w:rsidRDefault="001D7078" w:rsidP="001D7078">
      <w:pPr>
        <w:pStyle w:val="FigureNotes"/>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(positive exchange-rate response in lower right panel indicates depreciation).</w:t>
      </w:r>
    </w:p>
    <w:p w14:paraId="61A5C5D3" w14:textId="77777777" w:rsidR="001D7078" w:rsidRPr="009A6A06" w:rsidRDefault="001D7078" w:rsidP="001D7078">
      <w:pPr>
        <w:pStyle w:val="FigureNotes"/>
        <w:rPr>
          <w:color w:val="222222"/>
          <w:shd w:val="clear" w:color="auto" w:fill="FFFFFF"/>
        </w:rPr>
      </w:pPr>
      <w:r w:rsidRPr="009A6A06">
        <w:rPr>
          <w:color w:val="222222"/>
          <w:shd w:val="clear" w:color="auto" w:fill="FFFFFF"/>
        </w:rPr>
        <w:t xml:space="preserve">Notes: “international” and “domestic” denote the international and domestic portfolios of central banks, “rate” is the discount rate of central banks and “x” the exchange rate on London. </w:t>
      </w:r>
    </w:p>
    <w:p w14:paraId="2FA3169B" w14:textId="77777777" w:rsidR="001D7078" w:rsidRDefault="001D7078" w:rsidP="001D7078">
      <w:pPr>
        <w:pStyle w:val="FigureTitle"/>
      </w:pPr>
      <w:r>
        <w:br w:type="column"/>
      </w:r>
      <w:r w:rsidRPr="00DE68E9">
        <w:rPr>
          <w:noProof/>
          <w:lang w:val="fr-FR" w:eastAsia="fr-FR"/>
        </w:rPr>
        <w:lastRenderedPageBreak/>
        <w:drawing>
          <wp:inline distT="0" distB="0" distL="0" distR="0" wp14:anchorId="79D7C0E5" wp14:editId="6510051B">
            <wp:extent cx="5128260" cy="374904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28260" cy="3749040"/>
                    </a:xfrm>
                    <a:prstGeom prst="rect">
                      <a:avLst/>
                    </a:prstGeom>
                    <a:noFill/>
                    <a:ln>
                      <a:noFill/>
                    </a:ln>
                  </pic:spPr>
                </pic:pic>
              </a:graphicData>
            </a:graphic>
          </wp:inline>
        </w:drawing>
      </w:r>
    </w:p>
    <w:p w14:paraId="1EA701D1" w14:textId="77777777" w:rsidR="001D7078" w:rsidRDefault="001D7078" w:rsidP="001D7078">
      <w:pPr>
        <w:pStyle w:val="FigureTitle"/>
      </w:pPr>
    </w:p>
    <w:p w14:paraId="07FD69AC" w14:textId="77777777" w:rsidR="001D7078" w:rsidRDefault="001D7078" w:rsidP="001D7078">
      <w:pPr>
        <w:pStyle w:val="FigureTitle"/>
      </w:pPr>
    </w:p>
    <w:p w14:paraId="1FCBAE8C" w14:textId="77777777" w:rsidR="001D7078" w:rsidRDefault="001D7078" w:rsidP="001D7078">
      <w:pPr>
        <w:pStyle w:val="FigureTitle"/>
      </w:pPr>
    </w:p>
    <w:p w14:paraId="63F3FA23" w14:textId="77777777" w:rsidR="001D7078" w:rsidRPr="009A6A06" w:rsidRDefault="001D7078" w:rsidP="001D7078">
      <w:pPr>
        <w:pStyle w:val="FigureTitle"/>
      </w:pPr>
      <w:r>
        <w:t xml:space="preserve">figure a-16. </w:t>
      </w:r>
      <w:r w:rsidRPr="009A6A06">
        <w:t>The reaction of the U.S. monetary system to an English discount rate shock of 100 basis points in the first eight months.</w:t>
      </w:r>
    </w:p>
    <w:p w14:paraId="21D00348" w14:textId="77777777" w:rsidR="001D7078" w:rsidRPr="009A6A06" w:rsidRDefault="001D7078" w:rsidP="001D7078">
      <w:pPr>
        <w:pStyle w:val="FigureNotes"/>
      </w:pPr>
      <w:r w:rsidRPr="009A6A06">
        <w:t xml:space="preserve">Sources: </w:t>
      </w:r>
      <w:r w:rsidRPr="009A6A06">
        <w:tab/>
        <w:t>Own calculations based on sources as described in the main text and the appendix.</w:t>
      </w:r>
    </w:p>
    <w:p w14:paraId="441AB095" w14:textId="77777777" w:rsidR="001D7078" w:rsidRPr="009A6A06" w:rsidRDefault="001D7078" w:rsidP="001D7078">
      <w:pPr>
        <w:pStyle w:val="FigureNotes"/>
        <w:rPr>
          <w:color w:val="222222"/>
          <w:shd w:val="clear" w:color="auto" w:fill="FFFFFF"/>
        </w:rPr>
      </w:pPr>
      <w:r w:rsidRPr="009A6A06">
        <w:t xml:space="preserve">Units: </w:t>
      </w:r>
      <w:r w:rsidRPr="009A6A06">
        <w:tab/>
      </w:r>
      <w:r w:rsidRPr="009A6A06">
        <w:rPr>
          <w:color w:val="222222"/>
          <w:shd w:val="clear" w:color="auto" w:fill="FFFFFF"/>
        </w:rPr>
        <w:t>Percentage change compared to month t = -</w:t>
      </w:r>
      <w:r w:rsidRPr="009A6A06">
        <w:rPr>
          <w:rStyle w:val="il"/>
          <w:rFonts w:ascii="Garamond" w:eastAsiaTheme="majorEastAsia" w:hAnsi="Garamond"/>
          <w:color w:val="222222"/>
          <w:shd w:val="clear" w:color="auto" w:fill="FFFFFF"/>
        </w:rPr>
        <w:t>1</w:t>
      </w:r>
      <w:r w:rsidRPr="009A6A06">
        <w:rPr>
          <w:color w:val="222222"/>
          <w:shd w:val="clear" w:color="auto" w:fill="FFFFFF"/>
        </w:rPr>
        <w:t> (positive exchange-rate response in lower right panel indicates depreciation).</w:t>
      </w:r>
    </w:p>
    <w:p w14:paraId="4EF50C49" w14:textId="77777777" w:rsidR="001D7078" w:rsidRPr="009A6A06" w:rsidRDefault="001D7078" w:rsidP="001D7078">
      <w:pPr>
        <w:pStyle w:val="FigureNotes"/>
        <w:rPr>
          <w:color w:val="222222"/>
          <w:shd w:val="clear" w:color="auto" w:fill="FFFFFF"/>
        </w:rPr>
      </w:pPr>
      <w:r w:rsidRPr="009A6A06">
        <w:rPr>
          <w:color w:val="222222"/>
          <w:shd w:val="clear" w:color="auto" w:fill="FFFFFF"/>
        </w:rPr>
        <w:t xml:space="preserve">Notes: “international” denotes the gold reserves of the U.S. Treasury, </w:t>
      </w:r>
      <w:r w:rsidRPr="00B57324">
        <w:rPr>
          <w:color w:val="000000" w:themeColor="text1"/>
          <w:shd w:val="clear" w:color="auto" w:fill="FFFFFF"/>
        </w:rPr>
        <w:t xml:space="preserve">“rate” is the commercial paper rate in New York </w:t>
      </w:r>
      <w:r w:rsidRPr="009A6A06">
        <w:rPr>
          <w:color w:val="222222"/>
          <w:shd w:val="clear" w:color="auto" w:fill="FFFFFF"/>
        </w:rPr>
        <w:t xml:space="preserve">and “x” the exchange rate in New York on London. </w:t>
      </w:r>
    </w:p>
    <w:p w14:paraId="36A17523" w14:textId="77777777" w:rsidR="001D7078" w:rsidRPr="001D7078" w:rsidRDefault="001D7078" w:rsidP="001D7078"/>
    <w:sectPr w:rsidR="001D7078" w:rsidRPr="001D7078" w:rsidSect="00110908">
      <w:footerReference w:type="default" r:id="rId26"/>
      <w:pgSz w:w="12240" w:h="15840"/>
      <w:pgMar w:top="1440" w:right="1746" w:bottom="1440" w:left="1746" w:header="720" w:footer="720" w:gutter="0"/>
      <w:cols w:space="3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5DB5E" w14:textId="77777777" w:rsidR="0006183A" w:rsidRDefault="0006183A" w:rsidP="00520C49">
      <w:pPr>
        <w:spacing w:line="240" w:lineRule="auto"/>
      </w:pPr>
      <w:r>
        <w:separator/>
      </w:r>
    </w:p>
  </w:endnote>
  <w:endnote w:type="continuationSeparator" w:id="0">
    <w:p w14:paraId="4710F489" w14:textId="77777777" w:rsidR="0006183A" w:rsidRDefault="0006183A" w:rsidP="00520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LTStd-Italic">
    <w:altName w:val="Times LT Std Phonet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480882"/>
      <w:docPartObj>
        <w:docPartGallery w:val="Page Numbers (Bottom of Page)"/>
        <w:docPartUnique/>
      </w:docPartObj>
    </w:sdtPr>
    <w:sdtEndPr/>
    <w:sdtContent>
      <w:p w14:paraId="2116AFA5" w14:textId="5E464735" w:rsidR="00C71D64" w:rsidRDefault="00C71D64">
        <w:pPr>
          <w:pStyle w:val="Footer"/>
          <w:jc w:val="center"/>
        </w:pPr>
        <w:r>
          <w:fldChar w:fldCharType="begin"/>
        </w:r>
        <w:r>
          <w:instrText>PAGE   \* MERGEFORMAT</w:instrText>
        </w:r>
        <w:r>
          <w:fldChar w:fldCharType="separate"/>
        </w:r>
        <w:r w:rsidR="0086389A" w:rsidRPr="0086389A">
          <w:rPr>
            <w:noProof/>
            <w:lang w:val="fr-FR"/>
          </w:rPr>
          <w:t>12</w:t>
        </w:r>
        <w:r>
          <w:fldChar w:fldCharType="end"/>
        </w:r>
      </w:p>
    </w:sdtContent>
  </w:sdt>
  <w:p w14:paraId="7E5D043C" w14:textId="77777777" w:rsidR="00C71D64" w:rsidRDefault="00C71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2D17" w14:textId="77777777" w:rsidR="0006183A" w:rsidRDefault="0006183A" w:rsidP="00520C49"/>
  </w:footnote>
  <w:footnote w:type="continuationSeparator" w:id="0">
    <w:p w14:paraId="1B45302C" w14:textId="77777777" w:rsidR="0006183A" w:rsidRDefault="0006183A" w:rsidP="00520C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DC8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FE49F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8064B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9840B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BDE333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76ADA3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40BF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788D7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9867A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CFA3A42"/>
    <w:lvl w:ilvl="0">
      <w:start w:val="1"/>
      <w:numFmt w:val="lowerRoman"/>
      <w:lvlText w:val="(%1)"/>
      <w:lvlJc w:val="right"/>
      <w:pPr>
        <w:ind w:left="835" w:hanging="360"/>
      </w:pPr>
      <w:rPr>
        <w:rFonts w:hint="default"/>
      </w:rPr>
    </w:lvl>
  </w:abstractNum>
  <w:abstractNum w:abstractNumId="10" w15:restartNumberingAfterBreak="0">
    <w:nsid w:val="FFFFFF89"/>
    <w:multiLevelType w:val="singleLevel"/>
    <w:tmpl w:val="F0C0AC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761B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6D7F6C"/>
    <w:multiLevelType w:val="hybridMultilevel"/>
    <w:tmpl w:val="42704DBE"/>
    <w:lvl w:ilvl="0" w:tplc="F5D20E9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426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B36D8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3F67049"/>
    <w:multiLevelType w:val="hybridMultilevel"/>
    <w:tmpl w:val="19F2DFCA"/>
    <w:lvl w:ilvl="0" w:tplc="3918BB4E">
      <w:start w:val="1"/>
      <w:numFmt w:val="lowerRoman"/>
      <w:pStyle w:val="ListNumber"/>
      <w:lvlText w:val="(%1)"/>
      <w:lvlJc w:val="left"/>
      <w:pPr>
        <w:tabs>
          <w:tab w:val="num" w:pos="1195"/>
        </w:tabs>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15:restartNumberingAfterBreak="0">
    <w:nsid w:val="59C05D32"/>
    <w:multiLevelType w:val="hybridMultilevel"/>
    <w:tmpl w:val="D4486B8E"/>
    <w:lvl w:ilvl="0" w:tplc="D4509454">
      <w:start w:val="1"/>
      <w:numFmt w:val="bullet"/>
      <w:pStyle w:val="List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Wingdings"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Wingdings"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Wingdings"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5A3978EB"/>
    <w:multiLevelType w:val="multilevel"/>
    <w:tmpl w:val="0DD2A90E"/>
    <w:lvl w:ilvl="0">
      <w:start w:val="1"/>
      <w:numFmt w:val="lowerRoman"/>
      <w:lvlText w:val="(%1)"/>
      <w:lvlJc w:val="left"/>
      <w:pPr>
        <w:ind w:left="1195" w:hanging="360"/>
      </w:pPr>
      <w:rPr>
        <w:rFonts w:hint="default"/>
      </w:rPr>
    </w:lvl>
    <w:lvl w:ilvl="1">
      <w:start w:val="1"/>
      <w:numFmt w:val="lowerLetter"/>
      <w:lvlText w:val="%2."/>
      <w:lvlJc w:val="left"/>
      <w:pPr>
        <w:ind w:left="1915" w:hanging="360"/>
      </w:pPr>
    </w:lvl>
    <w:lvl w:ilvl="2">
      <w:start w:val="1"/>
      <w:numFmt w:val="lowerRoman"/>
      <w:lvlText w:val="%3."/>
      <w:lvlJc w:val="right"/>
      <w:pPr>
        <w:ind w:left="2635" w:hanging="180"/>
      </w:pPr>
    </w:lvl>
    <w:lvl w:ilvl="3">
      <w:start w:val="1"/>
      <w:numFmt w:val="decimal"/>
      <w:lvlText w:val="%4."/>
      <w:lvlJc w:val="left"/>
      <w:pPr>
        <w:ind w:left="3355" w:hanging="360"/>
      </w:pPr>
    </w:lvl>
    <w:lvl w:ilvl="4">
      <w:start w:val="1"/>
      <w:numFmt w:val="lowerLetter"/>
      <w:lvlText w:val="%5."/>
      <w:lvlJc w:val="left"/>
      <w:pPr>
        <w:ind w:left="4075" w:hanging="360"/>
      </w:pPr>
    </w:lvl>
    <w:lvl w:ilvl="5">
      <w:start w:val="1"/>
      <w:numFmt w:val="lowerRoman"/>
      <w:lvlText w:val="%6."/>
      <w:lvlJc w:val="right"/>
      <w:pPr>
        <w:ind w:left="4795" w:hanging="180"/>
      </w:pPr>
    </w:lvl>
    <w:lvl w:ilvl="6">
      <w:start w:val="1"/>
      <w:numFmt w:val="decimal"/>
      <w:lvlText w:val="%7."/>
      <w:lvlJc w:val="left"/>
      <w:pPr>
        <w:ind w:left="5515" w:hanging="360"/>
      </w:pPr>
    </w:lvl>
    <w:lvl w:ilvl="7">
      <w:start w:val="1"/>
      <w:numFmt w:val="lowerLetter"/>
      <w:lvlText w:val="%8."/>
      <w:lvlJc w:val="left"/>
      <w:pPr>
        <w:ind w:left="6235" w:hanging="360"/>
      </w:pPr>
    </w:lvl>
    <w:lvl w:ilvl="8">
      <w:start w:val="1"/>
      <w:numFmt w:val="lowerRoman"/>
      <w:lvlText w:val="%9."/>
      <w:lvlJc w:val="right"/>
      <w:pPr>
        <w:ind w:left="6955" w:hanging="180"/>
      </w:pPr>
    </w:lvl>
  </w:abstractNum>
  <w:abstractNum w:abstractNumId="18" w15:restartNumberingAfterBreak="0">
    <w:nsid w:val="5B4245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054DAC"/>
    <w:multiLevelType w:val="hybridMultilevel"/>
    <w:tmpl w:val="B6AC5DB4"/>
    <w:lvl w:ilvl="0" w:tplc="3A78685A">
      <w:start w:val="1"/>
      <w:numFmt w:val="bullet"/>
      <w:lvlText w:val=""/>
      <w:lvlJc w:val="left"/>
      <w:pPr>
        <w:tabs>
          <w:tab w:val="num" w:pos="202"/>
        </w:tabs>
        <w:ind w:left="202" w:hanging="20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0"/>
  </w:num>
  <w:num w:numId="4">
    <w:abstractNumId w:val="7"/>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9"/>
  </w:num>
  <w:num w:numId="13">
    <w:abstractNumId w:val="0"/>
  </w:num>
  <w:num w:numId="14">
    <w:abstractNumId w:val="18"/>
  </w:num>
  <w:num w:numId="15">
    <w:abstractNumId w:val="13"/>
  </w:num>
  <w:num w:numId="16">
    <w:abstractNumId w:val="14"/>
  </w:num>
  <w:num w:numId="17">
    <w:abstractNumId w:val="16"/>
  </w:num>
  <w:num w:numId="18">
    <w:abstractNumId w:val="15"/>
  </w:num>
  <w:num w:numId="19">
    <w:abstractNumId w:val="11"/>
  </w:num>
  <w:num w:numId="20">
    <w:abstractNumId w:val="17"/>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embedSystemFont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E5"/>
    <w:rsid w:val="000026C3"/>
    <w:rsid w:val="00004ACD"/>
    <w:rsid w:val="000317A0"/>
    <w:rsid w:val="00033E8A"/>
    <w:rsid w:val="00042256"/>
    <w:rsid w:val="000434A1"/>
    <w:rsid w:val="00050951"/>
    <w:rsid w:val="00054BBA"/>
    <w:rsid w:val="0006183A"/>
    <w:rsid w:val="00090D9C"/>
    <w:rsid w:val="00095DFA"/>
    <w:rsid w:val="000A1755"/>
    <w:rsid w:val="000C507A"/>
    <w:rsid w:val="000C516A"/>
    <w:rsid w:val="000C5BB6"/>
    <w:rsid w:val="000D0F7C"/>
    <w:rsid w:val="000D1C91"/>
    <w:rsid w:val="000E6DC0"/>
    <w:rsid w:val="000E7303"/>
    <w:rsid w:val="000F75ED"/>
    <w:rsid w:val="0010206F"/>
    <w:rsid w:val="0010280D"/>
    <w:rsid w:val="00104C67"/>
    <w:rsid w:val="001069FD"/>
    <w:rsid w:val="00110908"/>
    <w:rsid w:val="0011226F"/>
    <w:rsid w:val="0014556D"/>
    <w:rsid w:val="0015639A"/>
    <w:rsid w:val="00156D87"/>
    <w:rsid w:val="001571B8"/>
    <w:rsid w:val="00182380"/>
    <w:rsid w:val="00191D7E"/>
    <w:rsid w:val="00195EF0"/>
    <w:rsid w:val="001972A2"/>
    <w:rsid w:val="001A07C0"/>
    <w:rsid w:val="001A4452"/>
    <w:rsid w:val="001C6A8C"/>
    <w:rsid w:val="001C75FF"/>
    <w:rsid w:val="001D7078"/>
    <w:rsid w:val="001E3D0C"/>
    <w:rsid w:val="001F4206"/>
    <w:rsid w:val="001F7365"/>
    <w:rsid w:val="00211096"/>
    <w:rsid w:val="00213865"/>
    <w:rsid w:val="00216FC4"/>
    <w:rsid w:val="00261FAC"/>
    <w:rsid w:val="002737A4"/>
    <w:rsid w:val="00275BF0"/>
    <w:rsid w:val="002835EC"/>
    <w:rsid w:val="002837D4"/>
    <w:rsid w:val="002947BF"/>
    <w:rsid w:val="002A01A7"/>
    <w:rsid w:val="002A7B59"/>
    <w:rsid w:val="002B350E"/>
    <w:rsid w:val="002B5B0A"/>
    <w:rsid w:val="002C318F"/>
    <w:rsid w:val="002C4A86"/>
    <w:rsid w:val="002C4DBC"/>
    <w:rsid w:val="00313D0D"/>
    <w:rsid w:val="00325542"/>
    <w:rsid w:val="00347F10"/>
    <w:rsid w:val="00370075"/>
    <w:rsid w:val="00372B47"/>
    <w:rsid w:val="00376003"/>
    <w:rsid w:val="003768CB"/>
    <w:rsid w:val="00377668"/>
    <w:rsid w:val="00377C8A"/>
    <w:rsid w:val="003955C2"/>
    <w:rsid w:val="003A56ED"/>
    <w:rsid w:val="003D493B"/>
    <w:rsid w:val="003F1108"/>
    <w:rsid w:val="003F4DBB"/>
    <w:rsid w:val="003F6FBF"/>
    <w:rsid w:val="004039E5"/>
    <w:rsid w:val="00405F9F"/>
    <w:rsid w:val="0040751C"/>
    <w:rsid w:val="00440BA3"/>
    <w:rsid w:val="00453CB2"/>
    <w:rsid w:val="004559FD"/>
    <w:rsid w:val="00456CFF"/>
    <w:rsid w:val="0046676C"/>
    <w:rsid w:val="00467605"/>
    <w:rsid w:val="00474D50"/>
    <w:rsid w:val="0048401F"/>
    <w:rsid w:val="004A3C14"/>
    <w:rsid w:val="004B08D3"/>
    <w:rsid w:val="004D1861"/>
    <w:rsid w:val="004D7666"/>
    <w:rsid w:val="004E09FA"/>
    <w:rsid w:val="004E6B37"/>
    <w:rsid w:val="004F7C33"/>
    <w:rsid w:val="00505F97"/>
    <w:rsid w:val="00506F59"/>
    <w:rsid w:val="00520C49"/>
    <w:rsid w:val="00521821"/>
    <w:rsid w:val="005235A6"/>
    <w:rsid w:val="00525572"/>
    <w:rsid w:val="00534093"/>
    <w:rsid w:val="0053667D"/>
    <w:rsid w:val="00550035"/>
    <w:rsid w:val="00550890"/>
    <w:rsid w:val="00556E8A"/>
    <w:rsid w:val="005613B7"/>
    <w:rsid w:val="00567BDD"/>
    <w:rsid w:val="00573CE5"/>
    <w:rsid w:val="00577574"/>
    <w:rsid w:val="00590A8E"/>
    <w:rsid w:val="00591FDE"/>
    <w:rsid w:val="005A08F2"/>
    <w:rsid w:val="005A4C3B"/>
    <w:rsid w:val="005B2E46"/>
    <w:rsid w:val="005D5232"/>
    <w:rsid w:val="005E0092"/>
    <w:rsid w:val="005E0577"/>
    <w:rsid w:val="005E12CF"/>
    <w:rsid w:val="005E190F"/>
    <w:rsid w:val="006007A0"/>
    <w:rsid w:val="00606253"/>
    <w:rsid w:val="006161B2"/>
    <w:rsid w:val="00626E03"/>
    <w:rsid w:val="00630E1D"/>
    <w:rsid w:val="006310D9"/>
    <w:rsid w:val="00642F53"/>
    <w:rsid w:val="00643769"/>
    <w:rsid w:val="00660D90"/>
    <w:rsid w:val="00666B7C"/>
    <w:rsid w:val="006842E6"/>
    <w:rsid w:val="00684F11"/>
    <w:rsid w:val="00690B41"/>
    <w:rsid w:val="00692B04"/>
    <w:rsid w:val="0069580D"/>
    <w:rsid w:val="006A2547"/>
    <w:rsid w:val="006A3A60"/>
    <w:rsid w:val="006A5A5A"/>
    <w:rsid w:val="006B03F8"/>
    <w:rsid w:val="006B0BF0"/>
    <w:rsid w:val="006B37FE"/>
    <w:rsid w:val="006B5AA5"/>
    <w:rsid w:val="006C6D9B"/>
    <w:rsid w:val="006D7249"/>
    <w:rsid w:val="006E4D11"/>
    <w:rsid w:val="006E51F0"/>
    <w:rsid w:val="006E612B"/>
    <w:rsid w:val="006E73E7"/>
    <w:rsid w:val="006F7D27"/>
    <w:rsid w:val="00701479"/>
    <w:rsid w:val="00702BCD"/>
    <w:rsid w:val="0070402C"/>
    <w:rsid w:val="007061DF"/>
    <w:rsid w:val="0071372D"/>
    <w:rsid w:val="007166D4"/>
    <w:rsid w:val="00723D7B"/>
    <w:rsid w:val="00727E98"/>
    <w:rsid w:val="007313DE"/>
    <w:rsid w:val="00742555"/>
    <w:rsid w:val="00756B25"/>
    <w:rsid w:val="00774431"/>
    <w:rsid w:val="00776E26"/>
    <w:rsid w:val="00784D9D"/>
    <w:rsid w:val="00787DB2"/>
    <w:rsid w:val="007A07A5"/>
    <w:rsid w:val="007B3D6E"/>
    <w:rsid w:val="007B4FCD"/>
    <w:rsid w:val="007B51E3"/>
    <w:rsid w:val="007B795D"/>
    <w:rsid w:val="007C16CC"/>
    <w:rsid w:val="007C26A4"/>
    <w:rsid w:val="007C393F"/>
    <w:rsid w:val="007C3C7A"/>
    <w:rsid w:val="007C4240"/>
    <w:rsid w:val="007D1D8C"/>
    <w:rsid w:val="007D729E"/>
    <w:rsid w:val="007E2027"/>
    <w:rsid w:val="007F2D5F"/>
    <w:rsid w:val="007F5770"/>
    <w:rsid w:val="00812482"/>
    <w:rsid w:val="008168ED"/>
    <w:rsid w:val="0082095D"/>
    <w:rsid w:val="00821219"/>
    <w:rsid w:val="0082498B"/>
    <w:rsid w:val="00824F41"/>
    <w:rsid w:val="0083274F"/>
    <w:rsid w:val="0083295E"/>
    <w:rsid w:val="00833859"/>
    <w:rsid w:val="00841EC7"/>
    <w:rsid w:val="008477B0"/>
    <w:rsid w:val="0086389A"/>
    <w:rsid w:val="0087642C"/>
    <w:rsid w:val="00876FA8"/>
    <w:rsid w:val="00883FD8"/>
    <w:rsid w:val="00885B23"/>
    <w:rsid w:val="008910FA"/>
    <w:rsid w:val="008932B0"/>
    <w:rsid w:val="008942BB"/>
    <w:rsid w:val="008A3788"/>
    <w:rsid w:val="008B0F8B"/>
    <w:rsid w:val="008B5D60"/>
    <w:rsid w:val="008C41B7"/>
    <w:rsid w:val="008C5100"/>
    <w:rsid w:val="008D22CD"/>
    <w:rsid w:val="008D4034"/>
    <w:rsid w:val="00902A2F"/>
    <w:rsid w:val="00902F45"/>
    <w:rsid w:val="00916B66"/>
    <w:rsid w:val="009205E4"/>
    <w:rsid w:val="009315A5"/>
    <w:rsid w:val="00933944"/>
    <w:rsid w:val="00940600"/>
    <w:rsid w:val="0094133C"/>
    <w:rsid w:val="00950D2D"/>
    <w:rsid w:val="00954997"/>
    <w:rsid w:val="00957CAC"/>
    <w:rsid w:val="00982E93"/>
    <w:rsid w:val="009830BD"/>
    <w:rsid w:val="00983C80"/>
    <w:rsid w:val="00986218"/>
    <w:rsid w:val="00996501"/>
    <w:rsid w:val="009A4834"/>
    <w:rsid w:val="009A6A06"/>
    <w:rsid w:val="009B185B"/>
    <w:rsid w:val="009B30AB"/>
    <w:rsid w:val="009B426A"/>
    <w:rsid w:val="009B76A8"/>
    <w:rsid w:val="009C396E"/>
    <w:rsid w:val="009C48CB"/>
    <w:rsid w:val="009D74D9"/>
    <w:rsid w:val="009E21B0"/>
    <w:rsid w:val="009E283B"/>
    <w:rsid w:val="009F1F9F"/>
    <w:rsid w:val="009F5222"/>
    <w:rsid w:val="009F7046"/>
    <w:rsid w:val="009F7321"/>
    <w:rsid w:val="00A0101F"/>
    <w:rsid w:val="00A1215C"/>
    <w:rsid w:val="00A1337D"/>
    <w:rsid w:val="00A23F64"/>
    <w:rsid w:val="00A2656B"/>
    <w:rsid w:val="00A51540"/>
    <w:rsid w:val="00A56853"/>
    <w:rsid w:val="00A6102C"/>
    <w:rsid w:val="00A67E59"/>
    <w:rsid w:val="00A77040"/>
    <w:rsid w:val="00A903BF"/>
    <w:rsid w:val="00AA3A34"/>
    <w:rsid w:val="00AC3C85"/>
    <w:rsid w:val="00AC55B1"/>
    <w:rsid w:val="00AD6E6A"/>
    <w:rsid w:val="00AE671E"/>
    <w:rsid w:val="00AE6CF4"/>
    <w:rsid w:val="00AF1075"/>
    <w:rsid w:val="00AF402C"/>
    <w:rsid w:val="00B016FB"/>
    <w:rsid w:val="00B07814"/>
    <w:rsid w:val="00B07E47"/>
    <w:rsid w:val="00B13EFC"/>
    <w:rsid w:val="00B15BCF"/>
    <w:rsid w:val="00B26FDA"/>
    <w:rsid w:val="00B27B1E"/>
    <w:rsid w:val="00B37A89"/>
    <w:rsid w:val="00B412CE"/>
    <w:rsid w:val="00B439C4"/>
    <w:rsid w:val="00B452B8"/>
    <w:rsid w:val="00B61B99"/>
    <w:rsid w:val="00B71583"/>
    <w:rsid w:val="00B76FBC"/>
    <w:rsid w:val="00B8738C"/>
    <w:rsid w:val="00B9069D"/>
    <w:rsid w:val="00B9328D"/>
    <w:rsid w:val="00B96FA6"/>
    <w:rsid w:val="00BA24E6"/>
    <w:rsid w:val="00BA28FC"/>
    <w:rsid w:val="00BA2B89"/>
    <w:rsid w:val="00BB0A31"/>
    <w:rsid w:val="00BB10FF"/>
    <w:rsid w:val="00BB2D89"/>
    <w:rsid w:val="00BB53B5"/>
    <w:rsid w:val="00BC258D"/>
    <w:rsid w:val="00BE0FE4"/>
    <w:rsid w:val="00BE1F9A"/>
    <w:rsid w:val="00BE30B8"/>
    <w:rsid w:val="00BF0D63"/>
    <w:rsid w:val="00BF623E"/>
    <w:rsid w:val="00C008CA"/>
    <w:rsid w:val="00C04A12"/>
    <w:rsid w:val="00C160E2"/>
    <w:rsid w:val="00C17BC3"/>
    <w:rsid w:val="00C213F4"/>
    <w:rsid w:val="00C21B29"/>
    <w:rsid w:val="00C225BA"/>
    <w:rsid w:val="00C3774F"/>
    <w:rsid w:val="00C60B2A"/>
    <w:rsid w:val="00C635A9"/>
    <w:rsid w:val="00C71D64"/>
    <w:rsid w:val="00C77E2A"/>
    <w:rsid w:val="00C8103E"/>
    <w:rsid w:val="00C82D48"/>
    <w:rsid w:val="00C83725"/>
    <w:rsid w:val="00C86A51"/>
    <w:rsid w:val="00C910A1"/>
    <w:rsid w:val="00CA1E10"/>
    <w:rsid w:val="00CA5B96"/>
    <w:rsid w:val="00CA6C98"/>
    <w:rsid w:val="00CB0EFE"/>
    <w:rsid w:val="00CB39D8"/>
    <w:rsid w:val="00CB45BD"/>
    <w:rsid w:val="00CC1413"/>
    <w:rsid w:val="00CC2A5D"/>
    <w:rsid w:val="00CD36CA"/>
    <w:rsid w:val="00CD6B43"/>
    <w:rsid w:val="00CD74A3"/>
    <w:rsid w:val="00CE0005"/>
    <w:rsid w:val="00CE520F"/>
    <w:rsid w:val="00CF632B"/>
    <w:rsid w:val="00D11EAA"/>
    <w:rsid w:val="00D1773A"/>
    <w:rsid w:val="00D254CC"/>
    <w:rsid w:val="00D42768"/>
    <w:rsid w:val="00D505E7"/>
    <w:rsid w:val="00D5079E"/>
    <w:rsid w:val="00D518FD"/>
    <w:rsid w:val="00D529EC"/>
    <w:rsid w:val="00D5770F"/>
    <w:rsid w:val="00D65ECF"/>
    <w:rsid w:val="00D66B18"/>
    <w:rsid w:val="00D753A7"/>
    <w:rsid w:val="00D76569"/>
    <w:rsid w:val="00D83D38"/>
    <w:rsid w:val="00D85C33"/>
    <w:rsid w:val="00D95794"/>
    <w:rsid w:val="00DA7A31"/>
    <w:rsid w:val="00DC0DC4"/>
    <w:rsid w:val="00DC15E8"/>
    <w:rsid w:val="00DC3C9C"/>
    <w:rsid w:val="00DC4374"/>
    <w:rsid w:val="00DC5C2B"/>
    <w:rsid w:val="00DD4E23"/>
    <w:rsid w:val="00DD695F"/>
    <w:rsid w:val="00DE02E4"/>
    <w:rsid w:val="00DE68E9"/>
    <w:rsid w:val="00DF171C"/>
    <w:rsid w:val="00DF1964"/>
    <w:rsid w:val="00DF1F87"/>
    <w:rsid w:val="00E00C51"/>
    <w:rsid w:val="00E037EB"/>
    <w:rsid w:val="00E05BF0"/>
    <w:rsid w:val="00E071E7"/>
    <w:rsid w:val="00E340D7"/>
    <w:rsid w:val="00E362A0"/>
    <w:rsid w:val="00E41944"/>
    <w:rsid w:val="00E4710D"/>
    <w:rsid w:val="00E571CB"/>
    <w:rsid w:val="00E61863"/>
    <w:rsid w:val="00E6657E"/>
    <w:rsid w:val="00E73BD8"/>
    <w:rsid w:val="00E854C5"/>
    <w:rsid w:val="00E91E5A"/>
    <w:rsid w:val="00E9562D"/>
    <w:rsid w:val="00EB0E77"/>
    <w:rsid w:val="00EB2749"/>
    <w:rsid w:val="00EC5657"/>
    <w:rsid w:val="00ED128D"/>
    <w:rsid w:val="00ED58FC"/>
    <w:rsid w:val="00EE0BAD"/>
    <w:rsid w:val="00F005CA"/>
    <w:rsid w:val="00F15736"/>
    <w:rsid w:val="00F16532"/>
    <w:rsid w:val="00F21890"/>
    <w:rsid w:val="00F23C91"/>
    <w:rsid w:val="00F341BC"/>
    <w:rsid w:val="00F35274"/>
    <w:rsid w:val="00F36A8F"/>
    <w:rsid w:val="00F4100E"/>
    <w:rsid w:val="00F52C99"/>
    <w:rsid w:val="00F620B2"/>
    <w:rsid w:val="00F7409B"/>
    <w:rsid w:val="00F909EB"/>
    <w:rsid w:val="00F9394F"/>
    <w:rsid w:val="00FA30DE"/>
    <w:rsid w:val="00FA3CD6"/>
    <w:rsid w:val="00FB0A85"/>
    <w:rsid w:val="00FB7978"/>
    <w:rsid w:val="00FC5478"/>
    <w:rsid w:val="00FE56C4"/>
    <w:rsid w:val="00FF2D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0B03A70"/>
  <w15:docId w15:val="{260D94E1-4CC1-4E2B-9CBA-59A15F53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sto MT" w:eastAsia="Calisto MT" w:hAnsi="Calisto MT"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8"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2EA"/>
    <w:pPr>
      <w:spacing w:line="360" w:lineRule="auto"/>
      <w:ind w:firstLine="202"/>
      <w:jc w:val="both"/>
    </w:pPr>
    <w:rPr>
      <w:rFonts w:ascii="Times New Roman" w:hAnsi="Times New Roman"/>
      <w:sz w:val="24"/>
      <w:szCs w:val="24"/>
    </w:rPr>
  </w:style>
  <w:style w:type="paragraph" w:styleId="Heading1">
    <w:name w:val="heading 1"/>
    <w:next w:val="Normal"/>
    <w:link w:val="Heading1Char"/>
    <w:qFormat/>
    <w:rsid w:val="00BD4A31"/>
    <w:pPr>
      <w:keepNext/>
      <w:keepLines/>
      <w:spacing w:before="260" w:after="260" w:line="360" w:lineRule="auto"/>
      <w:contextualSpacing/>
      <w:jc w:val="center"/>
      <w:outlineLvl w:val="0"/>
    </w:pPr>
    <w:rPr>
      <w:rFonts w:ascii="Times New Roman" w:eastAsia="Times New Roman" w:hAnsi="Times New Roman"/>
      <w:b/>
      <w:bCs/>
      <w:color w:val="000000"/>
      <w:sz w:val="24"/>
      <w:szCs w:val="32"/>
    </w:rPr>
  </w:style>
  <w:style w:type="paragraph" w:styleId="Heading2">
    <w:name w:val="heading 2"/>
    <w:next w:val="Normal"/>
    <w:link w:val="Heading2Char"/>
    <w:qFormat/>
    <w:rsid w:val="00BD4A31"/>
    <w:pPr>
      <w:keepNext/>
      <w:keepLines/>
      <w:spacing w:before="260" w:after="260" w:line="360" w:lineRule="auto"/>
      <w:contextualSpacing/>
      <w:jc w:val="center"/>
      <w:outlineLvl w:val="1"/>
    </w:pPr>
    <w:rPr>
      <w:rFonts w:ascii="Times New Roman" w:eastAsia="Times New Roman" w:hAnsi="Times New Roman"/>
      <w:bCs/>
      <w:i/>
      <w:color w:val="000000"/>
      <w:sz w:val="24"/>
      <w:szCs w:val="26"/>
    </w:rPr>
  </w:style>
  <w:style w:type="paragraph" w:styleId="Heading3">
    <w:name w:val="heading 3"/>
    <w:basedOn w:val="Normal"/>
    <w:next w:val="Normal"/>
    <w:link w:val="Heading3Char"/>
    <w:qFormat/>
    <w:rsid w:val="00314302"/>
    <w:pPr>
      <w:spacing w:before="260"/>
      <w:ind w:firstLine="0"/>
      <w:outlineLvl w:val="2"/>
    </w:pPr>
    <w:rPr>
      <w:rFonts w:eastAsia="Times New Roman"/>
      <w:bCs/>
    </w:rPr>
  </w:style>
  <w:style w:type="paragraph" w:styleId="Heading4">
    <w:name w:val="heading 4"/>
    <w:basedOn w:val="Normal"/>
    <w:next w:val="Normal"/>
    <w:link w:val="Heading4Char"/>
    <w:qFormat/>
    <w:rsid w:val="00314302"/>
    <w:pPr>
      <w:spacing w:before="260"/>
      <w:ind w:firstLine="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245A5"/>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Heading1Char">
    <w:name w:val="Heading 1 Char"/>
    <w:basedOn w:val="DefaultParagraphFont"/>
    <w:link w:val="Heading1"/>
    <w:rsid w:val="00BD4A31"/>
    <w:rPr>
      <w:rFonts w:ascii="Times New Roman" w:eastAsia="Times New Roman" w:hAnsi="Times New Roman"/>
      <w:b/>
      <w:bCs/>
      <w:color w:val="000000"/>
      <w:sz w:val="24"/>
      <w:szCs w:val="32"/>
      <w:lang w:val="en-US" w:eastAsia="en-US" w:bidi="ar-SA"/>
    </w:rPr>
  </w:style>
  <w:style w:type="character" w:customStyle="1" w:styleId="Heading2Char">
    <w:name w:val="Heading 2 Char"/>
    <w:basedOn w:val="DefaultParagraphFont"/>
    <w:link w:val="Heading2"/>
    <w:rsid w:val="00D02D97"/>
    <w:rPr>
      <w:rFonts w:ascii="Times New Roman" w:eastAsia="Times New Roman" w:hAnsi="Times New Roman"/>
      <w:bCs/>
      <w:i/>
      <w:color w:val="000000"/>
      <w:sz w:val="24"/>
      <w:szCs w:val="26"/>
      <w:lang w:val="en-US" w:eastAsia="en-US" w:bidi="ar-SA"/>
    </w:rPr>
  </w:style>
  <w:style w:type="character" w:customStyle="1" w:styleId="Heading3Char">
    <w:name w:val="Heading 3 Char"/>
    <w:basedOn w:val="DefaultParagraphFont"/>
    <w:link w:val="Heading3"/>
    <w:rsid w:val="00314302"/>
    <w:rPr>
      <w:rFonts w:ascii="Times New Roman" w:eastAsia="Times New Roman" w:hAnsi="Times New Roman"/>
      <w:bCs/>
      <w:color w:val="000000"/>
      <w:sz w:val="24"/>
      <w:szCs w:val="24"/>
    </w:rPr>
  </w:style>
  <w:style w:type="character" w:customStyle="1" w:styleId="Heading4Char">
    <w:name w:val="Heading 4 Char"/>
    <w:basedOn w:val="DefaultParagraphFont"/>
    <w:link w:val="Heading4"/>
    <w:rsid w:val="00314302"/>
    <w:rPr>
      <w:rFonts w:ascii="Times New Roman" w:eastAsia="Times New Roman" w:hAnsi="Times New Roman"/>
      <w:bCs/>
      <w:iCs/>
      <w:color w:val="000000"/>
      <w:sz w:val="24"/>
      <w:szCs w:val="24"/>
    </w:rPr>
  </w:style>
  <w:style w:type="paragraph" w:customStyle="1" w:styleId="Author">
    <w:name w:val="Author"/>
    <w:next w:val="Normal"/>
    <w:rsid w:val="00BD4A31"/>
    <w:pPr>
      <w:suppressAutoHyphens/>
      <w:spacing w:after="280" w:line="360" w:lineRule="auto"/>
      <w:jc w:val="center"/>
    </w:pPr>
    <w:rPr>
      <w:rFonts w:ascii="Times New Roman" w:hAnsi="Times New Roman" w:cs="TimesLTStd-Roman"/>
      <w:smallCaps/>
      <w:color w:val="000000"/>
      <w:sz w:val="24"/>
      <w:szCs w:val="22"/>
    </w:rPr>
  </w:style>
  <w:style w:type="paragraph" w:customStyle="1" w:styleId="Abstract">
    <w:name w:val="Abstract"/>
    <w:next w:val="Normal"/>
    <w:rsid w:val="00BD4A31"/>
    <w:pPr>
      <w:spacing w:before="100" w:after="600" w:line="360" w:lineRule="auto"/>
      <w:ind w:left="662" w:right="662"/>
      <w:jc w:val="both"/>
    </w:pPr>
    <w:rPr>
      <w:rFonts w:ascii="Times New Roman" w:hAnsi="Times New Roman" w:cs="TimesLTStd-Italic"/>
      <w:i/>
      <w:iCs/>
      <w:color w:val="000000"/>
      <w:sz w:val="24"/>
      <w:szCs w:val="22"/>
    </w:rPr>
  </w:style>
  <w:style w:type="paragraph" w:customStyle="1" w:styleId="Equation">
    <w:name w:val="Equation"/>
    <w:next w:val="Normal"/>
    <w:rsid w:val="00BD4A31"/>
    <w:pPr>
      <w:tabs>
        <w:tab w:val="center" w:pos="3960"/>
      </w:tabs>
      <w:suppressAutoHyphens/>
      <w:spacing w:before="260" w:line="360" w:lineRule="auto"/>
    </w:pPr>
    <w:rPr>
      <w:rFonts w:ascii="Times New Roman" w:hAnsi="Times New Roman" w:cs="TimesLTStd-Roman"/>
      <w:color w:val="000000"/>
      <w:sz w:val="24"/>
    </w:rPr>
  </w:style>
  <w:style w:type="paragraph" w:customStyle="1" w:styleId="NormalNoIndent">
    <w:name w:val="Normal No Indent"/>
    <w:basedOn w:val="Normal"/>
    <w:next w:val="Normal"/>
    <w:rsid w:val="00641B74"/>
    <w:pPr>
      <w:ind w:firstLine="0"/>
    </w:pPr>
  </w:style>
  <w:style w:type="paragraph" w:customStyle="1" w:styleId="Contact">
    <w:name w:val="Contact"/>
    <w:next w:val="Normal"/>
    <w:rsid w:val="00BD4A31"/>
    <w:pPr>
      <w:spacing w:after="200" w:line="360" w:lineRule="auto"/>
    </w:pPr>
    <w:rPr>
      <w:rFonts w:ascii="Times New Roman" w:hAnsi="Times New Roman" w:cs="TimesLTStd-Roman"/>
      <w:color w:val="000000"/>
      <w:sz w:val="16"/>
      <w:szCs w:val="16"/>
    </w:rPr>
  </w:style>
  <w:style w:type="paragraph" w:customStyle="1" w:styleId="ReferenceHeading">
    <w:name w:val="Reference Heading"/>
    <w:basedOn w:val="Normal"/>
    <w:next w:val="References"/>
    <w:rsid w:val="00BD4A31"/>
    <w:pPr>
      <w:keepNext/>
      <w:widowControl w:val="0"/>
      <w:autoSpaceDE w:val="0"/>
      <w:autoSpaceDN w:val="0"/>
      <w:adjustRightInd w:val="0"/>
      <w:spacing w:before="260" w:after="260"/>
      <w:ind w:firstLine="0"/>
      <w:jc w:val="center"/>
      <w:textAlignment w:val="center"/>
    </w:pPr>
    <w:rPr>
      <w:rFonts w:cs="TimesLTStd-Roman"/>
      <w:caps/>
      <w:szCs w:val="20"/>
    </w:rPr>
  </w:style>
  <w:style w:type="paragraph" w:customStyle="1" w:styleId="References">
    <w:name w:val="References"/>
    <w:basedOn w:val="Normal"/>
    <w:rsid w:val="00BD4A31"/>
    <w:pPr>
      <w:widowControl w:val="0"/>
      <w:autoSpaceDE w:val="0"/>
      <w:autoSpaceDN w:val="0"/>
      <w:adjustRightInd w:val="0"/>
      <w:ind w:left="202" w:hanging="202"/>
      <w:textAlignment w:val="center"/>
    </w:pPr>
    <w:rPr>
      <w:rFonts w:cs="TimesLTStd-Roman"/>
      <w:szCs w:val="20"/>
    </w:rPr>
  </w:style>
  <w:style w:type="paragraph" w:customStyle="1" w:styleId="Extract">
    <w:name w:val="Extract"/>
    <w:next w:val="Normal"/>
    <w:uiPriority w:val="99"/>
    <w:semiHidden/>
    <w:rsid w:val="00BD4A31"/>
    <w:pPr>
      <w:spacing w:before="260" w:line="360" w:lineRule="auto"/>
      <w:ind w:left="720" w:right="720"/>
      <w:jc w:val="both"/>
    </w:pPr>
    <w:rPr>
      <w:rFonts w:ascii="Times New Roman" w:hAnsi="Times New Roman" w:cs="TimesLTStd-Italic"/>
      <w:i/>
      <w:iCs/>
      <w:color w:val="000000"/>
      <w:sz w:val="24"/>
    </w:rPr>
  </w:style>
  <w:style w:type="paragraph" w:customStyle="1" w:styleId="Tagline">
    <w:name w:val="Tagline"/>
    <w:basedOn w:val="Normal"/>
    <w:next w:val="Normal"/>
    <w:uiPriority w:val="99"/>
    <w:semiHidden/>
    <w:qFormat/>
    <w:rsid w:val="00314302"/>
    <w:pPr>
      <w:spacing w:after="120"/>
      <w:ind w:left="720" w:right="720" w:firstLine="0"/>
      <w:jc w:val="right"/>
    </w:pPr>
  </w:style>
  <w:style w:type="paragraph" w:styleId="FootnoteText">
    <w:name w:val="footnote text"/>
    <w:basedOn w:val="Normal"/>
    <w:link w:val="FootnoteTextChar"/>
    <w:uiPriority w:val="99"/>
    <w:semiHidden/>
    <w:locked/>
    <w:rsid w:val="0038690E"/>
    <w:pPr>
      <w:spacing w:line="180" w:lineRule="atLeast"/>
    </w:pPr>
    <w:rPr>
      <w:sz w:val="16"/>
    </w:rPr>
  </w:style>
  <w:style w:type="character" w:customStyle="1" w:styleId="FootnoteTextChar">
    <w:name w:val="Footnote Text Char"/>
    <w:basedOn w:val="DefaultParagraphFont"/>
    <w:link w:val="FootnoteText"/>
    <w:uiPriority w:val="99"/>
    <w:semiHidden/>
    <w:rsid w:val="002342EF"/>
    <w:rPr>
      <w:rFonts w:ascii="Times New Roman" w:hAnsi="Times New Roman"/>
      <w:color w:val="000000"/>
      <w:sz w:val="16"/>
    </w:rPr>
  </w:style>
  <w:style w:type="character" w:styleId="FootnoteReference">
    <w:name w:val="footnote reference"/>
    <w:basedOn w:val="DefaultParagraphFont"/>
    <w:uiPriority w:val="99"/>
    <w:semiHidden/>
    <w:locked/>
    <w:rsid w:val="007542F9"/>
    <w:rPr>
      <w:rFonts w:ascii="Times New Roman" w:hAnsi="Times New Roman"/>
      <w:sz w:val="24"/>
      <w:bdr w:val="none" w:sz="0" w:space="0" w:color="auto"/>
      <w:vertAlign w:val="superscript"/>
    </w:rPr>
  </w:style>
  <w:style w:type="paragraph" w:customStyle="1" w:styleId="FigureTitle">
    <w:name w:val="Figure Title"/>
    <w:next w:val="Normal"/>
    <w:rsid w:val="0031026D"/>
    <w:pPr>
      <w:keepLines/>
      <w:suppressAutoHyphens/>
      <w:spacing w:after="80" w:line="180" w:lineRule="atLeast"/>
      <w:jc w:val="center"/>
    </w:pPr>
    <w:rPr>
      <w:rFonts w:ascii="Times New Roman" w:hAnsi="Times New Roman" w:cs="TimesLTStd-Roman"/>
      <w:smallCaps/>
      <w:color w:val="000000"/>
      <w:spacing w:val="-1"/>
      <w:sz w:val="16"/>
      <w:szCs w:val="16"/>
    </w:rPr>
  </w:style>
  <w:style w:type="paragraph" w:customStyle="1" w:styleId="FigureNotes">
    <w:name w:val="Figure Notes"/>
    <w:next w:val="Normal"/>
    <w:rsid w:val="00BD4A31"/>
    <w:pPr>
      <w:tabs>
        <w:tab w:val="right" w:pos="440"/>
        <w:tab w:val="left" w:pos="480"/>
      </w:tabs>
      <w:spacing w:before="120" w:after="120" w:line="180" w:lineRule="atLeast"/>
      <w:jc w:val="both"/>
    </w:pPr>
    <w:rPr>
      <w:rFonts w:ascii="Times New Roman" w:hAnsi="Times New Roman" w:cs="TimesLTStd-Roman"/>
      <w:color w:val="000000"/>
      <w:sz w:val="16"/>
      <w:szCs w:val="16"/>
    </w:rPr>
  </w:style>
  <w:style w:type="paragraph" w:customStyle="1" w:styleId="TableTitle">
    <w:name w:val="Table Title"/>
    <w:rsid w:val="003B1254"/>
    <w:pPr>
      <w:pBdr>
        <w:bottom w:val="double" w:sz="2" w:space="1" w:color="auto"/>
      </w:pBdr>
      <w:suppressAutoHyphens/>
      <w:spacing w:after="160" w:line="180" w:lineRule="atLeast"/>
      <w:ind w:right="720"/>
      <w:jc w:val="center"/>
    </w:pPr>
    <w:rPr>
      <w:rFonts w:ascii="Times New Roman" w:hAnsi="Times New Roman" w:cs="TimesLTStd-Roman"/>
      <w:smallCaps/>
      <w:color w:val="000000"/>
      <w:spacing w:val="-1"/>
      <w:w w:val="97"/>
      <w:sz w:val="16"/>
      <w:szCs w:val="16"/>
    </w:rPr>
  </w:style>
  <w:style w:type="paragraph" w:customStyle="1" w:styleId="TableNotes">
    <w:name w:val="Table Notes"/>
    <w:rsid w:val="003B1254"/>
    <w:pPr>
      <w:spacing w:before="120" w:line="180" w:lineRule="atLeast"/>
      <w:ind w:right="720"/>
      <w:jc w:val="both"/>
    </w:pPr>
    <w:rPr>
      <w:rFonts w:ascii="Times New Roman" w:hAnsi="Times New Roman" w:cs="TimesLTStd-Roman"/>
      <w:color w:val="000000"/>
      <w:sz w:val="16"/>
      <w:szCs w:val="16"/>
    </w:rPr>
  </w:style>
  <w:style w:type="paragraph" w:customStyle="1" w:styleId="TableText">
    <w:name w:val="Table Text"/>
    <w:rsid w:val="003B1254"/>
    <w:pPr>
      <w:spacing w:line="180" w:lineRule="atLeast"/>
      <w:jc w:val="center"/>
    </w:pPr>
    <w:rPr>
      <w:rFonts w:ascii="Times New Roman" w:hAnsi="Times New Roman" w:cs="TimesLTStd-Roman"/>
      <w:color w:val="000000"/>
      <w:sz w:val="16"/>
      <w:szCs w:val="16"/>
    </w:rPr>
  </w:style>
  <w:style w:type="paragraph" w:styleId="Title">
    <w:name w:val="Title"/>
    <w:next w:val="Author"/>
    <w:link w:val="TitleChar"/>
    <w:qFormat/>
    <w:rsid w:val="003B1254"/>
    <w:pPr>
      <w:spacing w:after="300" w:line="360" w:lineRule="auto"/>
      <w:contextualSpacing/>
      <w:jc w:val="center"/>
    </w:pPr>
    <w:rPr>
      <w:rFonts w:ascii="Arial" w:eastAsia="Times New Roman" w:hAnsi="Arial"/>
      <w:color w:val="000000"/>
      <w:kern w:val="28"/>
      <w:sz w:val="28"/>
      <w:szCs w:val="52"/>
    </w:rPr>
  </w:style>
  <w:style w:type="character" w:customStyle="1" w:styleId="TitleChar">
    <w:name w:val="Title Char"/>
    <w:basedOn w:val="DefaultParagraphFont"/>
    <w:link w:val="Title"/>
    <w:rsid w:val="00314302"/>
    <w:rPr>
      <w:rFonts w:ascii="Arial" w:eastAsia="Times New Roman" w:hAnsi="Arial"/>
      <w:color w:val="000000"/>
      <w:kern w:val="28"/>
      <w:sz w:val="28"/>
      <w:szCs w:val="52"/>
      <w:lang w:val="en-US" w:eastAsia="en-US" w:bidi="ar-SA"/>
    </w:rPr>
  </w:style>
  <w:style w:type="paragraph" w:styleId="ListBullet">
    <w:name w:val="List Bullet"/>
    <w:basedOn w:val="Normal"/>
    <w:next w:val="Normal"/>
    <w:rsid w:val="003351AC"/>
    <w:pPr>
      <w:numPr>
        <w:numId w:val="17"/>
      </w:numPr>
      <w:contextualSpacing/>
    </w:pPr>
  </w:style>
  <w:style w:type="paragraph" w:styleId="ListNumber">
    <w:name w:val="List Number"/>
    <w:basedOn w:val="Normal"/>
    <w:next w:val="Normal"/>
    <w:rsid w:val="003351AC"/>
    <w:pPr>
      <w:numPr>
        <w:numId w:val="18"/>
      </w:numPr>
      <w:tabs>
        <w:tab w:val="clear" w:pos="1195"/>
      </w:tabs>
      <w:spacing w:after="260"/>
      <w:ind w:left="1555" w:hanging="720"/>
    </w:pPr>
  </w:style>
  <w:style w:type="paragraph" w:customStyle="1" w:styleId="FigurePlaceholder">
    <w:name w:val="Figure Placeholder"/>
    <w:basedOn w:val="Normal"/>
    <w:next w:val="Normal"/>
    <w:qFormat/>
    <w:rsid w:val="00AB33DA"/>
    <w:pPr>
      <w:spacing w:before="260" w:after="260"/>
      <w:jc w:val="center"/>
    </w:pPr>
  </w:style>
  <w:style w:type="character" w:customStyle="1" w:styleId="TableFootLetter">
    <w:name w:val="Table FootLetter"/>
    <w:basedOn w:val="DefaultParagraphFont"/>
    <w:rsid w:val="00BD4A31"/>
    <w:rPr>
      <w:rFonts w:ascii="Times New Roman" w:hAnsi="Times New Roman"/>
      <w:sz w:val="16"/>
      <w:bdr w:val="none" w:sz="0" w:space="0" w:color="auto"/>
      <w:vertAlign w:val="superscript"/>
    </w:rPr>
  </w:style>
  <w:style w:type="paragraph" w:customStyle="1" w:styleId="TableFootnote">
    <w:name w:val="Table Footnote"/>
    <w:basedOn w:val="TableNotes"/>
    <w:next w:val="TableNotes"/>
    <w:qFormat/>
    <w:rsid w:val="005118B9"/>
  </w:style>
  <w:style w:type="paragraph" w:customStyle="1" w:styleId="TablePlaceholder">
    <w:name w:val="Table Placeholder"/>
    <w:basedOn w:val="FigurePlaceholder"/>
    <w:next w:val="NoParagraphStyle"/>
    <w:qFormat/>
    <w:rsid w:val="00AB33DA"/>
  </w:style>
  <w:style w:type="paragraph" w:styleId="DocumentMap">
    <w:name w:val="Document Map"/>
    <w:basedOn w:val="Normal"/>
    <w:link w:val="DocumentMapChar"/>
    <w:uiPriority w:val="99"/>
    <w:semiHidden/>
    <w:rsid w:val="00CB7232"/>
    <w:rPr>
      <w:rFonts w:ascii="Lucida Grande" w:hAnsi="Lucida Grande"/>
    </w:rPr>
  </w:style>
  <w:style w:type="character" w:customStyle="1" w:styleId="DocumentMapChar">
    <w:name w:val="Document Map Char"/>
    <w:basedOn w:val="DefaultParagraphFont"/>
    <w:link w:val="DocumentMap"/>
    <w:uiPriority w:val="99"/>
    <w:semiHidden/>
    <w:rsid w:val="008C4881"/>
    <w:rPr>
      <w:rFonts w:ascii="Lucida Grande" w:hAnsi="Lucida Grande"/>
      <w:sz w:val="24"/>
      <w:szCs w:val="24"/>
    </w:rPr>
  </w:style>
  <w:style w:type="character" w:styleId="CommentReference">
    <w:name w:val="annotation reference"/>
    <w:basedOn w:val="DefaultParagraphFont"/>
    <w:uiPriority w:val="99"/>
    <w:semiHidden/>
    <w:rsid w:val="00CB7232"/>
    <w:rPr>
      <w:sz w:val="18"/>
      <w:szCs w:val="18"/>
    </w:rPr>
  </w:style>
  <w:style w:type="paragraph" w:styleId="CommentText">
    <w:name w:val="annotation text"/>
    <w:basedOn w:val="Normal"/>
    <w:link w:val="CommentTextChar"/>
    <w:uiPriority w:val="99"/>
    <w:semiHidden/>
    <w:rsid w:val="00CB7232"/>
  </w:style>
  <w:style w:type="character" w:customStyle="1" w:styleId="CommentTextChar">
    <w:name w:val="Comment Text Char"/>
    <w:basedOn w:val="DefaultParagraphFont"/>
    <w:link w:val="CommentText"/>
    <w:uiPriority w:val="99"/>
    <w:semiHidden/>
    <w:rsid w:val="008C4881"/>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CB7232"/>
    <w:rPr>
      <w:b/>
      <w:bCs/>
      <w:sz w:val="20"/>
      <w:szCs w:val="20"/>
    </w:rPr>
  </w:style>
  <w:style w:type="character" w:customStyle="1" w:styleId="CommentSubjectChar">
    <w:name w:val="Comment Subject Char"/>
    <w:basedOn w:val="CommentTextChar"/>
    <w:link w:val="CommentSubject"/>
    <w:uiPriority w:val="99"/>
    <w:semiHidden/>
    <w:rsid w:val="008C4881"/>
    <w:rPr>
      <w:rFonts w:ascii="Times New Roman" w:hAnsi="Times New Roman"/>
      <w:b/>
      <w:bCs/>
      <w:sz w:val="24"/>
      <w:szCs w:val="24"/>
    </w:rPr>
  </w:style>
  <w:style w:type="paragraph" w:styleId="BalloonText">
    <w:name w:val="Balloon Text"/>
    <w:basedOn w:val="Normal"/>
    <w:link w:val="BalloonTextChar"/>
    <w:uiPriority w:val="99"/>
    <w:semiHidden/>
    <w:rsid w:val="000B4D4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81"/>
    <w:rPr>
      <w:rFonts w:ascii="Lucida Grande" w:hAnsi="Lucida Grande"/>
      <w:sz w:val="18"/>
      <w:szCs w:val="18"/>
    </w:rPr>
  </w:style>
  <w:style w:type="paragraph" w:styleId="Header">
    <w:name w:val="header"/>
    <w:basedOn w:val="Normal"/>
    <w:link w:val="HeaderChar"/>
    <w:uiPriority w:val="99"/>
    <w:semiHidden/>
    <w:rsid w:val="005E12CF"/>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5E12CF"/>
    <w:rPr>
      <w:rFonts w:ascii="Times New Roman" w:hAnsi="Times New Roman"/>
      <w:sz w:val="24"/>
      <w:szCs w:val="24"/>
    </w:rPr>
  </w:style>
  <w:style w:type="paragraph" w:styleId="Footer">
    <w:name w:val="footer"/>
    <w:basedOn w:val="Normal"/>
    <w:link w:val="FooterChar"/>
    <w:uiPriority w:val="99"/>
    <w:rsid w:val="005E12CF"/>
    <w:pPr>
      <w:tabs>
        <w:tab w:val="center" w:pos="4703"/>
        <w:tab w:val="right" w:pos="9406"/>
      </w:tabs>
      <w:spacing w:line="240" w:lineRule="auto"/>
    </w:pPr>
  </w:style>
  <w:style w:type="character" w:customStyle="1" w:styleId="FooterChar">
    <w:name w:val="Footer Char"/>
    <w:basedOn w:val="DefaultParagraphFont"/>
    <w:link w:val="Footer"/>
    <w:uiPriority w:val="99"/>
    <w:rsid w:val="005E12CF"/>
    <w:rPr>
      <w:rFonts w:ascii="Times New Roman" w:hAnsi="Times New Roman"/>
      <w:sz w:val="24"/>
      <w:szCs w:val="24"/>
    </w:rPr>
  </w:style>
  <w:style w:type="character" w:styleId="Emphasis">
    <w:name w:val="Emphasis"/>
    <w:basedOn w:val="DefaultParagraphFont"/>
    <w:uiPriority w:val="20"/>
    <w:qFormat/>
    <w:rsid w:val="005E12CF"/>
    <w:rPr>
      <w:i/>
      <w:iCs/>
    </w:rPr>
  </w:style>
  <w:style w:type="paragraph" w:customStyle="1" w:styleId="Source">
    <w:name w:val="Source"/>
    <w:basedOn w:val="Normal"/>
    <w:next w:val="Normal"/>
    <w:link w:val="SourceZchn"/>
    <w:rsid w:val="005E12CF"/>
    <w:pPr>
      <w:spacing w:before="60" w:after="240" w:line="240" w:lineRule="auto"/>
      <w:ind w:left="907" w:hanging="907"/>
    </w:pPr>
    <w:rPr>
      <w:rFonts w:eastAsia="Times New Roman"/>
      <w:i/>
      <w:sz w:val="18"/>
      <w:szCs w:val="20"/>
      <w:lang w:val="en-GB" w:eastAsia="de-AT"/>
    </w:rPr>
  </w:style>
  <w:style w:type="character" w:customStyle="1" w:styleId="SourceZchn">
    <w:name w:val="Source Zchn"/>
    <w:link w:val="Source"/>
    <w:locked/>
    <w:rsid w:val="005E12CF"/>
    <w:rPr>
      <w:rFonts w:ascii="Times New Roman" w:eastAsia="Times New Roman" w:hAnsi="Times New Roman"/>
      <w:i/>
      <w:sz w:val="18"/>
      <w:lang w:val="en-GB" w:eastAsia="de-AT"/>
    </w:rPr>
  </w:style>
  <w:style w:type="paragraph" w:customStyle="1" w:styleId="Table">
    <w:name w:val="Table"/>
    <w:basedOn w:val="Normal"/>
    <w:next w:val="Normal"/>
    <w:link w:val="TableZchn"/>
    <w:rsid w:val="005E12CF"/>
    <w:pPr>
      <w:spacing w:before="240" w:after="120" w:line="240" w:lineRule="auto"/>
      <w:ind w:left="851" w:hanging="851"/>
    </w:pPr>
    <w:rPr>
      <w:rFonts w:eastAsia="Times New Roman"/>
      <w:i/>
      <w:szCs w:val="20"/>
      <w:lang w:val="en-GB" w:eastAsia="de-AT"/>
    </w:rPr>
  </w:style>
  <w:style w:type="character" w:customStyle="1" w:styleId="TableZchn">
    <w:name w:val="Table Zchn"/>
    <w:link w:val="Table"/>
    <w:locked/>
    <w:rsid w:val="005E12CF"/>
    <w:rPr>
      <w:rFonts w:ascii="Times New Roman" w:eastAsia="Times New Roman" w:hAnsi="Times New Roman"/>
      <w:i/>
      <w:sz w:val="24"/>
      <w:lang w:val="en-GB" w:eastAsia="de-AT"/>
    </w:rPr>
  </w:style>
  <w:style w:type="character" w:customStyle="1" w:styleId="il">
    <w:name w:val="il"/>
    <w:basedOn w:val="DefaultParagraphFont"/>
    <w:rsid w:val="00B96FA6"/>
  </w:style>
  <w:style w:type="paragraph" w:styleId="Caption">
    <w:name w:val="caption"/>
    <w:basedOn w:val="Normal"/>
    <w:next w:val="Normal"/>
    <w:unhideWhenUsed/>
    <w:qFormat/>
    <w:rsid w:val="00B96FA6"/>
    <w:pPr>
      <w:spacing w:after="200" w:line="240" w:lineRule="auto"/>
      <w:ind w:firstLine="0"/>
      <w:jc w:val="left"/>
    </w:pPr>
    <w:rPr>
      <w:rFonts w:eastAsia="Times New Roman"/>
      <w:i/>
      <w:iCs/>
      <w:color w:val="44546A" w:themeColor="text2"/>
      <w:sz w:val="18"/>
      <w:szCs w:val="18"/>
      <w:lang w:val="en-GB" w:eastAsia="en-GB"/>
    </w:rPr>
  </w:style>
  <w:style w:type="paragraph" w:styleId="TOCHeading">
    <w:name w:val="TOC Heading"/>
    <w:basedOn w:val="Heading1"/>
    <w:next w:val="Normal"/>
    <w:uiPriority w:val="39"/>
    <w:unhideWhenUsed/>
    <w:qFormat/>
    <w:rsid w:val="00CD6B43"/>
    <w:pPr>
      <w:spacing w:before="240" w:after="0" w:line="259" w:lineRule="auto"/>
      <w:contextualSpacing w:val="0"/>
      <w:jc w:val="left"/>
      <w:outlineLvl w:val="9"/>
    </w:pPr>
    <w:rPr>
      <w:rFonts w:asciiTheme="majorHAnsi" w:eastAsiaTheme="majorEastAsia" w:hAnsiTheme="majorHAnsi" w:cstheme="majorBidi"/>
      <w:b w:val="0"/>
      <w:bCs w:val="0"/>
      <w:color w:val="2E74B5" w:themeColor="accent1" w:themeShade="BF"/>
      <w:sz w:val="32"/>
    </w:rPr>
  </w:style>
  <w:style w:type="paragraph" w:styleId="TOC1">
    <w:name w:val="toc 1"/>
    <w:basedOn w:val="Normal"/>
    <w:next w:val="Normal"/>
    <w:autoRedefine/>
    <w:uiPriority w:val="39"/>
    <w:rsid w:val="00CD6B43"/>
    <w:pPr>
      <w:spacing w:after="100"/>
    </w:pPr>
  </w:style>
  <w:style w:type="paragraph" w:styleId="TOC2">
    <w:name w:val="toc 2"/>
    <w:basedOn w:val="Normal"/>
    <w:next w:val="Normal"/>
    <w:autoRedefine/>
    <w:uiPriority w:val="39"/>
    <w:rsid w:val="00CD6B43"/>
    <w:pPr>
      <w:spacing w:after="100"/>
      <w:ind w:left="240"/>
    </w:pPr>
  </w:style>
  <w:style w:type="paragraph" w:styleId="TOC3">
    <w:name w:val="toc 3"/>
    <w:basedOn w:val="Normal"/>
    <w:next w:val="Normal"/>
    <w:autoRedefine/>
    <w:uiPriority w:val="39"/>
    <w:rsid w:val="00CD6B43"/>
    <w:pPr>
      <w:spacing w:after="100"/>
      <w:ind w:left="480"/>
    </w:pPr>
  </w:style>
  <w:style w:type="character" w:styleId="Hyperlink">
    <w:name w:val="Hyperlink"/>
    <w:basedOn w:val="DefaultParagraphFont"/>
    <w:uiPriority w:val="99"/>
    <w:unhideWhenUsed/>
    <w:rsid w:val="00CD6B43"/>
    <w:rPr>
      <w:color w:val="0563C1" w:themeColor="hyperlink"/>
      <w:u w:val="single"/>
    </w:rPr>
  </w:style>
  <w:style w:type="character" w:styleId="FollowedHyperlink">
    <w:name w:val="FollowedHyperlink"/>
    <w:basedOn w:val="DefaultParagraphFont"/>
    <w:uiPriority w:val="99"/>
    <w:semiHidden/>
    <w:unhideWhenUsed/>
    <w:rsid w:val="008168ED"/>
    <w:rPr>
      <w:color w:val="954F72" w:themeColor="followedHyperlink"/>
      <w:u w:val="single"/>
    </w:rPr>
  </w:style>
  <w:style w:type="paragraph" w:customStyle="1" w:styleId="msonormal0">
    <w:name w:val="msonormal"/>
    <w:basedOn w:val="Normal"/>
    <w:rsid w:val="008168ED"/>
    <w:pPr>
      <w:spacing w:before="100" w:beforeAutospacing="1" w:after="100" w:afterAutospacing="1" w:line="240" w:lineRule="auto"/>
      <w:ind w:firstLine="0"/>
      <w:jc w:val="left"/>
    </w:pPr>
    <w:rPr>
      <w:rFonts w:eastAsia="Times New Roman"/>
    </w:rPr>
  </w:style>
  <w:style w:type="character" w:styleId="PlaceholderText">
    <w:name w:val="Placeholder Text"/>
    <w:basedOn w:val="DefaultParagraphFont"/>
    <w:uiPriority w:val="99"/>
    <w:semiHidden/>
    <w:rsid w:val="00756B25"/>
    <w:rPr>
      <w:color w:val="808080"/>
    </w:rPr>
  </w:style>
  <w:style w:type="character" w:customStyle="1" w:styleId="st">
    <w:name w:val="st"/>
    <w:basedOn w:val="DefaultParagraphFont"/>
    <w:rsid w:val="00AC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11144">
      <w:bodyDiv w:val="1"/>
      <w:marLeft w:val="0"/>
      <w:marRight w:val="0"/>
      <w:marTop w:val="0"/>
      <w:marBottom w:val="0"/>
      <w:divBdr>
        <w:top w:val="none" w:sz="0" w:space="0" w:color="auto"/>
        <w:left w:val="none" w:sz="0" w:space="0" w:color="auto"/>
        <w:bottom w:val="none" w:sz="0" w:space="0" w:color="auto"/>
        <w:right w:val="none" w:sz="0" w:space="0" w:color="auto"/>
      </w:divBdr>
      <w:divsChild>
        <w:div w:id="1672217954">
          <w:marLeft w:val="0"/>
          <w:marRight w:val="0"/>
          <w:marTop w:val="0"/>
          <w:marBottom w:val="0"/>
          <w:divBdr>
            <w:top w:val="none" w:sz="0" w:space="0" w:color="auto"/>
            <w:left w:val="none" w:sz="0" w:space="0" w:color="auto"/>
            <w:bottom w:val="none" w:sz="0" w:space="0" w:color="auto"/>
            <w:right w:val="none" w:sz="0" w:space="0" w:color="auto"/>
          </w:divBdr>
        </w:div>
      </w:divsChild>
    </w:div>
    <w:div w:id="338123034">
      <w:bodyDiv w:val="1"/>
      <w:marLeft w:val="0"/>
      <w:marRight w:val="0"/>
      <w:marTop w:val="0"/>
      <w:marBottom w:val="0"/>
      <w:divBdr>
        <w:top w:val="none" w:sz="0" w:space="0" w:color="auto"/>
        <w:left w:val="none" w:sz="0" w:space="0" w:color="auto"/>
        <w:bottom w:val="none" w:sz="0" w:space="0" w:color="auto"/>
        <w:right w:val="none" w:sz="0" w:space="0" w:color="auto"/>
      </w:divBdr>
      <w:divsChild>
        <w:div w:id="1432774120">
          <w:marLeft w:val="0"/>
          <w:marRight w:val="0"/>
          <w:marTop w:val="0"/>
          <w:marBottom w:val="0"/>
          <w:divBdr>
            <w:top w:val="none" w:sz="0" w:space="0" w:color="auto"/>
            <w:left w:val="none" w:sz="0" w:space="0" w:color="auto"/>
            <w:bottom w:val="none" w:sz="0" w:space="0" w:color="auto"/>
            <w:right w:val="none" w:sz="0" w:space="0" w:color="auto"/>
          </w:divBdr>
        </w:div>
      </w:divsChild>
    </w:div>
    <w:div w:id="340200497">
      <w:bodyDiv w:val="1"/>
      <w:marLeft w:val="0"/>
      <w:marRight w:val="0"/>
      <w:marTop w:val="0"/>
      <w:marBottom w:val="0"/>
      <w:divBdr>
        <w:top w:val="none" w:sz="0" w:space="0" w:color="auto"/>
        <w:left w:val="none" w:sz="0" w:space="0" w:color="auto"/>
        <w:bottom w:val="none" w:sz="0" w:space="0" w:color="auto"/>
        <w:right w:val="none" w:sz="0" w:space="0" w:color="auto"/>
      </w:divBdr>
    </w:div>
    <w:div w:id="514458745">
      <w:bodyDiv w:val="1"/>
      <w:marLeft w:val="0"/>
      <w:marRight w:val="0"/>
      <w:marTop w:val="0"/>
      <w:marBottom w:val="0"/>
      <w:divBdr>
        <w:top w:val="none" w:sz="0" w:space="0" w:color="auto"/>
        <w:left w:val="none" w:sz="0" w:space="0" w:color="auto"/>
        <w:bottom w:val="none" w:sz="0" w:space="0" w:color="auto"/>
        <w:right w:val="none" w:sz="0" w:space="0" w:color="auto"/>
      </w:divBdr>
    </w:div>
    <w:div w:id="528376703">
      <w:bodyDiv w:val="1"/>
      <w:marLeft w:val="0"/>
      <w:marRight w:val="0"/>
      <w:marTop w:val="0"/>
      <w:marBottom w:val="0"/>
      <w:divBdr>
        <w:top w:val="none" w:sz="0" w:space="0" w:color="auto"/>
        <w:left w:val="none" w:sz="0" w:space="0" w:color="auto"/>
        <w:bottom w:val="none" w:sz="0" w:space="0" w:color="auto"/>
        <w:right w:val="none" w:sz="0" w:space="0" w:color="auto"/>
      </w:divBdr>
    </w:div>
    <w:div w:id="754978042">
      <w:bodyDiv w:val="1"/>
      <w:marLeft w:val="0"/>
      <w:marRight w:val="0"/>
      <w:marTop w:val="0"/>
      <w:marBottom w:val="0"/>
      <w:divBdr>
        <w:top w:val="none" w:sz="0" w:space="0" w:color="auto"/>
        <w:left w:val="none" w:sz="0" w:space="0" w:color="auto"/>
        <w:bottom w:val="none" w:sz="0" w:space="0" w:color="auto"/>
        <w:right w:val="none" w:sz="0" w:space="0" w:color="auto"/>
      </w:divBdr>
      <w:divsChild>
        <w:div w:id="591746562">
          <w:marLeft w:val="0"/>
          <w:marRight w:val="0"/>
          <w:marTop w:val="0"/>
          <w:marBottom w:val="0"/>
          <w:divBdr>
            <w:top w:val="none" w:sz="0" w:space="0" w:color="auto"/>
            <w:left w:val="none" w:sz="0" w:space="0" w:color="auto"/>
            <w:bottom w:val="none" w:sz="0" w:space="0" w:color="auto"/>
            <w:right w:val="none" w:sz="0" w:space="0" w:color="auto"/>
          </w:divBdr>
        </w:div>
      </w:divsChild>
    </w:div>
    <w:div w:id="812798302">
      <w:bodyDiv w:val="1"/>
      <w:marLeft w:val="0"/>
      <w:marRight w:val="0"/>
      <w:marTop w:val="0"/>
      <w:marBottom w:val="0"/>
      <w:divBdr>
        <w:top w:val="none" w:sz="0" w:space="0" w:color="auto"/>
        <w:left w:val="none" w:sz="0" w:space="0" w:color="auto"/>
        <w:bottom w:val="none" w:sz="0" w:space="0" w:color="auto"/>
        <w:right w:val="none" w:sz="0" w:space="0" w:color="auto"/>
      </w:divBdr>
      <w:divsChild>
        <w:div w:id="2057922582">
          <w:marLeft w:val="0"/>
          <w:marRight w:val="0"/>
          <w:marTop w:val="0"/>
          <w:marBottom w:val="0"/>
          <w:divBdr>
            <w:top w:val="none" w:sz="0" w:space="0" w:color="auto"/>
            <w:left w:val="none" w:sz="0" w:space="0" w:color="auto"/>
            <w:bottom w:val="none" w:sz="0" w:space="0" w:color="auto"/>
            <w:right w:val="none" w:sz="0" w:space="0" w:color="auto"/>
          </w:divBdr>
        </w:div>
      </w:divsChild>
    </w:div>
    <w:div w:id="1124038717">
      <w:bodyDiv w:val="1"/>
      <w:marLeft w:val="0"/>
      <w:marRight w:val="0"/>
      <w:marTop w:val="0"/>
      <w:marBottom w:val="0"/>
      <w:divBdr>
        <w:top w:val="none" w:sz="0" w:space="0" w:color="auto"/>
        <w:left w:val="none" w:sz="0" w:space="0" w:color="auto"/>
        <w:bottom w:val="none" w:sz="0" w:space="0" w:color="auto"/>
        <w:right w:val="none" w:sz="0" w:space="0" w:color="auto"/>
      </w:divBdr>
      <w:divsChild>
        <w:div w:id="340857959">
          <w:marLeft w:val="0"/>
          <w:marRight w:val="0"/>
          <w:marTop w:val="0"/>
          <w:marBottom w:val="0"/>
          <w:divBdr>
            <w:top w:val="none" w:sz="0" w:space="0" w:color="auto"/>
            <w:left w:val="none" w:sz="0" w:space="0" w:color="auto"/>
            <w:bottom w:val="none" w:sz="0" w:space="0" w:color="auto"/>
            <w:right w:val="none" w:sz="0" w:space="0" w:color="auto"/>
          </w:divBdr>
        </w:div>
      </w:divsChild>
    </w:div>
    <w:div w:id="1261795372">
      <w:bodyDiv w:val="1"/>
      <w:marLeft w:val="0"/>
      <w:marRight w:val="0"/>
      <w:marTop w:val="0"/>
      <w:marBottom w:val="0"/>
      <w:divBdr>
        <w:top w:val="none" w:sz="0" w:space="0" w:color="auto"/>
        <w:left w:val="none" w:sz="0" w:space="0" w:color="auto"/>
        <w:bottom w:val="none" w:sz="0" w:space="0" w:color="auto"/>
        <w:right w:val="none" w:sz="0" w:space="0" w:color="auto"/>
      </w:divBdr>
    </w:div>
    <w:div w:id="1610694562">
      <w:bodyDiv w:val="1"/>
      <w:marLeft w:val="0"/>
      <w:marRight w:val="0"/>
      <w:marTop w:val="0"/>
      <w:marBottom w:val="0"/>
      <w:divBdr>
        <w:top w:val="none" w:sz="0" w:space="0" w:color="auto"/>
        <w:left w:val="none" w:sz="0" w:space="0" w:color="auto"/>
        <w:bottom w:val="none" w:sz="0" w:space="0" w:color="auto"/>
        <w:right w:val="none" w:sz="0" w:space="0" w:color="auto"/>
      </w:divBdr>
    </w:div>
    <w:div w:id="1829711717">
      <w:bodyDiv w:val="1"/>
      <w:marLeft w:val="0"/>
      <w:marRight w:val="0"/>
      <w:marTop w:val="0"/>
      <w:marBottom w:val="0"/>
      <w:divBdr>
        <w:top w:val="none" w:sz="0" w:space="0" w:color="auto"/>
        <w:left w:val="none" w:sz="0" w:space="0" w:color="auto"/>
        <w:bottom w:val="none" w:sz="0" w:space="0" w:color="auto"/>
        <w:right w:val="none" w:sz="0" w:space="0" w:color="auto"/>
      </w:divBdr>
      <w:divsChild>
        <w:div w:id="1842313804">
          <w:marLeft w:val="0"/>
          <w:marRight w:val="0"/>
          <w:marTop w:val="0"/>
          <w:marBottom w:val="0"/>
          <w:divBdr>
            <w:top w:val="none" w:sz="0" w:space="0" w:color="auto"/>
            <w:left w:val="none" w:sz="0" w:space="0" w:color="auto"/>
            <w:bottom w:val="none" w:sz="0" w:space="0" w:color="auto"/>
            <w:right w:val="none" w:sz="0" w:space="0" w:color="auto"/>
          </w:divBdr>
        </w:div>
      </w:divsChild>
    </w:div>
    <w:div w:id="2138329110">
      <w:bodyDiv w:val="1"/>
      <w:marLeft w:val="0"/>
      <w:marRight w:val="0"/>
      <w:marTop w:val="0"/>
      <w:marBottom w:val="0"/>
      <w:divBdr>
        <w:top w:val="none" w:sz="0" w:space="0" w:color="auto"/>
        <w:left w:val="none" w:sz="0" w:space="0" w:color="auto"/>
        <w:bottom w:val="none" w:sz="0" w:space="0" w:color="auto"/>
        <w:right w:val="none" w:sz="0" w:space="0" w:color="auto"/>
      </w:divBdr>
      <w:divsChild>
        <w:div w:id="12092228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821483\AppData\Local\Temp\1\Temp1_word_templates.zip\word_templates\AER_AEJ_Word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6325-99B1-482E-8642-8083D915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AER_AEJ_WordTemplate.dot</Template>
  <TotalTime>76</TotalTime>
  <Pages>18</Pages>
  <Words>2186</Words>
  <Characters>12465</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AEA Publications</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MONNET Eric (UA 1487)</dc:creator>
  <cp:lastModifiedBy>Matthias Morys</cp:lastModifiedBy>
  <cp:revision>70</cp:revision>
  <cp:lastPrinted>2022-03-19T08:50:00Z</cp:lastPrinted>
  <dcterms:created xsi:type="dcterms:W3CDTF">2022-03-09T19:38:00Z</dcterms:created>
  <dcterms:modified xsi:type="dcterms:W3CDTF">2022-04-25T06:23:00Z</dcterms:modified>
</cp:coreProperties>
</file>