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CF157" w14:textId="77777777" w:rsidR="00080ED7" w:rsidRPr="006655BC" w:rsidRDefault="001364BE" w:rsidP="00080ED7">
      <w:pPr>
        <w:pStyle w:val="Appenidx"/>
        <w:ind w:hanging="360"/>
        <w:jc w:val="left"/>
        <w:rPr>
          <w:rFonts w:ascii="Times New Roman" w:hAnsi="Times New Roman" w:cs="Times New Roman"/>
          <w:kern w:val="0"/>
        </w:rPr>
      </w:pPr>
      <w:bookmarkStart w:id="0" w:name="_GoBack"/>
      <w:bookmarkEnd w:id="0"/>
      <w:r w:rsidRPr="006655BC">
        <w:rPr>
          <w:rFonts w:ascii="Times New Roman" w:hAnsi="Times New Roman" w:cs="Times New Roman"/>
          <w:kern w:val="0"/>
        </w:rPr>
        <w:t xml:space="preserve">Online </w:t>
      </w:r>
      <w:r w:rsidR="005B1B25" w:rsidRPr="006655BC">
        <w:rPr>
          <w:rFonts w:ascii="Times New Roman" w:hAnsi="Times New Roman" w:cs="Times New Roman"/>
          <w:kern w:val="0"/>
        </w:rPr>
        <w:t>Appendix</w:t>
      </w:r>
    </w:p>
    <w:p w14:paraId="3C6447B1" w14:textId="4859BF35" w:rsidR="002D101B" w:rsidRPr="006655BC" w:rsidRDefault="00080ED7" w:rsidP="00080ED7">
      <w:pPr>
        <w:pStyle w:val="Heading2"/>
        <w:rPr>
          <w:rFonts w:ascii="Times New Roman" w:hAnsi="Times New Roman" w:cs="Times New Roman"/>
          <w:b/>
          <w:bCs/>
          <w:color w:val="auto"/>
          <w:sz w:val="28"/>
          <w:szCs w:val="28"/>
        </w:rPr>
      </w:pPr>
      <w:r w:rsidRPr="006655BC">
        <w:rPr>
          <w:rFonts w:ascii="Times New Roman" w:hAnsi="Times New Roman" w:cs="Times New Roman"/>
          <w:b/>
          <w:bCs/>
          <w:color w:val="auto"/>
          <w:sz w:val="28"/>
          <w:szCs w:val="28"/>
        </w:rPr>
        <w:t>A.1.</w:t>
      </w:r>
      <w:r w:rsidRPr="006655BC">
        <w:rPr>
          <w:rFonts w:ascii="Times New Roman" w:hAnsi="Times New Roman" w:cs="Times New Roman"/>
          <w:b/>
          <w:bCs/>
          <w:color w:val="auto"/>
          <w:sz w:val="28"/>
          <w:szCs w:val="28"/>
        </w:rPr>
        <w:tab/>
      </w:r>
      <w:r w:rsidR="002D101B" w:rsidRPr="006655BC">
        <w:rPr>
          <w:rFonts w:ascii="Times New Roman" w:hAnsi="Times New Roman" w:cs="Times New Roman"/>
          <w:b/>
          <w:bCs/>
          <w:color w:val="auto"/>
          <w:sz w:val="28"/>
          <w:szCs w:val="28"/>
        </w:rPr>
        <w:t>Using Birth Month in 1900 to Identify Twins</w:t>
      </w:r>
    </w:p>
    <w:p w14:paraId="6E1F285E" w14:textId="77777777" w:rsidR="002D101B" w:rsidRPr="006655BC" w:rsidRDefault="002D101B" w:rsidP="002D1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lang w:val="en-AU" w:eastAsia="en-GB"/>
        </w:rPr>
      </w:pPr>
    </w:p>
    <w:p w14:paraId="3C5C8600" w14:textId="4D5145B6" w:rsidR="002D101B" w:rsidRPr="006655BC" w:rsidRDefault="002D101B" w:rsidP="007B4FCC">
      <w:pPr>
        <w:spacing w:after="120" w:line="360" w:lineRule="auto"/>
        <w:jc w:val="both"/>
        <w:rPr>
          <w:rFonts w:ascii="Times New Roman" w:hAnsi="Times New Roman"/>
        </w:rPr>
      </w:pPr>
      <w:r w:rsidRPr="006655BC">
        <w:rPr>
          <w:rFonts w:ascii="Times New Roman" w:hAnsi="Times New Roman"/>
        </w:rPr>
        <w:t>In the main paper, twins were identified based on their age because exact birth date (or birth month or birth year) are not available in most historical US censuses, including the 1910 and 1920 Federal Censuses. However, in 1900, the census did ask respondents their month and year of birth</w:t>
      </w:r>
      <w:r w:rsidR="00096124" w:rsidRPr="006655BC">
        <w:rPr>
          <w:rFonts w:ascii="Times New Roman" w:hAnsi="Times New Roman"/>
        </w:rPr>
        <w:t>.</w:t>
      </w:r>
      <w:r w:rsidR="00FB77C3" w:rsidRPr="006655BC">
        <w:rPr>
          <w:rStyle w:val="FootnoteReference"/>
          <w:rFonts w:ascii="Times New Roman" w:hAnsi="Times New Roman"/>
        </w:rPr>
        <w:footnoteReference w:id="1"/>
      </w:r>
      <w:r w:rsidRPr="006655BC">
        <w:rPr>
          <w:rFonts w:ascii="Times New Roman" w:hAnsi="Times New Roman"/>
        </w:rPr>
        <w:t xml:space="preserve"> Using these fields, we can examine whether or not our somewhat imperfect method of identifying twins is affecting our results. We find that the return to education estimated with the set of twins we are most confident about in 1900</w:t>
      </w:r>
      <w:r w:rsidR="00413A2C" w:rsidRPr="006655BC">
        <w:rPr>
          <w:rFonts w:ascii="Times New Roman" w:hAnsi="Times New Roman"/>
        </w:rPr>
        <w:t xml:space="preserve"> – </w:t>
      </w:r>
      <w:r w:rsidRPr="006655BC">
        <w:rPr>
          <w:rFonts w:ascii="Times New Roman" w:hAnsi="Times New Roman"/>
        </w:rPr>
        <w:t xml:space="preserve">those with the same age </w:t>
      </w:r>
      <w:r w:rsidRPr="006655BC">
        <w:rPr>
          <w:rFonts w:ascii="Times New Roman" w:hAnsi="Times New Roman"/>
          <w:i/>
          <w:iCs/>
        </w:rPr>
        <w:t>and</w:t>
      </w:r>
      <w:r w:rsidRPr="006655BC">
        <w:rPr>
          <w:rFonts w:ascii="Times New Roman" w:hAnsi="Times New Roman"/>
        </w:rPr>
        <w:t xml:space="preserve"> birth month</w:t>
      </w:r>
      <w:r w:rsidR="00413A2C" w:rsidRPr="006655BC">
        <w:rPr>
          <w:rFonts w:ascii="Times New Roman" w:hAnsi="Times New Roman"/>
        </w:rPr>
        <w:t xml:space="preserve"> – </w:t>
      </w:r>
      <w:r w:rsidRPr="006655BC">
        <w:rPr>
          <w:rFonts w:ascii="Times New Roman" w:hAnsi="Times New Roman"/>
        </w:rPr>
        <w:t>is even lower than the overall return, suggesting that our conclusions are unlikely to be driven by errors in twin tagging.</w:t>
      </w:r>
    </w:p>
    <w:p w14:paraId="6E81D54B" w14:textId="51B1414F" w:rsidR="00AC3695" w:rsidRPr="006655BC" w:rsidRDefault="002D101B" w:rsidP="00CF1919">
      <w:pPr>
        <w:spacing w:after="120" w:line="360" w:lineRule="auto"/>
        <w:jc w:val="both"/>
        <w:rPr>
          <w:rFonts w:ascii="Times New Roman" w:hAnsi="Times New Roman"/>
        </w:rPr>
      </w:pPr>
      <w:r w:rsidRPr="006655BC">
        <w:rPr>
          <w:rFonts w:ascii="Times New Roman" w:hAnsi="Times New Roman"/>
        </w:rPr>
        <w:t xml:space="preserve">We start by looking at the twins we identify in the 1900 census. </w:t>
      </w:r>
      <w:r w:rsidR="00366957" w:rsidRPr="006655BC">
        <w:rPr>
          <w:rFonts w:ascii="Times New Roman" w:hAnsi="Times New Roman"/>
        </w:rPr>
        <w:t>Figure A.</w:t>
      </w:r>
      <w:r w:rsidR="00127C5B" w:rsidRPr="006655BC">
        <w:rPr>
          <w:rFonts w:ascii="Times New Roman" w:hAnsi="Times New Roman"/>
          <w:noProof/>
        </w:rPr>
        <w:t>1</w:t>
      </w:r>
      <w:r w:rsidR="00127C5B" w:rsidRPr="006655BC">
        <w:rPr>
          <w:rFonts w:ascii="Times New Roman" w:hAnsi="Times New Roman"/>
        </w:rPr>
        <w:t xml:space="preserve"> </w:t>
      </w:r>
      <w:r w:rsidRPr="006655BC">
        <w:rPr>
          <w:rFonts w:ascii="Times New Roman" w:hAnsi="Times New Roman"/>
        </w:rPr>
        <w:t xml:space="preserve">indicates that some of our twin pairs have different birth months and may not be actual twins. Overall, 55 percent of the twins in our baseline sample have the same birth month. Put differently, about half of the twins identified in the main text are potentially incorrect. This is consistent with </w:t>
      </w:r>
      <w:r w:rsidR="00CE5E49" w:rsidRPr="006655BC">
        <w:rPr>
          <w:rFonts w:ascii="Times New Roman" w:hAnsi="Times New Roman"/>
          <w:noProof/>
        </w:rPr>
        <w:t>Tan (2019)</w:t>
      </w:r>
      <w:r w:rsidRPr="006655BC">
        <w:rPr>
          <w:rFonts w:ascii="Times New Roman" w:hAnsi="Times New Roman"/>
        </w:rPr>
        <w:t>, who also compares the twin rates in 1900 under the two different definitions. However, because there may be error in birth month</w:t>
      </w:r>
      <w:r w:rsidR="00413A2C" w:rsidRPr="006655BC">
        <w:rPr>
          <w:rFonts w:ascii="Times New Roman" w:hAnsi="Times New Roman"/>
        </w:rPr>
        <w:t xml:space="preserve"> – </w:t>
      </w:r>
      <w:r w:rsidRPr="006655BC">
        <w:rPr>
          <w:rFonts w:ascii="Times New Roman" w:hAnsi="Times New Roman"/>
        </w:rPr>
        <w:t>either in the enumeration or the transcription</w:t>
      </w:r>
      <w:r w:rsidR="00413A2C" w:rsidRPr="006655BC">
        <w:rPr>
          <w:rFonts w:ascii="Times New Roman" w:hAnsi="Times New Roman"/>
        </w:rPr>
        <w:t xml:space="preserve"> – </w:t>
      </w:r>
      <w:r w:rsidRPr="006655BC">
        <w:rPr>
          <w:rFonts w:ascii="Times New Roman" w:hAnsi="Times New Roman"/>
        </w:rPr>
        <w:t xml:space="preserve">some of the 45 percent of twin pairs with mismatched birth months may still be true twins. Further, because the likelihood of twins misclassification varies systematically with various household characteristics, the overall direction of the bias, if any, is unclear </w:t>
      </w:r>
      <w:r w:rsidR="00BD67D8" w:rsidRPr="006655BC">
        <w:rPr>
          <w:rFonts w:ascii="Times New Roman" w:hAnsi="Times New Roman"/>
          <w:noProof/>
        </w:rPr>
        <w:t>(Tan 2019)</w:t>
      </w:r>
      <w:r w:rsidRPr="006655BC">
        <w:rPr>
          <w:rFonts w:ascii="Times New Roman" w:hAnsi="Times New Roman"/>
        </w:rPr>
        <w:t>. The effects of such misclassification on our results remains an empirical issue.</w:t>
      </w:r>
    </w:p>
    <w:p w14:paraId="1D294DD7" w14:textId="15BD3D93" w:rsidR="00CF1919" w:rsidRPr="006655BC" w:rsidRDefault="00CF1919" w:rsidP="00CF1919">
      <w:pPr>
        <w:spacing w:after="120" w:line="360" w:lineRule="auto"/>
        <w:jc w:val="center"/>
        <w:rPr>
          <w:rFonts w:ascii="Times New Roman" w:hAnsi="Times New Roman"/>
        </w:rPr>
      </w:pPr>
      <w:r w:rsidRPr="006655BC">
        <w:rPr>
          <w:rFonts w:ascii="Times New Roman" w:hAnsi="Times New Roman"/>
        </w:rPr>
        <w:t>[Figure A.1 about here]</w:t>
      </w:r>
    </w:p>
    <w:p w14:paraId="39E68E86" w14:textId="7D274938" w:rsidR="00B3419D" w:rsidRPr="006655BC" w:rsidRDefault="00366957" w:rsidP="00374AB9">
      <w:pPr>
        <w:spacing w:after="120" w:line="360" w:lineRule="auto"/>
        <w:jc w:val="both"/>
        <w:rPr>
          <w:rFonts w:ascii="Times New Roman" w:hAnsi="Times New Roman"/>
        </w:rPr>
      </w:pPr>
      <w:r w:rsidRPr="006655BC">
        <w:rPr>
          <w:rFonts w:ascii="Times New Roman" w:hAnsi="Times New Roman"/>
        </w:rPr>
        <w:t>Table A.</w:t>
      </w:r>
      <w:r w:rsidR="00127C5B" w:rsidRPr="006655BC">
        <w:rPr>
          <w:rFonts w:ascii="Times New Roman" w:hAnsi="Times New Roman"/>
          <w:noProof/>
        </w:rPr>
        <w:t>1</w:t>
      </w:r>
      <w:r w:rsidR="00127C5B" w:rsidRPr="006655BC">
        <w:rPr>
          <w:rFonts w:ascii="Times New Roman" w:hAnsi="Times New Roman"/>
        </w:rPr>
        <w:t xml:space="preserve"> </w:t>
      </w:r>
      <w:r w:rsidR="00B3419D" w:rsidRPr="006655BC">
        <w:rPr>
          <w:rFonts w:ascii="Times New Roman" w:hAnsi="Times New Roman"/>
        </w:rPr>
        <w:t>shows that the return to education among all twins tagged using our usual twins procedure in the 1900 census was 0.053 log points. That this is larger than our baseline estimate is not surprising, given the trend we find in the return to education across cohorts (see</w:t>
      </w:r>
      <w:r w:rsidR="005359E1" w:rsidRPr="006655BC">
        <w:rPr>
          <w:rFonts w:ascii="Times New Roman" w:hAnsi="Times New Roman"/>
        </w:rPr>
        <w:t xml:space="preserve"> </w:t>
      </w:r>
      <w:r w:rsidRPr="006655BC">
        <w:rPr>
          <w:rFonts w:ascii="Times New Roman" w:hAnsi="Times New Roman"/>
        </w:rPr>
        <w:t>Figure A.</w:t>
      </w:r>
      <w:r w:rsidR="005359E1" w:rsidRPr="006655BC">
        <w:rPr>
          <w:rFonts w:ascii="Times New Roman" w:hAnsi="Times New Roman"/>
          <w:noProof/>
        </w:rPr>
        <w:t>2</w:t>
      </w:r>
      <w:r w:rsidR="00B3419D" w:rsidRPr="006655BC">
        <w:rPr>
          <w:rFonts w:ascii="Times New Roman" w:hAnsi="Times New Roman"/>
        </w:rPr>
        <w:t>). The twins in 1900 were born between 1875 and 1900, with most births occurring between 1890 and 1900.</w:t>
      </w:r>
    </w:p>
    <w:p w14:paraId="78C24E6D" w14:textId="24BA85DD" w:rsidR="00B3419D" w:rsidRPr="006655BC" w:rsidRDefault="00CF1919" w:rsidP="00B3419D">
      <w:pPr>
        <w:jc w:val="center"/>
        <w:rPr>
          <w:rFonts w:ascii="Times New Roman" w:hAnsi="Times New Roman"/>
        </w:rPr>
      </w:pPr>
      <w:r w:rsidRPr="006655BC">
        <w:rPr>
          <w:rFonts w:ascii="Times New Roman" w:hAnsi="Times New Roman"/>
        </w:rPr>
        <w:t>[</w:t>
      </w:r>
      <w:r w:rsidR="00B3419D" w:rsidRPr="006655BC">
        <w:rPr>
          <w:rFonts w:ascii="Times New Roman" w:hAnsi="Times New Roman"/>
        </w:rPr>
        <w:t>Table</w:t>
      </w:r>
      <w:r w:rsidRPr="006655BC">
        <w:rPr>
          <w:rFonts w:ascii="Times New Roman" w:hAnsi="Times New Roman"/>
        </w:rPr>
        <w:t xml:space="preserve"> A.1 about here]</w:t>
      </w:r>
    </w:p>
    <w:p w14:paraId="29BBED61" w14:textId="298E5A10" w:rsidR="00B3419D" w:rsidRPr="006655BC" w:rsidRDefault="00B3419D" w:rsidP="00B3419D">
      <w:pPr>
        <w:rPr>
          <w:rFonts w:ascii="Times New Roman" w:hAnsi="Times New Roman"/>
        </w:rPr>
      </w:pPr>
    </w:p>
    <w:p w14:paraId="5521D7A7" w14:textId="253F947D" w:rsidR="00B3419D" w:rsidRPr="006655BC" w:rsidRDefault="001211CA" w:rsidP="007B4FCC">
      <w:pPr>
        <w:spacing w:after="120" w:line="360" w:lineRule="auto"/>
        <w:jc w:val="both"/>
        <w:rPr>
          <w:rFonts w:ascii="Times New Roman" w:hAnsi="Times New Roman"/>
        </w:rPr>
      </w:pPr>
      <w:r w:rsidRPr="006655BC">
        <w:rPr>
          <w:rFonts w:ascii="Times New Roman" w:hAnsi="Times New Roman"/>
        </w:rPr>
        <w:lastRenderedPageBreak/>
        <w:t xml:space="preserve">What do the results in </w:t>
      </w:r>
      <w:r w:rsidR="00366957" w:rsidRPr="006655BC">
        <w:rPr>
          <w:rFonts w:ascii="Times New Roman" w:hAnsi="Times New Roman"/>
        </w:rPr>
        <w:t>Table A.</w:t>
      </w:r>
      <w:r w:rsidR="00127C5B" w:rsidRPr="006655BC">
        <w:rPr>
          <w:rFonts w:ascii="Times New Roman" w:hAnsi="Times New Roman"/>
          <w:noProof/>
        </w:rPr>
        <w:t>1</w:t>
      </w:r>
      <w:r w:rsidR="00127C5B" w:rsidRPr="006655BC">
        <w:rPr>
          <w:rFonts w:ascii="Times New Roman" w:hAnsi="Times New Roman"/>
        </w:rPr>
        <w:t xml:space="preserve"> </w:t>
      </w:r>
      <w:r w:rsidRPr="006655BC">
        <w:rPr>
          <w:rFonts w:ascii="Times New Roman" w:hAnsi="Times New Roman"/>
        </w:rPr>
        <w:t>tell us about our imperfect method of identifying twins? When we have access to both age and birth month and the values all agree between twins, as in column (4), we estimate a return to education of 0.049 log points. When different birth months are recorded for twins in the census, as is the case in column (6), the return is higher: 0.056 log points. This suggests that, if anything, our imperfect method of tagging twins induces an upward bias in the estimated return to schooling. Thus, our main conclusion</w:t>
      </w:r>
      <w:r w:rsidR="00413A2C" w:rsidRPr="006655BC">
        <w:rPr>
          <w:rFonts w:ascii="Times New Roman" w:hAnsi="Times New Roman"/>
        </w:rPr>
        <w:t xml:space="preserve"> – </w:t>
      </w:r>
      <w:r w:rsidRPr="006655BC">
        <w:rPr>
          <w:rFonts w:ascii="Times New Roman" w:hAnsi="Times New Roman"/>
        </w:rPr>
        <w:t>that the return to education in 1940 was positive but smaller than the returns for more recent cohorts</w:t>
      </w:r>
      <w:r w:rsidR="00413A2C" w:rsidRPr="006655BC">
        <w:rPr>
          <w:rFonts w:ascii="Times New Roman" w:hAnsi="Times New Roman"/>
        </w:rPr>
        <w:t xml:space="preserve"> – </w:t>
      </w:r>
      <w:r w:rsidRPr="006655BC">
        <w:rPr>
          <w:rFonts w:ascii="Times New Roman" w:hAnsi="Times New Roman"/>
        </w:rPr>
        <w:t>is unlikely to be an artifact of errors in twins tagging.</w:t>
      </w:r>
    </w:p>
    <w:p w14:paraId="2D4BDAD6" w14:textId="04C17E8D" w:rsidR="001211CA" w:rsidRPr="006655BC" w:rsidRDefault="007B4FCC" w:rsidP="00B3419D">
      <w:pPr>
        <w:rPr>
          <w:rFonts w:ascii="Times New Roman" w:hAnsi="Times New Roman"/>
        </w:rPr>
      </w:pPr>
      <w:r w:rsidRPr="006655BC">
        <w:rPr>
          <w:rFonts w:ascii="Times New Roman" w:hAnsi="Times New Roman"/>
        </w:rPr>
        <w:br w:type="page"/>
      </w:r>
    </w:p>
    <w:p w14:paraId="502BBE35" w14:textId="04326569" w:rsidR="000658C2" w:rsidRPr="006655BC" w:rsidRDefault="00DD6582" w:rsidP="00DD6582">
      <w:pPr>
        <w:pStyle w:val="Heading2"/>
        <w:rPr>
          <w:rFonts w:ascii="Times New Roman" w:hAnsi="Times New Roman" w:cs="Times New Roman"/>
          <w:b/>
          <w:bCs/>
          <w:color w:val="auto"/>
          <w:sz w:val="28"/>
          <w:szCs w:val="28"/>
        </w:rPr>
      </w:pPr>
      <w:r w:rsidRPr="006655BC">
        <w:rPr>
          <w:rFonts w:ascii="Times New Roman" w:hAnsi="Times New Roman" w:cs="Times New Roman"/>
          <w:b/>
          <w:bCs/>
          <w:color w:val="auto"/>
          <w:sz w:val="28"/>
          <w:szCs w:val="28"/>
        </w:rPr>
        <w:lastRenderedPageBreak/>
        <w:t>A.2.</w:t>
      </w:r>
      <w:r w:rsidRPr="006655BC">
        <w:rPr>
          <w:rFonts w:ascii="Times New Roman" w:hAnsi="Times New Roman" w:cs="Times New Roman"/>
          <w:b/>
          <w:bCs/>
          <w:color w:val="auto"/>
          <w:sz w:val="28"/>
          <w:szCs w:val="28"/>
        </w:rPr>
        <w:tab/>
      </w:r>
      <w:r w:rsidR="000658C2" w:rsidRPr="006655BC">
        <w:rPr>
          <w:rFonts w:ascii="Times New Roman" w:hAnsi="Times New Roman" w:cs="Times New Roman"/>
          <w:b/>
          <w:bCs/>
          <w:color w:val="auto"/>
          <w:sz w:val="28"/>
          <w:szCs w:val="28"/>
        </w:rPr>
        <w:t>Inverse Propensity Weights</w:t>
      </w:r>
    </w:p>
    <w:p w14:paraId="392CDAC2" w14:textId="77777777" w:rsidR="000658C2" w:rsidRPr="006655BC" w:rsidRDefault="000658C2" w:rsidP="00065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lang w:val="en-AU" w:eastAsia="en-GB"/>
        </w:rPr>
      </w:pPr>
    </w:p>
    <w:p w14:paraId="08D126B6" w14:textId="618D1E75" w:rsidR="000658C2" w:rsidRPr="006655BC" w:rsidRDefault="000658C2" w:rsidP="007B4FCC">
      <w:pPr>
        <w:spacing w:after="120" w:line="360" w:lineRule="auto"/>
        <w:jc w:val="both"/>
        <w:rPr>
          <w:rFonts w:ascii="Times New Roman" w:hAnsi="Times New Roman"/>
        </w:rPr>
      </w:pPr>
      <w:r w:rsidRPr="006655BC">
        <w:rPr>
          <w:rFonts w:ascii="Times New Roman" w:hAnsi="Times New Roman"/>
        </w:rPr>
        <w:t xml:space="preserve">Given the lack of unique individual identifiers in the historical censuses and the limited covariates that are available for matching, any resulting linked samples are necessarily imperfect representations of the underlying populations. </w:t>
      </w:r>
      <w:r w:rsidR="00BD67D8" w:rsidRPr="006655BC">
        <w:rPr>
          <w:rFonts w:ascii="Times New Roman" w:hAnsi="Times New Roman"/>
          <w:noProof/>
        </w:rPr>
        <w:t>Bailey et al. (2019)</w:t>
      </w:r>
      <w:r w:rsidRPr="006655BC">
        <w:rPr>
          <w:rFonts w:ascii="Times New Roman" w:hAnsi="Times New Roman"/>
        </w:rPr>
        <w:t xml:space="preserve"> recommend using inverse propensity weights to adjust for observable differences between matched and unmatched people. They construct these weights in two steps</w:t>
      </w:r>
      <w:r w:rsidR="00096124" w:rsidRPr="006655BC">
        <w:rPr>
          <w:rFonts w:ascii="Times New Roman" w:hAnsi="Times New Roman"/>
        </w:rPr>
        <w:t>:</w:t>
      </w:r>
      <w:r w:rsidR="00FB77C3" w:rsidRPr="006655BC">
        <w:rPr>
          <w:rStyle w:val="FootnoteReference"/>
          <w:rFonts w:ascii="Times New Roman" w:hAnsi="Times New Roman"/>
        </w:rPr>
        <w:footnoteReference w:id="2"/>
      </w:r>
    </w:p>
    <w:p w14:paraId="19592066" w14:textId="6FC26722" w:rsidR="00A91671" w:rsidRPr="006655BC" w:rsidRDefault="00A91671" w:rsidP="00A91671">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Cs w:val="24"/>
          <w:lang w:val="en-AU" w:eastAsia="en-GB"/>
        </w:rPr>
      </w:pPr>
      <w:r w:rsidRPr="006655BC">
        <w:rPr>
          <w:rFonts w:ascii="Times New Roman" w:hAnsi="Times New Roman"/>
          <w:szCs w:val="24"/>
          <w:u w:val="single"/>
          <w:lang w:val="en-AU" w:eastAsia="en-GB"/>
        </w:rPr>
        <w:t>Step 1</w:t>
      </w:r>
      <w:r w:rsidRPr="006655BC">
        <w:rPr>
          <w:rFonts w:ascii="Times New Roman" w:hAnsi="Times New Roman"/>
          <w:szCs w:val="24"/>
          <w:lang w:val="en-AU" w:eastAsia="en-GB"/>
        </w:rPr>
        <w:t xml:space="preserve">: Run a </w:t>
      </w:r>
      <w:proofErr w:type="spellStart"/>
      <w:r w:rsidRPr="006655BC">
        <w:rPr>
          <w:rFonts w:ascii="Times New Roman" w:hAnsi="Times New Roman"/>
          <w:szCs w:val="24"/>
          <w:u w:val="single"/>
          <w:lang w:val="en-AU" w:eastAsia="en-GB"/>
        </w:rPr>
        <w:t>probit</w:t>
      </w:r>
      <w:proofErr w:type="spellEnd"/>
      <w:r w:rsidRPr="006655BC">
        <w:rPr>
          <w:rFonts w:ascii="Times New Roman" w:hAnsi="Times New Roman"/>
          <w:szCs w:val="24"/>
          <w:lang w:val="en-AU" w:eastAsia="en-GB"/>
        </w:rPr>
        <w:t xml:space="preserve"> regression of link status (whether an individual is matched) on the following variables: an indicator for those with a middle name; the length of first, middle, and last names; polynomials in the day of birth and age; an index for how common the first and last names are; whether or not one has siblings and the number of siblings; and the length of the names of one's parents.</w:t>
      </w:r>
    </w:p>
    <w:p w14:paraId="1B79636B" w14:textId="5E210E94" w:rsidR="00A91671" w:rsidRPr="006655BC" w:rsidRDefault="00A91671" w:rsidP="00A91671">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Cs w:val="24"/>
          <w:lang w:val="en-AU" w:eastAsia="en-GB"/>
        </w:rPr>
      </w:pPr>
      <w:r w:rsidRPr="006655BC">
        <w:rPr>
          <w:rFonts w:ascii="Times New Roman" w:hAnsi="Times New Roman"/>
          <w:szCs w:val="24"/>
          <w:u w:val="single"/>
          <w:lang w:val="en-AU" w:eastAsia="en-GB"/>
        </w:rPr>
        <w:t>Step 2</w:t>
      </w:r>
      <w:r w:rsidRPr="006655BC">
        <w:rPr>
          <w:rFonts w:ascii="Times New Roman" w:hAnsi="Times New Roman"/>
          <w:szCs w:val="24"/>
          <w:lang w:val="en-AU" w:eastAsia="en-GB"/>
        </w:rPr>
        <w:t>: Inverse propensity scores for each person are then computed as</w:t>
      </w:r>
      <w:r w:rsidR="00D51749" w:rsidRPr="006655BC">
        <w:rPr>
          <w:rFonts w:ascii="Times New Roman" w:hAnsi="Times New Roman"/>
          <w:szCs w:val="24"/>
          <w:lang w:val="en-AU" w:eastAsia="en-GB"/>
        </w:rPr>
        <w:t xml:space="preserve"> </w:t>
      </w:r>
      <m:oMath>
        <m:f>
          <m:fPr>
            <m:ctrlPr>
              <w:rPr>
                <w:rFonts w:ascii="Cambria Math" w:hAnsi="Cambria Math"/>
                <w:i/>
                <w:szCs w:val="24"/>
                <w:lang w:val="en-AU" w:eastAsia="en-GB"/>
              </w:rPr>
            </m:ctrlPr>
          </m:fPr>
          <m:num>
            <m:r>
              <w:rPr>
                <w:rFonts w:ascii="Cambria Math" w:hAnsi="Cambria Math"/>
                <w:szCs w:val="24"/>
                <w:lang w:val="en-AU" w:eastAsia="en-GB"/>
              </w:rPr>
              <m:t>1-p</m:t>
            </m:r>
          </m:num>
          <m:den>
            <m:r>
              <w:rPr>
                <w:rFonts w:ascii="Cambria Math" w:hAnsi="Cambria Math"/>
                <w:szCs w:val="24"/>
                <w:lang w:val="en-AU" w:eastAsia="en-GB"/>
              </w:rPr>
              <m:t>p</m:t>
            </m:r>
          </m:den>
        </m:f>
        <m:f>
          <m:fPr>
            <m:ctrlPr>
              <w:rPr>
                <w:rFonts w:ascii="Cambria Math" w:hAnsi="Cambria Math"/>
                <w:i/>
                <w:szCs w:val="24"/>
                <w:lang w:val="en-AU" w:eastAsia="en-GB"/>
              </w:rPr>
            </m:ctrlPr>
          </m:fPr>
          <m:num>
            <m:r>
              <w:rPr>
                <w:rFonts w:ascii="Cambria Math" w:hAnsi="Cambria Math"/>
                <w:szCs w:val="24"/>
                <w:lang w:val="en-AU" w:eastAsia="en-GB"/>
              </w:rPr>
              <m:t>m</m:t>
            </m:r>
          </m:num>
          <m:den>
            <m:r>
              <w:rPr>
                <w:rFonts w:ascii="Cambria Math" w:hAnsi="Cambria Math"/>
                <w:szCs w:val="24"/>
                <w:lang w:val="en-AU" w:eastAsia="en-GB"/>
              </w:rPr>
              <m:t>1-m</m:t>
            </m:r>
          </m:den>
        </m:f>
      </m:oMath>
      <w:r w:rsidRPr="006655BC">
        <w:rPr>
          <w:rFonts w:ascii="Times New Roman" w:hAnsi="Times New Roman"/>
          <w:szCs w:val="24"/>
          <w:lang w:val="en-AU" w:eastAsia="en-GB"/>
        </w:rPr>
        <w:t xml:space="preserve">, where </w:t>
      </w:r>
      <m:oMath>
        <m:r>
          <w:rPr>
            <w:rFonts w:ascii="Cambria Math" w:hAnsi="Cambria Math"/>
            <w:szCs w:val="24"/>
            <w:lang w:val="en-AU" w:eastAsia="en-GB"/>
          </w:rPr>
          <m:t>(p)</m:t>
        </m:r>
      </m:oMath>
      <w:r w:rsidRPr="006655BC">
        <w:rPr>
          <w:rFonts w:ascii="Times New Roman" w:hAnsi="Times New Roman"/>
          <w:szCs w:val="24"/>
          <w:lang w:val="en-AU" w:eastAsia="en-GB"/>
        </w:rPr>
        <w:t xml:space="preserve"> is the predicted likelihood of an individual being matched based on the estimated </w:t>
      </w:r>
      <w:proofErr w:type="spellStart"/>
      <w:r w:rsidRPr="006655BC">
        <w:rPr>
          <w:rFonts w:ascii="Times New Roman" w:hAnsi="Times New Roman"/>
          <w:szCs w:val="24"/>
          <w:u w:val="single"/>
          <w:lang w:val="en-AU" w:eastAsia="en-GB"/>
        </w:rPr>
        <w:t>probit</w:t>
      </w:r>
      <w:proofErr w:type="spellEnd"/>
      <w:r w:rsidRPr="006655BC">
        <w:rPr>
          <w:rFonts w:ascii="Times New Roman" w:hAnsi="Times New Roman"/>
          <w:szCs w:val="24"/>
          <w:lang w:val="en-AU" w:eastAsia="en-GB"/>
        </w:rPr>
        <w:t xml:space="preserve"> coefficients and </w:t>
      </w:r>
      <m:oMath>
        <m:r>
          <w:rPr>
            <w:rFonts w:ascii="Cambria Math" w:hAnsi="Cambria Math"/>
            <w:szCs w:val="24"/>
            <w:lang w:val="en-AU" w:eastAsia="en-GB"/>
          </w:rPr>
          <m:t>(m)</m:t>
        </m:r>
      </m:oMath>
      <w:r w:rsidRPr="006655BC">
        <w:rPr>
          <w:rFonts w:ascii="Times New Roman" w:hAnsi="Times New Roman"/>
          <w:szCs w:val="24"/>
          <w:lang w:val="en-AU" w:eastAsia="en-GB"/>
        </w:rPr>
        <w:t xml:space="preserve"> is the actual match rate.</w:t>
      </w:r>
    </w:p>
    <w:p w14:paraId="2BD78C55" w14:textId="38AEEED7" w:rsidR="002673F7" w:rsidRPr="006655BC" w:rsidRDefault="000658C2" w:rsidP="007B4FCC">
      <w:pPr>
        <w:spacing w:after="120" w:line="360" w:lineRule="auto"/>
        <w:jc w:val="both"/>
        <w:rPr>
          <w:rFonts w:ascii="Times New Roman" w:hAnsi="Times New Roman"/>
        </w:rPr>
      </w:pPr>
      <w:r w:rsidRPr="006655BC">
        <w:rPr>
          <w:rFonts w:ascii="Times New Roman" w:hAnsi="Times New Roman"/>
        </w:rPr>
        <w:t xml:space="preserve">To make our linked samples more representative of the underlying populations, we adapt the reweighting procedure in </w:t>
      </w:r>
      <w:r w:rsidR="00BD67D8" w:rsidRPr="006655BC">
        <w:rPr>
          <w:rFonts w:ascii="Times New Roman" w:hAnsi="Times New Roman"/>
          <w:noProof/>
        </w:rPr>
        <w:t>Bailey et al. (2019)</w:t>
      </w:r>
      <w:r w:rsidRPr="006655BC">
        <w:rPr>
          <w:rFonts w:ascii="Times New Roman" w:hAnsi="Times New Roman"/>
        </w:rPr>
        <w:t>, with some minor adjustments:</w:t>
      </w:r>
    </w:p>
    <w:p w14:paraId="333C17CE" w14:textId="02AD5DDB" w:rsidR="00AA00BC" w:rsidRPr="006655BC" w:rsidRDefault="00AA00BC" w:rsidP="00A91671">
      <w:pPr>
        <w:pStyle w:val="ListParagraph"/>
        <w:numPr>
          <w:ilvl w:val="0"/>
          <w:numId w:val="25"/>
        </w:numPr>
        <w:spacing w:after="120" w:line="360" w:lineRule="auto"/>
        <w:jc w:val="both"/>
        <w:rPr>
          <w:rFonts w:ascii="Times New Roman" w:hAnsi="Times New Roman"/>
        </w:rPr>
      </w:pPr>
      <w:r w:rsidRPr="006655BC">
        <w:rPr>
          <w:rFonts w:ascii="Times New Roman" w:hAnsi="Times New Roman"/>
        </w:rPr>
        <w:t xml:space="preserve">We do not include polynomials for the day of birth as this information is not available in any of the historical censuses we use. Much of the analysis in </w:t>
      </w:r>
      <w:r w:rsidR="00BD67D8" w:rsidRPr="006655BC">
        <w:rPr>
          <w:rFonts w:ascii="Times New Roman" w:hAnsi="Times New Roman"/>
          <w:noProof/>
        </w:rPr>
        <w:t>Bailey et al. (2019)</w:t>
      </w:r>
      <w:r w:rsidRPr="006655BC">
        <w:rPr>
          <w:rFonts w:ascii="Times New Roman" w:hAnsi="Times New Roman"/>
        </w:rPr>
        <w:t xml:space="preserve"> uses the Longitudinal, Intergenerational Family Electronic Micro-Database (LIFE-M) sample, which is based on a random draw of birth certificates from Ohio and North Carolina. This dataset contains more individual-level information than the historical censuses, one of which is the day of birth.</w:t>
      </w:r>
    </w:p>
    <w:p w14:paraId="2369FA34" w14:textId="2D43B260" w:rsidR="00AA00BC" w:rsidRPr="006655BC" w:rsidRDefault="00AA00BC" w:rsidP="00A91671">
      <w:pPr>
        <w:pStyle w:val="ListParagraph"/>
        <w:numPr>
          <w:ilvl w:val="0"/>
          <w:numId w:val="25"/>
        </w:numPr>
        <w:spacing w:after="120" w:line="360" w:lineRule="auto"/>
        <w:jc w:val="both"/>
        <w:rPr>
          <w:rFonts w:ascii="Times New Roman" w:hAnsi="Times New Roman"/>
        </w:rPr>
      </w:pPr>
      <w:r w:rsidRPr="006655BC">
        <w:rPr>
          <w:rFonts w:ascii="Times New Roman" w:hAnsi="Times New Roman"/>
        </w:rPr>
        <w:t xml:space="preserve">We do not control for the presence of siblings (but control for the </w:t>
      </w:r>
      <w:r w:rsidRPr="006655BC">
        <w:rPr>
          <w:rFonts w:ascii="Times New Roman" w:hAnsi="Times New Roman"/>
          <w:i/>
          <w:iCs/>
        </w:rPr>
        <w:t>number</w:t>
      </w:r>
      <w:r w:rsidRPr="006655BC">
        <w:rPr>
          <w:rFonts w:ascii="Times New Roman" w:hAnsi="Times New Roman"/>
        </w:rPr>
        <w:t xml:space="preserve"> of siblings), as our starting sample of twin brothers automatically guarantees the presence of at least one sibling.</w:t>
      </w:r>
    </w:p>
    <w:p w14:paraId="33B0517E" w14:textId="55089C3E" w:rsidR="00AA00BC" w:rsidRPr="006655BC" w:rsidRDefault="00AA00BC" w:rsidP="00A91671">
      <w:pPr>
        <w:pStyle w:val="ListParagraph"/>
        <w:numPr>
          <w:ilvl w:val="0"/>
          <w:numId w:val="25"/>
        </w:numPr>
        <w:spacing w:after="120" w:line="360" w:lineRule="auto"/>
        <w:jc w:val="both"/>
        <w:rPr>
          <w:rFonts w:ascii="Times New Roman" w:hAnsi="Times New Roman"/>
        </w:rPr>
      </w:pPr>
      <w:r w:rsidRPr="006655BC">
        <w:rPr>
          <w:rFonts w:ascii="Times New Roman" w:hAnsi="Times New Roman"/>
        </w:rPr>
        <w:t>We use the names of parents, but because not all twins in our sample have both parents residing with them in a given census year, we interact these terms with indicators for whether the parent resides in the household.</w:t>
      </w:r>
    </w:p>
    <w:p w14:paraId="0E3315E2" w14:textId="76EA6013" w:rsidR="00AA00BC" w:rsidRPr="006655BC" w:rsidRDefault="00AA00BC" w:rsidP="00A91671">
      <w:pPr>
        <w:pStyle w:val="ListParagraph"/>
        <w:numPr>
          <w:ilvl w:val="0"/>
          <w:numId w:val="25"/>
        </w:numPr>
        <w:spacing w:after="120" w:line="360" w:lineRule="auto"/>
        <w:jc w:val="both"/>
        <w:rPr>
          <w:rFonts w:ascii="Times New Roman" w:hAnsi="Times New Roman"/>
        </w:rPr>
      </w:pPr>
      <w:r w:rsidRPr="006655BC">
        <w:rPr>
          <w:rFonts w:ascii="Times New Roman" w:hAnsi="Times New Roman"/>
        </w:rPr>
        <w:lastRenderedPageBreak/>
        <w:t>We use a quadratic (second-order polynomial) in both age and year of birth because we are linking children from multiple censuses.</w:t>
      </w:r>
    </w:p>
    <w:p w14:paraId="7FABBCE4" w14:textId="7CF2CF37" w:rsidR="00AA00BC" w:rsidRPr="006655BC" w:rsidRDefault="00AA00BC" w:rsidP="00AA00BC">
      <w:pPr>
        <w:pStyle w:val="ListParagraph"/>
        <w:numPr>
          <w:ilvl w:val="0"/>
          <w:numId w:val="25"/>
        </w:numPr>
        <w:spacing w:after="120" w:line="360" w:lineRule="auto"/>
        <w:jc w:val="both"/>
        <w:rPr>
          <w:rFonts w:ascii="Times New Roman" w:hAnsi="Times New Roman"/>
        </w:rPr>
      </w:pPr>
      <w:r w:rsidRPr="006655BC">
        <w:rPr>
          <w:rFonts w:ascii="Times New Roman" w:hAnsi="Times New Roman"/>
        </w:rPr>
        <w:t>To measure how common first and last names are, we use the log of the number of people in the 1900, 1910, and 1920 censuses with a given first or last name.</w:t>
      </w:r>
    </w:p>
    <w:p w14:paraId="349E0EAA" w14:textId="6BC4CE29" w:rsidR="002C24B2" w:rsidRPr="006655BC" w:rsidRDefault="002C24B2" w:rsidP="002C24B2">
      <w:pPr>
        <w:rPr>
          <w:rFonts w:ascii="Times New Roman" w:hAnsi="Times New Roman"/>
        </w:rPr>
      </w:pPr>
      <w:r w:rsidRPr="006655BC">
        <w:rPr>
          <w:rFonts w:ascii="Times New Roman" w:hAnsi="Times New Roman"/>
        </w:rPr>
        <w:br w:type="page"/>
      </w:r>
    </w:p>
    <w:p w14:paraId="162C7DA2" w14:textId="14647083" w:rsidR="00AA00BC" w:rsidRPr="006655BC" w:rsidRDefault="002E25D3" w:rsidP="00DD6582">
      <w:pPr>
        <w:pStyle w:val="Heading2"/>
        <w:rPr>
          <w:rFonts w:ascii="Times New Roman" w:hAnsi="Times New Roman" w:cs="Times New Roman"/>
          <w:b/>
          <w:bCs/>
          <w:color w:val="auto"/>
          <w:sz w:val="28"/>
          <w:szCs w:val="28"/>
        </w:rPr>
      </w:pPr>
      <w:r w:rsidRPr="006655BC">
        <w:rPr>
          <w:rFonts w:ascii="Times New Roman" w:hAnsi="Times New Roman" w:cs="Times New Roman"/>
          <w:b/>
          <w:bCs/>
          <w:color w:val="auto"/>
          <w:sz w:val="28"/>
          <w:szCs w:val="28"/>
        </w:rPr>
        <w:lastRenderedPageBreak/>
        <w:t>A.3.</w:t>
      </w:r>
      <w:r w:rsidRPr="006655BC">
        <w:rPr>
          <w:rFonts w:ascii="Times New Roman" w:hAnsi="Times New Roman" w:cs="Times New Roman"/>
          <w:b/>
          <w:bCs/>
          <w:color w:val="auto"/>
          <w:sz w:val="28"/>
          <w:szCs w:val="28"/>
        </w:rPr>
        <w:tab/>
      </w:r>
      <w:r w:rsidR="00AA00BC" w:rsidRPr="006655BC">
        <w:rPr>
          <w:rFonts w:ascii="Times New Roman" w:hAnsi="Times New Roman" w:cs="Times New Roman"/>
          <w:b/>
          <w:bCs/>
          <w:color w:val="auto"/>
          <w:sz w:val="28"/>
          <w:szCs w:val="28"/>
        </w:rPr>
        <w:t xml:space="preserve">Replication of </w:t>
      </w:r>
      <w:proofErr w:type="spellStart"/>
      <w:r w:rsidR="00AA00BC" w:rsidRPr="006655BC">
        <w:rPr>
          <w:rFonts w:ascii="Times New Roman" w:hAnsi="Times New Roman" w:cs="Times New Roman"/>
          <w:b/>
          <w:bCs/>
          <w:color w:val="auto"/>
          <w:sz w:val="28"/>
          <w:szCs w:val="28"/>
        </w:rPr>
        <w:t>Ashenfelter</w:t>
      </w:r>
      <w:proofErr w:type="spellEnd"/>
      <w:r w:rsidR="00AA00BC" w:rsidRPr="006655BC">
        <w:rPr>
          <w:rFonts w:ascii="Times New Roman" w:hAnsi="Times New Roman" w:cs="Times New Roman"/>
          <w:b/>
          <w:bCs/>
          <w:color w:val="auto"/>
          <w:sz w:val="28"/>
          <w:szCs w:val="28"/>
        </w:rPr>
        <w:t xml:space="preserve"> and Rouse (1998) by Sex</w:t>
      </w:r>
    </w:p>
    <w:p w14:paraId="43DC6EA4" w14:textId="77777777" w:rsidR="00AA00BC" w:rsidRPr="006655BC" w:rsidRDefault="00AA00BC" w:rsidP="00AA0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lang w:val="en-AU" w:eastAsia="en-GB"/>
        </w:rPr>
      </w:pPr>
    </w:p>
    <w:p w14:paraId="7A8D6BA8" w14:textId="3D3D416A" w:rsidR="00AA00BC" w:rsidRPr="006655BC" w:rsidRDefault="00BD67D8" w:rsidP="007B4FCC">
      <w:pPr>
        <w:spacing w:after="120" w:line="360" w:lineRule="auto"/>
        <w:jc w:val="both"/>
        <w:rPr>
          <w:rFonts w:ascii="Times New Roman" w:hAnsi="Times New Roman"/>
        </w:rPr>
      </w:pPr>
      <w:r w:rsidRPr="006655BC">
        <w:rPr>
          <w:rFonts w:ascii="Times New Roman" w:hAnsi="Times New Roman"/>
          <w:noProof/>
        </w:rPr>
        <w:t>Ashenfelter and Rouse (1998)</w:t>
      </w:r>
      <w:r w:rsidR="00AA00BC" w:rsidRPr="006655BC">
        <w:rPr>
          <w:rFonts w:ascii="Times New Roman" w:hAnsi="Times New Roman"/>
        </w:rPr>
        <w:t xml:space="preserve"> estimate the return to education in the US during the late 20th century, exploiting variation in years of schooling between pairs of identical twins. In the paper, we compared our estimated return to education in 1940 with the returns in </w:t>
      </w:r>
      <w:r w:rsidRPr="006655BC">
        <w:rPr>
          <w:rFonts w:ascii="Times New Roman" w:hAnsi="Times New Roman"/>
          <w:noProof/>
        </w:rPr>
        <w:t>Ashenfelter and Rouse (1998)</w:t>
      </w:r>
      <w:r w:rsidR="00AA00BC" w:rsidRPr="006655BC">
        <w:rPr>
          <w:rFonts w:ascii="Times New Roman" w:hAnsi="Times New Roman"/>
        </w:rPr>
        <w:t xml:space="preserve"> and other recent twins studies. However, our census linking strategy can only link male twins across censuses as we need to match individuals on names, among other criteria. In contrast, contemporary studies typically pool both genders together. For comparability, we replicate the results in </w:t>
      </w:r>
      <w:r w:rsidRPr="006655BC">
        <w:rPr>
          <w:rFonts w:ascii="Times New Roman" w:hAnsi="Times New Roman"/>
          <w:noProof/>
        </w:rPr>
        <w:t>(Ashenfelter and Rouse 1998)</w:t>
      </w:r>
      <w:r w:rsidR="00AA00BC" w:rsidRPr="006655BC">
        <w:rPr>
          <w:rFonts w:ascii="Times New Roman" w:hAnsi="Times New Roman"/>
        </w:rPr>
        <w:t xml:space="preserve"> for the male-only portion of their sample</w:t>
      </w:r>
      <w:r w:rsidR="00096124" w:rsidRPr="006655BC">
        <w:rPr>
          <w:rFonts w:ascii="Times New Roman" w:hAnsi="Times New Roman"/>
        </w:rPr>
        <w:t>.</w:t>
      </w:r>
      <w:r w:rsidR="00FB77C3" w:rsidRPr="006655BC">
        <w:rPr>
          <w:rStyle w:val="FootnoteReference"/>
          <w:rFonts w:ascii="Times New Roman" w:hAnsi="Times New Roman"/>
        </w:rPr>
        <w:footnoteReference w:id="3"/>
      </w:r>
    </w:p>
    <w:p w14:paraId="51EA3EAF" w14:textId="249C6E24" w:rsidR="00AA00BC" w:rsidRPr="006655BC" w:rsidRDefault="00AA00BC" w:rsidP="002C24B2">
      <w:pPr>
        <w:spacing w:after="120" w:line="360" w:lineRule="auto"/>
        <w:jc w:val="both"/>
        <w:rPr>
          <w:rFonts w:ascii="Times New Roman" w:hAnsi="Times New Roman"/>
        </w:rPr>
      </w:pPr>
      <w:r w:rsidRPr="006655BC">
        <w:rPr>
          <w:rFonts w:ascii="Times New Roman" w:hAnsi="Times New Roman"/>
        </w:rPr>
        <w:t xml:space="preserve">First, we reproduce the results from </w:t>
      </w:r>
      <w:r w:rsidR="00BD67D8" w:rsidRPr="006655BC">
        <w:rPr>
          <w:rFonts w:ascii="Times New Roman" w:hAnsi="Times New Roman"/>
          <w:noProof/>
        </w:rPr>
        <w:t>Ashenfelter and Rouse (1998)</w:t>
      </w:r>
      <w:r w:rsidRPr="006655BC">
        <w:rPr>
          <w:rFonts w:ascii="Times New Roman" w:hAnsi="Times New Roman"/>
        </w:rPr>
        <w:t xml:space="preserve"> in the first three columns of</w:t>
      </w:r>
      <w:r w:rsidR="005359E1" w:rsidRPr="006655BC">
        <w:rPr>
          <w:rFonts w:ascii="Times New Roman" w:hAnsi="Times New Roman"/>
        </w:rPr>
        <w:t xml:space="preserve"> </w:t>
      </w:r>
      <w:r w:rsidR="00366957" w:rsidRPr="006655BC">
        <w:rPr>
          <w:rFonts w:ascii="Times New Roman" w:hAnsi="Times New Roman"/>
        </w:rPr>
        <w:t>Table A.</w:t>
      </w:r>
      <w:r w:rsidR="005359E1" w:rsidRPr="006655BC">
        <w:rPr>
          <w:rFonts w:ascii="Times New Roman" w:hAnsi="Times New Roman"/>
          <w:noProof/>
        </w:rPr>
        <w:t>2</w:t>
      </w:r>
      <w:r w:rsidRPr="006655BC">
        <w:rPr>
          <w:rFonts w:ascii="Times New Roman" w:hAnsi="Times New Roman"/>
        </w:rPr>
        <w:t>. The first column replicates the result in Table II, column (2), of their paper</w:t>
      </w:r>
      <w:r w:rsidR="00413A2C" w:rsidRPr="006655BC">
        <w:rPr>
          <w:rFonts w:ascii="Times New Roman" w:hAnsi="Times New Roman"/>
        </w:rPr>
        <w:t xml:space="preserve"> – </w:t>
      </w:r>
      <w:r w:rsidRPr="006655BC">
        <w:rPr>
          <w:rFonts w:ascii="Times New Roman" w:hAnsi="Times New Roman"/>
        </w:rPr>
        <w:t xml:space="preserve">an OLS regression of log earnings on education with their sample of male and female twins. Included as controls are a quadratic in age, an indicator for females, and a dummy for whites. The second and third columns replicate the results in Table III, columns (4) and (9), first differencing between identical twin pairs, without or with differenced controls, respectively. The controls here are whether twins are covered by unions, married, and their job tenure, all </w:t>
      </w:r>
      <w:proofErr w:type="spellStart"/>
      <w:r w:rsidRPr="006655BC">
        <w:rPr>
          <w:rFonts w:ascii="Times New Roman" w:hAnsi="Times New Roman"/>
        </w:rPr>
        <w:t>differenced</w:t>
      </w:r>
      <w:proofErr w:type="spellEnd"/>
      <w:r w:rsidRPr="006655BC">
        <w:rPr>
          <w:rFonts w:ascii="Times New Roman" w:hAnsi="Times New Roman"/>
        </w:rPr>
        <w:t xml:space="preserve"> between twins. As we discuss in the body of the paper, these controls may be endogenous or </w:t>
      </w:r>
      <w:r w:rsidR="00413A2C" w:rsidRPr="006655BC">
        <w:rPr>
          <w:rFonts w:ascii="Times New Roman" w:hAnsi="Times New Roman"/>
        </w:rPr>
        <w:t>“</w:t>
      </w:r>
      <w:r w:rsidRPr="006655BC">
        <w:rPr>
          <w:rFonts w:ascii="Times New Roman" w:hAnsi="Times New Roman"/>
        </w:rPr>
        <w:t>bad</w:t>
      </w:r>
      <w:r w:rsidR="00413A2C" w:rsidRPr="006655BC">
        <w:rPr>
          <w:rFonts w:ascii="Times New Roman" w:hAnsi="Times New Roman"/>
        </w:rPr>
        <w:t>”</w:t>
      </w:r>
      <w:r w:rsidRPr="006655BC">
        <w:rPr>
          <w:rFonts w:ascii="Times New Roman" w:hAnsi="Times New Roman"/>
        </w:rPr>
        <w:t xml:space="preserve"> </w:t>
      </w:r>
      <w:r w:rsidR="006310D3" w:rsidRPr="006655BC">
        <w:rPr>
          <w:rFonts w:ascii="Times New Roman" w:hAnsi="Times New Roman"/>
          <w:noProof/>
        </w:rPr>
        <w:t>(Angrist and Pischke 2009)</w:t>
      </w:r>
      <w:r w:rsidR="00946A22" w:rsidRPr="006655BC">
        <w:rPr>
          <w:rFonts w:ascii="Times New Roman" w:hAnsi="Times New Roman"/>
        </w:rPr>
        <w:t xml:space="preserve"> </w:t>
      </w:r>
      <w:r w:rsidRPr="006655BC">
        <w:rPr>
          <w:rFonts w:ascii="Times New Roman" w:hAnsi="Times New Roman"/>
        </w:rPr>
        <w:t>as they could also be affected by schooling.</w:t>
      </w:r>
    </w:p>
    <w:p w14:paraId="5A396747" w14:textId="4033197F" w:rsidR="006141B0" w:rsidRPr="006655BC" w:rsidRDefault="006141B0" w:rsidP="006141B0">
      <w:pPr>
        <w:spacing w:after="120" w:line="360" w:lineRule="auto"/>
        <w:jc w:val="center"/>
        <w:rPr>
          <w:rFonts w:ascii="Times New Roman" w:hAnsi="Times New Roman"/>
        </w:rPr>
      </w:pPr>
      <w:r w:rsidRPr="006655BC">
        <w:rPr>
          <w:rFonts w:ascii="Times New Roman" w:hAnsi="Times New Roman"/>
        </w:rPr>
        <w:t>[Table A.2 about here]</w:t>
      </w:r>
    </w:p>
    <w:p w14:paraId="186AA87E" w14:textId="02E8BC72" w:rsidR="00BF4982" w:rsidRPr="006655BC" w:rsidRDefault="00BF4982" w:rsidP="007B4FCC">
      <w:pPr>
        <w:spacing w:after="120" w:line="360" w:lineRule="auto"/>
        <w:jc w:val="both"/>
        <w:rPr>
          <w:rFonts w:ascii="Times New Roman" w:hAnsi="Times New Roman"/>
        </w:rPr>
      </w:pPr>
      <w:r w:rsidRPr="006655BC">
        <w:rPr>
          <w:rFonts w:ascii="Times New Roman" w:hAnsi="Times New Roman"/>
        </w:rPr>
        <w:t xml:space="preserve">Second, we show that the results do not change when we include a constant term. </w:t>
      </w:r>
      <w:r w:rsidR="00BD67D8" w:rsidRPr="006655BC">
        <w:rPr>
          <w:rFonts w:ascii="Times New Roman" w:hAnsi="Times New Roman"/>
          <w:noProof/>
        </w:rPr>
        <w:t>Ashenfelter and Rouse (1998)</w:t>
      </w:r>
      <w:r w:rsidRPr="006655BC">
        <w:rPr>
          <w:rFonts w:ascii="Times New Roman" w:hAnsi="Times New Roman"/>
        </w:rPr>
        <w:t xml:space="preserve"> suppress the constant term in their first difference regressions, which we followed in columns (2) and (3). However, including the constants in columns (4) and (5) does not change the results. </w:t>
      </w:r>
    </w:p>
    <w:p w14:paraId="4ECEB646" w14:textId="5701F296" w:rsidR="00BF4982" w:rsidRPr="006655BC" w:rsidRDefault="00BF4982" w:rsidP="007B4FCC">
      <w:pPr>
        <w:spacing w:after="120" w:line="360" w:lineRule="auto"/>
        <w:jc w:val="both"/>
        <w:rPr>
          <w:rFonts w:ascii="Times New Roman" w:hAnsi="Times New Roman"/>
        </w:rPr>
      </w:pPr>
      <w:r w:rsidRPr="006655BC">
        <w:rPr>
          <w:rFonts w:ascii="Times New Roman" w:hAnsi="Times New Roman"/>
        </w:rPr>
        <w:t xml:space="preserve">Finally, and most importantly for our analysis, we see that the late 20th century return to schooling for men is higher than what we find in 1940. The sample in </w:t>
      </w:r>
      <w:r w:rsidR="00BD67D8" w:rsidRPr="006655BC">
        <w:rPr>
          <w:rFonts w:ascii="Times New Roman" w:hAnsi="Times New Roman"/>
          <w:noProof/>
        </w:rPr>
        <w:t>Ashenfelter and Rouse (1998)</w:t>
      </w:r>
      <w:r w:rsidRPr="006655BC">
        <w:rPr>
          <w:rFonts w:ascii="Times New Roman" w:hAnsi="Times New Roman"/>
        </w:rPr>
        <w:t xml:space="preserve"> is 59 percent female (see their Table I) and because they focus on identical twins all pairs are either male-male or female-female. When we restrict their sample to the 274 identical male twins, we </w:t>
      </w:r>
      <w:r w:rsidRPr="006655BC">
        <w:rPr>
          <w:rFonts w:ascii="Times New Roman" w:hAnsi="Times New Roman"/>
        </w:rPr>
        <w:lastRenderedPageBreak/>
        <w:t>observe reasonably similar results. The OLS return to education (column (6)) is 0.102 compared with the OLS return of 0.110 in the full sample (column (1)). More importantly, the causal returns using twin differences are either similar (compare columns (4) and (7)) or even larger when estimated only with differences between male twin pairs (compare columns (5) and (8)).</w:t>
      </w:r>
    </w:p>
    <w:p w14:paraId="092B9AB7" w14:textId="627B12B5" w:rsidR="00AA00BC" w:rsidRPr="006655BC" w:rsidRDefault="00BF4982" w:rsidP="007B4FCC">
      <w:pPr>
        <w:spacing w:after="120" w:line="360" w:lineRule="auto"/>
        <w:jc w:val="both"/>
        <w:rPr>
          <w:rFonts w:ascii="Times New Roman" w:hAnsi="Times New Roman"/>
        </w:rPr>
      </w:pPr>
      <w:r w:rsidRPr="006655BC">
        <w:rPr>
          <w:rFonts w:ascii="Times New Roman" w:hAnsi="Times New Roman"/>
        </w:rPr>
        <w:t>Overall, this replication exercise suggests that our main finding</w:t>
      </w:r>
      <w:r w:rsidR="00413A2C" w:rsidRPr="006655BC">
        <w:rPr>
          <w:rFonts w:ascii="Times New Roman" w:hAnsi="Times New Roman"/>
        </w:rPr>
        <w:t xml:space="preserve"> – </w:t>
      </w:r>
      <w:r w:rsidRPr="006655BC">
        <w:rPr>
          <w:rFonts w:ascii="Times New Roman" w:hAnsi="Times New Roman"/>
        </w:rPr>
        <w:t>that the return to education, when estimated using twins, was lower in 1940 than it is in the recent period</w:t>
      </w:r>
      <w:r w:rsidR="00413A2C" w:rsidRPr="006655BC">
        <w:rPr>
          <w:rFonts w:ascii="Times New Roman" w:hAnsi="Times New Roman"/>
        </w:rPr>
        <w:t xml:space="preserve"> – </w:t>
      </w:r>
      <w:r w:rsidRPr="006655BC">
        <w:rPr>
          <w:rFonts w:ascii="Times New Roman" w:hAnsi="Times New Roman"/>
        </w:rPr>
        <w:t>is not driven by the sex composition of our sample.</w:t>
      </w:r>
    </w:p>
    <w:p w14:paraId="70D54353" w14:textId="4084C662" w:rsidR="002C24B2" w:rsidRPr="006655BC" w:rsidRDefault="002C24B2" w:rsidP="002C24B2">
      <w:pPr>
        <w:rPr>
          <w:rFonts w:ascii="Times New Roman" w:hAnsi="Times New Roman"/>
        </w:rPr>
      </w:pPr>
      <w:r w:rsidRPr="006655BC">
        <w:rPr>
          <w:rFonts w:ascii="Times New Roman" w:hAnsi="Times New Roman"/>
        </w:rPr>
        <w:br w:type="page"/>
      </w:r>
    </w:p>
    <w:p w14:paraId="7C9810B1" w14:textId="49F1B113" w:rsidR="00BF4982" w:rsidRPr="006655BC" w:rsidRDefault="00C91206" w:rsidP="00C91206">
      <w:pPr>
        <w:pStyle w:val="Heading2"/>
        <w:rPr>
          <w:rFonts w:ascii="Times New Roman" w:hAnsi="Times New Roman" w:cs="Times New Roman"/>
          <w:b/>
          <w:bCs/>
          <w:color w:val="auto"/>
          <w:sz w:val="28"/>
          <w:szCs w:val="28"/>
        </w:rPr>
      </w:pPr>
      <w:r w:rsidRPr="006655BC">
        <w:rPr>
          <w:rFonts w:ascii="Times New Roman" w:hAnsi="Times New Roman" w:cs="Times New Roman"/>
          <w:b/>
          <w:bCs/>
          <w:color w:val="auto"/>
          <w:sz w:val="28"/>
          <w:szCs w:val="28"/>
        </w:rPr>
        <w:lastRenderedPageBreak/>
        <w:t>A.4.</w:t>
      </w:r>
      <w:r w:rsidRPr="006655BC">
        <w:rPr>
          <w:rFonts w:ascii="Times New Roman" w:hAnsi="Times New Roman" w:cs="Times New Roman"/>
          <w:b/>
          <w:bCs/>
          <w:color w:val="auto"/>
          <w:sz w:val="28"/>
          <w:szCs w:val="28"/>
        </w:rPr>
        <w:tab/>
      </w:r>
      <w:r w:rsidR="00BF4982" w:rsidRPr="006655BC">
        <w:rPr>
          <w:rFonts w:ascii="Times New Roman" w:hAnsi="Times New Roman" w:cs="Times New Roman"/>
          <w:b/>
          <w:bCs/>
          <w:color w:val="auto"/>
          <w:sz w:val="28"/>
          <w:szCs w:val="28"/>
        </w:rPr>
        <w:t>Twin Name Similarity</w:t>
      </w:r>
    </w:p>
    <w:p w14:paraId="70C54F3B" w14:textId="77777777" w:rsidR="00BF4982" w:rsidRPr="006655BC" w:rsidRDefault="00BF4982" w:rsidP="00BF4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lang w:val="en-AU" w:eastAsia="en-GB"/>
        </w:rPr>
      </w:pPr>
    </w:p>
    <w:p w14:paraId="4F83BD0E" w14:textId="4F43531B" w:rsidR="00BF4982" w:rsidRPr="006655BC" w:rsidRDefault="00BF4982" w:rsidP="007B4FCC">
      <w:pPr>
        <w:spacing w:after="120" w:line="360" w:lineRule="auto"/>
        <w:jc w:val="both"/>
        <w:rPr>
          <w:rFonts w:ascii="Times New Roman" w:hAnsi="Times New Roman"/>
        </w:rPr>
      </w:pPr>
      <w:r w:rsidRPr="006655BC">
        <w:rPr>
          <w:rFonts w:ascii="Times New Roman" w:hAnsi="Times New Roman"/>
        </w:rPr>
        <w:t>In the paper, we suggested that parents who give twins similar names also intend to treat them more similarly. Is this true? If the nurture of similarly-named twins is more similar, then the identifying assumption of the within-twins estimator</w:t>
      </w:r>
      <w:r w:rsidR="00413A2C" w:rsidRPr="006655BC">
        <w:rPr>
          <w:rFonts w:ascii="Times New Roman" w:hAnsi="Times New Roman"/>
        </w:rPr>
        <w:t xml:space="preserve"> – </w:t>
      </w:r>
      <w:r w:rsidRPr="006655BC">
        <w:rPr>
          <w:rFonts w:ascii="Times New Roman" w:hAnsi="Times New Roman"/>
        </w:rPr>
        <w:t>that twins have the same unobserved ability</w:t>
      </w:r>
      <w:r w:rsidR="00413A2C" w:rsidRPr="006655BC">
        <w:rPr>
          <w:rFonts w:ascii="Times New Roman" w:hAnsi="Times New Roman"/>
        </w:rPr>
        <w:t xml:space="preserve"> – </w:t>
      </w:r>
      <w:r w:rsidRPr="006655BC">
        <w:rPr>
          <w:rFonts w:ascii="Times New Roman" w:hAnsi="Times New Roman"/>
        </w:rPr>
        <w:t xml:space="preserve">may be more plausible. This appendix shows that twins with more similar names </w:t>
      </w:r>
      <w:r w:rsidRPr="006655BC">
        <w:rPr>
          <w:rFonts w:ascii="Times New Roman" w:hAnsi="Times New Roman"/>
          <w:i/>
          <w:iCs/>
        </w:rPr>
        <w:t>do</w:t>
      </w:r>
      <w:r w:rsidRPr="006655BC">
        <w:rPr>
          <w:rFonts w:ascii="Times New Roman" w:hAnsi="Times New Roman"/>
        </w:rPr>
        <w:t xml:space="preserve"> tend to have more similar education outcomes as children, the only possible measure of parental investment available in the census.</w:t>
      </w:r>
    </w:p>
    <w:p w14:paraId="281FA762" w14:textId="3EF2A29E" w:rsidR="00BF4982" w:rsidRPr="006655BC" w:rsidRDefault="00BF4982" w:rsidP="007B4FCC">
      <w:pPr>
        <w:spacing w:after="120" w:line="360" w:lineRule="auto"/>
        <w:jc w:val="both"/>
        <w:rPr>
          <w:rFonts w:ascii="Times New Roman" w:hAnsi="Times New Roman"/>
        </w:rPr>
      </w:pPr>
      <w:r w:rsidRPr="006655BC">
        <w:rPr>
          <w:rFonts w:ascii="Times New Roman" w:hAnsi="Times New Roman"/>
        </w:rPr>
        <w:t>To implement this exercise, we consider the school enrollment of twin brothers in the 1900 to 1920 censuses</w:t>
      </w:r>
      <w:r w:rsidR="00413A2C" w:rsidRPr="006655BC">
        <w:rPr>
          <w:rFonts w:ascii="Times New Roman" w:hAnsi="Times New Roman"/>
        </w:rPr>
        <w:t xml:space="preserve"> – </w:t>
      </w:r>
      <w:r w:rsidRPr="006655BC">
        <w:rPr>
          <w:rFonts w:ascii="Times New Roman" w:hAnsi="Times New Roman"/>
        </w:rPr>
        <w:t>the sources for our baseline sample</w:t>
      </w:r>
      <w:r w:rsidR="00413A2C" w:rsidRPr="006655BC">
        <w:rPr>
          <w:rFonts w:ascii="Times New Roman" w:hAnsi="Times New Roman"/>
        </w:rPr>
        <w:t xml:space="preserve"> – </w:t>
      </w:r>
      <w:r w:rsidRPr="006655BC">
        <w:rPr>
          <w:rFonts w:ascii="Times New Roman" w:hAnsi="Times New Roman"/>
        </w:rPr>
        <w:t>as well as the enrollment and highest grade completed of twin brothers in the 1940 census. In all cases, we limit the sample to boy-boy twin pairs aged 7 to 17 to target children of school-going age</w:t>
      </w:r>
      <w:r w:rsidR="00096124" w:rsidRPr="006655BC">
        <w:rPr>
          <w:rFonts w:ascii="Times New Roman" w:hAnsi="Times New Roman"/>
        </w:rPr>
        <w:t>.</w:t>
      </w:r>
      <w:r w:rsidR="00FB77C3" w:rsidRPr="006655BC">
        <w:rPr>
          <w:rStyle w:val="FootnoteReference"/>
          <w:rFonts w:ascii="Times New Roman" w:hAnsi="Times New Roman"/>
        </w:rPr>
        <w:footnoteReference w:id="4"/>
      </w:r>
    </w:p>
    <w:p w14:paraId="7FBD0A44" w14:textId="2B42CC70" w:rsidR="00BF4982" w:rsidRPr="006655BC" w:rsidRDefault="00366957" w:rsidP="002C24B2">
      <w:pPr>
        <w:spacing w:after="120" w:line="360" w:lineRule="auto"/>
        <w:jc w:val="both"/>
        <w:rPr>
          <w:rFonts w:ascii="Times New Roman" w:hAnsi="Times New Roman"/>
        </w:rPr>
      </w:pPr>
      <w:r w:rsidRPr="006655BC">
        <w:rPr>
          <w:rFonts w:ascii="Times New Roman" w:hAnsi="Times New Roman"/>
        </w:rPr>
        <w:t>Table A.</w:t>
      </w:r>
      <w:r w:rsidR="005359E1" w:rsidRPr="006655BC">
        <w:rPr>
          <w:rFonts w:ascii="Times New Roman" w:hAnsi="Times New Roman"/>
          <w:noProof/>
        </w:rPr>
        <w:t>3</w:t>
      </w:r>
      <w:r w:rsidR="005359E1" w:rsidRPr="006655BC">
        <w:rPr>
          <w:rFonts w:ascii="Times New Roman" w:hAnsi="Times New Roman"/>
        </w:rPr>
        <w:t xml:space="preserve"> </w:t>
      </w:r>
      <w:r w:rsidR="00BF4982" w:rsidRPr="006655BC">
        <w:rPr>
          <w:rFonts w:ascii="Times New Roman" w:hAnsi="Times New Roman"/>
        </w:rPr>
        <w:t>shows that while twins in general are very likely to have the same educational outcomes during childhood</w:t>
      </w:r>
      <w:r w:rsidR="00413A2C" w:rsidRPr="006655BC">
        <w:rPr>
          <w:rFonts w:ascii="Times New Roman" w:hAnsi="Times New Roman"/>
        </w:rPr>
        <w:t xml:space="preserve"> – </w:t>
      </w:r>
      <w:r w:rsidR="00BF4982" w:rsidRPr="006655BC">
        <w:rPr>
          <w:rFonts w:ascii="Times New Roman" w:hAnsi="Times New Roman"/>
        </w:rPr>
        <w:t>school enrollment or grade completed</w:t>
      </w:r>
      <w:r w:rsidR="00413A2C" w:rsidRPr="006655BC">
        <w:rPr>
          <w:rFonts w:ascii="Times New Roman" w:hAnsi="Times New Roman"/>
        </w:rPr>
        <w:t xml:space="preserve"> – </w:t>
      </w:r>
      <w:r w:rsidR="00BF4982" w:rsidRPr="006655BC">
        <w:rPr>
          <w:rFonts w:ascii="Times New Roman" w:hAnsi="Times New Roman"/>
        </w:rPr>
        <w:t>those with similar names are even more likely to agree on enrollment or grade. Differences between twins with more similar names and twins with less similar names are always positive and statistically significant at the 5 percent level or better in all comparisons.</w:t>
      </w:r>
    </w:p>
    <w:p w14:paraId="7E21D06B" w14:textId="1DAB255A" w:rsidR="00836FD6" w:rsidRPr="006655BC" w:rsidRDefault="00836FD6" w:rsidP="00836FD6">
      <w:pPr>
        <w:spacing w:after="120" w:line="360" w:lineRule="auto"/>
        <w:jc w:val="center"/>
        <w:rPr>
          <w:rFonts w:ascii="Times New Roman" w:hAnsi="Times New Roman"/>
        </w:rPr>
      </w:pPr>
      <w:r w:rsidRPr="006655BC">
        <w:rPr>
          <w:rFonts w:ascii="Times New Roman" w:hAnsi="Times New Roman"/>
        </w:rPr>
        <w:t>[Table A.3 about here]</w:t>
      </w:r>
    </w:p>
    <w:p w14:paraId="1A31F987" w14:textId="0A3E5DAE" w:rsidR="00BF4982" w:rsidRPr="006655BC" w:rsidRDefault="002C24B2" w:rsidP="00BF4982">
      <w:pPr>
        <w:rPr>
          <w:rFonts w:ascii="Times New Roman" w:hAnsi="Times New Roman"/>
          <w:szCs w:val="24"/>
          <w:lang w:val="en-AU" w:eastAsia="en-GB"/>
        </w:rPr>
      </w:pPr>
      <w:r w:rsidRPr="006655BC">
        <w:rPr>
          <w:rFonts w:ascii="Times New Roman" w:hAnsi="Times New Roman"/>
          <w:szCs w:val="24"/>
          <w:lang w:val="en-AU" w:eastAsia="en-GB"/>
        </w:rPr>
        <w:br w:type="page"/>
      </w:r>
    </w:p>
    <w:p w14:paraId="5BE0815E" w14:textId="40CB79D4" w:rsidR="009343B8" w:rsidRPr="006655BC" w:rsidRDefault="00AF3444" w:rsidP="00AF3444">
      <w:pPr>
        <w:pStyle w:val="Heading2"/>
        <w:rPr>
          <w:rFonts w:ascii="Times New Roman" w:hAnsi="Times New Roman" w:cs="Times New Roman"/>
          <w:b/>
          <w:bCs/>
          <w:color w:val="auto"/>
          <w:sz w:val="28"/>
          <w:szCs w:val="28"/>
        </w:rPr>
      </w:pPr>
      <w:r w:rsidRPr="006655BC">
        <w:rPr>
          <w:rFonts w:ascii="Times New Roman" w:hAnsi="Times New Roman" w:cs="Times New Roman"/>
          <w:b/>
          <w:bCs/>
          <w:color w:val="auto"/>
          <w:sz w:val="28"/>
          <w:szCs w:val="28"/>
        </w:rPr>
        <w:lastRenderedPageBreak/>
        <w:t>A.5.</w:t>
      </w:r>
      <w:r w:rsidRPr="006655BC">
        <w:rPr>
          <w:rFonts w:ascii="Times New Roman" w:hAnsi="Times New Roman" w:cs="Times New Roman"/>
          <w:b/>
          <w:bCs/>
          <w:color w:val="auto"/>
          <w:sz w:val="28"/>
          <w:szCs w:val="28"/>
        </w:rPr>
        <w:tab/>
      </w:r>
      <w:r w:rsidR="009343B8" w:rsidRPr="006655BC">
        <w:rPr>
          <w:rFonts w:ascii="Times New Roman" w:hAnsi="Times New Roman" w:cs="Times New Roman"/>
          <w:b/>
          <w:bCs/>
          <w:color w:val="auto"/>
          <w:sz w:val="28"/>
          <w:szCs w:val="28"/>
        </w:rPr>
        <w:t>Other Dimensions of Heterogeneity</w:t>
      </w:r>
    </w:p>
    <w:p w14:paraId="4ECFE27E" w14:textId="77777777" w:rsidR="009343B8" w:rsidRPr="006655BC" w:rsidRDefault="009343B8" w:rsidP="00934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lang w:val="en-AU" w:eastAsia="en-GB"/>
        </w:rPr>
      </w:pPr>
    </w:p>
    <w:p w14:paraId="19DDA2E6" w14:textId="57E5E726" w:rsidR="00BF4982" w:rsidRPr="006655BC" w:rsidRDefault="009343B8" w:rsidP="007B4FCC">
      <w:pPr>
        <w:spacing w:after="120" w:line="360" w:lineRule="auto"/>
        <w:jc w:val="both"/>
        <w:rPr>
          <w:rFonts w:ascii="Times New Roman" w:hAnsi="Times New Roman"/>
        </w:rPr>
      </w:pPr>
      <w:r w:rsidRPr="006655BC">
        <w:rPr>
          <w:rFonts w:ascii="Times New Roman" w:hAnsi="Times New Roman"/>
        </w:rPr>
        <w:t>This appendix explores if the return to schooling varied across cohorts and regions. We find some evidence of higher returns for older cohorts and comparable returns across different regions.</w:t>
      </w:r>
    </w:p>
    <w:p w14:paraId="306ECFC0" w14:textId="78FF4974" w:rsidR="009343B8" w:rsidRPr="006655BC" w:rsidRDefault="009343B8" w:rsidP="00934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val="en-AU" w:eastAsia="en-GB"/>
        </w:rPr>
      </w:pPr>
      <w:r w:rsidRPr="006655BC">
        <w:rPr>
          <w:rFonts w:ascii="Times New Roman" w:hAnsi="Times New Roman"/>
          <w:b/>
          <w:bCs/>
          <w:szCs w:val="24"/>
          <w:lang w:val="en-AU" w:eastAsia="en-GB"/>
        </w:rPr>
        <w:t>The Return to Education by Cohort</w:t>
      </w:r>
    </w:p>
    <w:p w14:paraId="6E567506" w14:textId="77777777" w:rsidR="009343B8" w:rsidRPr="006655BC" w:rsidRDefault="009343B8" w:rsidP="00934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lang w:val="en-AU" w:eastAsia="en-GB"/>
        </w:rPr>
      </w:pPr>
    </w:p>
    <w:p w14:paraId="72F92226" w14:textId="44FEFF1D" w:rsidR="009343B8" w:rsidRPr="006655BC" w:rsidRDefault="009343B8" w:rsidP="002C24B2">
      <w:pPr>
        <w:spacing w:after="120" w:line="360" w:lineRule="auto"/>
        <w:jc w:val="both"/>
        <w:rPr>
          <w:rFonts w:ascii="Times New Roman" w:hAnsi="Times New Roman"/>
        </w:rPr>
      </w:pPr>
      <w:r w:rsidRPr="006655BC">
        <w:rPr>
          <w:rFonts w:ascii="Times New Roman" w:hAnsi="Times New Roman"/>
        </w:rPr>
        <w:t xml:space="preserve">We first explore the return to education by cohort. Our sample collects twin pairs in the 1900, 1910, and 1920 censuses and comprises twins born across five decades. </w:t>
      </w:r>
      <w:r w:rsidR="00366957" w:rsidRPr="006655BC">
        <w:rPr>
          <w:rFonts w:ascii="Times New Roman" w:hAnsi="Times New Roman"/>
        </w:rPr>
        <w:t>Figure A.</w:t>
      </w:r>
      <w:r w:rsidR="005359E1" w:rsidRPr="006655BC">
        <w:rPr>
          <w:rFonts w:ascii="Times New Roman" w:hAnsi="Times New Roman"/>
          <w:noProof/>
        </w:rPr>
        <w:t>2</w:t>
      </w:r>
      <w:r w:rsidR="005359E1" w:rsidRPr="006655BC">
        <w:rPr>
          <w:rFonts w:ascii="Times New Roman" w:hAnsi="Times New Roman"/>
        </w:rPr>
        <w:t xml:space="preserve"> </w:t>
      </w:r>
      <w:r w:rsidRPr="006655BC">
        <w:rPr>
          <w:rFonts w:ascii="Times New Roman" w:hAnsi="Times New Roman"/>
        </w:rPr>
        <w:t>groups cohorts into 5-year bins and repeats our baseline analysis</w:t>
      </w:r>
      <w:r w:rsidR="00096124" w:rsidRPr="006655BC">
        <w:rPr>
          <w:rFonts w:ascii="Times New Roman" w:hAnsi="Times New Roman"/>
        </w:rPr>
        <w:t>.</w:t>
      </w:r>
      <w:r w:rsidR="00FB77C3" w:rsidRPr="006655BC">
        <w:rPr>
          <w:rStyle w:val="FootnoteReference"/>
          <w:rFonts w:ascii="Times New Roman" w:hAnsi="Times New Roman"/>
        </w:rPr>
        <w:footnoteReference w:id="5"/>
      </w:r>
    </w:p>
    <w:p w14:paraId="0725CF5E" w14:textId="41BE57D2" w:rsidR="009343B8" w:rsidRPr="006655BC" w:rsidRDefault="00836FD6" w:rsidP="00836FD6">
      <w:pPr>
        <w:spacing w:after="120" w:line="360" w:lineRule="auto"/>
        <w:jc w:val="center"/>
        <w:rPr>
          <w:rFonts w:ascii="Times New Roman" w:hAnsi="Times New Roman"/>
        </w:rPr>
      </w:pPr>
      <w:r w:rsidRPr="006655BC">
        <w:rPr>
          <w:rFonts w:ascii="Times New Roman" w:hAnsi="Times New Roman"/>
        </w:rPr>
        <w:t>[Figure A.2 about here]</w:t>
      </w:r>
    </w:p>
    <w:p w14:paraId="3E94ECFC" w14:textId="75DA21BC" w:rsidR="0041709B" w:rsidRPr="006655BC" w:rsidRDefault="0041709B" w:rsidP="007B4FCC">
      <w:pPr>
        <w:spacing w:after="120" w:line="360" w:lineRule="auto"/>
        <w:jc w:val="both"/>
        <w:rPr>
          <w:rFonts w:ascii="Times New Roman" w:hAnsi="Times New Roman"/>
        </w:rPr>
      </w:pPr>
      <w:r w:rsidRPr="006655BC">
        <w:rPr>
          <w:rFonts w:ascii="Times New Roman" w:hAnsi="Times New Roman"/>
        </w:rPr>
        <w:t xml:space="preserve">The point estimates in </w:t>
      </w:r>
      <w:r w:rsidR="00366957" w:rsidRPr="006655BC">
        <w:rPr>
          <w:rFonts w:ascii="Times New Roman" w:hAnsi="Times New Roman"/>
        </w:rPr>
        <w:t>Figure A.</w:t>
      </w:r>
      <w:r w:rsidR="005359E1" w:rsidRPr="006655BC">
        <w:rPr>
          <w:rFonts w:ascii="Times New Roman" w:hAnsi="Times New Roman"/>
          <w:noProof/>
        </w:rPr>
        <w:t>2</w:t>
      </w:r>
      <w:r w:rsidR="005359E1" w:rsidRPr="006655BC">
        <w:rPr>
          <w:rFonts w:ascii="Times New Roman" w:hAnsi="Times New Roman"/>
        </w:rPr>
        <w:t xml:space="preserve"> </w:t>
      </w:r>
      <w:r w:rsidRPr="006655BC">
        <w:rPr>
          <w:rFonts w:ascii="Times New Roman" w:hAnsi="Times New Roman"/>
        </w:rPr>
        <w:t>suggest that the return to schooling was higher for older cohorts, though the relative imprecision of the point estimates makes it difficult to determine if these differences are real or just noise. Simply fitting a line through the point estimates yields a gradient of -0.004 (S.E.=0.001) per 5-year binned cohort.</w:t>
      </w:r>
    </w:p>
    <w:p w14:paraId="4B2E8ED6" w14:textId="67D13AAC" w:rsidR="002C24B2" w:rsidRPr="006655BC" w:rsidRDefault="0041709B" w:rsidP="00BA1014">
      <w:pPr>
        <w:spacing w:after="120" w:line="360" w:lineRule="auto"/>
        <w:jc w:val="both"/>
        <w:rPr>
          <w:rFonts w:ascii="Times New Roman" w:hAnsi="Times New Roman"/>
        </w:rPr>
      </w:pPr>
      <w:r w:rsidRPr="006655BC">
        <w:rPr>
          <w:rFonts w:ascii="Times New Roman" w:hAnsi="Times New Roman"/>
        </w:rPr>
        <w:t xml:space="preserve">Differences in the return to schooling by cohort could be interpreted in two ways. First, the downward trend in the return to schooling may reflect the relatively smaller supply of skilled workers among earlier cohorts. Educational attainment rose steadily in the early 20th century, with new cohorts of American workers having about 0.8 more years of schooling per decade </w:t>
      </w:r>
      <w:r w:rsidR="00BD67D8" w:rsidRPr="006655BC">
        <w:rPr>
          <w:rFonts w:ascii="Times New Roman" w:hAnsi="Times New Roman"/>
          <w:noProof/>
        </w:rPr>
        <w:t>(Goldin and Katz 2009)</w:t>
      </w:r>
      <w:r w:rsidRPr="006655BC">
        <w:rPr>
          <w:rFonts w:ascii="Times New Roman" w:hAnsi="Times New Roman"/>
        </w:rPr>
        <w:t xml:space="preserve">. Skilled workers were thus more scarce among the older cohorts when they entered the labor market. Second, the trend in </w:t>
      </w:r>
      <w:r w:rsidR="00366957" w:rsidRPr="006655BC">
        <w:rPr>
          <w:rFonts w:ascii="Times New Roman" w:hAnsi="Times New Roman"/>
        </w:rPr>
        <w:t>Figure A.</w:t>
      </w:r>
      <w:r w:rsidR="005359E1" w:rsidRPr="006655BC">
        <w:rPr>
          <w:rFonts w:ascii="Times New Roman" w:hAnsi="Times New Roman"/>
          <w:noProof/>
        </w:rPr>
        <w:t>2</w:t>
      </w:r>
      <w:r w:rsidR="005359E1" w:rsidRPr="006655BC">
        <w:rPr>
          <w:rFonts w:ascii="Times New Roman" w:hAnsi="Times New Roman"/>
        </w:rPr>
        <w:t xml:space="preserve"> </w:t>
      </w:r>
      <w:r w:rsidRPr="006655BC">
        <w:rPr>
          <w:rFonts w:ascii="Times New Roman" w:hAnsi="Times New Roman"/>
        </w:rPr>
        <w:t>could reflect a lower return to education for individuals with less labor market experience or who are younger. It is not possible to distinguish between the two interpretations as we only observe earnings and education at one point in time, which makes cohort and age collinear.</w:t>
      </w:r>
    </w:p>
    <w:p w14:paraId="29E3199D" w14:textId="7A1D77D4" w:rsidR="006A7996" w:rsidRPr="006655BC" w:rsidRDefault="006A7996" w:rsidP="006A7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val="en-AU" w:eastAsia="en-GB"/>
        </w:rPr>
      </w:pPr>
      <w:r w:rsidRPr="006655BC">
        <w:rPr>
          <w:rFonts w:ascii="Times New Roman" w:hAnsi="Times New Roman"/>
          <w:b/>
          <w:bCs/>
          <w:szCs w:val="24"/>
          <w:lang w:val="en-AU" w:eastAsia="en-GB"/>
        </w:rPr>
        <w:t>The Return to Education by Region</w:t>
      </w:r>
    </w:p>
    <w:p w14:paraId="578B0875" w14:textId="77777777" w:rsidR="00544DBB" w:rsidRPr="006655BC" w:rsidRDefault="00544DBB" w:rsidP="006A7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lang w:val="en-AU" w:eastAsia="en-GB"/>
        </w:rPr>
      </w:pPr>
    </w:p>
    <w:p w14:paraId="40A82BD7" w14:textId="6A8327DD" w:rsidR="0041709B" w:rsidRPr="006655BC" w:rsidRDefault="006A7996" w:rsidP="007B4FCC">
      <w:pPr>
        <w:spacing w:after="120" w:line="360" w:lineRule="auto"/>
        <w:jc w:val="both"/>
        <w:rPr>
          <w:rFonts w:ascii="Times New Roman" w:hAnsi="Times New Roman"/>
        </w:rPr>
      </w:pPr>
      <w:r w:rsidRPr="006655BC">
        <w:rPr>
          <w:rFonts w:ascii="Times New Roman" w:hAnsi="Times New Roman"/>
        </w:rPr>
        <w:t xml:space="preserve">While </w:t>
      </w:r>
      <w:r w:rsidR="00BD67D8" w:rsidRPr="006655BC">
        <w:rPr>
          <w:rFonts w:ascii="Times New Roman" w:hAnsi="Times New Roman"/>
          <w:noProof/>
        </w:rPr>
        <w:t>Goldin and Katz (2009)</w:t>
      </w:r>
      <w:r w:rsidRPr="006655BC">
        <w:rPr>
          <w:rFonts w:ascii="Times New Roman" w:hAnsi="Times New Roman"/>
        </w:rPr>
        <w:t xml:space="preserve"> describe the 20th century as the </w:t>
      </w:r>
      <w:r w:rsidR="00413A2C" w:rsidRPr="006655BC">
        <w:rPr>
          <w:rFonts w:ascii="Times New Roman" w:hAnsi="Times New Roman"/>
        </w:rPr>
        <w:t>“</w:t>
      </w:r>
      <w:r w:rsidRPr="006655BC">
        <w:rPr>
          <w:rFonts w:ascii="Times New Roman" w:hAnsi="Times New Roman"/>
        </w:rPr>
        <w:t xml:space="preserve">human capital century", investments in education and the use of human capital in production were not uniform across the country. Could there also be spatial variation in the return to schooling? Since stratifying the </w:t>
      </w:r>
      <w:r w:rsidRPr="006655BC">
        <w:rPr>
          <w:rFonts w:ascii="Times New Roman" w:hAnsi="Times New Roman"/>
        </w:rPr>
        <w:lastRenderedPageBreak/>
        <w:t>sample on location in 1940 would be post-treatment, we examine the rate of return between twin pairs raised in different parts of the country</w:t>
      </w:r>
      <w:r w:rsidR="00096124" w:rsidRPr="006655BC">
        <w:rPr>
          <w:rFonts w:ascii="Times New Roman" w:hAnsi="Times New Roman"/>
        </w:rPr>
        <w:t>.</w:t>
      </w:r>
      <w:r w:rsidR="00FB77C3" w:rsidRPr="006655BC">
        <w:rPr>
          <w:rStyle w:val="FootnoteReference"/>
          <w:rFonts w:ascii="Times New Roman" w:hAnsi="Times New Roman"/>
        </w:rPr>
        <w:footnoteReference w:id="6"/>
      </w:r>
    </w:p>
    <w:p w14:paraId="5BEADD0A" w14:textId="3560723F" w:rsidR="006A7996" w:rsidRPr="006655BC" w:rsidRDefault="006A7996" w:rsidP="00BA1014">
      <w:pPr>
        <w:spacing w:after="120" w:line="360" w:lineRule="auto"/>
        <w:jc w:val="both"/>
        <w:rPr>
          <w:rFonts w:ascii="Times New Roman" w:hAnsi="Times New Roman"/>
        </w:rPr>
      </w:pPr>
      <w:r w:rsidRPr="006655BC">
        <w:rPr>
          <w:rFonts w:ascii="Times New Roman" w:hAnsi="Times New Roman"/>
        </w:rPr>
        <w:t>Our estimates suggest little geographic variation in the return to schooling. We divide the sample into four census regions, based on where twins were living when first observed in the 1900, 1910, and 1920 censuses. The returns are broadly similar across regions of childhood residence, as shown in</w:t>
      </w:r>
      <w:r w:rsidR="008119C9" w:rsidRPr="006655BC">
        <w:rPr>
          <w:rFonts w:ascii="Times New Roman" w:hAnsi="Times New Roman"/>
        </w:rPr>
        <w:t xml:space="preserve"> </w:t>
      </w:r>
      <w:r w:rsidR="00366957" w:rsidRPr="006655BC">
        <w:rPr>
          <w:rFonts w:ascii="Times New Roman" w:hAnsi="Times New Roman"/>
        </w:rPr>
        <w:t>Figure A.</w:t>
      </w:r>
      <w:r w:rsidR="008119C9" w:rsidRPr="006655BC">
        <w:rPr>
          <w:rFonts w:ascii="Times New Roman" w:hAnsi="Times New Roman"/>
          <w:noProof/>
        </w:rPr>
        <w:t>3</w:t>
      </w:r>
      <w:r w:rsidR="00096124" w:rsidRPr="006655BC">
        <w:rPr>
          <w:rFonts w:ascii="Times New Roman" w:hAnsi="Times New Roman"/>
        </w:rPr>
        <w:t>.</w:t>
      </w:r>
      <w:r w:rsidR="00FB77C3" w:rsidRPr="006655BC">
        <w:rPr>
          <w:rStyle w:val="FootnoteReference"/>
          <w:rFonts w:ascii="Times New Roman" w:hAnsi="Times New Roman"/>
        </w:rPr>
        <w:footnoteReference w:id="7"/>
      </w:r>
      <w:r w:rsidRPr="006655BC">
        <w:rPr>
          <w:rFonts w:ascii="Times New Roman" w:hAnsi="Times New Roman"/>
        </w:rPr>
        <w:t xml:space="preserve"> Though the point estimates are higher for twins from the South, these differences are not statistically significant.</w:t>
      </w:r>
    </w:p>
    <w:p w14:paraId="031184EA" w14:textId="58B5FAD1" w:rsidR="00BA1014" w:rsidRPr="006655BC" w:rsidRDefault="00BA1014" w:rsidP="00BA1014">
      <w:pPr>
        <w:spacing w:after="120" w:line="360" w:lineRule="auto"/>
        <w:jc w:val="center"/>
        <w:rPr>
          <w:rFonts w:ascii="Times New Roman" w:hAnsi="Times New Roman"/>
        </w:rPr>
      </w:pPr>
      <w:r w:rsidRPr="006655BC">
        <w:rPr>
          <w:rFonts w:ascii="Times New Roman" w:hAnsi="Times New Roman"/>
        </w:rPr>
        <w:t>[Figure A.3 about here]</w:t>
      </w:r>
    </w:p>
    <w:p w14:paraId="46E927A5" w14:textId="26342365" w:rsidR="002C24B2" w:rsidRPr="006655BC" w:rsidRDefault="007B513E" w:rsidP="002C24B2">
      <w:pPr>
        <w:spacing w:after="120" w:line="360" w:lineRule="auto"/>
        <w:jc w:val="both"/>
        <w:rPr>
          <w:rFonts w:ascii="Times New Roman" w:hAnsi="Times New Roman"/>
        </w:rPr>
      </w:pPr>
      <w:r w:rsidRPr="006655BC">
        <w:rPr>
          <w:rFonts w:ascii="Times New Roman" w:hAnsi="Times New Roman"/>
        </w:rPr>
        <w:t xml:space="preserve">This apparent geographic similarity cannot be due to the differential shares of non-white twins across regions, as </w:t>
      </w:r>
      <w:r w:rsidR="00366957" w:rsidRPr="006655BC">
        <w:rPr>
          <w:rFonts w:ascii="Times New Roman" w:hAnsi="Times New Roman"/>
        </w:rPr>
        <w:t>Figure A.</w:t>
      </w:r>
      <w:r w:rsidR="008119C9" w:rsidRPr="006655BC">
        <w:rPr>
          <w:rFonts w:ascii="Times New Roman" w:hAnsi="Times New Roman"/>
          <w:noProof/>
        </w:rPr>
        <w:t>3</w:t>
      </w:r>
      <w:r w:rsidR="008119C9" w:rsidRPr="006655BC">
        <w:rPr>
          <w:rFonts w:ascii="Times New Roman" w:hAnsi="Times New Roman"/>
        </w:rPr>
        <w:t xml:space="preserve"> </w:t>
      </w:r>
      <w:r w:rsidRPr="006655BC">
        <w:rPr>
          <w:rFonts w:ascii="Times New Roman" w:hAnsi="Times New Roman"/>
        </w:rPr>
        <w:t xml:space="preserve">plots the regional returns for both the full twins sample and the subset of white twins. Another unlikely hypothesis is that the quality of schooling was similar across localities. </w:t>
      </w:r>
      <w:r w:rsidR="00BD67D8" w:rsidRPr="006655BC">
        <w:rPr>
          <w:rFonts w:ascii="Times New Roman" w:hAnsi="Times New Roman"/>
          <w:noProof/>
        </w:rPr>
        <w:t>Goldin and Katz (2007)</w:t>
      </w:r>
      <w:r w:rsidRPr="006655BC">
        <w:rPr>
          <w:rFonts w:ascii="Times New Roman" w:hAnsi="Times New Roman"/>
        </w:rPr>
        <w:t>, for example, document large differences in the rate at which the high school movement progressed in each region during the first half of the 20th century</w:t>
      </w:r>
      <w:r w:rsidR="00096124" w:rsidRPr="006655BC">
        <w:rPr>
          <w:rFonts w:ascii="Times New Roman" w:hAnsi="Times New Roman"/>
        </w:rPr>
        <w:t>.</w:t>
      </w:r>
      <w:r w:rsidR="00FB77C3" w:rsidRPr="006655BC">
        <w:rPr>
          <w:rStyle w:val="FootnoteReference"/>
          <w:rFonts w:ascii="Times New Roman" w:hAnsi="Times New Roman"/>
        </w:rPr>
        <w:footnoteReference w:id="8"/>
      </w:r>
      <w:r w:rsidRPr="006655BC">
        <w:rPr>
          <w:rFonts w:ascii="Times New Roman" w:hAnsi="Times New Roman"/>
        </w:rPr>
        <w:t xml:space="preserve"> Given the vast differences in labor market structures across the country and the huge variation in the supply of educated workers across states and regions </w:t>
      </w:r>
      <w:r w:rsidR="00BD67D8" w:rsidRPr="006655BC">
        <w:rPr>
          <w:rFonts w:ascii="Times New Roman" w:hAnsi="Times New Roman"/>
          <w:noProof/>
        </w:rPr>
        <w:t>(Goldin and Katz 2009, p. 204)</w:t>
      </w:r>
      <w:r w:rsidRPr="006655BC">
        <w:rPr>
          <w:rFonts w:ascii="Times New Roman" w:hAnsi="Times New Roman"/>
        </w:rPr>
        <w:t>, it also does not seem reasonable to attribute the regional consistency to equal rewards to human capital regardless of locality</w:t>
      </w:r>
      <w:r w:rsidR="00096124" w:rsidRPr="006655BC">
        <w:rPr>
          <w:rFonts w:ascii="Times New Roman" w:hAnsi="Times New Roman"/>
        </w:rPr>
        <w:t>.</w:t>
      </w:r>
      <w:r w:rsidR="00FB77C3" w:rsidRPr="006655BC">
        <w:rPr>
          <w:rStyle w:val="FootnoteReference"/>
          <w:rFonts w:ascii="Times New Roman" w:hAnsi="Times New Roman"/>
        </w:rPr>
        <w:footnoteReference w:id="9"/>
      </w:r>
      <w:r w:rsidRPr="006655BC">
        <w:rPr>
          <w:rFonts w:ascii="Times New Roman" w:hAnsi="Times New Roman"/>
        </w:rPr>
        <w:t xml:space="preserve"> We leave an investigation of the spatial homogeneity in returns to future research with better-suited empirical strategies.</w:t>
      </w:r>
      <w:r w:rsidR="002C24B2" w:rsidRPr="006655BC">
        <w:rPr>
          <w:rFonts w:ascii="Times New Roman" w:hAnsi="Times New Roman"/>
        </w:rPr>
        <w:br w:type="page"/>
      </w:r>
    </w:p>
    <w:p w14:paraId="713AAAA1" w14:textId="0F0F39DF" w:rsidR="007B513E" w:rsidRPr="006655BC" w:rsidRDefault="005740B4" w:rsidP="005740B4">
      <w:pPr>
        <w:pStyle w:val="Heading2"/>
        <w:rPr>
          <w:rFonts w:ascii="Times New Roman" w:hAnsi="Times New Roman" w:cs="Times New Roman"/>
          <w:b/>
          <w:bCs/>
          <w:color w:val="auto"/>
          <w:sz w:val="28"/>
          <w:szCs w:val="28"/>
        </w:rPr>
      </w:pPr>
      <w:r w:rsidRPr="006655BC">
        <w:rPr>
          <w:rFonts w:ascii="Times New Roman" w:hAnsi="Times New Roman" w:cs="Times New Roman"/>
          <w:b/>
          <w:bCs/>
          <w:color w:val="auto"/>
          <w:sz w:val="28"/>
          <w:szCs w:val="28"/>
        </w:rPr>
        <w:lastRenderedPageBreak/>
        <w:t>A.6.</w:t>
      </w:r>
      <w:r w:rsidRPr="006655BC">
        <w:rPr>
          <w:rFonts w:ascii="Times New Roman" w:hAnsi="Times New Roman" w:cs="Times New Roman"/>
          <w:b/>
          <w:bCs/>
          <w:color w:val="auto"/>
          <w:sz w:val="28"/>
          <w:szCs w:val="28"/>
        </w:rPr>
        <w:tab/>
      </w:r>
      <w:r w:rsidR="00D73E83" w:rsidRPr="006655BC">
        <w:rPr>
          <w:rFonts w:ascii="Times New Roman" w:hAnsi="Times New Roman" w:cs="Times New Roman"/>
          <w:b/>
          <w:bCs/>
          <w:color w:val="auto"/>
          <w:sz w:val="28"/>
          <w:szCs w:val="28"/>
        </w:rPr>
        <w:t>Additional Figures and Tables</w:t>
      </w:r>
    </w:p>
    <w:p w14:paraId="150629CE" w14:textId="77777777" w:rsidR="006E1804" w:rsidRPr="006655BC" w:rsidRDefault="006E1804">
      <w:pPr>
        <w:rPr>
          <w:rFonts w:ascii="Times New Roman" w:hAnsi="Times New Roman"/>
          <w:b/>
          <w:bCs/>
          <w:szCs w:val="24"/>
          <w:lang w:val="en-AU" w:eastAsia="en-GB"/>
        </w:rPr>
      </w:pPr>
    </w:p>
    <w:p w14:paraId="4A9C5171" w14:textId="042D5AE0"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[Figure A.4 about here]</w:t>
      </w:r>
    </w:p>
    <w:p w14:paraId="69ED2C72" w14:textId="424FD8CC"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[Figure A.5 about here]</w:t>
      </w:r>
    </w:p>
    <w:p w14:paraId="4ACF0DCB" w14:textId="188E611B"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[Figure A.6 about here]</w:t>
      </w:r>
    </w:p>
    <w:p w14:paraId="045112AB" w14:textId="31DFC354"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[Figure A.7 about here]</w:t>
      </w:r>
    </w:p>
    <w:p w14:paraId="3545EF81" w14:textId="126B8210"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[Figure A.8 about here]</w:t>
      </w:r>
    </w:p>
    <w:p w14:paraId="003A14BB" w14:textId="594451D5"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[Table A.4 about here]</w:t>
      </w:r>
    </w:p>
    <w:p w14:paraId="193D4F85" w14:textId="02C4D701"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[Table A.5 about here]</w:t>
      </w:r>
    </w:p>
    <w:p w14:paraId="60206FD7" w14:textId="3DF6FD8F"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[Table A.6 about here]</w:t>
      </w:r>
    </w:p>
    <w:p w14:paraId="576F72BB" w14:textId="4E1B3B5C"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[Table A.7 about here]</w:t>
      </w:r>
    </w:p>
    <w:p w14:paraId="699151CA" w14:textId="5A0ECFB6"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[Table A.8 about here]</w:t>
      </w:r>
    </w:p>
    <w:p w14:paraId="06FB94C4" w14:textId="03146FB5"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[Table A.9 about here]</w:t>
      </w:r>
    </w:p>
    <w:p w14:paraId="7C86E9A2" w14:textId="6C3F0C34"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[Table A.10 about here]</w:t>
      </w:r>
    </w:p>
    <w:p w14:paraId="5EBDE229" w14:textId="797C4DFB"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[Table A.11 about here]</w:t>
      </w:r>
    </w:p>
    <w:p w14:paraId="359A37E8" w14:textId="70F92EC1" w:rsidR="006E1804" w:rsidRPr="006655BC" w:rsidRDefault="006E1804" w:rsidP="006E1804">
      <w:pPr>
        <w:spacing w:after="120" w:line="360" w:lineRule="auto"/>
        <w:jc w:val="center"/>
        <w:rPr>
          <w:rFonts w:ascii="Times New Roman" w:hAnsi="Times New Roman"/>
        </w:rPr>
      </w:pPr>
      <w:r w:rsidRPr="006655BC">
        <w:rPr>
          <w:rFonts w:ascii="Times New Roman" w:hAnsi="Times New Roman"/>
        </w:rPr>
        <w:t>[Table A.12 about here]</w:t>
      </w:r>
    </w:p>
    <w:p w14:paraId="18F01000" w14:textId="77777777" w:rsidR="006E1804" w:rsidRPr="006655BC" w:rsidRDefault="006E1804" w:rsidP="006E1804">
      <w:pPr>
        <w:jc w:val="center"/>
        <w:rPr>
          <w:rFonts w:ascii="Times New Roman" w:hAnsi="Times New Roman"/>
          <w:b/>
          <w:bCs/>
          <w:szCs w:val="24"/>
          <w:lang w:val="en-AU" w:eastAsia="en-GB"/>
        </w:rPr>
      </w:pPr>
    </w:p>
    <w:p w14:paraId="151E6884" w14:textId="77777777" w:rsidR="006E1804" w:rsidRPr="006655BC" w:rsidRDefault="006E1804">
      <w:pPr>
        <w:rPr>
          <w:rFonts w:ascii="Times New Roman" w:hAnsi="Times New Roman"/>
          <w:b/>
          <w:bCs/>
          <w:szCs w:val="24"/>
          <w:lang w:val="en-AU" w:eastAsia="en-GB"/>
        </w:rPr>
      </w:pPr>
    </w:p>
    <w:p w14:paraId="19F22C66" w14:textId="4CA29AEE" w:rsidR="00B23D85" w:rsidRPr="006655BC" w:rsidRDefault="00B23D85">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1DD7E2DC" w14:textId="593EB04A" w:rsidR="00835B36" w:rsidRPr="006655BC" w:rsidRDefault="0066312B"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lastRenderedPageBreak/>
        <w:drawing>
          <wp:inline distT="0" distB="0" distL="0" distR="0" wp14:anchorId="54FDEE5C" wp14:editId="136F2C1F">
            <wp:extent cx="59436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rthmo_pairs_scatter.pdf"/>
                    <pic:cNvPicPr/>
                  </pic:nvPicPr>
                  <pic:blipFill>
                    <a:blip r:embed="rId8">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D97722F" w14:textId="6D0D081E" w:rsidR="007154D6" w:rsidRPr="006655BC" w:rsidRDefault="00366957" w:rsidP="008C204E">
      <w:pPr>
        <w:pStyle w:val="Caption"/>
        <w:jc w:val="both"/>
        <w:rPr>
          <w:rFonts w:ascii="Times New Roman" w:hAnsi="Times New Roman"/>
          <w:b w:val="0"/>
          <w:bCs w:val="0"/>
          <w:szCs w:val="24"/>
          <w:lang w:val="en-AU" w:eastAsia="en-GB"/>
        </w:rPr>
      </w:pPr>
      <w:bookmarkStart w:id="1" w:name="_Ref42944467"/>
      <w:r w:rsidRPr="006655BC">
        <w:rPr>
          <w:rFonts w:ascii="Times New Roman" w:hAnsi="Times New Roman"/>
        </w:rPr>
        <w:t>Figure A.</w:t>
      </w:r>
      <w:r w:rsidR="009E2DE4" w:rsidRPr="006655BC">
        <w:rPr>
          <w:rFonts w:ascii="Times New Roman" w:hAnsi="Times New Roman"/>
          <w:noProof/>
        </w:rPr>
        <w:t>1</w:t>
      </w:r>
      <w:bookmarkEnd w:id="1"/>
      <w:r w:rsidR="00F651E1" w:rsidRPr="006655BC">
        <w:rPr>
          <w:rFonts w:ascii="Times New Roman" w:hAnsi="Times New Roman"/>
        </w:rPr>
        <w:t>:</w:t>
      </w:r>
      <w:r w:rsidR="00740134" w:rsidRPr="006655BC">
        <w:rPr>
          <w:rFonts w:ascii="Times New Roman" w:hAnsi="Times New Roman"/>
        </w:rPr>
        <w:t xml:space="preserve"> </w:t>
      </w:r>
      <w:r w:rsidR="00B5499D" w:rsidRPr="006655BC">
        <w:rPr>
          <w:rFonts w:ascii="Times New Roman" w:hAnsi="Times New Roman"/>
          <w:b w:val="0"/>
          <w:bCs w:val="0"/>
        </w:rPr>
        <w:t>Birth Months of Twins in 1900 Tagged Using Age. Because birth month is not recorded in 1910 or 1920, we tag twins as any pair of boys living in the same household and family, and who have the same age, birthplace, relationship to the head of household, and last name. In 1900, we can test the accuracy of our procedure. This graph suggests that there may be some twins in our data who are not actually twins, though the birth month variable in the census could itself be recorded with error or noise. Both the size and shading of the circles indicate the number of observations at each point.</w:t>
      </w:r>
    </w:p>
    <w:p w14:paraId="6A699101" w14:textId="77777777" w:rsidR="00CA5BF2" w:rsidRPr="006655BC" w:rsidRDefault="00CA5BF2" w:rsidP="007154D6">
      <w:pPr>
        <w:jc w:val="center"/>
        <w:rPr>
          <w:rFonts w:ascii="Times New Roman" w:hAnsi="Times New Roman"/>
          <w:b/>
          <w:bCs/>
          <w:szCs w:val="24"/>
          <w:lang w:val="en-AU" w:eastAsia="en-GB"/>
        </w:rPr>
      </w:pPr>
    </w:p>
    <w:p w14:paraId="1EEF71B3" w14:textId="62E99AB2"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36E0811F" w14:textId="0EA23672"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lastRenderedPageBreak/>
        <w:drawing>
          <wp:inline distT="0" distB="0" distL="0" distR="0" wp14:anchorId="204F6571" wp14:editId="41148D25">
            <wp:extent cx="5943600" cy="29781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2.pdf"/>
                    <pic:cNvPicPr/>
                  </pic:nvPicPr>
                  <pic:blipFill>
                    <a:blip r:embed="rId9">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14:paraId="000F6C4A" w14:textId="4C7D2B44" w:rsidR="007154D6" w:rsidRPr="006655BC" w:rsidRDefault="00366957" w:rsidP="008C204E">
      <w:pPr>
        <w:pStyle w:val="Caption"/>
        <w:jc w:val="both"/>
        <w:rPr>
          <w:rFonts w:ascii="Times New Roman" w:hAnsi="Times New Roman"/>
          <w:b w:val="0"/>
          <w:bCs w:val="0"/>
          <w:szCs w:val="24"/>
          <w:lang w:val="en-AU" w:eastAsia="en-GB"/>
        </w:rPr>
      </w:pPr>
      <w:bookmarkStart w:id="2" w:name="_Ref42944611"/>
      <w:r w:rsidRPr="006655BC">
        <w:rPr>
          <w:rFonts w:ascii="Times New Roman" w:hAnsi="Times New Roman"/>
        </w:rPr>
        <w:t>Figure A.</w:t>
      </w:r>
      <w:r w:rsidR="009E2DE4" w:rsidRPr="006655BC">
        <w:rPr>
          <w:rFonts w:ascii="Times New Roman" w:hAnsi="Times New Roman"/>
          <w:noProof/>
        </w:rPr>
        <w:t>2</w:t>
      </w:r>
      <w:bookmarkEnd w:id="2"/>
      <w:r w:rsidR="00F651E1" w:rsidRPr="006655BC">
        <w:rPr>
          <w:rFonts w:ascii="Times New Roman" w:hAnsi="Times New Roman"/>
        </w:rPr>
        <w:t>:</w:t>
      </w:r>
      <w:r w:rsidR="00B5499D" w:rsidRPr="006655BC">
        <w:rPr>
          <w:rFonts w:ascii="Times New Roman" w:hAnsi="Times New Roman"/>
        </w:rPr>
        <w:t xml:space="preserve"> </w:t>
      </w:r>
      <w:r w:rsidR="00B5499D" w:rsidRPr="006655BC">
        <w:rPr>
          <w:rFonts w:ascii="Times New Roman" w:hAnsi="Times New Roman"/>
          <w:b w:val="0"/>
          <w:bCs w:val="0"/>
        </w:rPr>
        <w:t>The Return to Schooling by Cohort. For each 5-year bin of cohorts in our linked twins data, we estimate the return to education, replicating our main specification with twin family fixed effects. Each point represents a separate regression and is plotted with 95% confidence intervals, based on robust standard errors clustered at the twin-pair level. There is some evidence of a downward trend in the returns across cohorts.</w:t>
      </w:r>
    </w:p>
    <w:p w14:paraId="50FD7F30" w14:textId="28053878"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6B5419E0" w14:textId="251C7704"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lastRenderedPageBreak/>
        <w:drawing>
          <wp:inline distT="0" distB="0" distL="0" distR="0" wp14:anchorId="7C02F1B7" wp14:editId="463E5EDC">
            <wp:extent cx="5444631" cy="3169920"/>
            <wp:effectExtent l="0" t="0" r="381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3.pdf"/>
                    <pic:cNvPicPr/>
                  </pic:nvPicPr>
                  <pic:blipFill>
                    <a:blip r:embed="rId10">
                      <a:extLst>
                        <a:ext uri="{28A0092B-C50C-407E-A947-70E740481C1C}">
                          <a14:useLocalDpi xmlns:a14="http://schemas.microsoft.com/office/drawing/2010/main" val="0"/>
                        </a:ext>
                      </a:extLst>
                    </a:blip>
                    <a:stretch>
                      <a:fillRect/>
                    </a:stretch>
                  </pic:blipFill>
                  <pic:spPr>
                    <a:xfrm>
                      <a:off x="0" y="0"/>
                      <a:ext cx="5449892" cy="3172983"/>
                    </a:xfrm>
                    <a:prstGeom prst="rect">
                      <a:avLst/>
                    </a:prstGeom>
                  </pic:spPr>
                </pic:pic>
              </a:graphicData>
            </a:graphic>
          </wp:inline>
        </w:drawing>
      </w:r>
    </w:p>
    <w:p w14:paraId="500E8861" w14:textId="6F887404" w:rsidR="007154D6" w:rsidRPr="006655BC" w:rsidRDefault="00366957" w:rsidP="008C204E">
      <w:pPr>
        <w:pStyle w:val="Caption"/>
        <w:jc w:val="both"/>
        <w:rPr>
          <w:rFonts w:ascii="Times New Roman" w:hAnsi="Times New Roman"/>
          <w:b w:val="0"/>
          <w:bCs w:val="0"/>
          <w:szCs w:val="24"/>
          <w:lang w:val="en-AU" w:eastAsia="en-GB"/>
        </w:rPr>
      </w:pPr>
      <w:bookmarkStart w:id="3" w:name="_Ref42944697"/>
      <w:r w:rsidRPr="006655BC">
        <w:rPr>
          <w:rFonts w:ascii="Times New Roman" w:hAnsi="Times New Roman"/>
        </w:rPr>
        <w:t>Figure A.</w:t>
      </w:r>
      <w:r w:rsidR="009E2DE4" w:rsidRPr="006655BC">
        <w:rPr>
          <w:rFonts w:ascii="Times New Roman" w:hAnsi="Times New Roman"/>
          <w:noProof/>
        </w:rPr>
        <w:t>3</w:t>
      </w:r>
      <w:bookmarkEnd w:id="3"/>
      <w:r w:rsidR="00F651E1" w:rsidRPr="006655BC">
        <w:rPr>
          <w:rFonts w:ascii="Times New Roman" w:hAnsi="Times New Roman"/>
        </w:rPr>
        <w:t>:</w:t>
      </w:r>
      <w:r w:rsidR="00B5499D" w:rsidRPr="006655BC">
        <w:rPr>
          <w:rFonts w:ascii="Times New Roman" w:hAnsi="Times New Roman"/>
        </w:rPr>
        <w:t xml:space="preserve"> </w:t>
      </w:r>
      <w:r w:rsidR="00B5499D" w:rsidRPr="006655BC">
        <w:rPr>
          <w:rFonts w:ascii="Times New Roman" w:hAnsi="Times New Roman"/>
          <w:b w:val="0"/>
          <w:bCs w:val="0"/>
        </w:rPr>
        <w:t>The Return to Schooling in the Early 20th Century Did Not Vary Across Childhood Census Regions. We split our sample into four census regions based on where the twins were living when we observe them as children</w:t>
      </w:r>
      <w:r w:rsidR="00E1131C" w:rsidRPr="006655BC">
        <w:rPr>
          <w:rFonts w:ascii="Times New Roman" w:hAnsi="Times New Roman"/>
          <w:b w:val="0"/>
          <w:bCs w:val="0"/>
        </w:rPr>
        <w:t xml:space="preserve"> – </w:t>
      </w:r>
      <w:r w:rsidR="00B5499D" w:rsidRPr="006655BC">
        <w:rPr>
          <w:rFonts w:ascii="Times New Roman" w:hAnsi="Times New Roman"/>
          <w:b w:val="0"/>
          <w:bCs w:val="0"/>
        </w:rPr>
        <w:t xml:space="preserve">in the household with their parents and their twin. Data are from the pooled 1900-1940, 1910-1940, and 1920-1940 linked twins samples. The sample is restricted to wage and salary male workers with a weekly wage of at least $6, who worked a positive number of weeks in the previous year (1939), and who worked a positive number of hours in the preceding week, according to the 1940 census. We estimate the return to schooling by region for the full sample and the subset of white twins. Following </w:t>
      </w:r>
      <w:r w:rsidR="00BD67D8" w:rsidRPr="006655BC">
        <w:rPr>
          <w:rFonts w:ascii="Times New Roman" w:hAnsi="Times New Roman"/>
          <w:b w:val="0"/>
          <w:bCs w:val="0"/>
          <w:noProof/>
        </w:rPr>
        <w:t>Bailey et al. (2019)</w:t>
      </w:r>
      <w:r w:rsidR="00B5499D" w:rsidRPr="006655BC">
        <w:rPr>
          <w:rFonts w:ascii="Times New Roman" w:hAnsi="Times New Roman"/>
          <w:b w:val="0"/>
          <w:bCs w:val="0"/>
        </w:rPr>
        <w:t>, we use inverse propensity weights to adjust for observable differences between matched and unmatched people in our census linked sample. 95% confidence intervals are shown, based on robust standard errors clustered at the twin-pair level.</w:t>
      </w:r>
    </w:p>
    <w:p w14:paraId="1D243AA7" w14:textId="77777777" w:rsidR="00B5499D" w:rsidRPr="006655BC" w:rsidRDefault="00B5499D" w:rsidP="007154D6">
      <w:pPr>
        <w:jc w:val="center"/>
        <w:rPr>
          <w:rFonts w:ascii="Times New Roman" w:hAnsi="Times New Roman"/>
          <w:b/>
          <w:bCs/>
          <w:szCs w:val="24"/>
          <w:lang w:val="en-AU" w:eastAsia="en-GB"/>
        </w:rPr>
      </w:pPr>
    </w:p>
    <w:p w14:paraId="2ACC25C8" w14:textId="74D22F69"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3E71D378" w14:textId="79E85E25"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lastRenderedPageBreak/>
        <w:drawing>
          <wp:inline distT="0" distB="0" distL="0" distR="0" wp14:anchorId="1CB0DF46" wp14:editId="63B654FD">
            <wp:extent cx="5803900" cy="3009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4.pdf"/>
                    <pic:cNvPicPr/>
                  </pic:nvPicPr>
                  <pic:blipFill>
                    <a:blip r:embed="rId11">
                      <a:extLst>
                        <a:ext uri="{28A0092B-C50C-407E-A947-70E740481C1C}">
                          <a14:useLocalDpi xmlns:a14="http://schemas.microsoft.com/office/drawing/2010/main" val="0"/>
                        </a:ext>
                      </a:extLst>
                    </a:blip>
                    <a:stretch>
                      <a:fillRect/>
                    </a:stretch>
                  </pic:blipFill>
                  <pic:spPr>
                    <a:xfrm>
                      <a:off x="0" y="0"/>
                      <a:ext cx="5803900" cy="3009900"/>
                    </a:xfrm>
                    <a:prstGeom prst="rect">
                      <a:avLst/>
                    </a:prstGeom>
                  </pic:spPr>
                </pic:pic>
              </a:graphicData>
            </a:graphic>
          </wp:inline>
        </w:drawing>
      </w:r>
    </w:p>
    <w:p w14:paraId="6270A7AD" w14:textId="4592816C" w:rsidR="00B5499D" w:rsidRPr="006655BC" w:rsidRDefault="00366957" w:rsidP="008C204E">
      <w:pPr>
        <w:pStyle w:val="Caption"/>
        <w:jc w:val="both"/>
        <w:rPr>
          <w:rFonts w:ascii="Times New Roman" w:hAnsi="Times New Roman"/>
          <w:b w:val="0"/>
          <w:bCs w:val="0"/>
          <w:szCs w:val="24"/>
          <w:lang w:val="en-AU" w:eastAsia="en-GB"/>
        </w:rPr>
      </w:pPr>
      <w:bookmarkStart w:id="4" w:name="_Ref42944751"/>
      <w:r w:rsidRPr="006655BC">
        <w:rPr>
          <w:rFonts w:ascii="Times New Roman" w:hAnsi="Times New Roman"/>
        </w:rPr>
        <w:t>Figure A.</w:t>
      </w:r>
      <w:r w:rsidR="009E2DE4" w:rsidRPr="006655BC">
        <w:rPr>
          <w:rFonts w:ascii="Times New Roman" w:hAnsi="Times New Roman"/>
          <w:noProof/>
        </w:rPr>
        <w:t>4</w:t>
      </w:r>
      <w:bookmarkEnd w:id="4"/>
      <w:r w:rsidR="00F651E1" w:rsidRPr="006655BC">
        <w:rPr>
          <w:rFonts w:ascii="Times New Roman" w:hAnsi="Times New Roman"/>
        </w:rPr>
        <w:t>:</w:t>
      </w:r>
      <w:r w:rsidR="00B5499D" w:rsidRPr="006655BC">
        <w:rPr>
          <w:rFonts w:ascii="Times New Roman" w:hAnsi="Times New Roman"/>
        </w:rPr>
        <w:t xml:space="preserve"> </w:t>
      </w:r>
      <w:r w:rsidR="0000353F" w:rsidRPr="006655BC">
        <w:rPr>
          <w:rFonts w:ascii="Times New Roman" w:hAnsi="Times New Roman"/>
          <w:b w:val="0"/>
          <w:bCs w:val="0"/>
        </w:rPr>
        <w:t xml:space="preserve">Robustness of the Estimated Return to Education by Sample Restrictions. Our baseline sample is restricted to wage and salary male workers with a weekly wage of at least $6, who worked a positive number of weeks in the previous year (1939), and who worked a positive number of hours in the previous week. The twins sample includes only twins who </w:t>
      </w:r>
      <w:r w:rsidR="0000353F" w:rsidRPr="006655BC">
        <w:rPr>
          <w:rFonts w:ascii="Times New Roman" w:hAnsi="Times New Roman"/>
          <w:b w:val="0"/>
          <w:bCs w:val="0"/>
          <w:i/>
          <w:iCs/>
        </w:rPr>
        <w:t>both</w:t>
      </w:r>
      <w:r w:rsidR="0000353F" w:rsidRPr="006655BC">
        <w:rPr>
          <w:rFonts w:ascii="Times New Roman" w:hAnsi="Times New Roman"/>
          <w:b w:val="0"/>
          <w:bCs w:val="0"/>
        </w:rPr>
        <w:t xml:space="preserve"> fit our sample criteria. This figure presents the estimated returns as we relax these restrictions one by one. We cannot relax the restriction for positive weeks worked in 1939 because our outcome is the log of weekly earnings, which is undefined when weeks worked is missing or zero. Following </w:t>
      </w:r>
      <w:r w:rsidR="00BD67D8" w:rsidRPr="006655BC">
        <w:rPr>
          <w:rFonts w:ascii="Times New Roman" w:hAnsi="Times New Roman"/>
          <w:b w:val="0"/>
          <w:bCs w:val="0"/>
          <w:noProof/>
        </w:rPr>
        <w:t>Bailey et al. (2019)</w:t>
      </w:r>
      <w:r w:rsidR="0000353F" w:rsidRPr="006655BC">
        <w:rPr>
          <w:rFonts w:ascii="Times New Roman" w:hAnsi="Times New Roman"/>
          <w:b w:val="0"/>
          <w:bCs w:val="0"/>
        </w:rPr>
        <w:t>, we use inverse propensity weights to adjust for observable differences between matched and unmatched people in our census linked sample. 95% confidence intervals are shown, based on robust standard errors.</w:t>
      </w:r>
    </w:p>
    <w:p w14:paraId="1C4A4DCA" w14:textId="3F3EC0AD" w:rsidR="007154D6" w:rsidRPr="006655BC" w:rsidRDefault="007154D6" w:rsidP="007154D6">
      <w:pPr>
        <w:jc w:val="center"/>
        <w:rPr>
          <w:rFonts w:ascii="Times New Roman" w:hAnsi="Times New Roman"/>
          <w:b/>
          <w:bCs/>
          <w:szCs w:val="24"/>
          <w:lang w:val="en-AU" w:eastAsia="en-GB"/>
        </w:rPr>
      </w:pPr>
    </w:p>
    <w:p w14:paraId="657288EF" w14:textId="75FC1BBA"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63C0A5C8" w14:textId="6C11E66C" w:rsidR="007154D6" w:rsidRPr="006655BC" w:rsidRDefault="0066312B"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lastRenderedPageBreak/>
        <w:drawing>
          <wp:inline distT="0" distB="0" distL="0" distR="0" wp14:anchorId="05C1A397" wp14:editId="1CFA2CC4">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l_density.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637B828" w14:textId="7B5622FD" w:rsidR="0000353F" w:rsidRPr="006655BC" w:rsidRDefault="00366957" w:rsidP="008C204E">
      <w:pPr>
        <w:pStyle w:val="Caption"/>
        <w:jc w:val="both"/>
        <w:rPr>
          <w:rFonts w:ascii="Times New Roman" w:hAnsi="Times New Roman"/>
          <w:b w:val="0"/>
          <w:bCs w:val="0"/>
          <w:szCs w:val="24"/>
          <w:lang w:val="en-AU" w:eastAsia="en-GB"/>
        </w:rPr>
      </w:pPr>
      <w:bookmarkStart w:id="5" w:name="_Ref42944785"/>
      <w:r w:rsidRPr="006655BC">
        <w:rPr>
          <w:rFonts w:ascii="Times New Roman" w:hAnsi="Times New Roman"/>
        </w:rPr>
        <w:t>Figure A.</w:t>
      </w:r>
      <w:r w:rsidR="009E2DE4" w:rsidRPr="006655BC">
        <w:rPr>
          <w:rFonts w:ascii="Times New Roman" w:hAnsi="Times New Roman"/>
          <w:noProof/>
        </w:rPr>
        <w:t>5</w:t>
      </w:r>
      <w:bookmarkEnd w:id="5"/>
      <w:r w:rsidR="00F651E1" w:rsidRPr="006655BC">
        <w:rPr>
          <w:rFonts w:ascii="Times New Roman" w:hAnsi="Times New Roman"/>
        </w:rPr>
        <w:t>:</w:t>
      </w:r>
      <w:r w:rsidR="0000353F" w:rsidRPr="006655BC">
        <w:rPr>
          <w:rFonts w:ascii="Times New Roman" w:hAnsi="Times New Roman"/>
        </w:rPr>
        <w:t xml:space="preserve"> </w:t>
      </w:r>
      <w:r w:rsidR="0000353F" w:rsidRPr="006655BC">
        <w:rPr>
          <w:rFonts w:ascii="Times New Roman" w:hAnsi="Times New Roman"/>
          <w:b w:val="0"/>
          <w:bCs w:val="0"/>
        </w:rPr>
        <w:t>Distribution of Years of Education in the Linked Twins Sample and the 1940 Census. Our sample of linked twins are slightly more likely to be common school (8 years), high school (12), or college (16) graduates compared with a random sample of cohort-mates in 1940, and less likely to report no schooling or 6 or less years of schooling. This differences are small and are likely to be driven by the smaller shares of foreign-born and African Americans in the linked sample (see</w:t>
      </w:r>
      <w:r w:rsidR="00067165" w:rsidRPr="006655BC">
        <w:rPr>
          <w:rFonts w:ascii="Times New Roman" w:hAnsi="Times New Roman"/>
          <w:b w:val="0"/>
          <w:bCs w:val="0"/>
        </w:rPr>
        <w:t xml:space="preserve"> Table </w:t>
      </w:r>
      <w:r w:rsidR="00067165" w:rsidRPr="006655BC">
        <w:rPr>
          <w:rFonts w:ascii="Times New Roman" w:hAnsi="Times New Roman"/>
          <w:b w:val="0"/>
          <w:bCs w:val="0"/>
          <w:noProof/>
        </w:rPr>
        <w:t>3</w:t>
      </w:r>
      <w:r w:rsidR="0000353F" w:rsidRPr="006655BC">
        <w:rPr>
          <w:rFonts w:ascii="Times New Roman" w:hAnsi="Times New Roman"/>
          <w:b w:val="0"/>
          <w:bCs w:val="0"/>
        </w:rPr>
        <w:t>).</w:t>
      </w:r>
    </w:p>
    <w:p w14:paraId="73F74DF8" w14:textId="1F766542" w:rsidR="007154D6" w:rsidRPr="006655BC" w:rsidRDefault="007154D6" w:rsidP="007154D6">
      <w:pPr>
        <w:jc w:val="center"/>
        <w:rPr>
          <w:rFonts w:ascii="Times New Roman" w:hAnsi="Times New Roman"/>
          <w:b/>
          <w:bCs/>
          <w:szCs w:val="24"/>
          <w:lang w:val="en-AU" w:eastAsia="en-GB"/>
        </w:rPr>
      </w:pPr>
    </w:p>
    <w:p w14:paraId="1C176527" w14:textId="48904A48"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627E8013" w14:textId="0947B91E" w:rsidR="007154D6" w:rsidRPr="006655BC" w:rsidRDefault="0066312B"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lastRenderedPageBreak/>
        <w:drawing>
          <wp:inline distT="0" distB="0" distL="0" distR="0" wp14:anchorId="1F956C2D" wp14:editId="64B7D8AB">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weekly_density.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6FA2E5E" w14:textId="7EA7CC09" w:rsidR="0000353F" w:rsidRPr="006655BC" w:rsidRDefault="00366957" w:rsidP="0000353F">
      <w:pPr>
        <w:pStyle w:val="Caption"/>
        <w:jc w:val="center"/>
        <w:rPr>
          <w:rFonts w:ascii="Times New Roman" w:hAnsi="Times New Roman"/>
          <w:b w:val="0"/>
          <w:bCs w:val="0"/>
          <w:szCs w:val="24"/>
          <w:lang w:val="en-AU" w:eastAsia="en-GB"/>
        </w:rPr>
      </w:pPr>
      <w:bookmarkStart w:id="6" w:name="_Ref42944816"/>
      <w:r w:rsidRPr="006655BC">
        <w:rPr>
          <w:rFonts w:ascii="Times New Roman" w:hAnsi="Times New Roman"/>
        </w:rPr>
        <w:t>Figure A.</w:t>
      </w:r>
      <w:r w:rsidR="009E2DE4" w:rsidRPr="006655BC">
        <w:rPr>
          <w:rFonts w:ascii="Times New Roman" w:hAnsi="Times New Roman"/>
          <w:noProof/>
        </w:rPr>
        <w:t>6</w:t>
      </w:r>
      <w:bookmarkEnd w:id="6"/>
      <w:r w:rsidR="00F651E1" w:rsidRPr="006655BC">
        <w:rPr>
          <w:rFonts w:ascii="Times New Roman" w:hAnsi="Times New Roman"/>
        </w:rPr>
        <w:t>:</w:t>
      </w:r>
      <w:r w:rsidR="0000353F" w:rsidRPr="006655BC">
        <w:rPr>
          <w:rFonts w:ascii="Times New Roman" w:hAnsi="Times New Roman"/>
        </w:rPr>
        <w:t xml:space="preserve"> </w:t>
      </w:r>
      <w:r w:rsidR="0000353F" w:rsidRPr="006655BC">
        <w:rPr>
          <w:rFonts w:ascii="Times New Roman" w:hAnsi="Times New Roman"/>
          <w:b w:val="0"/>
          <w:bCs w:val="0"/>
        </w:rPr>
        <w:t>Distribution of Log Weekly Earnings in the Linked Twins Sample and the 1940 Census.</w:t>
      </w:r>
    </w:p>
    <w:p w14:paraId="7CB0328F" w14:textId="5052A805" w:rsidR="007154D6" w:rsidRPr="006655BC" w:rsidRDefault="007154D6" w:rsidP="007154D6">
      <w:pPr>
        <w:jc w:val="center"/>
        <w:rPr>
          <w:rFonts w:ascii="Times New Roman" w:hAnsi="Times New Roman"/>
          <w:b/>
          <w:bCs/>
          <w:szCs w:val="24"/>
          <w:lang w:val="en-AU" w:eastAsia="en-GB"/>
        </w:rPr>
      </w:pPr>
    </w:p>
    <w:p w14:paraId="0E04B79D" w14:textId="6604B5CF"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5DBFB3BE" w14:textId="7380EF8A"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lastRenderedPageBreak/>
        <w:drawing>
          <wp:inline distT="0" distB="0" distL="0" distR="0" wp14:anchorId="23979120" wp14:editId="69260B00">
            <wp:extent cx="5943600" cy="30600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7.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3060065"/>
                    </a:xfrm>
                    <a:prstGeom prst="rect">
                      <a:avLst/>
                    </a:prstGeom>
                  </pic:spPr>
                </pic:pic>
              </a:graphicData>
            </a:graphic>
          </wp:inline>
        </w:drawing>
      </w:r>
    </w:p>
    <w:p w14:paraId="34727A98" w14:textId="220FDA89" w:rsidR="007154D6" w:rsidRPr="006655BC" w:rsidRDefault="00366957" w:rsidP="008C204E">
      <w:pPr>
        <w:pStyle w:val="Caption"/>
        <w:jc w:val="both"/>
        <w:rPr>
          <w:rFonts w:ascii="Times New Roman" w:hAnsi="Times New Roman"/>
          <w:b w:val="0"/>
          <w:bCs w:val="0"/>
          <w:szCs w:val="24"/>
          <w:lang w:val="en-AU" w:eastAsia="en-GB"/>
        </w:rPr>
      </w:pPr>
      <w:bookmarkStart w:id="7" w:name="_Ref42944845"/>
      <w:r w:rsidRPr="006655BC">
        <w:rPr>
          <w:rFonts w:ascii="Times New Roman" w:hAnsi="Times New Roman"/>
        </w:rPr>
        <w:t>Figure A.</w:t>
      </w:r>
      <w:r w:rsidR="009E2DE4" w:rsidRPr="006655BC">
        <w:rPr>
          <w:rFonts w:ascii="Times New Roman" w:hAnsi="Times New Roman"/>
          <w:noProof/>
        </w:rPr>
        <w:t>7</w:t>
      </w:r>
      <w:bookmarkEnd w:id="7"/>
      <w:r w:rsidR="00F651E1" w:rsidRPr="006655BC">
        <w:rPr>
          <w:rFonts w:ascii="Times New Roman" w:hAnsi="Times New Roman"/>
        </w:rPr>
        <w:t>:</w:t>
      </w:r>
      <w:r w:rsidR="0000353F" w:rsidRPr="006655BC">
        <w:rPr>
          <w:rFonts w:ascii="Times New Roman" w:hAnsi="Times New Roman"/>
        </w:rPr>
        <w:t xml:space="preserve"> </w:t>
      </w:r>
      <w:r w:rsidR="0000353F" w:rsidRPr="006655BC">
        <w:rPr>
          <w:rFonts w:ascii="Times New Roman" w:hAnsi="Times New Roman"/>
          <w:b w:val="0"/>
          <w:bCs w:val="0"/>
        </w:rPr>
        <w:t>Number of Twins in the Baseline Sample by Cohort. These sample sizes explain some of the variation in confidence intervals in</w:t>
      </w:r>
      <w:r w:rsidR="005359E1" w:rsidRPr="006655BC">
        <w:rPr>
          <w:rFonts w:ascii="Times New Roman" w:hAnsi="Times New Roman"/>
          <w:b w:val="0"/>
          <w:bCs w:val="0"/>
        </w:rPr>
        <w:t xml:space="preserve"> </w:t>
      </w:r>
      <w:r w:rsidRPr="006655BC">
        <w:rPr>
          <w:rFonts w:ascii="Times New Roman" w:hAnsi="Times New Roman"/>
          <w:b w:val="0"/>
          <w:bCs w:val="0"/>
        </w:rPr>
        <w:t>Figure A.</w:t>
      </w:r>
      <w:r w:rsidR="005359E1" w:rsidRPr="006655BC">
        <w:rPr>
          <w:rFonts w:ascii="Times New Roman" w:hAnsi="Times New Roman"/>
          <w:b w:val="0"/>
          <w:bCs w:val="0"/>
          <w:noProof/>
        </w:rPr>
        <w:t>2</w:t>
      </w:r>
      <w:r w:rsidR="0000353F" w:rsidRPr="006655BC">
        <w:rPr>
          <w:rFonts w:ascii="Times New Roman" w:hAnsi="Times New Roman"/>
          <w:b w:val="0"/>
          <w:bCs w:val="0"/>
        </w:rPr>
        <w:t>. Because we only observe twins in 1900, 1910, and 1920 and can only identify twins when they are still living in their childhood homes (with their twin), we see very few twins who are over 20 years old.</w:t>
      </w:r>
    </w:p>
    <w:p w14:paraId="4DB53635" w14:textId="77777777" w:rsidR="0000353F" w:rsidRPr="006655BC" w:rsidRDefault="0000353F" w:rsidP="007154D6">
      <w:pPr>
        <w:jc w:val="center"/>
        <w:rPr>
          <w:rFonts w:ascii="Times New Roman" w:hAnsi="Times New Roman"/>
          <w:b/>
          <w:bCs/>
          <w:szCs w:val="24"/>
          <w:lang w:val="en-AU" w:eastAsia="en-GB"/>
        </w:rPr>
      </w:pPr>
    </w:p>
    <w:p w14:paraId="537D0B48" w14:textId="7F26A889"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091C98BE" w14:textId="19AF4B10"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lastRenderedPageBreak/>
        <w:drawing>
          <wp:inline distT="0" distB="0" distL="0" distR="0" wp14:anchorId="2C523B30" wp14:editId="566C741C">
            <wp:extent cx="5395788" cy="31546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8.pdf"/>
                    <pic:cNvPicPr/>
                  </pic:nvPicPr>
                  <pic:blipFill>
                    <a:blip r:embed="rId15">
                      <a:extLst>
                        <a:ext uri="{28A0092B-C50C-407E-A947-70E740481C1C}">
                          <a14:useLocalDpi xmlns:a14="http://schemas.microsoft.com/office/drawing/2010/main" val="0"/>
                        </a:ext>
                      </a:extLst>
                    </a:blip>
                    <a:stretch>
                      <a:fillRect/>
                    </a:stretch>
                  </pic:blipFill>
                  <pic:spPr>
                    <a:xfrm>
                      <a:off x="0" y="0"/>
                      <a:ext cx="5399843" cy="3157051"/>
                    </a:xfrm>
                    <a:prstGeom prst="rect">
                      <a:avLst/>
                    </a:prstGeom>
                  </pic:spPr>
                </pic:pic>
              </a:graphicData>
            </a:graphic>
          </wp:inline>
        </w:drawing>
      </w:r>
    </w:p>
    <w:p w14:paraId="74DF6612" w14:textId="69BDA2A2" w:rsidR="0000353F" w:rsidRPr="006655BC" w:rsidRDefault="00366957" w:rsidP="008C204E">
      <w:pPr>
        <w:pStyle w:val="Caption"/>
        <w:jc w:val="both"/>
        <w:rPr>
          <w:rFonts w:ascii="Times New Roman" w:hAnsi="Times New Roman"/>
          <w:b w:val="0"/>
          <w:bCs w:val="0"/>
          <w:szCs w:val="24"/>
          <w:lang w:val="en-AU" w:eastAsia="en-GB"/>
        </w:rPr>
      </w:pPr>
      <w:bookmarkStart w:id="8" w:name="_Ref42944874"/>
      <w:r w:rsidRPr="006655BC">
        <w:rPr>
          <w:rFonts w:ascii="Times New Roman" w:hAnsi="Times New Roman"/>
        </w:rPr>
        <w:t>Figure A.</w:t>
      </w:r>
      <w:r w:rsidR="009E2DE4" w:rsidRPr="006655BC">
        <w:rPr>
          <w:rFonts w:ascii="Times New Roman" w:hAnsi="Times New Roman"/>
          <w:noProof/>
        </w:rPr>
        <w:t>8</w:t>
      </w:r>
      <w:bookmarkEnd w:id="8"/>
      <w:r w:rsidR="00F651E1" w:rsidRPr="006655BC">
        <w:rPr>
          <w:rFonts w:ascii="Times New Roman" w:hAnsi="Times New Roman"/>
        </w:rPr>
        <w:t>:</w:t>
      </w:r>
      <w:r w:rsidR="009E2DE4" w:rsidRPr="006655BC">
        <w:rPr>
          <w:rFonts w:ascii="Times New Roman" w:hAnsi="Times New Roman"/>
        </w:rPr>
        <w:t xml:space="preserve"> </w:t>
      </w:r>
      <w:r w:rsidR="009E2DE4" w:rsidRPr="006655BC">
        <w:rPr>
          <w:rFonts w:ascii="Times New Roman" w:hAnsi="Times New Roman"/>
          <w:b w:val="0"/>
          <w:bCs w:val="0"/>
        </w:rPr>
        <w:t xml:space="preserve">The Return to Schooling in the Early 20th Century Did Not Vary Across Census Regions in 1940. We split our sample into four census regions based on where the twins were living when we observe them as adults in 1940. Data are from the pooled 1900-1940, 1910-1940, and 1920-1940 linked twins samples. The sample is restricted to wage and salary male workers with a weekly wage of at least $6, who worked a positive number of weeks in the previous year (1939), and who worked a positive number of hours in the preceding week, according to the 1940 census. We estimate the return to schooling by region for the full sample and the subset of white twins. Following </w:t>
      </w:r>
      <w:r w:rsidR="00BD67D8" w:rsidRPr="006655BC">
        <w:rPr>
          <w:rFonts w:ascii="Times New Roman" w:hAnsi="Times New Roman"/>
          <w:b w:val="0"/>
          <w:bCs w:val="0"/>
          <w:noProof/>
        </w:rPr>
        <w:t>Bailey et al. (2019)</w:t>
      </w:r>
      <w:r w:rsidR="009E2DE4" w:rsidRPr="006655BC">
        <w:rPr>
          <w:rFonts w:ascii="Times New Roman" w:hAnsi="Times New Roman"/>
          <w:b w:val="0"/>
          <w:bCs w:val="0"/>
        </w:rPr>
        <w:t>, we use inverse propensity weights to adjust for observable differences between matched and unmatched people in our census linked sample. 95% confidence intervals are shown, based on robust standard errors clustered at the twin-pair level.</w:t>
      </w:r>
    </w:p>
    <w:p w14:paraId="155FDBFD" w14:textId="75F2A632" w:rsidR="007154D6" w:rsidRPr="006655BC" w:rsidRDefault="007154D6" w:rsidP="007154D6">
      <w:pPr>
        <w:jc w:val="center"/>
        <w:rPr>
          <w:rFonts w:ascii="Times New Roman" w:hAnsi="Times New Roman"/>
          <w:b/>
          <w:bCs/>
          <w:szCs w:val="24"/>
          <w:lang w:val="en-AU" w:eastAsia="en-GB"/>
        </w:rPr>
      </w:pPr>
    </w:p>
    <w:p w14:paraId="78DEBA01" w14:textId="1392C3A8"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63AC47BA" w14:textId="1EDDF747" w:rsidR="00777086" w:rsidRPr="006655BC" w:rsidRDefault="00366957" w:rsidP="00F04310">
      <w:pPr>
        <w:pStyle w:val="Caption"/>
        <w:jc w:val="center"/>
        <w:rPr>
          <w:rFonts w:ascii="Times New Roman" w:hAnsi="Times New Roman"/>
          <w:b w:val="0"/>
          <w:bCs w:val="0"/>
          <w:szCs w:val="24"/>
          <w:lang w:val="en-AU" w:eastAsia="en-GB"/>
        </w:rPr>
      </w:pPr>
      <w:bookmarkStart w:id="9" w:name="_Ref42944501"/>
      <w:r w:rsidRPr="006655BC">
        <w:rPr>
          <w:rFonts w:ascii="Times New Roman" w:hAnsi="Times New Roman"/>
        </w:rPr>
        <w:lastRenderedPageBreak/>
        <w:t>Table A.</w:t>
      </w:r>
      <w:r w:rsidR="00DC1C54" w:rsidRPr="006655BC">
        <w:rPr>
          <w:rFonts w:ascii="Times New Roman" w:hAnsi="Times New Roman"/>
          <w:noProof/>
        </w:rPr>
        <w:t>1</w:t>
      </w:r>
      <w:bookmarkEnd w:id="9"/>
      <w:r w:rsidR="00F651E1" w:rsidRPr="006655BC">
        <w:rPr>
          <w:rFonts w:ascii="Times New Roman" w:hAnsi="Times New Roman"/>
        </w:rPr>
        <w:t>:</w:t>
      </w:r>
      <w:r w:rsidR="0011649F" w:rsidRPr="006655BC">
        <w:rPr>
          <w:rFonts w:ascii="Times New Roman" w:hAnsi="Times New Roman"/>
        </w:rPr>
        <w:t xml:space="preserve"> </w:t>
      </w:r>
      <w:r w:rsidR="0011649F" w:rsidRPr="006655BC">
        <w:rPr>
          <w:rFonts w:ascii="Times New Roman" w:hAnsi="Times New Roman"/>
          <w:b w:val="0"/>
          <w:bCs w:val="0"/>
        </w:rPr>
        <w:t>The Return to Education: Twins Found in 1900 by Birth Month Agreement</w:t>
      </w:r>
    </w:p>
    <w:p w14:paraId="0068D149" w14:textId="0AE3E3F1"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6E483546" wp14:editId="16D1CFE1">
            <wp:extent cx="5943600" cy="3632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b1.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3632200"/>
                    </a:xfrm>
                    <a:prstGeom prst="rect">
                      <a:avLst/>
                    </a:prstGeom>
                  </pic:spPr>
                </pic:pic>
              </a:graphicData>
            </a:graphic>
          </wp:inline>
        </w:drawing>
      </w:r>
    </w:p>
    <w:p w14:paraId="21C125E0" w14:textId="097D4B44" w:rsidR="007154D6" w:rsidRPr="006655BC" w:rsidRDefault="00366957" w:rsidP="007154D6">
      <w:pPr>
        <w:jc w:val="center"/>
        <w:rPr>
          <w:rFonts w:ascii="Times New Roman" w:hAnsi="Times New Roman"/>
          <w:b/>
          <w:bCs/>
          <w:szCs w:val="24"/>
          <w:lang w:val="en-AU" w:eastAsia="en-GB"/>
        </w:rPr>
      </w:pPr>
      <w:r w:rsidRPr="006655BC">
        <w:rPr>
          <w:rFonts w:ascii="Times New Roman" w:hAnsi="Times New Roman"/>
          <w:b/>
          <w:bCs/>
          <w:szCs w:val="24"/>
          <w:lang w:val="en-AU" w:eastAsia="en-GB"/>
        </w:rPr>
        <w:t xml:space="preserve"> </w:t>
      </w:r>
    </w:p>
    <w:p w14:paraId="5805BE76" w14:textId="6F688989"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1D18675C" w14:textId="549D3A16" w:rsidR="0011649F" w:rsidRPr="006655BC" w:rsidRDefault="00366957" w:rsidP="0011649F">
      <w:pPr>
        <w:pStyle w:val="Caption"/>
        <w:jc w:val="center"/>
        <w:rPr>
          <w:rFonts w:ascii="Times New Roman" w:hAnsi="Times New Roman"/>
          <w:b w:val="0"/>
          <w:bCs w:val="0"/>
          <w:szCs w:val="24"/>
          <w:lang w:val="en-AU" w:eastAsia="en-GB"/>
        </w:rPr>
      </w:pPr>
      <w:bookmarkStart w:id="10" w:name="_Ref42944544"/>
      <w:r w:rsidRPr="006655BC">
        <w:rPr>
          <w:rFonts w:ascii="Times New Roman" w:hAnsi="Times New Roman"/>
        </w:rPr>
        <w:lastRenderedPageBreak/>
        <w:t>Table A.</w:t>
      </w:r>
      <w:r w:rsidR="00DC1C54" w:rsidRPr="006655BC">
        <w:rPr>
          <w:rFonts w:ascii="Times New Roman" w:hAnsi="Times New Roman"/>
          <w:noProof/>
        </w:rPr>
        <w:t>2</w:t>
      </w:r>
      <w:bookmarkEnd w:id="10"/>
      <w:r w:rsidR="00F651E1" w:rsidRPr="006655BC">
        <w:rPr>
          <w:rFonts w:ascii="Times New Roman" w:hAnsi="Times New Roman"/>
        </w:rPr>
        <w:t>:</w:t>
      </w:r>
      <w:r w:rsidR="0011649F" w:rsidRPr="006655BC">
        <w:rPr>
          <w:rFonts w:ascii="Times New Roman" w:hAnsi="Times New Roman"/>
        </w:rPr>
        <w:t xml:space="preserve"> </w:t>
      </w:r>
      <w:r w:rsidR="0011649F" w:rsidRPr="006655BC">
        <w:rPr>
          <w:rFonts w:ascii="Times New Roman" w:hAnsi="Times New Roman"/>
          <w:b w:val="0"/>
          <w:bCs w:val="0"/>
        </w:rPr>
        <w:t xml:space="preserve">The Return to Education Among Twins in </w:t>
      </w:r>
      <w:r w:rsidR="00BD67D8" w:rsidRPr="006655BC">
        <w:rPr>
          <w:rFonts w:ascii="Times New Roman" w:hAnsi="Times New Roman"/>
          <w:b w:val="0"/>
          <w:bCs w:val="0"/>
          <w:noProof/>
        </w:rPr>
        <w:t>Ashenfelter and Rouse (1998)</w:t>
      </w:r>
    </w:p>
    <w:p w14:paraId="1871305A" w14:textId="2E6613F5"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742800E5" wp14:editId="26402436">
            <wp:extent cx="5943600" cy="3841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2.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3841750"/>
                    </a:xfrm>
                    <a:prstGeom prst="rect">
                      <a:avLst/>
                    </a:prstGeom>
                  </pic:spPr>
                </pic:pic>
              </a:graphicData>
            </a:graphic>
          </wp:inline>
        </w:drawing>
      </w:r>
    </w:p>
    <w:p w14:paraId="46D8AB94" w14:textId="5A2CD260" w:rsidR="007154D6" w:rsidRPr="006655BC" w:rsidRDefault="007154D6" w:rsidP="007154D6">
      <w:pPr>
        <w:jc w:val="center"/>
        <w:rPr>
          <w:rFonts w:ascii="Times New Roman" w:hAnsi="Times New Roman"/>
          <w:b/>
          <w:bCs/>
          <w:szCs w:val="24"/>
          <w:lang w:val="en-AU" w:eastAsia="en-GB"/>
        </w:rPr>
      </w:pPr>
    </w:p>
    <w:p w14:paraId="048F9FF8" w14:textId="14F8A093"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19FB85BF" w14:textId="71EB9F57" w:rsidR="0011649F" w:rsidRPr="006655BC" w:rsidRDefault="00366957" w:rsidP="00BB413C">
      <w:pPr>
        <w:pStyle w:val="Caption"/>
        <w:jc w:val="center"/>
        <w:rPr>
          <w:rFonts w:ascii="Times New Roman" w:hAnsi="Times New Roman"/>
          <w:b w:val="0"/>
          <w:bCs w:val="0"/>
          <w:szCs w:val="24"/>
          <w:lang w:val="en-AU" w:eastAsia="en-GB"/>
        </w:rPr>
      </w:pPr>
      <w:bookmarkStart w:id="11" w:name="_Ref42944574"/>
      <w:r w:rsidRPr="006655BC">
        <w:rPr>
          <w:rFonts w:ascii="Times New Roman" w:hAnsi="Times New Roman"/>
        </w:rPr>
        <w:lastRenderedPageBreak/>
        <w:t>Table A.</w:t>
      </w:r>
      <w:r w:rsidR="00DC1C54" w:rsidRPr="006655BC">
        <w:rPr>
          <w:rFonts w:ascii="Times New Roman" w:hAnsi="Times New Roman"/>
          <w:noProof/>
        </w:rPr>
        <w:t>3</w:t>
      </w:r>
      <w:bookmarkEnd w:id="11"/>
      <w:r w:rsidR="00F651E1" w:rsidRPr="006655BC">
        <w:rPr>
          <w:rFonts w:ascii="Times New Roman" w:hAnsi="Times New Roman"/>
        </w:rPr>
        <w:t>:</w:t>
      </w:r>
      <w:r w:rsidR="00BD68D2" w:rsidRPr="006655BC">
        <w:rPr>
          <w:rFonts w:ascii="Times New Roman" w:hAnsi="Times New Roman"/>
        </w:rPr>
        <w:t xml:space="preserve"> </w:t>
      </w:r>
      <w:r w:rsidR="00BD68D2" w:rsidRPr="006655BC">
        <w:rPr>
          <w:rFonts w:ascii="Times New Roman" w:hAnsi="Times New Roman"/>
          <w:b w:val="0"/>
          <w:bCs w:val="0"/>
        </w:rPr>
        <w:t>Twins with Similar Names Have More Similar Educational Outcomes in Childhood</w:t>
      </w:r>
    </w:p>
    <w:p w14:paraId="2134D2B7" w14:textId="25CF3A47"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2D609928" wp14:editId="019E0180">
            <wp:extent cx="5943600" cy="68332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b3.pdf"/>
                    <pic:cNvPicPr/>
                  </pic:nvPicPr>
                  <pic:blipFill>
                    <a:blip r:embed="rId18">
                      <a:extLst>
                        <a:ext uri="{28A0092B-C50C-407E-A947-70E740481C1C}">
                          <a14:useLocalDpi xmlns:a14="http://schemas.microsoft.com/office/drawing/2010/main" val="0"/>
                        </a:ext>
                      </a:extLst>
                    </a:blip>
                    <a:stretch>
                      <a:fillRect/>
                    </a:stretch>
                  </pic:blipFill>
                  <pic:spPr>
                    <a:xfrm>
                      <a:off x="0" y="0"/>
                      <a:ext cx="5943600" cy="6833235"/>
                    </a:xfrm>
                    <a:prstGeom prst="rect">
                      <a:avLst/>
                    </a:prstGeom>
                  </pic:spPr>
                </pic:pic>
              </a:graphicData>
            </a:graphic>
          </wp:inline>
        </w:drawing>
      </w:r>
    </w:p>
    <w:p w14:paraId="5B3DF6E6" w14:textId="252B7F87" w:rsidR="007154D6" w:rsidRPr="006655BC" w:rsidRDefault="007154D6" w:rsidP="007154D6">
      <w:pPr>
        <w:jc w:val="center"/>
        <w:rPr>
          <w:rFonts w:ascii="Times New Roman" w:hAnsi="Times New Roman"/>
          <w:b/>
          <w:bCs/>
          <w:szCs w:val="24"/>
          <w:lang w:val="en-AU" w:eastAsia="en-GB"/>
        </w:rPr>
      </w:pPr>
    </w:p>
    <w:p w14:paraId="10C83364" w14:textId="6B683288"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7E43944F" w14:textId="2BFD9D62" w:rsidR="00BD68D2" w:rsidRPr="006655BC" w:rsidRDefault="00366957" w:rsidP="00BD68D2">
      <w:pPr>
        <w:pStyle w:val="Caption"/>
        <w:jc w:val="center"/>
        <w:rPr>
          <w:rFonts w:ascii="Times New Roman" w:hAnsi="Times New Roman"/>
          <w:b w:val="0"/>
          <w:bCs w:val="0"/>
          <w:szCs w:val="24"/>
          <w:lang w:val="en-AU" w:eastAsia="en-GB"/>
        </w:rPr>
      </w:pPr>
      <w:bookmarkStart w:id="12" w:name="_Ref42944947"/>
      <w:r w:rsidRPr="006655BC">
        <w:rPr>
          <w:rFonts w:ascii="Times New Roman" w:hAnsi="Times New Roman"/>
        </w:rPr>
        <w:lastRenderedPageBreak/>
        <w:t>Table A.</w:t>
      </w:r>
      <w:r w:rsidR="00DC1C54" w:rsidRPr="006655BC">
        <w:rPr>
          <w:rFonts w:ascii="Times New Roman" w:hAnsi="Times New Roman"/>
          <w:noProof/>
        </w:rPr>
        <w:t>4</w:t>
      </w:r>
      <w:bookmarkEnd w:id="12"/>
      <w:r w:rsidR="00F651E1" w:rsidRPr="006655BC">
        <w:rPr>
          <w:rFonts w:ascii="Times New Roman" w:hAnsi="Times New Roman"/>
        </w:rPr>
        <w:t>:</w:t>
      </w:r>
      <w:r w:rsidR="00BD68D2" w:rsidRPr="006655BC">
        <w:rPr>
          <w:rFonts w:ascii="Times New Roman" w:hAnsi="Times New Roman"/>
        </w:rPr>
        <w:t xml:space="preserve"> </w:t>
      </w:r>
      <w:r w:rsidR="00F363C0" w:rsidRPr="006655BC">
        <w:rPr>
          <w:rFonts w:ascii="Times New Roman" w:hAnsi="Times New Roman"/>
          <w:b w:val="0"/>
          <w:bCs w:val="0"/>
        </w:rPr>
        <w:t>The Return to Education: Robustness to Uniqueness in the Initial Sample of Twins</w:t>
      </w:r>
    </w:p>
    <w:p w14:paraId="176775E2" w14:textId="4EE69088"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43AC64BC" wp14:editId="37956A7C">
            <wp:extent cx="5943600" cy="39541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b4.pdf"/>
                    <pic:cNvPicPr/>
                  </pic:nvPicPr>
                  <pic:blipFill>
                    <a:blip r:embed="rId19">
                      <a:extLst>
                        <a:ext uri="{28A0092B-C50C-407E-A947-70E740481C1C}">
                          <a14:useLocalDpi xmlns:a14="http://schemas.microsoft.com/office/drawing/2010/main" val="0"/>
                        </a:ext>
                      </a:extLst>
                    </a:blip>
                    <a:stretch>
                      <a:fillRect/>
                    </a:stretch>
                  </pic:blipFill>
                  <pic:spPr>
                    <a:xfrm>
                      <a:off x="0" y="0"/>
                      <a:ext cx="5943600" cy="3954145"/>
                    </a:xfrm>
                    <a:prstGeom prst="rect">
                      <a:avLst/>
                    </a:prstGeom>
                  </pic:spPr>
                </pic:pic>
              </a:graphicData>
            </a:graphic>
          </wp:inline>
        </w:drawing>
      </w:r>
    </w:p>
    <w:p w14:paraId="29A56475" w14:textId="26636125" w:rsidR="007154D6" w:rsidRPr="006655BC" w:rsidRDefault="007154D6" w:rsidP="007154D6">
      <w:pPr>
        <w:jc w:val="center"/>
        <w:rPr>
          <w:rFonts w:ascii="Times New Roman" w:hAnsi="Times New Roman"/>
          <w:b/>
          <w:bCs/>
          <w:szCs w:val="24"/>
          <w:lang w:val="en-AU" w:eastAsia="en-GB"/>
        </w:rPr>
      </w:pPr>
    </w:p>
    <w:p w14:paraId="4D9297CB" w14:textId="0BD61593"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0FE86D03" w14:textId="7CB9DF65" w:rsidR="00F363C0" w:rsidRPr="006655BC" w:rsidRDefault="00366957" w:rsidP="00F363C0">
      <w:pPr>
        <w:pStyle w:val="Caption"/>
        <w:jc w:val="center"/>
        <w:rPr>
          <w:rFonts w:ascii="Times New Roman" w:hAnsi="Times New Roman"/>
          <w:b w:val="0"/>
          <w:bCs w:val="0"/>
          <w:szCs w:val="24"/>
          <w:lang w:val="en-AU" w:eastAsia="en-GB"/>
        </w:rPr>
      </w:pPr>
      <w:bookmarkStart w:id="13" w:name="_Ref42944976"/>
      <w:r w:rsidRPr="006655BC">
        <w:rPr>
          <w:rFonts w:ascii="Times New Roman" w:hAnsi="Times New Roman"/>
        </w:rPr>
        <w:lastRenderedPageBreak/>
        <w:t>Table A.</w:t>
      </w:r>
      <w:r w:rsidR="00DC1C54" w:rsidRPr="006655BC">
        <w:rPr>
          <w:rFonts w:ascii="Times New Roman" w:hAnsi="Times New Roman"/>
          <w:noProof/>
        </w:rPr>
        <w:t>5</w:t>
      </w:r>
      <w:bookmarkEnd w:id="13"/>
      <w:r w:rsidR="00F651E1" w:rsidRPr="006655BC">
        <w:rPr>
          <w:rFonts w:ascii="Times New Roman" w:hAnsi="Times New Roman"/>
        </w:rPr>
        <w:t>:</w:t>
      </w:r>
      <w:r w:rsidR="00F363C0" w:rsidRPr="006655BC">
        <w:rPr>
          <w:rFonts w:ascii="Times New Roman" w:hAnsi="Times New Roman"/>
        </w:rPr>
        <w:t xml:space="preserve"> </w:t>
      </w:r>
      <w:r w:rsidR="00F363C0" w:rsidRPr="006655BC">
        <w:rPr>
          <w:rFonts w:ascii="Times New Roman" w:hAnsi="Times New Roman"/>
          <w:b w:val="0"/>
          <w:bCs w:val="0"/>
        </w:rPr>
        <w:t>Sample Restrictions and Sample Size</w:t>
      </w:r>
    </w:p>
    <w:p w14:paraId="2F065F2D" w14:textId="75927D93"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10A597EB" wp14:editId="1D8ED804">
            <wp:extent cx="5943600" cy="27743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b5.pdf"/>
                    <pic:cNvPicPr/>
                  </pic:nvPicPr>
                  <pic:blipFill>
                    <a:blip r:embed="rId20">
                      <a:extLst>
                        <a:ext uri="{28A0092B-C50C-407E-A947-70E740481C1C}">
                          <a14:useLocalDpi xmlns:a14="http://schemas.microsoft.com/office/drawing/2010/main" val="0"/>
                        </a:ext>
                      </a:extLst>
                    </a:blip>
                    <a:stretch>
                      <a:fillRect/>
                    </a:stretch>
                  </pic:blipFill>
                  <pic:spPr>
                    <a:xfrm>
                      <a:off x="0" y="0"/>
                      <a:ext cx="5943600" cy="2774315"/>
                    </a:xfrm>
                    <a:prstGeom prst="rect">
                      <a:avLst/>
                    </a:prstGeom>
                  </pic:spPr>
                </pic:pic>
              </a:graphicData>
            </a:graphic>
          </wp:inline>
        </w:drawing>
      </w:r>
    </w:p>
    <w:p w14:paraId="3EC0E408" w14:textId="7F992C6F" w:rsidR="007154D6" w:rsidRPr="006655BC" w:rsidRDefault="007154D6" w:rsidP="007154D6">
      <w:pPr>
        <w:jc w:val="center"/>
        <w:rPr>
          <w:rFonts w:ascii="Times New Roman" w:hAnsi="Times New Roman"/>
          <w:b/>
          <w:bCs/>
          <w:szCs w:val="24"/>
          <w:lang w:val="en-AU" w:eastAsia="en-GB"/>
        </w:rPr>
      </w:pPr>
    </w:p>
    <w:p w14:paraId="324A9829" w14:textId="72BC1DDB"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473BFF3A" w14:textId="4667E3C0" w:rsidR="00F363C0" w:rsidRPr="006655BC" w:rsidRDefault="00366957" w:rsidP="00F363C0">
      <w:pPr>
        <w:pStyle w:val="Caption"/>
        <w:jc w:val="center"/>
        <w:rPr>
          <w:rFonts w:ascii="Times New Roman" w:hAnsi="Times New Roman"/>
          <w:b w:val="0"/>
          <w:bCs w:val="0"/>
          <w:szCs w:val="24"/>
          <w:lang w:val="en-AU" w:eastAsia="en-GB"/>
        </w:rPr>
      </w:pPr>
      <w:bookmarkStart w:id="14" w:name="_Ref42945008"/>
      <w:r w:rsidRPr="006655BC">
        <w:rPr>
          <w:rFonts w:ascii="Times New Roman" w:hAnsi="Times New Roman"/>
        </w:rPr>
        <w:lastRenderedPageBreak/>
        <w:t>Table A.</w:t>
      </w:r>
      <w:r w:rsidR="00DC1C54" w:rsidRPr="006655BC">
        <w:rPr>
          <w:rFonts w:ascii="Times New Roman" w:hAnsi="Times New Roman"/>
          <w:noProof/>
        </w:rPr>
        <w:t>6</w:t>
      </w:r>
      <w:bookmarkEnd w:id="14"/>
      <w:r w:rsidR="00F651E1" w:rsidRPr="006655BC">
        <w:rPr>
          <w:rFonts w:ascii="Times New Roman" w:hAnsi="Times New Roman"/>
        </w:rPr>
        <w:t>:</w:t>
      </w:r>
      <w:r w:rsidR="00F363C0" w:rsidRPr="006655BC">
        <w:rPr>
          <w:rFonts w:ascii="Times New Roman" w:hAnsi="Times New Roman"/>
        </w:rPr>
        <w:t xml:space="preserve"> </w:t>
      </w:r>
      <w:r w:rsidR="00F363C0" w:rsidRPr="006655BC">
        <w:rPr>
          <w:rFonts w:ascii="Times New Roman" w:hAnsi="Times New Roman"/>
          <w:b w:val="0"/>
          <w:bCs w:val="0"/>
        </w:rPr>
        <w:t>Ability Bias Test</w:t>
      </w:r>
    </w:p>
    <w:p w14:paraId="35D246E8" w14:textId="1A2CE438"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1F782776" wp14:editId="0ABCF22D">
            <wp:extent cx="5943600" cy="2990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b6.pdf"/>
                    <pic:cNvPicPr/>
                  </pic:nvPicPr>
                  <pic:blipFill>
                    <a:blip r:embed="rId21">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14:paraId="4CB09A39" w14:textId="1E5A8ECF" w:rsidR="007154D6" w:rsidRPr="006655BC" w:rsidRDefault="007154D6" w:rsidP="007154D6">
      <w:pPr>
        <w:jc w:val="center"/>
        <w:rPr>
          <w:rFonts w:ascii="Times New Roman" w:hAnsi="Times New Roman"/>
          <w:b/>
          <w:bCs/>
          <w:szCs w:val="24"/>
          <w:lang w:val="en-AU" w:eastAsia="en-GB"/>
        </w:rPr>
      </w:pPr>
    </w:p>
    <w:p w14:paraId="13254FBA" w14:textId="197052B6"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196F3FB1" w14:textId="4C08AA59" w:rsidR="00F363C0" w:rsidRPr="006655BC" w:rsidRDefault="00366957" w:rsidP="00F363C0">
      <w:pPr>
        <w:pStyle w:val="Caption"/>
        <w:jc w:val="center"/>
        <w:rPr>
          <w:rFonts w:ascii="Times New Roman" w:hAnsi="Times New Roman"/>
          <w:b w:val="0"/>
          <w:bCs w:val="0"/>
          <w:szCs w:val="24"/>
          <w:lang w:val="en-AU" w:eastAsia="en-GB"/>
        </w:rPr>
      </w:pPr>
      <w:bookmarkStart w:id="15" w:name="_Ref42945039"/>
      <w:r w:rsidRPr="006655BC">
        <w:rPr>
          <w:rFonts w:ascii="Times New Roman" w:hAnsi="Times New Roman"/>
        </w:rPr>
        <w:lastRenderedPageBreak/>
        <w:t>Table A.</w:t>
      </w:r>
      <w:r w:rsidR="00DC1C54" w:rsidRPr="006655BC">
        <w:rPr>
          <w:rFonts w:ascii="Times New Roman" w:hAnsi="Times New Roman"/>
          <w:noProof/>
        </w:rPr>
        <w:t>7</w:t>
      </w:r>
      <w:bookmarkEnd w:id="15"/>
      <w:r w:rsidR="00F651E1" w:rsidRPr="006655BC">
        <w:rPr>
          <w:rFonts w:ascii="Times New Roman" w:hAnsi="Times New Roman"/>
        </w:rPr>
        <w:t>:</w:t>
      </w:r>
      <w:r w:rsidR="00F363C0" w:rsidRPr="006655BC">
        <w:rPr>
          <w:rFonts w:ascii="Times New Roman" w:hAnsi="Times New Roman"/>
        </w:rPr>
        <w:t xml:space="preserve"> </w:t>
      </w:r>
      <w:r w:rsidR="00F363C0" w:rsidRPr="006655BC">
        <w:rPr>
          <w:rFonts w:ascii="Times New Roman" w:hAnsi="Times New Roman"/>
          <w:b w:val="0"/>
          <w:bCs w:val="0"/>
        </w:rPr>
        <w:t>Most Common Twin Pair Names, Boy-Boy Twins Who Were Children in 1900-1920</w:t>
      </w:r>
    </w:p>
    <w:p w14:paraId="0521D62E" w14:textId="6927081D"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58DA7FEE" wp14:editId="12E17D2D">
            <wp:extent cx="5943600" cy="40201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b7.pdf"/>
                    <pic:cNvPicPr/>
                  </pic:nvPicPr>
                  <pic:blipFill>
                    <a:blip r:embed="rId22">
                      <a:extLst>
                        <a:ext uri="{28A0092B-C50C-407E-A947-70E740481C1C}">
                          <a14:useLocalDpi xmlns:a14="http://schemas.microsoft.com/office/drawing/2010/main" val="0"/>
                        </a:ext>
                      </a:extLst>
                    </a:blip>
                    <a:stretch>
                      <a:fillRect/>
                    </a:stretch>
                  </pic:blipFill>
                  <pic:spPr>
                    <a:xfrm>
                      <a:off x="0" y="0"/>
                      <a:ext cx="5943600" cy="4020185"/>
                    </a:xfrm>
                    <a:prstGeom prst="rect">
                      <a:avLst/>
                    </a:prstGeom>
                  </pic:spPr>
                </pic:pic>
              </a:graphicData>
            </a:graphic>
          </wp:inline>
        </w:drawing>
      </w:r>
    </w:p>
    <w:p w14:paraId="6547EBF3" w14:textId="155A055D" w:rsidR="007154D6" w:rsidRPr="006655BC" w:rsidRDefault="007154D6" w:rsidP="007154D6">
      <w:pPr>
        <w:jc w:val="center"/>
        <w:rPr>
          <w:rFonts w:ascii="Times New Roman" w:hAnsi="Times New Roman"/>
          <w:b/>
          <w:bCs/>
          <w:szCs w:val="24"/>
          <w:lang w:val="en-AU" w:eastAsia="en-GB"/>
        </w:rPr>
      </w:pPr>
    </w:p>
    <w:p w14:paraId="398C88F1" w14:textId="5F6E5C51"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3404A9A8" w14:textId="73331896" w:rsidR="00F363C0" w:rsidRPr="006655BC" w:rsidRDefault="00366957" w:rsidP="008360D1">
      <w:pPr>
        <w:pStyle w:val="Caption"/>
        <w:jc w:val="center"/>
        <w:rPr>
          <w:rFonts w:ascii="Times New Roman" w:hAnsi="Times New Roman"/>
          <w:b w:val="0"/>
          <w:bCs w:val="0"/>
          <w:szCs w:val="24"/>
          <w:lang w:val="en-AU" w:eastAsia="en-GB"/>
        </w:rPr>
      </w:pPr>
      <w:bookmarkStart w:id="16" w:name="_Ref42945071"/>
      <w:r w:rsidRPr="006655BC">
        <w:rPr>
          <w:rFonts w:ascii="Times New Roman" w:hAnsi="Times New Roman"/>
        </w:rPr>
        <w:lastRenderedPageBreak/>
        <w:t>Table A.</w:t>
      </w:r>
      <w:r w:rsidR="00DC1C54" w:rsidRPr="006655BC">
        <w:rPr>
          <w:rFonts w:ascii="Times New Roman" w:hAnsi="Times New Roman"/>
          <w:noProof/>
        </w:rPr>
        <w:t>8</w:t>
      </w:r>
      <w:bookmarkEnd w:id="16"/>
      <w:r w:rsidR="00F651E1" w:rsidRPr="006655BC">
        <w:rPr>
          <w:rFonts w:ascii="Times New Roman" w:hAnsi="Times New Roman"/>
        </w:rPr>
        <w:t>:</w:t>
      </w:r>
      <w:r w:rsidR="008360D1" w:rsidRPr="006655BC">
        <w:rPr>
          <w:rFonts w:ascii="Times New Roman" w:hAnsi="Times New Roman"/>
        </w:rPr>
        <w:t xml:space="preserve"> </w:t>
      </w:r>
      <w:r w:rsidR="008360D1" w:rsidRPr="006655BC">
        <w:rPr>
          <w:rFonts w:ascii="Times New Roman" w:hAnsi="Times New Roman"/>
          <w:b w:val="0"/>
          <w:bCs w:val="0"/>
        </w:rPr>
        <w:t>The Return to Education: Within or Across Industries?</w:t>
      </w:r>
    </w:p>
    <w:p w14:paraId="27D8764E" w14:textId="36068AB9"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608EED35" wp14:editId="6DEB2AC2">
            <wp:extent cx="5943600" cy="41281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ab8.pdf"/>
                    <pic:cNvPicPr/>
                  </pic:nvPicPr>
                  <pic:blipFill>
                    <a:blip r:embed="rId23">
                      <a:extLst>
                        <a:ext uri="{28A0092B-C50C-407E-A947-70E740481C1C}">
                          <a14:useLocalDpi xmlns:a14="http://schemas.microsoft.com/office/drawing/2010/main" val="0"/>
                        </a:ext>
                      </a:extLst>
                    </a:blip>
                    <a:stretch>
                      <a:fillRect/>
                    </a:stretch>
                  </pic:blipFill>
                  <pic:spPr>
                    <a:xfrm>
                      <a:off x="0" y="0"/>
                      <a:ext cx="5943600" cy="4128135"/>
                    </a:xfrm>
                    <a:prstGeom prst="rect">
                      <a:avLst/>
                    </a:prstGeom>
                  </pic:spPr>
                </pic:pic>
              </a:graphicData>
            </a:graphic>
          </wp:inline>
        </w:drawing>
      </w:r>
    </w:p>
    <w:p w14:paraId="1FD04805" w14:textId="0C0F69D7" w:rsidR="007154D6" w:rsidRPr="006655BC" w:rsidRDefault="007154D6" w:rsidP="007154D6">
      <w:pPr>
        <w:jc w:val="center"/>
        <w:rPr>
          <w:rFonts w:ascii="Times New Roman" w:hAnsi="Times New Roman"/>
          <w:b/>
          <w:bCs/>
          <w:szCs w:val="24"/>
          <w:lang w:val="en-AU" w:eastAsia="en-GB"/>
        </w:rPr>
      </w:pPr>
    </w:p>
    <w:p w14:paraId="465C02F2" w14:textId="52E9CD56"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141F9C92" w14:textId="32130F9E" w:rsidR="008360D1" w:rsidRPr="006655BC" w:rsidRDefault="00366957" w:rsidP="00E64C75">
      <w:pPr>
        <w:pStyle w:val="Caption"/>
        <w:jc w:val="center"/>
        <w:rPr>
          <w:rFonts w:ascii="Times New Roman" w:hAnsi="Times New Roman"/>
          <w:b w:val="0"/>
          <w:bCs w:val="0"/>
          <w:szCs w:val="24"/>
          <w:lang w:val="en-AU" w:eastAsia="en-GB"/>
        </w:rPr>
      </w:pPr>
      <w:bookmarkStart w:id="17" w:name="_Ref42945098"/>
      <w:r w:rsidRPr="006655BC">
        <w:rPr>
          <w:rFonts w:ascii="Times New Roman" w:hAnsi="Times New Roman"/>
        </w:rPr>
        <w:lastRenderedPageBreak/>
        <w:t>Table A.</w:t>
      </w:r>
      <w:r w:rsidR="00DC1C54" w:rsidRPr="006655BC">
        <w:rPr>
          <w:rFonts w:ascii="Times New Roman" w:hAnsi="Times New Roman"/>
          <w:noProof/>
        </w:rPr>
        <w:t>9</w:t>
      </w:r>
      <w:bookmarkEnd w:id="17"/>
      <w:r w:rsidR="00F651E1" w:rsidRPr="006655BC">
        <w:rPr>
          <w:rFonts w:ascii="Times New Roman" w:hAnsi="Times New Roman"/>
        </w:rPr>
        <w:t>:</w:t>
      </w:r>
      <w:r w:rsidR="00BB05A1" w:rsidRPr="006655BC">
        <w:rPr>
          <w:rFonts w:ascii="Times New Roman" w:hAnsi="Times New Roman"/>
        </w:rPr>
        <w:t xml:space="preserve"> </w:t>
      </w:r>
      <w:r w:rsidR="00BB05A1" w:rsidRPr="006655BC">
        <w:rPr>
          <w:rFonts w:ascii="Times New Roman" w:hAnsi="Times New Roman"/>
          <w:b w:val="0"/>
          <w:bCs w:val="0"/>
        </w:rPr>
        <w:t>Effect of Education on Different Types of Occupation Scores</w:t>
      </w:r>
    </w:p>
    <w:p w14:paraId="6E774AC2" w14:textId="6825FB1E"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3E5CE9CA" wp14:editId="693E89DD">
            <wp:extent cx="5943600" cy="3608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ab9.pdf"/>
                    <pic:cNvPicPr/>
                  </pic:nvPicPr>
                  <pic:blipFill>
                    <a:blip r:embed="rId24">
                      <a:extLst>
                        <a:ext uri="{28A0092B-C50C-407E-A947-70E740481C1C}">
                          <a14:useLocalDpi xmlns:a14="http://schemas.microsoft.com/office/drawing/2010/main" val="0"/>
                        </a:ext>
                      </a:extLst>
                    </a:blip>
                    <a:stretch>
                      <a:fillRect/>
                    </a:stretch>
                  </pic:blipFill>
                  <pic:spPr>
                    <a:xfrm>
                      <a:off x="0" y="0"/>
                      <a:ext cx="5943600" cy="3608070"/>
                    </a:xfrm>
                    <a:prstGeom prst="rect">
                      <a:avLst/>
                    </a:prstGeom>
                  </pic:spPr>
                </pic:pic>
              </a:graphicData>
            </a:graphic>
          </wp:inline>
        </w:drawing>
      </w:r>
    </w:p>
    <w:p w14:paraId="57AA030C" w14:textId="620572FA" w:rsidR="007154D6" w:rsidRPr="006655BC" w:rsidRDefault="007154D6" w:rsidP="007154D6">
      <w:pPr>
        <w:jc w:val="center"/>
        <w:rPr>
          <w:rFonts w:ascii="Times New Roman" w:hAnsi="Times New Roman"/>
          <w:b/>
          <w:bCs/>
          <w:szCs w:val="24"/>
          <w:lang w:val="en-AU" w:eastAsia="en-GB"/>
        </w:rPr>
      </w:pPr>
    </w:p>
    <w:p w14:paraId="0618D0B1" w14:textId="010AD10C"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46DBE1A1" w14:textId="0D0A4746" w:rsidR="00BB05A1" w:rsidRPr="006655BC" w:rsidRDefault="00366957" w:rsidP="009229DF">
      <w:pPr>
        <w:pStyle w:val="Caption"/>
        <w:jc w:val="center"/>
        <w:rPr>
          <w:rFonts w:ascii="Times New Roman" w:hAnsi="Times New Roman"/>
          <w:b w:val="0"/>
          <w:bCs w:val="0"/>
          <w:szCs w:val="24"/>
          <w:lang w:val="en-AU" w:eastAsia="en-GB"/>
        </w:rPr>
      </w:pPr>
      <w:bookmarkStart w:id="18" w:name="_Ref42945128"/>
      <w:r w:rsidRPr="006655BC">
        <w:rPr>
          <w:rFonts w:ascii="Times New Roman" w:hAnsi="Times New Roman"/>
        </w:rPr>
        <w:lastRenderedPageBreak/>
        <w:t>Table A.</w:t>
      </w:r>
      <w:r w:rsidR="00DC1C54" w:rsidRPr="006655BC">
        <w:rPr>
          <w:rFonts w:ascii="Times New Roman" w:hAnsi="Times New Roman"/>
          <w:noProof/>
        </w:rPr>
        <w:t>10</w:t>
      </w:r>
      <w:bookmarkEnd w:id="18"/>
      <w:r w:rsidR="00F651E1" w:rsidRPr="006655BC">
        <w:rPr>
          <w:rFonts w:ascii="Times New Roman" w:hAnsi="Times New Roman"/>
        </w:rPr>
        <w:t>:</w:t>
      </w:r>
      <w:r w:rsidR="009229DF" w:rsidRPr="006655BC">
        <w:rPr>
          <w:rFonts w:ascii="Times New Roman" w:hAnsi="Times New Roman"/>
        </w:rPr>
        <w:t xml:space="preserve"> </w:t>
      </w:r>
      <w:r w:rsidR="009229DF" w:rsidRPr="006655BC">
        <w:rPr>
          <w:rFonts w:ascii="Times New Roman" w:hAnsi="Times New Roman"/>
          <w:b w:val="0"/>
          <w:bCs w:val="0"/>
        </w:rPr>
        <w:t>Effect of Education on Alternative Measures of Economic Status</w:t>
      </w:r>
    </w:p>
    <w:p w14:paraId="17027C6C" w14:textId="3758059B"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46C81D63" wp14:editId="556219A7">
            <wp:extent cx="5943600" cy="29286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10.pdf"/>
                    <pic:cNvPicPr/>
                  </pic:nvPicPr>
                  <pic:blipFill>
                    <a:blip r:embed="rId25">
                      <a:extLst>
                        <a:ext uri="{28A0092B-C50C-407E-A947-70E740481C1C}">
                          <a14:useLocalDpi xmlns:a14="http://schemas.microsoft.com/office/drawing/2010/main" val="0"/>
                        </a:ext>
                      </a:extLst>
                    </a:blip>
                    <a:stretch>
                      <a:fillRect/>
                    </a:stretch>
                  </pic:blipFill>
                  <pic:spPr>
                    <a:xfrm>
                      <a:off x="0" y="0"/>
                      <a:ext cx="5943600" cy="2928620"/>
                    </a:xfrm>
                    <a:prstGeom prst="rect">
                      <a:avLst/>
                    </a:prstGeom>
                  </pic:spPr>
                </pic:pic>
              </a:graphicData>
            </a:graphic>
          </wp:inline>
        </w:drawing>
      </w:r>
    </w:p>
    <w:p w14:paraId="38EA3C5E" w14:textId="438ACF86" w:rsidR="007154D6" w:rsidRPr="006655BC" w:rsidRDefault="007154D6" w:rsidP="007154D6">
      <w:pPr>
        <w:jc w:val="center"/>
        <w:rPr>
          <w:rFonts w:ascii="Times New Roman" w:hAnsi="Times New Roman"/>
          <w:b/>
          <w:bCs/>
          <w:szCs w:val="24"/>
          <w:lang w:val="en-AU" w:eastAsia="en-GB"/>
        </w:rPr>
      </w:pPr>
    </w:p>
    <w:p w14:paraId="3F481D19" w14:textId="4C91249E"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3B9C0C1F" w14:textId="0DED0989" w:rsidR="009229DF" w:rsidRPr="006655BC" w:rsidRDefault="00366957" w:rsidP="00DC1C54">
      <w:pPr>
        <w:pStyle w:val="Caption"/>
        <w:jc w:val="center"/>
        <w:rPr>
          <w:rFonts w:ascii="Times New Roman" w:hAnsi="Times New Roman"/>
          <w:b w:val="0"/>
          <w:bCs w:val="0"/>
          <w:szCs w:val="24"/>
          <w:lang w:val="en-AU" w:eastAsia="en-GB"/>
        </w:rPr>
      </w:pPr>
      <w:bookmarkStart w:id="19" w:name="_Ref42945159"/>
      <w:r w:rsidRPr="006655BC">
        <w:rPr>
          <w:rFonts w:ascii="Times New Roman" w:hAnsi="Times New Roman"/>
        </w:rPr>
        <w:lastRenderedPageBreak/>
        <w:t>Table A.</w:t>
      </w:r>
      <w:r w:rsidR="00DC1C54" w:rsidRPr="006655BC">
        <w:rPr>
          <w:rFonts w:ascii="Times New Roman" w:hAnsi="Times New Roman"/>
          <w:noProof/>
        </w:rPr>
        <w:t>11</w:t>
      </w:r>
      <w:bookmarkEnd w:id="19"/>
      <w:r w:rsidR="00F651E1" w:rsidRPr="006655BC">
        <w:rPr>
          <w:rFonts w:ascii="Times New Roman" w:hAnsi="Times New Roman"/>
        </w:rPr>
        <w:t>:</w:t>
      </w:r>
      <w:r w:rsidR="00DC1C54" w:rsidRPr="006655BC">
        <w:rPr>
          <w:rFonts w:ascii="Times New Roman" w:hAnsi="Times New Roman"/>
        </w:rPr>
        <w:t xml:space="preserve"> </w:t>
      </w:r>
      <w:r w:rsidR="00DC1C54" w:rsidRPr="006655BC">
        <w:rPr>
          <w:rFonts w:ascii="Times New Roman" w:hAnsi="Times New Roman"/>
          <w:b w:val="0"/>
          <w:bCs w:val="0"/>
        </w:rPr>
        <w:t>Effect of Education on Migration, Full Sample</w:t>
      </w:r>
    </w:p>
    <w:p w14:paraId="7736A7BF" w14:textId="57C8561A"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49981D86" wp14:editId="4224F284">
            <wp:extent cx="5943600" cy="52939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b11.pdf"/>
                    <pic:cNvPicPr/>
                  </pic:nvPicPr>
                  <pic:blipFill>
                    <a:blip r:embed="rId26">
                      <a:extLst>
                        <a:ext uri="{28A0092B-C50C-407E-A947-70E740481C1C}">
                          <a14:useLocalDpi xmlns:a14="http://schemas.microsoft.com/office/drawing/2010/main" val="0"/>
                        </a:ext>
                      </a:extLst>
                    </a:blip>
                    <a:stretch>
                      <a:fillRect/>
                    </a:stretch>
                  </pic:blipFill>
                  <pic:spPr>
                    <a:xfrm>
                      <a:off x="0" y="0"/>
                      <a:ext cx="5943600" cy="5293995"/>
                    </a:xfrm>
                    <a:prstGeom prst="rect">
                      <a:avLst/>
                    </a:prstGeom>
                  </pic:spPr>
                </pic:pic>
              </a:graphicData>
            </a:graphic>
          </wp:inline>
        </w:drawing>
      </w:r>
    </w:p>
    <w:p w14:paraId="11CE59F7" w14:textId="082F6B2A" w:rsidR="007154D6" w:rsidRPr="006655BC" w:rsidRDefault="007154D6" w:rsidP="007154D6">
      <w:pPr>
        <w:jc w:val="center"/>
        <w:rPr>
          <w:rFonts w:ascii="Times New Roman" w:hAnsi="Times New Roman"/>
          <w:b/>
          <w:bCs/>
          <w:szCs w:val="24"/>
          <w:lang w:val="en-AU" w:eastAsia="en-GB"/>
        </w:rPr>
      </w:pPr>
    </w:p>
    <w:p w14:paraId="1E2EE202" w14:textId="07A11F9A" w:rsidR="007154D6" w:rsidRPr="006655BC" w:rsidRDefault="007154D6">
      <w:pPr>
        <w:rPr>
          <w:rFonts w:ascii="Times New Roman" w:hAnsi="Times New Roman"/>
          <w:b/>
          <w:bCs/>
          <w:szCs w:val="24"/>
          <w:lang w:val="en-AU" w:eastAsia="en-GB"/>
        </w:rPr>
      </w:pPr>
      <w:r w:rsidRPr="006655BC">
        <w:rPr>
          <w:rFonts w:ascii="Times New Roman" w:hAnsi="Times New Roman"/>
          <w:b/>
          <w:bCs/>
          <w:szCs w:val="24"/>
          <w:lang w:val="en-AU" w:eastAsia="en-GB"/>
        </w:rPr>
        <w:br w:type="page"/>
      </w:r>
    </w:p>
    <w:p w14:paraId="0B5427C8" w14:textId="6F8E2894" w:rsidR="00DC1C54" w:rsidRPr="006655BC" w:rsidRDefault="00366957" w:rsidP="00DC1C54">
      <w:pPr>
        <w:pStyle w:val="Caption"/>
        <w:jc w:val="center"/>
        <w:rPr>
          <w:rFonts w:ascii="Times New Roman" w:hAnsi="Times New Roman"/>
          <w:b w:val="0"/>
          <w:bCs w:val="0"/>
          <w:szCs w:val="24"/>
          <w:lang w:val="en-AU" w:eastAsia="en-GB"/>
        </w:rPr>
      </w:pPr>
      <w:bookmarkStart w:id="20" w:name="_Ref42945191"/>
      <w:r w:rsidRPr="006655BC">
        <w:rPr>
          <w:rFonts w:ascii="Times New Roman" w:hAnsi="Times New Roman"/>
        </w:rPr>
        <w:lastRenderedPageBreak/>
        <w:t>Table A.</w:t>
      </w:r>
      <w:r w:rsidR="00DC1C54" w:rsidRPr="006655BC">
        <w:rPr>
          <w:rFonts w:ascii="Times New Roman" w:hAnsi="Times New Roman"/>
          <w:noProof/>
        </w:rPr>
        <w:t>12</w:t>
      </w:r>
      <w:bookmarkEnd w:id="20"/>
      <w:r w:rsidR="00F651E1" w:rsidRPr="006655BC">
        <w:rPr>
          <w:rFonts w:ascii="Times New Roman" w:hAnsi="Times New Roman"/>
        </w:rPr>
        <w:t>:</w:t>
      </w:r>
      <w:r w:rsidR="00DC1C54" w:rsidRPr="006655BC">
        <w:rPr>
          <w:rFonts w:ascii="Times New Roman" w:hAnsi="Times New Roman"/>
        </w:rPr>
        <w:t xml:space="preserve"> </w:t>
      </w:r>
      <w:r w:rsidR="00DC1C54" w:rsidRPr="006655BC">
        <w:rPr>
          <w:rFonts w:ascii="Times New Roman" w:hAnsi="Times New Roman"/>
          <w:b w:val="0"/>
          <w:bCs w:val="0"/>
        </w:rPr>
        <w:t>Effect of Education on Marriage and Fertility, Full Sample</w:t>
      </w:r>
    </w:p>
    <w:p w14:paraId="4B460540" w14:textId="5C678B34" w:rsidR="007154D6" w:rsidRPr="006655BC" w:rsidRDefault="007154D6" w:rsidP="007154D6">
      <w:pPr>
        <w:jc w:val="center"/>
        <w:rPr>
          <w:rFonts w:ascii="Times New Roman" w:hAnsi="Times New Roman"/>
          <w:b/>
          <w:bCs/>
          <w:szCs w:val="24"/>
          <w:lang w:val="en-AU" w:eastAsia="en-GB"/>
        </w:rPr>
      </w:pPr>
      <w:r w:rsidRPr="006655BC">
        <w:rPr>
          <w:rFonts w:ascii="Times New Roman" w:hAnsi="Times New Roman"/>
          <w:b/>
          <w:bCs/>
          <w:noProof/>
          <w:szCs w:val="24"/>
          <w:lang w:val="en-AU" w:eastAsia="en-GB"/>
        </w:rPr>
        <w:drawing>
          <wp:inline distT="0" distB="0" distL="0" distR="0" wp14:anchorId="4A2231B8" wp14:editId="3BA60223">
            <wp:extent cx="5943600" cy="3176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ab12.pdf"/>
                    <pic:cNvPicPr/>
                  </pic:nvPicPr>
                  <pic:blipFill>
                    <a:blip r:embed="rId27">
                      <a:extLst>
                        <a:ext uri="{28A0092B-C50C-407E-A947-70E740481C1C}">
                          <a14:useLocalDpi xmlns:a14="http://schemas.microsoft.com/office/drawing/2010/main" val="0"/>
                        </a:ext>
                      </a:extLst>
                    </a:blip>
                    <a:stretch>
                      <a:fillRect/>
                    </a:stretch>
                  </pic:blipFill>
                  <pic:spPr>
                    <a:xfrm>
                      <a:off x="0" y="0"/>
                      <a:ext cx="5943600" cy="3176270"/>
                    </a:xfrm>
                    <a:prstGeom prst="rect">
                      <a:avLst/>
                    </a:prstGeom>
                  </pic:spPr>
                </pic:pic>
              </a:graphicData>
            </a:graphic>
          </wp:inline>
        </w:drawing>
      </w:r>
    </w:p>
    <w:p w14:paraId="2AED3D1C" w14:textId="61CCE463" w:rsidR="00D73E83" w:rsidRPr="006655BC" w:rsidRDefault="00D73E83" w:rsidP="00B6113B">
      <w:pPr>
        <w:rPr>
          <w:rFonts w:ascii="Times New Roman" w:hAnsi="Times New Roman"/>
          <w:b/>
          <w:bCs/>
          <w:szCs w:val="24"/>
          <w:lang w:val="en-AU" w:eastAsia="en-GB"/>
        </w:rPr>
      </w:pPr>
    </w:p>
    <w:sectPr w:rsidR="00D73E83" w:rsidRPr="006655BC" w:rsidSect="00324BCB">
      <w:footerReference w:type="default" r:id="rId28"/>
      <w:footnotePr>
        <w:numRestart w:val="eachSect"/>
      </w:footnotePr>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31959" w14:textId="77777777" w:rsidR="002A544C" w:rsidRDefault="002A544C">
      <w:r>
        <w:separator/>
      </w:r>
    </w:p>
  </w:endnote>
  <w:endnote w:type="continuationSeparator" w:id="0">
    <w:p w14:paraId="5C42FF4F" w14:textId="77777777" w:rsidR="002A544C" w:rsidRDefault="002A5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4217757"/>
      <w:docPartObj>
        <w:docPartGallery w:val="Page Numbers (Bottom of Page)"/>
        <w:docPartUnique/>
      </w:docPartObj>
    </w:sdtPr>
    <w:sdtEndPr>
      <w:rPr>
        <w:rStyle w:val="PageNumber"/>
      </w:rPr>
    </w:sdtEndPr>
    <w:sdtContent>
      <w:p w14:paraId="6EF298D0" w14:textId="00596000" w:rsidR="00D821CC" w:rsidRDefault="00D821CC" w:rsidP="00CE5E4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4A370B1" w14:textId="1D271C21" w:rsidR="00D821CC" w:rsidRPr="00610D42" w:rsidRDefault="00D821CC" w:rsidP="00610D42">
    <w:pPr>
      <w:pStyle w:val="Footer"/>
      <w:jc w:val="both"/>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FC395" w14:textId="77777777" w:rsidR="002A544C" w:rsidRDefault="002A544C">
      <w:r>
        <w:separator/>
      </w:r>
    </w:p>
  </w:footnote>
  <w:footnote w:type="continuationSeparator" w:id="0">
    <w:p w14:paraId="0859983B" w14:textId="77777777" w:rsidR="002A544C" w:rsidRDefault="002A544C">
      <w:r>
        <w:continuationSeparator/>
      </w:r>
    </w:p>
  </w:footnote>
  <w:footnote w:id="1">
    <w:p w14:paraId="31ACEE86" w14:textId="677906CF" w:rsidR="00D821CC" w:rsidRPr="001F7297" w:rsidRDefault="00D821CC" w:rsidP="0098594A">
      <w:pPr>
        <w:pStyle w:val="FootnoteText"/>
        <w:jc w:val="both"/>
        <w:rPr>
          <w:rFonts w:ascii="Times New Roman" w:hAnsi="Times New Roman"/>
          <w:lang w:val="en-AU"/>
        </w:rPr>
      </w:pPr>
      <w:r w:rsidRPr="001F7297">
        <w:rPr>
          <w:rStyle w:val="FootnoteReference"/>
          <w:rFonts w:ascii="Times New Roman" w:hAnsi="Times New Roman"/>
        </w:rPr>
        <w:footnoteRef/>
      </w:r>
      <w:r w:rsidRPr="001F7297">
        <w:rPr>
          <w:rFonts w:ascii="Times New Roman" w:hAnsi="Times New Roman"/>
        </w:rPr>
        <w:t xml:space="preserve"> </w:t>
      </w:r>
      <w:r w:rsidRPr="001F7297">
        <w:rPr>
          <w:rFonts w:ascii="Times New Roman" w:hAnsi="Times New Roman"/>
          <w:color w:val="000000"/>
        </w:rPr>
        <w:t>The 1910 census only records the month of birth for people residing in Alaska.</w:t>
      </w:r>
    </w:p>
  </w:footnote>
  <w:footnote w:id="2">
    <w:p w14:paraId="03DCB34E" w14:textId="11096D46" w:rsidR="00D821CC" w:rsidRPr="001F7297" w:rsidRDefault="00D821CC" w:rsidP="0098594A">
      <w:pPr>
        <w:pStyle w:val="FootnoteText"/>
        <w:jc w:val="both"/>
        <w:rPr>
          <w:rFonts w:ascii="Times New Roman" w:hAnsi="Times New Roman"/>
          <w:lang w:val="en-AU"/>
        </w:rPr>
      </w:pPr>
      <w:r w:rsidRPr="001F7297">
        <w:rPr>
          <w:rStyle w:val="FootnoteReference"/>
          <w:rFonts w:ascii="Times New Roman" w:hAnsi="Times New Roman"/>
        </w:rPr>
        <w:footnoteRef/>
      </w:r>
      <w:r w:rsidRPr="001F7297">
        <w:rPr>
          <w:rFonts w:ascii="Times New Roman" w:hAnsi="Times New Roman"/>
        </w:rPr>
        <w:t xml:space="preserve"> </w:t>
      </w:r>
      <w:r w:rsidRPr="001F7297">
        <w:rPr>
          <w:rFonts w:ascii="Times New Roman" w:hAnsi="Times New Roman"/>
          <w:color w:val="000000"/>
        </w:rPr>
        <w:t xml:space="preserve">See footnote 33 of </w:t>
      </w:r>
      <w:r w:rsidRPr="001F7297">
        <w:rPr>
          <w:rFonts w:ascii="Times New Roman" w:hAnsi="Times New Roman"/>
          <w:color w:val="000000"/>
        </w:rPr>
        <w:fldChar w:fldCharType="begin"/>
      </w:r>
      <w:r w:rsidRPr="001F7297">
        <w:rPr>
          <w:rFonts w:ascii="Times New Roman" w:hAnsi="Times New Roman"/>
          <w:color w:val="000000"/>
        </w:rPr>
        <w:instrText xml:space="preserve"> ADDIN EN.CITE &lt;EndNote&gt;&lt;Cite AuthorYear="1"&gt;&lt;Author&gt;Bailey&lt;/Author&gt;&lt;Year&gt;2019&lt;/Year&gt;&lt;RecNum&gt;10&lt;/RecNum&gt;&lt;DisplayText&gt;Bailey et al. (2019)&lt;/DisplayText&gt;&lt;record&gt;&lt;rec-number&gt;10&lt;/rec-number&gt;&lt;foreign-keys&gt;&lt;key app="EN" db-id="sxrteexa905tvnes0pexaswc9zdrfsw20eps" timestamp="1592021437"&gt;10&lt;/key&gt;&lt;/foreign-keys&gt;&lt;ref-type name="Report"&gt;27&lt;/ref-type&gt;&lt;contributors&gt;&lt;authors&gt;&lt;author&gt;Bailey, Martha&lt;/author&gt;&lt;author&gt;Cole, Connor&lt;/author&gt;&lt;author&gt;Henderson, Morgan&lt;/author&gt;&lt;author&gt;Massey, Catherine&lt;/author&gt;&lt;/authors&gt;&lt;/contributors&gt;&lt;titles&gt;&lt;title&gt;How well do automated methods perform in historical samples? Evidence from new ground truth&lt;/title&gt;&lt;/titles&gt;&lt;dates&gt;&lt;year&gt;2019&lt;/year&gt;&lt;/dates&gt;&lt;publisher&gt;National Bureau of Economic Research, Cambridge, MA&lt;/publisher&gt;&lt;urls&gt;&lt;/urls&gt;&lt;/record&gt;&lt;/Cite&gt;&lt;/EndNote&gt;</w:instrText>
      </w:r>
      <w:r w:rsidRPr="001F7297">
        <w:rPr>
          <w:rFonts w:ascii="Times New Roman" w:hAnsi="Times New Roman"/>
          <w:color w:val="000000"/>
        </w:rPr>
        <w:fldChar w:fldCharType="separate"/>
      </w:r>
      <w:r w:rsidRPr="001F7297">
        <w:rPr>
          <w:rFonts w:ascii="Times New Roman" w:hAnsi="Times New Roman"/>
          <w:noProof/>
          <w:color w:val="000000"/>
        </w:rPr>
        <w:t>Bailey et al. (2019)</w:t>
      </w:r>
      <w:r w:rsidRPr="001F7297">
        <w:rPr>
          <w:rFonts w:ascii="Times New Roman" w:hAnsi="Times New Roman"/>
          <w:color w:val="000000"/>
        </w:rPr>
        <w:fldChar w:fldCharType="end"/>
      </w:r>
      <w:r w:rsidRPr="001F7297">
        <w:rPr>
          <w:rFonts w:ascii="Times New Roman" w:hAnsi="Times New Roman"/>
          <w:color w:val="000000"/>
        </w:rPr>
        <w:t>.</w:t>
      </w:r>
    </w:p>
  </w:footnote>
  <w:footnote w:id="3">
    <w:p w14:paraId="1AAF0FCD" w14:textId="2A4BE6AC" w:rsidR="00D821CC" w:rsidRPr="001F7297" w:rsidRDefault="00D821CC" w:rsidP="0098594A">
      <w:pPr>
        <w:pStyle w:val="FootnoteText"/>
        <w:jc w:val="both"/>
        <w:rPr>
          <w:rFonts w:ascii="Times New Roman" w:hAnsi="Times New Roman"/>
          <w:color w:val="000000"/>
        </w:rPr>
      </w:pPr>
      <w:r w:rsidRPr="001F7297">
        <w:rPr>
          <w:rStyle w:val="FootnoteReference"/>
          <w:rFonts w:ascii="Times New Roman" w:hAnsi="Times New Roman"/>
        </w:rPr>
        <w:footnoteRef/>
      </w:r>
      <w:r w:rsidRPr="001F7297">
        <w:rPr>
          <w:rFonts w:ascii="Times New Roman" w:hAnsi="Times New Roman"/>
        </w:rPr>
        <w:t xml:space="preserve"> </w:t>
      </w:r>
      <w:r w:rsidRPr="001F7297">
        <w:rPr>
          <w:rFonts w:ascii="Times New Roman" w:hAnsi="Times New Roman"/>
          <w:color w:val="000000"/>
        </w:rPr>
        <w:t xml:space="preserve">We use the replication data for </w:t>
      </w:r>
      <w:r w:rsidRPr="001F7297">
        <w:rPr>
          <w:rFonts w:ascii="Times New Roman" w:hAnsi="Times New Roman"/>
          <w:color w:val="000000"/>
        </w:rPr>
        <w:fldChar w:fldCharType="begin"/>
      </w:r>
      <w:r w:rsidRPr="001F7297">
        <w:rPr>
          <w:rFonts w:ascii="Times New Roman" w:hAnsi="Times New Roman"/>
          <w:color w:val="000000"/>
        </w:rPr>
        <w:instrText xml:space="preserve"> ADDIN EN.CITE &lt;EndNote&gt;&lt;Cite AuthorYear="1"&gt;&lt;Author&gt;Ashenfelter&lt;/Author&gt;&lt;Year&gt;1998&lt;/Year&gt;&lt;RecNum&gt;9&lt;/RecNum&gt;&lt;DisplayText&gt;Ashenfelter and Rouse (1998)&lt;/DisplayText&gt;&lt;record&gt;&lt;rec-number&gt;9&lt;/rec-number&gt;&lt;foreign-keys&gt;&lt;key app="EN" db-id="sxrteexa905tvnes0pexaswc9zdrfsw20eps" timestamp="1592021408"&gt;9&lt;/key&gt;&lt;/foreign-keys&gt;&lt;ref-type name="Journal Article"&gt;17&lt;/ref-type&gt;&lt;contributors&gt;&lt;authors&gt;&lt;author&gt;Ashenfelter, Orley&lt;/author&gt;&lt;author&gt;Rouse, Cecilia&lt;/author&gt;&lt;/authors&gt;&lt;/contributors&gt;&lt;titles&gt;&lt;title&gt;Income, schooling, and ability: Evidence from a new sample of identical twins&lt;/title&gt;&lt;secondary-title&gt;The Quarterly Journal of Economics&lt;/secondary-title&gt;&lt;/titles&gt;&lt;periodical&gt;&lt;full-title&gt;The Quarterly Journal of Economics&lt;/full-title&gt;&lt;/periodical&gt;&lt;pages&gt;253-284&lt;/pages&gt;&lt;volume&gt;113&lt;/volume&gt;&lt;number&gt;1&lt;/number&gt;&lt;dates&gt;&lt;year&gt;1998&lt;/year&gt;&lt;/dates&gt;&lt;isbn&gt;1531-4650&lt;/isbn&gt;&lt;urls&gt;&lt;/urls&gt;&lt;/record&gt;&lt;/Cite&gt;&lt;/EndNote&gt;</w:instrText>
      </w:r>
      <w:r w:rsidRPr="001F7297">
        <w:rPr>
          <w:rFonts w:ascii="Times New Roman" w:hAnsi="Times New Roman"/>
          <w:color w:val="000000"/>
        </w:rPr>
        <w:fldChar w:fldCharType="separate"/>
      </w:r>
      <w:r w:rsidRPr="001F7297">
        <w:rPr>
          <w:rFonts w:ascii="Times New Roman" w:hAnsi="Times New Roman"/>
          <w:noProof/>
          <w:color w:val="000000"/>
        </w:rPr>
        <w:t>Ashenfelter and Rouse (1998)</w:t>
      </w:r>
      <w:r w:rsidRPr="001F7297">
        <w:rPr>
          <w:rFonts w:ascii="Times New Roman" w:hAnsi="Times New Roman"/>
          <w:color w:val="000000"/>
        </w:rPr>
        <w:fldChar w:fldCharType="end"/>
      </w:r>
      <w:r w:rsidRPr="001F7297">
        <w:rPr>
          <w:rFonts w:ascii="Times New Roman" w:hAnsi="Times New Roman"/>
          <w:color w:val="000000"/>
        </w:rPr>
        <w:t xml:space="preserve"> available at </w:t>
      </w:r>
      <w:hyperlink r:id="rId1" w:history="1">
        <w:r w:rsidRPr="001F7297">
          <w:rPr>
            <w:rStyle w:val="Hyperlink"/>
            <w:rFonts w:ascii="Times New Roman" w:hAnsi="Times New Roman"/>
          </w:rPr>
          <w:t>http://arks.princeton.edu/ark:/88435/dsp01xg94hp567</w:t>
        </w:r>
      </w:hyperlink>
      <w:r w:rsidRPr="001F7297">
        <w:rPr>
          <w:rFonts w:ascii="Times New Roman" w:hAnsi="Times New Roman"/>
          <w:color w:val="000000"/>
        </w:rPr>
        <w:t xml:space="preserve">.We focus on </w:t>
      </w:r>
      <w:r w:rsidRPr="001F7297">
        <w:rPr>
          <w:rFonts w:ascii="Times New Roman" w:hAnsi="Times New Roman"/>
          <w:color w:val="000000"/>
        </w:rPr>
        <w:fldChar w:fldCharType="begin"/>
      </w:r>
      <w:r w:rsidRPr="001F7297">
        <w:rPr>
          <w:rFonts w:ascii="Times New Roman" w:hAnsi="Times New Roman"/>
          <w:color w:val="000000"/>
        </w:rPr>
        <w:instrText xml:space="preserve"> ADDIN EN.CITE &lt;EndNote&gt;&lt;Cite AuthorYear="1"&gt;&lt;Author&gt;Ashenfelter&lt;/Author&gt;&lt;Year&gt;1998&lt;/Year&gt;&lt;RecNum&gt;9&lt;/RecNum&gt;&lt;DisplayText&gt;Ashenfelter and Rouse (1998)&lt;/DisplayText&gt;&lt;record&gt;&lt;rec-number&gt;9&lt;/rec-number&gt;&lt;foreign-keys&gt;&lt;key app="EN" db-id="sxrteexa905tvnes0pexaswc9zdrfsw20eps" timestamp="1592021408"&gt;9&lt;/key&gt;&lt;/foreign-keys&gt;&lt;ref-type name="Journal Article"&gt;17&lt;/ref-type&gt;&lt;contributors&gt;&lt;authors&gt;&lt;author&gt;Ashenfelter, Orley&lt;/author&gt;&lt;author&gt;Rouse, Cecilia&lt;/author&gt;&lt;/authors&gt;&lt;/contributors&gt;&lt;titles&gt;&lt;title&gt;Income, schooling, and ability: Evidence from a new sample of identical twins&lt;/title&gt;&lt;secondary-title&gt;The Quarterly Journal of Economics&lt;/secondary-title&gt;&lt;/titles&gt;&lt;periodical&gt;&lt;full-title&gt;The Quarterly Journal of Economics&lt;/full-title&gt;&lt;/periodical&gt;&lt;pages&gt;253-284&lt;/pages&gt;&lt;volume&gt;113&lt;/volume&gt;&lt;number&gt;1&lt;/number&gt;&lt;dates&gt;&lt;year&gt;1998&lt;/year&gt;&lt;/dates&gt;&lt;isbn&gt;1531-4650&lt;/isbn&gt;&lt;urls&gt;&lt;/urls&gt;&lt;/record&gt;&lt;/Cite&gt;&lt;/EndNote&gt;</w:instrText>
      </w:r>
      <w:r w:rsidRPr="001F7297">
        <w:rPr>
          <w:rFonts w:ascii="Times New Roman" w:hAnsi="Times New Roman"/>
          <w:color w:val="000000"/>
        </w:rPr>
        <w:fldChar w:fldCharType="separate"/>
      </w:r>
      <w:r w:rsidRPr="001F7297">
        <w:rPr>
          <w:rFonts w:ascii="Times New Roman" w:hAnsi="Times New Roman"/>
          <w:noProof/>
          <w:color w:val="000000"/>
        </w:rPr>
        <w:t>Ashenfelter and Rouse (1998)</w:t>
      </w:r>
      <w:r w:rsidRPr="001F7297">
        <w:rPr>
          <w:rFonts w:ascii="Times New Roman" w:hAnsi="Times New Roman"/>
          <w:color w:val="000000"/>
        </w:rPr>
        <w:fldChar w:fldCharType="end"/>
      </w:r>
      <w:r w:rsidRPr="001F7297">
        <w:rPr>
          <w:rFonts w:ascii="Times New Roman" w:hAnsi="Times New Roman"/>
          <w:color w:val="000000"/>
        </w:rPr>
        <w:t xml:space="preserve"> rather than </w:t>
      </w:r>
      <w:r w:rsidRPr="001F7297">
        <w:rPr>
          <w:rFonts w:ascii="Times New Roman" w:hAnsi="Times New Roman"/>
          <w:color w:val="000000"/>
        </w:rPr>
        <w:fldChar w:fldCharType="begin"/>
      </w:r>
      <w:r w:rsidRPr="001F7297">
        <w:rPr>
          <w:rFonts w:ascii="Times New Roman" w:hAnsi="Times New Roman"/>
          <w:color w:val="000000"/>
        </w:rPr>
        <w:instrText xml:space="preserve"> ADDIN EN.CITE &lt;EndNote&gt;&lt;Cite AuthorYear="1"&gt;&lt;Author&gt;Ashenfelter&lt;/Author&gt;&lt;Year&gt;1994&lt;/Year&gt;&lt;RecNum&gt;8&lt;/RecNum&gt;&lt;DisplayText&gt;Ashenfelter and Krueger (1994)&lt;/DisplayText&gt;&lt;record&gt;&lt;rec-number&gt;8&lt;/rec-number&gt;&lt;foreign-keys&gt;&lt;key app="EN" db-id="sxrteexa905tvnes0pexaswc9zdrfsw20eps" timestamp="1592021268"&gt;8&lt;/key&gt;&lt;/foreign-keys&gt;&lt;ref-type name="Journal Article"&gt;17&lt;/ref-type&gt;&lt;contributors&gt;&lt;authors&gt;&lt;author&gt;Ashenfelter, Orley&lt;/author&gt;&lt;author&gt;Krueger, Alan&lt;/author&gt;&lt;/authors&gt;&lt;/contributors&gt;&lt;titles&gt;&lt;title&gt;Estimates of the economic return to schooling from a new sample of twins&lt;/title&gt;&lt;secondary-title&gt;American Economic Review&lt;/secondary-title&gt;&lt;/titles&gt;&lt;periodical&gt;&lt;full-title&gt;American Economic Review&lt;/full-title&gt;&lt;/periodical&gt;&lt;pages&gt;1157-1173&lt;/pages&gt;&lt;volume&gt;84&lt;/volume&gt;&lt;number&gt;5&lt;/number&gt;&lt;dates&gt;&lt;year&gt;1994&lt;/year&gt;&lt;/dates&gt;&lt;urls&gt;&lt;/urls&gt;&lt;/record&gt;&lt;/Cite&gt;&lt;/EndNote&gt;</w:instrText>
      </w:r>
      <w:r w:rsidRPr="001F7297">
        <w:rPr>
          <w:rFonts w:ascii="Times New Roman" w:hAnsi="Times New Roman"/>
          <w:color w:val="000000"/>
        </w:rPr>
        <w:fldChar w:fldCharType="separate"/>
      </w:r>
      <w:r w:rsidRPr="001F7297">
        <w:rPr>
          <w:rFonts w:ascii="Times New Roman" w:hAnsi="Times New Roman"/>
          <w:noProof/>
          <w:color w:val="000000"/>
        </w:rPr>
        <w:t>Ashenfelter and Krueger (1994)</w:t>
      </w:r>
      <w:r w:rsidRPr="001F7297">
        <w:rPr>
          <w:rFonts w:ascii="Times New Roman" w:hAnsi="Times New Roman"/>
          <w:color w:val="000000"/>
        </w:rPr>
        <w:fldChar w:fldCharType="end"/>
      </w:r>
      <w:r w:rsidRPr="001F7297">
        <w:rPr>
          <w:rFonts w:ascii="Times New Roman" w:hAnsi="Times New Roman"/>
          <w:color w:val="000000"/>
        </w:rPr>
        <w:t xml:space="preserve"> because the former is a larger sample that contains the original data in the earlier </w:t>
      </w:r>
      <w:r w:rsidRPr="001F7297">
        <w:rPr>
          <w:rFonts w:ascii="Times New Roman" w:hAnsi="Times New Roman"/>
          <w:color w:val="000000"/>
        </w:rPr>
        <w:fldChar w:fldCharType="begin"/>
      </w:r>
      <w:r w:rsidRPr="001F7297">
        <w:rPr>
          <w:rFonts w:ascii="Times New Roman" w:hAnsi="Times New Roman"/>
          <w:color w:val="000000"/>
        </w:rPr>
        <w:instrText xml:space="preserve"> ADDIN EN.CITE &lt;EndNote&gt;&lt;Cite AuthorYear="1"&gt;&lt;Author&gt;Ashenfelter&lt;/Author&gt;&lt;Year&gt;1994&lt;/Year&gt;&lt;RecNum&gt;8&lt;/RecNum&gt;&lt;DisplayText&gt;Ashenfelter and Krueger (1994)&lt;/DisplayText&gt;&lt;record&gt;&lt;rec-number&gt;8&lt;/rec-number&gt;&lt;foreign-keys&gt;&lt;key app="EN" db-id="sxrteexa905tvnes0pexaswc9zdrfsw20eps" timestamp="1592021268"&gt;8&lt;/key&gt;&lt;/foreign-keys&gt;&lt;ref-type name="Journal Article"&gt;17&lt;/ref-type&gt;&lt;contributors&gt;&lt;authors&gt;&lt;author&gt;Ashenfelter, Orley&lt;/author&gt;&lt;author&gt;Krueger, Alan&lt;/author&gt;&lt;/authors&gt;&lt;/contributors&gt;&lt;titles&gt;&lt;title&gt;Estimates of the economic return to schooling from a new sample of twins&lt;/title&gt;&lt;secondary-title&gt;American Economic Review&lt;/secondary-title&gt;&lt;/titles&gt;&lt;periodical&gt;&lt;full-title&gt;American Economic Review&lt;/full-title&gt;&lt;/periodical&gt;&lt;pages&gt;1157-1173&lt;/pages&gt;&lt;volume&gt;84&lt;/volume&gt;&lt;number&gt;5&lt;/number&gt;&lt;dates&gt;&lt;year&gt;1994&lt;/year&gt;&lt;/dates&gt;&lt;urls&gt;&lt;/urls&gt;&lt;/record&gt;&lt;/Cite&gt;&lt;/EndNote&gt;</w:instrText>
      </w:r>
      <w:r w:rsidRPr="001F7297">
        <w:rPr>
          <w:rFonts w:ascii="Times New Roman" w:hAnsi="Times New Roman"/>
          <w:color w:val="000000"/>
        </w:rPr>
        <w:fldChar w:fldCharType="separate"/>
      </w:r>
      <w:r w:rsidRPr="001F7297">
        <w:rPr>
          <w:rFonts w:ascii="Times New Roman" w:hAnsi="Times New Roman"/>
          <w:noProof/>
          <w:color w:val="000000"/>
        </w:rPr>
        <w:t>Ashenfelter and Krueger (1994)</w:t>
      </w:r>
      <w:r w:rsidRPr="001F7297">
        <w:rPr>
          <w:rFonts w:ascii="Times New Roman" w:hAnsi="Times New Roman"/>
          <w:color w:val="000000"/>
        </w:rPr>
        <w:fldChar w:fldCharType="end"/>
      </w:r>
      <w:r w:rsidRPr="001F7297">
        <w:rPr>
          <w:rFonts w:ascii="Times New Roman" w:hAnsi="Times New Roman"/>
          <w:color w:val="000000"/>
        </w:rPr>
        <w:t xml:space="preserve"> study.</w:t>
      </w:r>
    </w:p>
  </w:footnote>
  <w:footnote w:id="4">
    <w:p w14:paraId="2228BF03" w14:textId="5B4B05C6" w:rsidR="00D821CC" w:rsidRPr="001F7297" w:rsidRDefault="00D821CC" w:rsidP="0098594A">
      <w:pPr>
        <w:pStyle w:val="FootnoteText"/>
        <w:jc w:val="both"/>
        <w:rPr>
          <w:rFonts w:ascii="Times New Roman" w:hAnsi="Times New Roman"/>
          <w:lang w:val="en-AU"/>
        </w:rPr>
      </w:pPr>
      <w:r w:rsidRPr="001F7297">
        <w:rPr>
          <w:rStyle w:val="FootnoteReference"/>
          <w:rFonts w:ascii="Times New Roman" w:hAnsi="Times New Roman"/>
        </w:rPr>
        <w:footnoteRef/>
      </w:r>
      <w:r w:rsidRPr="001F7297">
        <w:rPr>
          <w:rFonts w:ascii="Times New Roman" w:hAnsi="Times New Roman"/>
        </w:rPr>
        <w:t xml:space="preserve"> </w:t>
      </w:r>
      <w:r w:rsidRPr="001F7297">
        <w:rPr>
          <w:rFonts w:ascii="Times New Roman" w:hAnsi="Times New Roman"/>
          <w:color w:val="000000"/>
        </w:rPr>
        <w:t>That all pairs of twins aged 1 or 2 are both not in school is not particularly informative about the nurture process.</w:t>
      </w:r>
    </w:p>
  </w:footnote>
  <w:footnote w:id="5">
    <w:p w14:paraId="3142E23A" w14:textId="455459E9" w:rsidR="00D821CC" w:rsidRPr="001F7297" w:rsidRDefault="00D821CC" w:rsidP="0098594A">
      <w:pPr>
        <w:pStyle w:val="FootnoteText"/>
        <w:jc w:val="both"/>
        <w:rPr>
          <w:rFonts w:ascii="Times New Roman" w:hAnsi="Times New Roman"/>
          <w:lang w:val="en-AU"/>
        </w:rPr>
      </w:pPr>
      <w:r w:rsidRPr="001F7297">
        <w:rPr>
          <w:rStyle w:val="FootnoteReference"/>
          <w:rFonts w:ascii="Times New Roman" w:hAnsi="Times New Roman"/>
        </w:rPr>
        <w:footnoteRef/>
      </w:r>
      <w:r w:rsidRPr="001F7297">
        <w:rPr>
          <w:rFonts w:ascii="Times New Roman" w:hAnsi="Times New Roman"/>
        </w:rPr>
        <w:t xml:space="preserve"> </w:t>
      </w:r>
      <w:r w:rsidRPr="001F7297">
        <w:rPr>
          <w:rFonts w:ascii="Times New Roman" w:hAnsi="Times New Roman"/>
          <w:color w:val="000000"/>
        </w:rPr>
        <w:t xml:space="preserve">We exclude cohorts born 1871 to 1875 as there are only 38 pairs of twins in this interval. </w:t>
      </w:r>
      <w:r w:rsidRPr="001F7297">
        <w:rPr>
          <w:rFonts w:ascii="Times New Roman" w:hAnsi="Times New Roman"/>
          <w:color w:val="000000"/>
        </w:rPr>
        <w:fldChar w:fldCharType="begin"/>
      </w:r>
      <w:r w:rsidRPr="001F7297">
        <w:rPr>
          <w:rFonts w:ascii="Times New Roman" w:hAnsi="Times New Roman"/>
          <w:color w:val="000000"/>
        </w:rPr>
        <w:instrText xml:space="preserve"> REF _Ref42944845 \h </w:instrText>
      </w:r>
      <w:r>
        <w:rPr>
          <w:rFonts w:ascii="Times New Roman" w:hAnsi="Times New Roman"/>
          <w:color w:val="000000"/>
        </w:rPr>
        <w:instrText xml:space="preserve"> \* MERGEFORMAT </w:instrText>
      </w:r>
      <w:r w:rsidRPr="001F7297">
        <w:rPr>
          <w:rFonts w:ascii="Times New Roman" w:hAnsi="Times New Roman"/>
          <w:color w:val="000000"/>
        </w:rPr>
      </w:r>
      <w:r w:rsidRPr="001F7297">
        <w:rPr>
          <w:rFonts w:ascii="Times New Roman" w:hAnsi="Times New Roman"/>
          <w:color w:val="000000"/>
        </w:rPr>
        <w:fldChar w:fldCharType="separate"/>
      </w:r>
      <w:r w:rsidRPr="001F7297">
        <w:rPr>
          <w:rFonts w:ascii="Times New Roman" w:hAnsi="Times New Roman"/>
        </w:rPr>
        <w:t>Figure A.</w:t>
      </w:r>
      <w:r w:rsidRPr="001F7297">
        <w:rPr>
          <w:rFonts w:ascii="Times New Roman" w:hAnsi="Times New Roman"/>
          <w:noProof/>
        </w:rPr>
        <w:t>7</w:t>
      </w:r>
      <w:r w:rsidRPr="001F7297">
        <w:rPr>
          <w:rFonts w:ascii="Times New Roman" w:hAnsi="Times New Roman"/>
          <w:color w:val="000000"/>
        </w:rPr>
        <w:fldChar w:fldCharType="end"/>
      </w:r>
      <w:r w:rsidRPr="001F7297">
        <w:rPr>
          <w:rFonts w:ascii="Times New Roman" w:hAnsi="Times New Roman"/>
          <w:color w:val="000000"/>
        </w:rPr>
        <w:t xml:space="preserve"> provides the sample size for each cohort.</w:t>
      </w:r>
    </w:p>
  </w:footnote>
  <w:footnote w:id="6">
    <w:p w14:paraId="6EF65CBD" w14:textId="5B7F475A" w:rsidR="00D821CC" w:rsidRPr="001F7297" w:rsidRDefault="00D821CC" w:rsidP="0098594A">
      <w:pPr>
        <w:pStyle w:val="FootnoteText"/>
        <w:jc w:val="both"/>
        <w:rPr>
          <w:rFonts w:ascii="Times New Roman" w:hAnsi="Times New Roman"/>
          <w:lang w:val="en-AU"/>
        </w:rPr>
      </w:pPr>
      <w:r w:rsidRPr="001F7297">
        <w:rPr>
          <w:rStyle w:val="FootnoteReference"/>
          <w:rFonts w:ascii="Times New Roman" w:hAnsi="Times New Roman"/>
        </w:rPr>
        <w:footnoteRef/>
      </w:r>
      <w:r w:rsidRPr="001F7297">
        <w:rPr>
          <w:rFonts w:ascii="Times New Roman" w:hAnsi="Times New Roman"/>
        </w:rPr>
        <w:t xml:space="preserve"> </w:t>
      </w:r>
      <w:r w:rsidRPr="001F7297">
        <w:rPr>
          <w:rFonts w:ascii="Times New Roman" w:hAnsi="Times New Roman"/>
          <w:color w:val="000000"/>
        </w:rPr>
        <w:fldChar w:fldCharType="begin"/>
      </w:r>
      <w:r w:rsidRPr="001F7297">
        <w:rPr>
          <w:rFonts w:ascii="Times New Roman" w:hAnsi="Times New Roman"/>
          <w:color w:val="000000"/>
        </w:rPr>
        <w:instrText xml:space="preserve"> ADDIN EN.CITE &lt;EndNote&gt;&lt;Cite AuthorYear="1"&gt;&lt;Author&gt;Dahl&lt;/Author&gt;&lt;Year&gt;2002&lt;/Year&gt;&lt;RecNum&gt;24&lt;/RecNum&gt;&lt;DisplayText&gt;Dahl (2002)&lt;/DisplayText&gt;&lt;record&gt;&lt;rec-number&gt;24&lt;/rec-number&gt;&lt;foreign-keys&gt;&lt;key app="EN" db-id="sxrteexa905tvnes0pexaswc9zdrfsw20eps" timestamp="1592021912"&gt;24&lt;/key&gt;&lt;/foreign-keys&gt;&lt;ref-type name="Journal Article"&gt;17&lt;/ref-type&gt;&lt;contributors&gt;&lt;authors&gt;&lt;author&gt;Dahl, Gordon B&lt;/author&gt;&lt;/authors&gt;&lt;/contributors&gt;&lt;titles&gt;&lt;title&gt;Mobility and the return to education: Testing a Roy model with multiple markets&lt;/title&gt;&lt;secondary-title&gt;Econometrica&lt;/secondary-title&gt;&lt;/titles&gt;&lt;periodical&gt;&lt;full-title&gt;Econometrica&lt;/full-title&gt;&lt;/periodical&gt;&lt;pages&gt;2367-2420&lt;/pages&gt;&lt;volume&gt;70&lt;/volume&gt;&lt;number&gt;6&lt;/number&gt;&lt;dates&gt;&lt;year&gt;2002&lt;/year&gt;&lt;/dates&gt;&lt;isbn&gt;0012-9682&lt;/isbn&gt;&lt;urls&gt;&lt;/urls&gt;&lt;/record&gt;&lt;/Cite&gt;&lt;/EndNote&gt;</w:instrText>
      </w:r>
      <w:r w:rsidRPr="001F7297">
        <w:rPr>
          <w:rFonts w:ascii="Times New Roman" w:hAnsi="Times New Roman"/>
          <w:color w:val="000000"/>
        </w:rPr>
        <w:fldChar w:fldCharType="separate"/>
      </w:r>
      <w:r w:rsidRPr="001F7297">
        <w:rPr>
          <w:rFonts w:ascii="Times New Roman" w:hAnsi="Times New Roman"/>
          <w:noProof/>
          <w:color w:val="000000"/>
        </w:rPr>
        <w:t>Dahl (2002)</w:t>
      </w:r>
      <w:r w:rsidRPr="001F7297">
        <w:rPr>
          <w:rFonts w:ascii="Times New Roman" w:hAnsi="Times New Roman"/>
          <w:color w:val="000000"/>
        </w:rPr>
        <w:fldChar w:fldCharType="end"/>
      </w:r>
      <w:r w:rsidRPr="001F7297">
        <w:rPr>
          <w:rFonts w:ascii="Times New Roman" w:hAnsi="Times New Roman"/>
          <w:color w:val="000000"/>
        </w:rPr>
        <w:t xml:space="preserve"> develops a correction procedure to estimate the return to education by location even in the presence of endogenous migration. However, adapting this selection correction to our twins fixed effects specification is beyond the scope of our paper.</w:t>
      </w:r>
    </w:p>
  </w:footnote>
  <w:footnote w:id="7">
    <w:p w14:paraId="5C123433" w14:textId="500A0F5E" w:rsidR="00D821CC" w:rsidRPr="001F7297" w:rsidRDefault="00D821CC" w:rsidP="0098594A">
      <w:pPr>
        <w:pStyle w:val="FootnoteText"/>
        <w:jc w:val="both"/>
        <w:rPr>
          <w:rFonts w:ascii="Times New Roman" w:hAnsi="Times New Roman"/>
          <w:lang w:val="en-AU"/>
        </w:rPr>
      </w:pPr>
      <w:r w:rsidRPr="001F7297">
        <w:rPr>
          <w:rStyle w:val="FootnoteReference"/>
          <w:rFonts w:ascii="Times New Roman" w:hAnsi="Times New Roman"/>
        </w:rPr>
        <w:footnoteRef/>
      </w:r>
      <w:r w:rsidRPr="001F7297">
        <w:rPr>
          <w:rFonts w:ascii="Times New Roman" w:hAnsi="Times New Roman"/>
        </w:rPr>
        <w:t xml:space="preserve"> </w:t>
      </w:r>
      <w:r w:rsidRPr="001F7297">
        <w:rPr>
          <w:rFonts w:ascii="Times New Roman" w:hAnsi="Times New Roman"/>
          <w:color w:val="000000"/>
        </w:rPr>
        <w:fldChar w:fldCharType="begin"/>
      </w:r>
      <w:r w:rsidRPr="001F7297">
        <w:rPr>
          <w:rFonts w:ascii="Times New Roman" w:hAnsi="Times New Roman"/>
        </w:rPr>
        <w:instrText xml:space="preserve"> REF _Ref42944874 \h </w:instrText>
      </w:r>
      <w:r>
        <w:rPr>
          <w:rFonts w:ascii="Times New Roman" w:hAnsi="Times New Roman"/>
          <w:color w:val="000000"/>
        </w:rPr>
        <w:instrText xml:space="preserve"> \* MERGEFORMAT </w:instrText>
      </w:r>
      <w:r w:rsidRPr="001F7297">
        <w:rPr>
          <w:rFonts w:ascii="Times New Roman" w:hAnsi="Times New Roman"/>
          <w:color w:val="000000"/>
        </w:rPr>
      </w:r>
      <w:r w:rsidRPr="001F7297">
        <w:rPr>
          <w:rFonts w:ascii="Times New Roman" w:hAnsi="Times New Roman"/>
          <w:color w:val="000000"/>
        </w:rPr>
        <w:fldChar w:fldCharType="separate"/>
      </w:r>
      <w:r w:rsidRPr="001F7297">
        <w:rPr>
          <w:rFonts w:ascii="Times New Roman" w:hAnsi="Times New Roman"/>
        </w:rPr>
        <w:t>Figure A.</w:t>
      </w:r>
      <w:r w:rsidRPr="001F7297">
        <w:rPr>
          <w:rFonts w:ascii="Times New Roman" w:hAnsi="Times New Roman"/>
          <w:noProof/>
        </w:rPr>
        <w:t>8</w:t>
      </w:r>
      <w:r w:rsidRPr="001F7297">
        <w:rPr>
          <w:rFonts w:ascii="Times New Roman" w:hAnsi="Times New Roman"/>
          <w:color w:val="000000"/>
        </w:rPr>
        <w:fldChar w:fldCharType="end"/>
      </w:r>
      <w:r w:rsidRPr="001F7297">
        <w:rPr>
          <w:rFonts w:ascii="Times New Roman" w:hAnsi="Times New Roman"/>
          <w:color w:val="000000"/>
        </w:rPr>
        <w:t xml:space="preserve"> shows that the spatial similarity in returns is also observed when twins are assigned to their region of residence in 1940.</w:t>
      </w:r>
    </w:p>
  </w:footnote>
  <w:footnote w:id="8">
    <w:p w14:paraId="3C39BC33" w14:textId="7DDF1776" w:rsidR="00D821CC" w:rsidRPr="001F7297" w:rsidRDefault="00D821CC" w:rsidP="0098594A">
      <w:pPr>
        <w:pStyle w:val="FootnoteText"/>
        <w:jc w:val="both"/>
        <w:rPr>
          <w:rFonts w:ascii="Times New Roman" w:hAnsi="Times New Roman"/>
          <w:lang w:val="en-AU"/>
        </w:rPr>
      </w:pPr>
      <w:r w:rsidRPr="001F7297">
        <w:rPr>
          <w:rStyle w:val="FootnoteReference"/>
          <w:rFonts w:ascii="Times New Roman" w:hAnsi="Times New Roman"/>
        </w:rPr>
        <w:footnoteRef/>
      </w:r>
      <w:r w:rsidRPr="001F7297">
        <w:rPr>
          <w:rFonts w:ascii="Times New Roman" w:hAnsi="Times New Roman"/>
        </w:rPr>
        <w:t xml:space="preserve"> </w:t>
      </w:r>
      <w:r w:rsidRPr="001F7297">
        <w:rPr>
          <w:rFonts w:ascii="Times New Roman" w:hAnsi="Times New Roman"/>
          <w:color w:val="000000"/>
        </w:rPr>
        <w:t xml:space="preserve">The variation in school quality changed substantially during this period. </w:t>
      </w:r>
      <w:r w:rsidRPr="001F7297">
        <w:rPr>
          <w:rFonts w:ascii="Times New Roman" w:hAnsi="Times New Roman"/>
          <w:color w:val="000000"/>
        </w:rPr>
        <w:fldChar w:fldCharType="begin"/>
      </w:r>
      <w:r w:rsidRPr="001F7297">
        <w:rPr>
          <w:rFonts w:ascii="Times New Roman" w:hAnsi="Times New Roman"/>
          <w:color w:val="000000"/>
        </w:rPr>
        <w:instrText xml:space="preserve"> ADDIN EN.CITE &lt;EndNote&gt;&lt;Cite AuthorYear="1"&gt;&lt;Author&gt;Goldin&lt;/Author&gt;&lt;Year&gt;1992&lt;/Year&gt;&lt;RecNum&gt;32&lt;/RecNum&gt;&lt;DisplayText&gt;Goldin and Margo (1992)&lt;/DisplayText&gt;&lt;record&gt;&lt;rec-number&gt;32&lt;/rec-number&gt;&lt;foreign-keys&gt;&lt;key app="EN" db-id="sxrteexa905tvnes0pexaswc9zdrfsw20eps" timestamp="1592022108"&gt;32&lt;/key&gt;&lt;/foreign-keys&gt;&lt;ref-type name="Journal Article"&gt;17&lt;/ref-type&gt;&lt;contributors&gt;&lt;authors&gt;&lt;author&gt;Goldin, Claudia&lt;/author&gt;&lt;author&gt;Margo, Robert A&lt;/author&gt;&lt;/authors&gt;&lt;/contributors&gt;&lt;titles&gt;&lt;title&gt;The great compression: The wage structure in the United States at mid-century&lt;/title&gt;&lt;secondary-title&gt;The Quarterly Journal of Economics&lt;/secondary-title&gt;&lt;/titles&gt;&lt;periodical&gt;&lt;full-title&gt;The Quarterly Journal of Economics&lt;/full-title&gt;&lt;/periodical&gt;&lt;pages&gt;1-34&lt;/pages&gt;&lt;volume&gt;107&lt;/volume&gt;&lt;number&gt;1&lt;/number&gt;&lt;dates&gt;&lt;year&gt;1992&lt;/year&gt;&lt;/dates&gt;&lt;isbn&gt;1531-4650&lt;/isbn&gt;&lt;urls&gt;&lt;/urls&gt;&lt;/record&gt;&lt;/Cite&gt;&lt;/EndNote&gt;</w:instrText>
      </w:r>
      <w:r w:rsidRPr="001F7297">
        <w:rPr>
          <w:rFonts w:ascii="Times New Roman" w:hAnsi="Times New Roman"/>
          <w:color w:val="000000"/>
        </w:rPr>
        <w:fldChar w:fldCharType="separate"/>
      </w:r>
      <w:r w:rsidRPr="001F7297">
        <w:rPr>
          <w:rFonts w:ascii="Times New Roman" w:hAnsi="Times New Roman"/>
          <w:noProof/>
          <w:color w:val="000000"/>
        </w:rPr>
        <w:t>Goldin and Margo (1992)</w:t>
      </w:r>
      <w:r w:rsidRPr="001F7297">
        <w:rPr>
          <w:rFonts w:ascii="Times New Roman" w:hAnsi="Times New Roman"/>
          <w:color w:val="000000"/>
        </w:rPr>
        <w:fldChar w:fldCharType="end"/>
      </w:r>
      <w:r w:rsidRPr="001F7297">
        <w:rPr>
          <w:rFonts w:ascii="Times New Roman" w:hAnsi="Times New Roman"/>
          <w:color w:val="000000"/>
        </w:rPr>
        <w:t xml:space="preserve"> point to geographic narrowing in school quality as one factor behind the Great Compression.</w:t>
      </w:r>
    </w:p>
  </w:footnote>
  <w:footnote w:id="9">
    <w:p w14:paraId="4B04CE07" w14:textId="006FCABD" w:rsidR="00D821CC" w:rsidRPr="001F7297" w:rsidRDefault="00D821CC" w:rsidP="0098594A">
      <w:pPr>
        <w:pStyle w:val="FootnoteText"/>
        <w:jc w:val="both"/>
        <w:rPr>
          <w:rFonts w:ascii="Times New Roman" w:hAnsi="Times New Roman"/>
          <w:lang w:val="en-AU"/>
        </w:rPr>
      </w:pPr>
      <w:r w:rsidRPr="001F7297">
        <w:rPr>
          <w:rStyle w:val="FootnoteReference"/>
          <w:rFonts w:ascii="Times New Roman" w:hAnsi="Times New Roman"/>
        </w:rPr>
        <w:footnoteRef/>
      </w:r>
      <w:r w:rsidRPr="001F7297">
        <w:rPr>
          <w:rFonts w:ascii="Times New Roman" w:hAnsi="Times New Roman"/>
        </w:rPr>
        <w:t xml:space="preserve"> </w:t>
      </w:r>
      <w:r w:rsidRPr="001F7297">
        <w:rPr>
          <w:rFonts w:ascii="Times New Roman" w:hAnsi="Times New Roman"/>
          <w:color w:val="000000"/>
        </w:rPr>
        <w:t>Within our sample of twins, there are sizable differences in the supply of educated workers across census regions. Southern-born white twins averaged only 9 years of schooling, less than the 9.8 years in the Northeast, 10 in the Midwest, or 10.7 in the West.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CFACB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48A2E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C0A38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C6C271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0072D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E38ED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286434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4A823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F4E76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CBA08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6A403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F34B4B"/>
    <w:multiLevelType w:val="hybridMultilevel"/>
    <w:tmpl w:val="94CE2C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414466"/>
    <w:multiLevelType w:val="multilevel"/>
    <w:tmpl w:val="2D4878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4360257"/>
    <w:multiLevelType w:val="hybridMultilevel"/>
    <w:tmpl w:val="C1349A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1575668B"/>
    <w:multiLevelType w:val="hybridMultilevel"/>
    <w:tmpl w:val="272C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5B014E"/>
    <w:multiLevelType w:val="hybridMultilevel"/>
    <w:tmpl w:val="E9FAB7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584C81"/>
    <w:multiLevelType w:val="hybridMultilevel"/>
    <w:tmpl w:val="F6801BAE"/>
    <w:lvl w:ilvl="0" w:tplc="69C63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E9C14CB"/>
    <w:multiLevelType w:val="hybridMultilevel"/>
    <w:tmpl w:val="4126C634"/>
    <w:lvl w:ilvl="0" w:tplc="4544ABD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E2B8D"/>
    <w:multiLevelType w:val="multilevel"/>
    <w:tmpl w:val="6C544F58"/>
    <w:lvl w:ilvl="0">
      <w:start w:val="1"/>
      <w:numFmt w:val="none"/>
      <w:pStyle w:val="Heading1"/>
      <w:suff w:val="space"/>
      <w:lvlText w:val="A"/>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9" w15:restartNumberingAfterBreak="0">
    <w:nsid w:val="509A5D78"/>
    <w:multiLevelType w:val="hybridMultilevel"/>
    <w:tmpl w:val="3EC2FE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695F2D"/>
    <w:multiLevelType w:val="hybridMultilevel"/>
    <w:tmpl w:val="5D4A3692"/>
    <w:lvl w:ilvl="0" w:tplc="E4BA730E">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8B19FE"/>
    <w:multiLevelType w:val="hybridMultilevel"/>
    <w:tmpl w:val="C0EC9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FDB2119"/>
    <w:multiLevelType w:val="hybridMultilevel"/>
    <w:tmpl w:val="8CC4B7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F15B45"/>
    <w:multiLevelType w:val="hybridMultilevel"/>
    <w:tmpl w:val="B316EAA0"/>
    <w:lvl w:ilvl="0" w:tplc="77D21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F82BD8"/>
    <w:multiLevelType w:val="multilevel"/>
    <w:tmpl w:val="2D4878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F513C24"/>
    <w:multiLevelType w:val="hybridMultilevel"/>
    <w:tmpl w:val="597680AA"/>
    <w:lvl w:ilvl="0" w:tplc="AE4043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0"/>
  </w:num>
  <w:num w:numId="3">
    <w:abstractNumId w:val="13"/>
  </w:num>
  <w:num w:numId="4">
    <w:abstractNumId w:val="23"/>
  </w:num>
  <w:num w:numId="5">
    <w:abstractNumId w:val="21"/>
  </w:num>
  <w:num w:numId="6">
    <w:abstractNumId w:val="19"/>
  </w:num>
  <w:num w:numId="7">
    <w:abstractNumId w:val="16"/>
  </w:num>
  <w:num w:numId="8">
    <w:abstractNumId w:val="25"/>
  </w:num>
  <w:num w:numId="9">
    <w:abstractNumId w:val="14"/>
  </w:num>
  <w:num w:numId="10">
    <w:abstractNumId w:val="22"/>
  </w:num>
  <w:num w:numId="11">
    <w:abstractNumId w:val="12"/>
  </w:num>
  <w:num w:numId="12">
    <w:abstractNumId w:val="1"/>
  </w:num>
  <w:num w:numId="13">
    <w:abstractNumId w:val="2"/>
  </w:num>
  <w:num w:numId="14">
    <w:abstractNumId w:val="3"/>
  </w:num>
  <w:num w:numId="15">
    <w:abstractNumId w:val="4"/>
  </w:num>
  <w:num w:numId="16">
    <w:abstractNumId w:val="9"/>
  </w:num>
  <w:num w:numId="17">
    <w:abstractNumId w:val="5"/>
  </w:num>
  <w:num w:numId="18">
    <w:abstractNumId w:val="6"/>
  </w:num>
  <w:num w:numId="19">
    <w:abstractNumId w:val="7"/>
  </w:num>
  <w:num w:numId="20">
    <w:abstractNumId w:val="8"/>
  </w:num>
  <w:num w:numId="21">
    <w:abstractNumId w:val="10"/>
  </w:num>
  <w:num w:numId="22">
    <w:abstractNumId w:val="15"/>
  </w:num>
  <w:num w:numId="23">
    <w:abstractNumId w:val="18"/>
  </w:num>
  <w:num w:numId="24">
    <w:abstractNumId w:val="11"/>
  </w:num>
  <w:num w:numId="25">
    <w:abstractNumId w:val="20"/>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cago_Latex&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rteexa905tvnes0pexaswc9zdrfsw20eps&quot;&gt;James_Articl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record-ids&gt;&lt;/item&gt;&lt;/Libraries&gt;"/>
  </w:docVars>
  <w:rsids>
    <w:rsidRoot w:val="00304984"/>
    <w:rsid w:val="000020C1"/>
    <w:rsid w:val="00003181"/>
    <w:rsid w:val="0000353F"/>
    <w:rsid w:val="00004C29"/>
    <w:rsid w:val="00006107"/>
    <w:rsid w:val="00007D89"/>
    <w:rsid w:val="00013971"/>
    <w:rsid w:val="00014263"/>
    <w:rsid w:val="00016581"/>
    <w:rsid w:val="000175D5"/>
    <w:rsid w:val="00020335"/>
    <w:rsid w:val="00023A5F"/>
    <w:rsid w:val="00026DCE"/>
    <w:rsid w:val="00036BAA"/>
    <w:rsid w:val="0004136C"/>
    <w:rsid w:val="00041BCA"/>
    <w:rsid w:val="00044E93"/>
    <w:rsid w:val="00045FE9"/>
    <w:rsid w:val="00046C89"/>
    <w:rsid w:val="00047AD8"/>
    <w:rsid w:val="00051DCF"/>
    <w:rsid w:val="00052D6E"/>
    <w:rsid w:val="0005541D"/>
    <w:rsid w:val="000560D0"/>
    <w:rsid w:val="000561CF"/>
    <w:rsid w:val="00057ED5"/>
    <w:rsid w:val="0006307C"/>
    <w:rsid w:val="00064958"/>
    <w:rsid w:val="000658C2"/>
    <w:rsid w:val="00067165"/>
    <w:rsid w:val="000708F6"/>
    <w:rsid w:val="00072F9F"/>
    <w:rsid w:val="0007432E"/>
    <w:rsid w:val="00077BD7"/>
    <w:rsid w:val="00080ED7"/>
    <w:rsid w:val="000828F4"/>
    <w:rsid w:val="00083DCC"/>
    <w:rsid w:val="00083E1A"/>
    <w:rsid w:val="000841A5"/>
    <w:rsid w:val="000865F3"/>
    <w:rsid w:val="00086AC4"/>
    <w:rsid w:val="00092E5C"/>
    <w:rsid w:val="000933FD"/>
    <w:rsid w:val="00093AC7"/>
    <w:rsid w:val="00096124"/>
    <w:rsid w:val="00096D66"/>
    <w:rsid w:val="000A0C4A"/>
    <w:rsid w:val="000A130E"/>
    <w:rsid w:val="000A2498"/>
    <w:rsid w:val="000A3A94"/>
    <w:rsid w:val="000A3E34"/>
    <w:rsid w:val="000A4FEE"/>
    <w:rsid w:val="000A5ACD"/>
    <w:rsid w:val="000A6250"/>
    <w:rsid w:val="000B036F"/>
    <w:rsid w:val="000B2521"/>
    <w:rsid w:val="000B3070"/>
    <w:rsid w:val="000B7A40"/>
    <w:rsid w:val="000C2C1F"/>
    <w:rsid w:val="000C57B8"/>
    <w:rsid w:val="000C5938"/>
    <w:rsid w:val="000D077D"/>
    <w:rsid w:val="000D176E"/>
    <w:rsid w:val="000D1D24"/>
    <w:rsid w:val="000D280C"/>
    <w:rsid w:val="000D45BE"/>
    <w:rsid w:val="000D4CF3"/>
    <w:rsid w:val="000D4FF8"/>
    <w:rsid w:val="000D581D"/>
    <w:rsid w:val="000D5C3D"/>
    <w:rsid w:val="000D6DD9"/>
    <w:rsid w:val="000D6EF0"/>
    <w:rsid w:val="000E0D95"/>
    <w:rsid w:val="000E2C28"/>
    <w:rsid w:val="000E319A"/>
    <w:rsid w:val="000E4654"/>
    <w:rsid w:val="000E4BB4"/>
    <w:rsid w:val="000E4CE7"/>
    <w:rsid w:val="000E5AA8"/>
    <w:rsid w:val="000E6A9D"/>
    <w:rsid w:val="000E6ACB"/>
    <w:rsid w:val="000E7E16"/>
    <w:rsid w:val="000F0E3D"/>
    <w:rsid w:val="000F10EA"/>
    <w:rsid w:val="000F1268"/>
    <w:rsid w:val="000F1A34"/>
    <w:rsid w:val="000F33FD"/>
    <w:rsid w:val="000F6334"/>
    <w:rsid w:val="000F7EA1"/>
    <w:rsid w:val="001002AC"/>
    <w:rsid w:val="001036F2"/>
    <w:rsid w:val="00103CFB"/>
    <w:rsid w:val="00104486"/>
    <w:rsid w:val="00106D15"/>
    <w:rsid w:val="00107F2B"/>
    <w:rsid w:val="001103F6"/>
    <w:rsid w:val="00111094"/>
    <w:rsid w:val="00112B83"/>
    <w:rsid w:val="001139C4"/>
    <w:rsid w:val="00113F07"/>
    <w:rsid w:val="0011649F"/>
    <w:rsid w:val="00120C51"/>
    <w:rsid w:val="001211CA"/>
    <w:rsid w:val="00122326"/>
    <w:rsid w:val="00122CEF"/>
    <w:rsid w:val="00124328"/>
    <w:rsid w:val="00125630"/>
    <w:rsid w:val="0012591F"/>
    <w:rsid w:val="00125BEA"/>
    <w:rsid w:val="001261DA"/>
    <w:rsid w:val="001268AB"/>
    <w:rsid w:val="00127C5B"/>
    <w:rsid w:val="00127C80"/>
    <w:rsid w:val="00135C3C"/>
    <w:rsid w:val="001364BE"/>
    <w:rsid w:val="001366BA"/>
    <w:rsid w:val="00136A1F"/>
    <w:rsid w:val="0013703D"/>
    <w:rsid w:val="00137431"/>
    <w:rsid w:val="0014281F"/>
    <w:rsid w:val="00143AD2"/>
    <w:rsid w:val="00144F12"/>
    <w:rsid w:val="00147483"/>
    <w:rsid w:val="00151EC9"/>
    <w:rsid w:val="00152571"/>
    <w:rsid w:val="0015471B"/>
    <w:rsid w:val="00154C12"/>
    <w:rsid w:val="00155B0B"/>
    <w:rsid w:val="00155D53"/>
    <w:rsid w:val="00155FFB"/>
    <w:rsid w:val="00157354"/>
    <w:rsid w:val="00162A6A"/>
    <w:rsid w:val="00165AB4"/>
    <w:rsid w:val="00167FFC"/>
    <w:rsid w:val="00170A10"/>
    <w:rsid w:val="00175D91"/>
    <w:rsid w:val="0017671B"/>
    <w:rsid w:val="001833D1"/>
    <w:rsid w:val="00184829"/>
    <w:rsid w:val="00192654"/>
    <w:rsid w:val="001926AE"/>
    <w:rsid w:val="001957FD"/>
    <w:rsid w:val="00195C61"/>
    <w:rsid w:val="001A13C5"/>
    <w:rsid w:val="001A39BB"/>
    <w:rsid w:val="001A4539"/>
    <w:rsid w:val="001A5A67"/>
    <w:rsid w:val="001A746B"/>
    <w:rsid w:val="001B02CD"/>
    <w:rsid w:val="001B160D"/>
    <w:rsid w:val="001B312F"/>
    <w:rsid w:val="001B31ED"/>
    <w:rsid w:val="001B72F7"/>
    <w:rsid w:val="001C022C"/>
    <w:rsid w:val="001C0761"/>
    <w:rsid w:val="001C12EE"/>
    <w:rsid w:val="001C1DF0"/>
    <w:rsid w:val="001C792D"/>
    <w:rsid w:val="001D09CB"/>
    <w:rsid w:val="001D144D"/>
    <w:rsid w:val="001D19B8"/>
    <w:rsid w:val="001D56D7"/>
    <w:rsid w:val="001E0190"/>
    <w:rsid w:val="001E100A"/>
    <w:rsid w:val="001E1092"/>
    <w:rsid w:val="001E2495"/>
    <w:rsid w:val="001E25D8"/>
    <w:rsid w:val="001E50BD"/>
    <w:rsid w:val="001E5B42"/>
    <w:rsid w:val="001F19B7"/>
    <w:rsid w:val="001F3CF2"/>
    <w:rsid w:val="001F3E66"/>
    <w:rsid w:val="001F41B5"/>
    <w:rsid w:val="001F7297"/>
    <w:rsid w:val="001F781D"/>
    <w:rsid w:val="0020090E"/>
    <w:rsid w:val="0020178D"/>
    <w:rsid w:val="00202217"/>
    <w:rsid w:val="002024D0"/>
    <w:rsid w:val="00202C5F"/>
    <w:rsid w:val="00203187"/>
    <w:rsid w:val="002076FE"/>
    <w:rsid w:val="0021021B"/>
    <w:rsid w:val="00210BA4"/>
    <w:rsid w:val="00215FFB"/>
    <w:rsid w:val="00216049"/>
    <w:rsid w:val="002231CB"/>
    <w:rsid w:val="00224A01"/>
    <w:rsid w:val="00226704"/>
    <w:rsid w:val="0023451D"/>
    <w:rsid w:val="002345B3"/>
    <w:rsid w:val="00237025"/>
    <w:rsid w:val="002425A8"/>
    <w:rsid w:val="00243177"/>
    <w:rsid w:val="0024323F"/>
    <w:rsid w:val="002536A5"/>
    <w:rsid w:val="00253B70"/>
    <w:rsid w:val="00254A25"/>
    <w:rsid w:val="002553A8"/>
    <w:rsid w:val="00255B50"/>
    <w:rsid w:val="00256B63"/>
    <w:rsid w:val="00257A6A"/>
    <w:rsid w:val="00263C67"/>
    <w:rsid w:val="002673B6"/>
    <w:rsid w:val="002673F7"/>
    <w:rsid w:val="0027107D"/>
    <w:rsid w:val="00271C50"/>
    <w:rsid w:val="00274CE7"/>
    <w:rsid w:val="0027693B"/>
    <w:rsid w:val="00280B57"/>
    <w:rsid w:val="00283961"/>
    <w:rsid w:val="00283EB1"/>
    <w:rsid w:val="002847DB"/>
    <w:rsid w:val="00285921"/>
    <w:rsid w:val="0028734D"/>
    <w:rsid w:val="00297217"/>
    <w:rsid w:val="002A35AC"/>
    <w:rsid w:val="002A4903"/>
    <w:rsid w:val="002A544C"/>
    <w:rsid w:val="002A55B7"/>
    <w:rsid w:val="002A597F"/>
    <w:rsid w:val="002A6BFA"/>
    <w:rsid w:val="002A7686"/>
    <w:rsid w:val="002B2993"/>
    <w:rsid w:val="002B5ADD"/>
    <w:rsid w:val="002C06CB"/>
    <w:rsid w:val="002C1FCB"/>
    <w:rsid w:val="002C24B2"/>
    <w:rsid w:val="002C35E3"/>
    <w:rsid w:val="002C7777"/>
    <w:rsid w:val="002D101B"/>
    <w:rsid w:val="002D1E3E"/>
    <w:rsid w:val="002D207C"/>
    <w:rsid w:val="002D34F3"/>
    <w:rsid w:val="002D3E8F"/>
    <w:rsid w:val="002D4524"/>
    <w:rsid w:val="002D5B99"/>
    <w:rsid w:val="002D5EFB"/>
    <w:rsid w:val="002D7507"/>
    <w:rsid w:val="002E0625"/>
    <w:rsid w:val="002E0B41"/>
    <w:rsid w:val="002E1E10"/>
    <w:rsid w:val="002E259E"/>
    <w:rsid w:val="002E25D3"/>
    <w:rsid w:val="002E26A4"/>
    <w:rsid w:val="002E788C"/>
    <w:rsid w:val="002F20E3"/>
    <w:rsid w:val="002F47EF"/>
    <w:rsid w:val="002F5DC1"/>
    <w:rsid w:val="002F62AB"/>
    <w:rsid w:val="002F65E9"/>
    <w:rsid w:val="002F6DA8"/>
    <w:rsid w:val="00300C9B"/>
    <w:rsid w:val="00301A2B"/>
    <w:rsid w:val="003048EA"/>
    <w:rsid w:val="00304984"/>
    <w:rsid w:val="003129F1"/>
    <w:rsid w:val="00313E7E"/>
    <w:rsid w:val="00315A79"/>
    <w:rsid w:val="0032185E"/>
    <w:rsid w:val="00322A23"/>
    <w:rsid w:val="00322A68"/>
    <w:rsid w:val="00324BCB"/>
    <w:rsid w:val="0032648C"/>
    <w:rsid w:val="0033044A"/>
    <w:rsid w:val="00333F60"/>
    <w:rsid w:val="00336E1E"/>
    <w:rsid w:val="00342B16"/>
    <w:rsid w:val="00344D7D"/>
    <w:rsid w:val="00345340"/>
    <w:rsid w:val="00345804"/>
    <w:rsid w:val="003503CC"/>
    <w:rsid w:val="003512EE"/>
    <w:rsid w:val="00351FE5"/>
    <w:rsid w:val="003522E5"/>
    <w:rsid w:val="003532F4"/>
    <w:rsid w:val="00353768"/>
    <w:rsid w:val="003540EC"/>
    <w:rsid w:val="003541EA"/>
    <w:rsid w:val="003547A0"/>
    <w:rsid w:val="00355087"/>
    <w:rsid w:val="00356928"/>
    <w:rsid w:val="00363453"/>
    <w:rsid w:val="00364326"/>
    <w:rsid w:val="00364913"/>
    <w:rsid w:val="00364E05"/>
    <w:rsid w:val="00366957"/>
    <w:rsid w:val="0036784D"/>
    <w:rsid w:val="00370A91"/>
    <w:rsid w:val="0037203D"/>
    <w:rsid w:val="00374AB9"/>
    <w:rsid w:val="0037579D"/>
    <w:rsid w:val="003805BB"/>
    <w:rsid w:val="0038061E"/>
    <w:rsid w:val="00380C12"/>
    <w:rsid w:val="00380E96"/>
    <w:rsid w:val="00385BB3"/>
    <w:rsid w:val="00392DCB"/>
    <w:rsid w:val="00392E40"/>
    <w:rsid w:val="0039354E"/>
    <w:rsid w:val="00397798"/>
    <w:rsid w:val="003A1C73"/>
    <w:rsid w:val="003A2B18"/>
    <w:rsid w:val="003A39AA"/>
    <w:rsid w:val="003A6800"/>
    <w:rsid w:val="003A76FE"/>
    <w:rsid w:val="003B05A9"/>
    <w:rsid w:val="003B5473"/>
    <w:rsid w:val="003B571A"/>
    <w:rsid w:val="003B7947"/>
    <w:rsid w:val="003C203E"/>
    <w:rsid w:val="003C41F0"/>
    <w:rsid w:val="003C7555"/>
    <w:rsid w:val="003C7DD8"/>
    <w:rsid w:val="003D06EE"/>
    <w:rsid w:val="003D17DC"/>
    <w:rsid w:val="003D3178"/>
    <w:rsid w:val="003D3B4A"/>
    <w:rsid w:val="003D48BB"/>
    <w:rsid w:val="003D49A2"/>
    <w:rsid w:val="003D5FB8"/>
    <w:rsid w:val="003D60D5"/>
    <w:rsid w:val="003D6CEA"/>
    <w:rsid w:val="003D7CD8"/>
    <w:rsid w:val="003E080E"/>
    <w:rsid w:val="003E0B1F"/>
    <w:rsid w:val="003E51DF"/>
    <w:rsid w:val="003E69A2"/>
    <w:rsid w:val="003E6ED9"/>
    <w:rsid w:val="003F285A"/>
    <w:rsid w:val="003F3296"/>
    <w:rsid w:val="003F53AE"/>
    <w:rsid w:val="003F6973"/>
    <w:rsid w:val="003F7FB0"/>
    <w:rsid w:val="00400409"/>
    <w:rsid w:val="004013F8"/>
    <w:rsid w:val="00403EAF"/>
    <w:rsid w:val="00404857"/>
    <w:rsid w:val="00405ABD"/>
    <w:rsid w:val="0040783D"/>
    <w:rsid w:val="00407843"/>
    <w:rsid w:val="00412FE4"/>
    <w:rsid w:val="00413A2C"/>
    <w:rsid w:val="00415299"/>
    <w:rsid w:val="0041709B"/>
    <w:rsid w:val="00417C17"/>
    <w:rsid w:val="00423454"/>
    <w:rsid w:val="00423647"/>
    <w:rsid w:val="00423F62"/>
    <w:rsid w:val="004248D0"/>
    <w:rsid w:val="0042601C"/>
    <w:rsid w:val="00426D34"/>
    <w:rsid w:val="00426D94"/>
    <w:rsid w:val="00427A63"/>
    <w:rsid w:val="0043068F"/>
    <w:rsid w:val="00434F68"/>
    <w:rsid w:val="00435C3E"/>
    <w:rsid w:val="00437403"/>
    <w:rsid w:val="00437E6B"/>
    <w:rsid w:val="004406A9"/>
    <w:rsid w:val="004412D7"/>
    <w:rsid w:val="0044367D"/>
    <w:rsid w:val="00445599"/>
    <w:rsid w:val="00445CAC"/>
    <w:rsid w:val="00447C49"/>
    <w:rsid w:val="004501E1"/>
    <w:rsid w:val="00452BE6"/>
    <w:rsid w:val="00453622"/>
    <w:rsid w:val="00455E51"/>
    <w:rsid w:val="004573B5"/>
    <w:rsid w:val="00460658"/>
    <w:rsid w:val="00462989"/>
    <w:rsid w:val="00462A4C"/>
    <w:rsid w:val="00462B8E"/>
    <w:rsid w:val="00462D78"/>
    <w:rsid w:val="00465D6E"/>
    <w:rsid w:val="004672F4"/>
    <w:rsid w:val="004674CE"/>
    <w:rsid w:val="00467C3E"/>
    <w:rsid w:val="00470647"/>
    <w:rsid w:val="00473116"/>
    <w:rsid w:val="0047459A"/>
    <w:rsid w:val="004820FF"/>
    <w:rsid w:val="00484174"/>
    <w:rsid w:val="004845B0"/>
    <w:rsid w:val="0048505B"/>
    <w:rsid w:val="00490D49"/>
    <w:rsid w:val="004939DE"/>
    <w:rsid w:val="00493CEC"/>
    <w:rsid w:val="00496117"/>
    <w:rsid w:val="00496B6D"/>
    <w:rsid w:val="0049799F"/>
    <w:rsid w:val="004A0C7B"/>
    <w:rsid w:val="004A1528"/>
    <w:rsid w:val="004A18B1"/>
    <w:rsid w:val="004A1BA8"/>
    <w:rsid w:val="004A1C58"/>
    <w:rsid w:val="004A2C47"/>
    <w:rsid w:val="004A2CA3"/>
    <w:rsid w:val="004A3A44"/>
    <w:rsid w:val="004A4202"/>
    <w:rsid w:val="004A7287"/>
    <w:rsid w:val="004A7776"/>
    <w:rsid w:val="004B2B3E"/>
    <w:rsid w:val="004B3E73"/>
    <w:rsid w:val="004B4154"/>
    <w:rsid w:val="004B457E"/>
    <w:rsid w:val="004B66F3"/>
    <w:rsid w:val="004B7370"/>
    <w:rsid w:val="004C023D"/>
    <w:rsid w:val="004C0245"/>
    <w:rsid w:val="004C1122"/>
    <w:rsid w:val="004C31BB"/>
    <w:rsid w:val="004C546F"/>
    <w:rsid w:val="004C5676"/>
    <w:rsid w:val="004C7D67"/>
    <w:rsid w:val="004D19A0"/>
    <w:rsid w:val="004D2F88"/>
    <w:rsid w:val="004D36E6"/>
    <w:rsid w:val="004D4DEA"/>
    <w:rsid w:val="004D5AC7"/>
    <w:rsid w:val="004D7A28"/>
    <w:rsid w:val="004E658B"/>
    <w:rsid w:val="004E6989"/>
    <w:rsid w:val="004E7A78"/>
    <w:rsid w:val="004F04D8"/>
    <w:rsid w:val="004F0D6D"/>
    <w:rsid w:val="004F39BA"/>
    <w:rsid w:val="004F4311"/>
    <w:rsid w:val="004F4A2F"/>
    <w:rsid w:val="00501E58"/>
    <w:rsid w:val="005021A4"/>
    <w:rsid w:val="005028DE"/>
    <w:rsid w:val="00504598"/>
    <w:rsid w:val="00505724"/>
    <w:rsid w:val="00507143"/>
    <w:rsid w:val="005072AC"/>
    <w:rsid w:val="00511837"/>
    <w:rsid w:val="00511DFF"/>
    <w:rsid w:val="0051238B"/>
    <w:rsid w:val="00513EA6"/>
    <w:rsid w:val="00514E85"/>
    <w:rsid w:val="005171F7"/>
    <w:rsid w:val="00521F97"/>
    <w:rsid w:val="00522B99"/>
    <w:rsid w:val="005231F4"/>
    <w:rsid w:val="00523A24"/>
    <w:rsid w:val="005268FA"/>
    <w:rsid w:val="00527D5E"/>
    <w:rsid w:val="005301AE"/>
    <w:rsid w:val="00532DA2"/>
    <w:rsid w:val="00534CAA"/>
    <w:rsid w:val="005359E1"/>
    <w:rsid w:val="0053785D"/>
    <w:rsid w:val="00541BC9"/>
    <w:rsid w:val="005435A5"/>
    <w:rsid w:val="00544DBB"/>
    <w:rsid w:val="00545753"/>
    <w:rsid w:val="005465A6"/>
    <w:rsid w:val="00546F8F"/>
    <w:rsid w:val="005472AB"/>
    <w:rsid w:val="005504FC"/>
    <w:rsid w:val="005514AC"/>
    <w:rsid w:val="005526F5"/>
    <w:rsid w:val="00555EA1"/>
    <w:rsid w:val="005561E8"/>
    <w:rsid w:val="005567D0"/>
    <w:rsid w:val="005622FF"/>
    <w:rsid w:val="00563006"/>
    <w:rsid w:val="00563EC3"/>
    <w:rsid w:val="00564D27"/>
    <w:rsid w:val="005677D1"/>
    <w:rsid w:val="005717FA"/>
    <w:rsid w:val="00572F98"/>
    <w:rsid w:val="005740B4"/>
    <w:rsid w:val="005764D3"/>
    <w:rsid w:val="005813F4"/>
    <w:rsid w:val="00581512"/>
    <w:rsid w:val="0058190F"/>
    <w:rsid w:val="00584D04"/>
    <w:rsid w:val="005857E3"/>
    <w:rsid w:val="005905FA"/>
    <w:rsid w:val="0059111E"/>
    <w:rsid w:val="00595120"/>
    <w:rsid w:val="005960CE"/>
    <w:rsid w:val="0059675D"/>
    <w:rsid w:val="00597EC6"/>
    <w:rsid w:val="005A2062"/>
    <w:rsid w:val="005A25F4"/>
    <w:rsid w:val="005A2D30"/>
    <w:rsid w:val="005A383C"/>
    <w:rsid w:val="005A51E5"/>
    <w:rsid w:val="005A6620"/>
    <w:rsid w:val="005A6C7C"/>
    <w:rsid w:val="005B0E80"/>
    <w:rsid w:val="005B1084"/>
    <w:rsid w:val="005B1B25"/>
    <w:rsid w:val="005B3AE7"/>
    <w:rsid w:val="005B3D1E"/>
    <w:rsid w:val="005B41BD"/>
    <w:rsid w:val="005B5B76"/>
    <w:rsid w:val="005B6611"/>
    <w:rsid w:val="005C1B7B"/>
    <w:rsid w:val="005C29F9"/>
    <w:rsid w:val="005C3502"/>
    <w:rsid w:val="005C68B6"/>
    <w:rsid w:val="005D17BE"/>
    <w:rsid w:val="005D1B7C"/>
    <w:rsid w:val="005D6238"/>
    <w:rsid w:val="005D74AF"/>
    <w:rsid w:val="005E0467"/>
    <w:rsid w:val="005E16D3"/>
    <w:rsid w:val="005E367B"/>
    <w:rsid w:val="005E4AA2"/>
    <w:rsid w:val="005E6E71"/>
    <w:rsid w:val="005F0E66"/>
    <w:rsid w:val="005F1AF5"/>
    <w:rsid w:val="005F27CE"/>
    <w:rsid w:val="005F6C30"/>
    <w:rsid w:val="005F6DE4"/>
    <w:rsid w:val="005F7E2B"/>
    <w:rsid w:val="00601EF9"/>
    <w:rsid w:val="006031D8"/>
    <w:rsid w:val="00604799"/>
    <w:rsid w:val="0060618B"/>
    <w:rsid w:val="00606AB1"/>
    <w:rsid w:val="00610D42"/>
    <w:rsid w:val="00611B3F"/>
    <w:rsid w:val="00612329"/>
    <w:rsid w:val="00612D0B"/>
    <w:rsid w:val="006141B0"/>
    <w:rsid w:val="0061600E"/>
    <w:rsid w:val="0062054D"/>
    <w:rsid w:val="006217AE"/>
    <w:rsid w:val="00621F80"/>
    <w:rsid w:val="00622BC0"/>
    <w:rsid w:val="00622BD3"/>
    <w:rsid w:val="00622E09"/>
    <w:rsid w:val="0062487E"/>
    <w:rsid w:val="006304B7"/>
    <w:rsid w:val="006310D3"/>
    <w:rsid w:val="0063411E"/>
    <w:rsid w:val="00634B7F"/>
    <w:rsid w:val="00635D5D"/>
    <w:rsid w:val="00635E72"/>
    <w:rsid w:val="00636C95"/>
    <w:rsid w:val="0063714F"/>
    <w:rsid w:val="00641327"/>
    <w:rsid w:val="006419FB"/>
    <w:rsid w:val="00642FD7"/>
    <w:rsid w:val="006436A3"/>
    <w:rsid w:val="00643883"/>
    <w:rsid w:val="00644F65"/>
    <w:rsid w:val="006464EE"/>
    <w:rsid w:val="00655BF1"/>
    <w:rsid w:val="00656725"/>
    <w:rsid w:val="00656DFA"/>
    <w:rsid w:val="006575CD"/>
    <w:rsid w:val="006575EF"/>
    <w:rsid w:val="00660BA9"/>
    <w:rsid w:val="0066312B"/>
    <w:rsid w:val="006648BC"/>
    <w:rsid w:val="00665176"/>
    <w:rsid w:val="006655BC"/>
    <w:rsid w:val="0066671D"/>
    <w:rsid w:val="006667A9"/>
    <w:rsid w:val="00667419"/>
    <w:rsid w:val="00667A8A"/>
    <w:rsid w:val="00667FE1"/>
    <w:rsid w:val="0067225B"/>
    <w:rsid w:val="006733AF"/>
    <w:rsid w:val="00673575"/>
    <w:rsid w:val="00673893"/>
    <w:rsid w:val="00675441"/>
    <w:rsid w:val="00677265"/>
    <w:rsid w:val="00680361"/>
    <w:rsid w:val="00681A54"/>
    <w:rsid w:val="006832F4"/>
    <w:rsid w:val="00685252"/>
    <w:rsid w:val="00690291"/>
    <w:rsid w:val="006918EB"/>
    <w:rsid w:val="00691DA0"/>
    <w:rsid w:val="00692DD0"/>
    <w:rsid w:val="006949A7"/>
    <w:rsid w:val="006A0C73"/>
    <w:rsid w:val="006A3382"/>
    <w:rsid w:val="006A3623"/>
    <w:rsid w:val="006A4AAE"/>
    <w:rsid w:val="006A4F40"/>
    <w:rsid w:val="006A6494"/>
    <w:rsid w:val="006A6B66"/>
    <w:rsid w:val="006A7996"/>
    <w:rsid w:val="006A7BB6"/>
    <w:rsid w:val="006B0007"/>
    <w:rsid w:val="006B0FDC"/>
    <w:rsid w:val="006B2C28"/>
    <w:rsid w:val="006B3294"/>
    <w:rsid w:val="006B4E5D"/>
    <w:rsid w:val="006B6743"/>
    <w:rsid w:val="006C1B56"/>
    <w:rsid w:val="006D0768"/>
    <w:rsid w:val="006D30D4"/>
    <w:rsid w:val="006D4218"/>
    <w:rsid w:val="006D4417"/>
    <w:rsid w:val="006D4748"/>
    <w:rsid w:val="006D5200"/>
    <w:rsid w:val="006D6421"/>
    <w:rsid w:val="006D68C1"/>
    <w:rsid w:val="006D7CAA"/>
    <w:rsid w:val="006E1804"/>
    <w:rsid w:val="006E3724"/>
    <w:rsid w:val="006E533B"/>
    <w:rsid w:val="006E6E7C"/>
    <w:rsid w:val="006E7914"/>
    <w:rsid w:val="006F07E7"/>
    <w:rsid w:val="006F2A93"/>
    <w:rsid w:val="006F5DDE"/>
    <w:rsid w:val="007019CB"/>
    <w:rsid w:val="00702596"/>
    <w:rsid w:val="007034FC"/>
    <w:rsid w:val="00704615"/>
    <w:rsid w:val="00706C19"/>
    <w:rsid w:val="00707026"/>
    <w:rsid w:val="00707B95"/>
    <w:rsid w:val="00710707"/>
    <w:rsid w:val="0071203D"/>
    <w:rsid w:val="00712A4A"/>
    <w:rsid w:val="007137D3"/>
    <w:rsid w:val="00714E06"/>
    <w:rsid w:val="007154D6"/>
    <w:rsid w:val="007162F3"/>
    <w:rsid w:val="0072016A"/>
    <w:rsid w:val="00722AA9"/>
    <w:rsid w:val="00727877"/>
    <w:rsid w:val="00731475"/>
    <w:rsid w:val="0073238D"/>
    <w:rsid w:val="007325D0"/>
    <w:rsid w:val="007336E7"/>
    <w:rsid w:val="007338EC"/>
    <w:rsid w:val="00735F6E"/>
    <w:rsid w:val="00740134"/>
    <w:rsid w:val="00740714"/>
    <w:rsid w:val="00747A2B"/>
    <w:rsid w:val="007513D0"/>
    <w:rsid w:val="00752774"/>
    <w:rsid w:val="00752C2A"/>
    <w:rsid w:val="007533BB"/>
    <w:rsid w:val="0075466F"/>
    <w:rsid w:val="00754F8A"/>
    <w:rsid w:val="0076010F"/>
    <w:rsid w:val="0076046C"/>
    <w:rsid w:val="007623CC"/>
    <w:rsid w:val="0076298C"/>
    <w:rsid w:val="007632E9"/>
    <w:rsid w:val="00773BB9"/>
    <w:rsid w:val="00774677"/>
    <w:rsid w:val="00777086"/>
    <w:rsid w:val="00777815"/>
    <w:rsid w:val="00777CE7"/>
    <w:rsid w:val="007826A0"/>
    <w:rsid w:val="00782700"/>
    <w:rsid w:val="00783C14"/>
    <w:rsid w:val="00783DD3"/>
    <w:rsid w:val="0078621E"/>
    <w:rsid w:val="007862F9"/>
    <w:rsid w:val="00786F10"/>
    <w:rsid w:val="007874C1"/>
    <w:rsid w:val="0079062E"/>
    <w:rsid w:val="007926FF"/>
    <w:rsid w:val="00792C9B"/>
    <w:rsid w:val="00794453"/>
    <w:rsid w:val="00794576"/>
    <w:rsid w:val="007951D3"/>
    <w:rsid w:val="00797C88"/>
    <w:rsid w:val="00797EEA"/>
    <w:rsid w:val="00797F83"/>
    <w:rsid w:val="007A0F5D"/>
    <w:rsid w:val="007A30E3"/>
    <w:rsid w:val="007A319B"/>
    <w:rsid w:val="007A66C5"/>
    <w:rsid w:val="007A7525"/>
    <w:rsid w:val="007A7595"/>
    <w:rsid w:val="007B09E9"/>
    <w:rsid w:val="007B0F63"/>
    <w:rsid w:val="007B204E"/>
    <w:rsid w:val="007B37C4"/>
    <w:rsid w:val="007B3F90"/>
    <w:rsid w:val="007B4C91"/>
    <w:rsid w:val="007B4FCC"/>
    <w:rsid w:val="007B513E"/>
    <w:rsid w:val="007B5C63"/>
    <w:rsid w:val="007B6541"/>
    <w:rsid w:val="007B70B3"/>
    <w:rsid w:val="007C0E23"/>
    <w:rsid w:val="007C2D9B"/>
    <w:rsid w:val="007C36F3"/>
    <w:rsid w:val="007D16E6"/>
    <w:rsid w:val="007D1F32"/>
    <w:rsid w:val="007D2CD1"/>
    <w:rsid w:val="007D5AA5"/>
    <w:rsid w:val="007E042C"/>
    <w:rsid w:val="007E1035"/>
    <w:rsid w:val="007E2E45"/>
    <w:rsid w:val="007E3182"/>
    <w:rsid w:val="007E3561"/>
    <w:rsid w:val="007E3737"/>
    <w:rsid w:val="007E4E32"/>
    <w:rsid w:val="007E5E00"/>
    <w:rsid w:val="007E5E51"/>
    <w:rsid w:val="007E76B8"/>
    <w:rsid w:val="007E7767"/>
    <w:rsid w:val="007E7D98"/>
    <w:rsid w:val="007F1D30"/>
    <w:rsid w:val="007F2B1A"/>
    <w:rsid w:val="007F38C9"/>
    <w:rsid w:val="007F6262"/>
    <w:rsid w:val="007F79F8"/>
    <w:rsid w:val="007F7C82"/>
    <w:rsid w:val="00806225"/>
    <w:rsid w:val="00807D0B"/>
    <w:rsid w:val="008119C9"/>
    <w:rsid w:val="008130BC"/>
    <w:rsid w:val="00813819"/>
    <w:rsid w:val="0081416E"/>
    <w:rsid w:val="0081624F"/>
    <w:rsid w:val="00816412"/>
    <w:rsid w:val="00821A8C"/>
    <w:rsid w:val="00822824"/>
    <w:rsid w:val="0082733C"/>
    <w:rsid w:val="00830769"/>
    <w:rsid w:val="00831762"/>
    <w:rsid w:val="00831B68"/>
    <w:rsid w:val="00833919"/>
    <w:rsid w:val="00834CAC"/>
    <w:rsid w:val="00835B36"/>
    <w:rsid w:val="00835F3A"/>
    <w:rsid w:val="008360B2"/>
    <w:rsid w:val="008360D1"/>
    <w:rsid w:val="008361DF"/>
    <w:rsid w:val="00836FD6"/>
    <w:rsid w:val="008377C8"/>
    <w:rsid w:val="00837BF2"/>
    <w:rsid w:val="00840CF0"/>
    <w:rsid w:val="0084243F"/>
    <w:rsid w:val="0084259D"/>
    <w:rsid w:val="008438B8"/>
    <w:rsid w:val="008478A3"/>
    <w:rsid w:val="00847954"/>
    <w:rsid w:val="008504B3"/>
    <w:rsid w:val="00850F27"/>
    <w:rsid w:val="008532F9"/>
    <w:rsid w:val="0085332D"/>
    <w:rsid w:val="00853FEC"/>
    <w:rsid w:val="00855DDE"/>
    <w:rsid w:val="0085781C"/>
    <w:rsid w:val="00860B2B"/>
    <w:rsid w:val="00861FE3"/>
    <w:rsid w:val="0086317F"/>
    <w:rsid w:val="008634EF"/>
    <w:rsid w:val="00864A43"/>
    <w:rsid w:val="0086727D"/>
    <w:rsid w:val="008679CC"/>
    <w:rsid w:val="00870417"/>
    <w:rsid w:val="008725E6"/>
    <w:rsid w:val="00872C0E"/>
    <w:rsid w:val="00875D75"/>
    <w:rsid w:val="008767F0"/>
    <w:rsid w:val="00877BDF"/>
    <w:rsid w:val="008803BC"/>
    <w:rsid w:val="00880B93"/>
    <w:rsid w:val="008834E8"/>
    <w:rsid w:val="00883CF6"/>
    <w:rsid w:val="0088713E"/>
    <w:rsid w:val="0088725D"/>
    <w:rsid w:val="00887C5B"/>
    <w:rsid w:val="008918D3"/>
    <w:rsid w:val="008936DD"/>
    <w:rsid w:val="00893D12"/>
    <w:rsid w:val="00894285"/>
    <w:rsid w:val="00897488"/>
    <w:rsid w:val="00897547"/>
    <w:rsid w:val="008A314E"/>
    <w:rsid w:val="008A3EDE"/>
    <w:rsid w:val="008A41CD"/>
    <w:rsid w:val="008A4906"/>
    <w:rsid w:val="008A72FD"/>
    <w:rsid w:val="008B11C2"/>
    <w:rsid w:val="008B1916"/>
    <w:rsid w:val="008B1AD8"/>
    <w:rsid w:val="008B4F38"/>
    <w:rsid w:val="008B6EAE"/>
    <w:rsid w:val="008C091D"/>
    <w:rsid w:val="008C0E2D"/>
    <w:rsid w:val="008C204E"/>
    <w:rsid w:val="008C3273"/>
    <w:rsid w:val="008C3CB0"/>
    <w:rsid w:val="008C65D0"/>
    <w:rsid w:val="008D06E2"/>
    <w:rsid w:val="008D11BA"/>
    <w:rsid w:val="008D2524"/>
    <w:rsid w:val="008D2663"/>
    <w:rsid w:val="008D3B30"/>
    <w:rsid w:val="008D6516"/>
    <w:rsid w:val="008D68A6"/>
    <w:rsid w:val="008D6F03"/>
    <w:rsid w:val="008D72F5"/>
    <w:rsid w:val="008D7CD5"/>
    <w:rsid w:val="008E0D82"/>
    <w:rsid w:val="008E18D8"/>
    <w:rsid w:val="008E2493"/>
    <w:rsid w:val="008E5C72"/>
    <w:rsid w:val="008E62F6"/>
    <w:rsid w:val="008F0F0E"/>
    <w:rsid w:val="008F1319"/>
    <w:rsid w:val="008F2B06"/>
    <w:rsid w:val="008F401B"/>
    <w:rsid w:val="008F427D"/>
    <w:rsid w:val="00900A19"/>
    <w:rsid w:val="00900DC0"/>
    <w:rsid w:val="009014E2"/>
    <w:rsid w:val="00901873"/>
    <w:rsid w:val="00901E31"/>
    <w:rsid w:val="00902E5F"/>
    <w:rsid w:val="0090416F"/>
    <w:rsid w:val="00904F29"/>
    <w:rsid w:val="00905503"/>
    <w:rsid w:val="00905FF1"/>
    <w:rsid w:val="00906FC4"/>
    <w:rsid w:val="009102A9"/>
    <w:rsid w:val="009107B8"/>
    <w:rsid w:val="009115E9"/>
    <w:rsid w:val="009116D7"/>
    <w:rsid w:val="009124B5"/>
    <w:rsid w:val="009126DB"/>
    <w:rsid w:val="00912CF9"/>
    <w:rsid w:val="00912F0C"/>
    <w:rsid w:val="00913CB8"/>
    <w:rsid w:val="00916030"/>
    <w:rsid w:val="00917F91"/>
    <w:rsid w:val="009229DF"/>
    <w:rsid w:val="0092376F"/>
    <w:rsid w:val="009239E5"/>
    <w:rsid w:val="00923EF8"/>
    <w:rsid w:val="009276D0"/>
    <w:rsid w:val="00930969"/>
    <w:rsid w:val="00930B60"/>
    <w:rsid w:val="009310A3"/>
    <w:rsid w:val="009343B8"/>
    <w:rsid w:val="0093710C"/>
    <w:rsid w:val="00943B90"/>
    <w:rsid w:val="00946A22"/>
    <w:rsid w:val="00946C6F"/>
    <w:rsid w:val="00947690"/>
    <w:rsid w:val="00950205"/>
    <w:rsid w:val="00954514"/>
    <w:rsid w:val="0095506E"/>
    <w:rsid w:val="00960EC0"/>
    <w:rsid w:val="009648E9"/>
    <w:rsid w:val="009670D6"/>
    <w:rsid w:val="00967218"/>
    <w:rsid w:val="00970574"/>
    <w:rsid w:val="00971613"/>
    <w:rsid w:val="00971CCC"/>
    <w:rsid w:val="00972C17"/>
    <w:rsid w:val="009739D6"/>
    <w:rsid w:val="00973DBD"/>
    <w:rsid w:val="0097599B"/>
    <w:rsid w:val="009760CA"/>
    <w:rsid w:val="00976ADC"/>
    <w:rsid w:val="00977DFE"/>
    <w:rsid w:val="00984ED1"/>
    <w:rsid w:val="00984F80"/>
    <w:rsid w:val="0098565E"/>
    <w:rsid w:val="0098594A"/>
    <w:rsid w:val="0099017C"/>
    <w:rsid w:val="00995362"/>
    <w:rsid w:val="00995961"/>
    <w:rsid w:val="00996501"/>
    <w:rsid w:val="00996F38"/>
    <w:rsid w:val="009A0D74"/>
    <w:rsid w:val="009A1F03"/>
    <w:rsid w:val="009A2E44"/>
    <w:rsid w:val="009A5DCF"/>
    <w:rsid w:val="009A7A08"/>
    <w:rsid w:val="009B0C7F"/>
    <w:rsid w:val="009B2A7F"/>
    <w:rsid w:val="009B31B3"/>
    <w:rsid w:val="009B422B"/>
    <w:rsid w:val="009B45AE"/>
    <w:rsid w:val="009B568F"/>
    <w:rsid w:val="009B6445"/>
    <w:rsid w:val="009B67A3"/>
    <w:rsid w:val="009B7494"/>
    <w:rsid w:val="009B77B3"/>
    <w:rsid w:val="009C02EB"/>
    <w:rsid w:val="009C4196"/>
    <w:rsid w:val="009C49A0"/>
    <w:rsid w:val="009C4DBD"/>
    <w:rsid w:val="009C5198"/>
    <w:rsid w:val="009D00FD"/>
    <w:rsid w:val="009D1966"/>
    <w:rsid w:val="009D3FBA"/>
    <w:rsid w:val="009D43E5"/>
    <w:rsid w:val="009D4D76"/>
    <w:rsid w:val="009D749B"/>
    <w:rsid w:val="009E191F"/>
    <w:rsid w:val="009E1D39"/>
    <w:rsid w:val="009E2DE4"/>
    <w:rsid w:val="009E7B44"/>
    <w:rsid w:val="009F200F"/>
    <w:rsid w:val="009F2D34"/>
    <w:rsid w:val="009F3A39"/>
    <w:rsid w:val="009F3E15"/>
    <w:rsid w:val="009F6B38"/>
    <w:rsid w:val="009F766C"/>
    <w:rsid w:val="00A02929"/>
    <w:rsid w:val="00A031C4"/>
    <w:rsid w:val="00A06240"/>
    <w:rsid w:val="00A06425"/>
    <w:rsid w:val="00A10039"/>
    <w:rsid w:val="00A10047"/>
    <w:rsid w:val="00A11B3A"/>
    <w:rsid w:val="00A145A2"/>
    <w:rsid w:val="00A15741"/>
    <w:rsid w:val="00A21284"/>
    <w:rsid w:val="00A253EA"/>
    <w:rsid w:val="00A25705"/>
    <w:rsid w:val="00A26484"/>
    <w:rsid w:val="00A26CE1"/>
    <w:rsid w:val="00A304F6"/>
    <w:rsid w:val="00A31300"/>
    <w:rsid w:val="00A31E7E"/>
    <w:rsid w:val="00A344A9"/>
    <w:rsid w:val="00A34510"/>
    <w:rsid w:val="00A34DA8"/>
    <w:rsid w:val="00A35482"/>
    <w:rsid w:val="00A366AF"/>
    <w:rsid w:val="00A37E53"/>
    <w:rsid w:val="00A40778"/>
    <w:rsid w:val="00A4284D"/>
    <w:rsid w:val="00A4402E"/>
    <w:rsid w:val="00A44FA0"/>
    <w:rsid w:val="00A45743"/>
    <w:rsid w:val="00A46F3B"/>
    <w:rsid w:val="00A502A3"/>
    <w:rsid w:val="00A50972"/>
    <w:rsid w:val="00A522DF"/>
    <w:rsid w:val="00A529C5"/>
    <w:rsid w:val="00A52D13"/>
    <w:rsid w:val="00A54DB0"/>
    <w:rsid w:val="00A5748E"/>
    <w:rsid w:val="00A57854"/>
    <w:rsid w:val="00A60C07"/>
    <w:rsid w:val="00A60F44"/>
    <w:rsid w:val="00A63582"/>
    <w:rsid w:val="00A66CA6"/>
    <w:rsid w:val="00A67115"/>
    <w:rsid w:val="00A6782E"/>
    <w:rsid w:val="00A71EB7"/>
    <w:rsid w:val="00A756F0"/>
    <w:rsid w:val="00A77073"/>
    <w:rsid w:val="00A775B5"/>
    <w:rsid w:val="00A77F96"/>
    <w:rsid w:val="00A835BB"/>
    <w:rsid w:val="00A84852"/>
    <w:rsid w:val="00A864E1"/>
    <w:rsid w:val="00A8690D"/>
    <w:rsid w:val="00A91671"/>
    <w:rsid w:val="00A91BB3"/>
    <w:rsid w:val="00A92D20"/>
    <w:rsid w:val="00A94C9C"/>
    <w:rsid w:val="00A94F3E"/>
    <w:rsid w:val="00AA00BC"/>
    <w:rsid w:val="00AA0424"/>
    <w:rsid w:val="00AA28F8"/>
    <w:rsid w:val="00AA2FFD"/>
    <w:rsid w:val="00AA41AA"/>
    <w:rsid w:val="00AA473D"/>
    <w:rsid w:val="00AA5923"/>
    <w:rsid w:val="00AA7596"/>
    <w:rsid w:val="00AA7A02"/>
    <w:rsid w:val="00AB04F1"/>
    <w:rsid w:val="00AB435D"/>
    <w:rsid w:val="00AB6596"/>
    <w:rsid w:val="00AB68FA"/>
    <w:rsid w:val="00AC0658"/>
    <w:rsid w:val="00AC1616"/>
    <w:rsid w:val="00AC3447"/>
    <w:rsid w:val="00AC3508"/>
    <w:rsid w:val="00AC3695"/>
    <w:rsid w:val="00AC52DD"/>
    <w:rsid w:val="00AC6C9E"/>
    <w:rsid w:val="00AC74D8"/>
    <w:rsid w:val="00AD18AB"/>
    <w:rsid w:val="00AD5DF7"/>
    <w:rsid w:val="00AD7E37"/>
    <w:rsid w:val="00AE4FA9"/>
    <w:rsid w:val="00AE62BE"/>
    <w:rsid w:val="00AF072E"/>
    <w:rsid w:val="00AF21D8"/>
    <w:rsid w:val="00AF3444"/>
    <w:rsid w:val="00AF3679"/>
    <w:rsid w:val="00AF6A12"/>
    <w:rsid w:val="00B02D82"/>
    <w:rsid w:val="00B033B5"/>
    <w:rsid w:val="00B03414"/>
    <w:rsid w:val="00B05BAB"/>
    <w:rsid w:val="00B07188"/>
    <w:rsid w:val="00B07408"/>
    <w:rsid w:val="00B07F8D"/>
    <w:rsid w:val="00B11729"/>
    <w:rsid w:val="00B128DB"/>
    <w:rsid w:val="00B12B04"/>
    <w:rsid w:val="00B1583C"/>
    <w:rsid w:val="00B15B96"/>
    <w:rsid w:val="00B16578"/>
    <w:rsid w:val="00B17B8D"/>
    <w:rsid w:val="00B200B3"/>
    <w:rsid w:val="00B21B43"/>
    <w:rsid w:val="00B22168"/>
    <w:rsid w:val="00B22465"/>
    <w:rsid w:val="00B225EF"/>
    <w:rsid w:val="00B23167"/>
    <w:rsid w:val="00B23D85"/>
    <w:rsid w:val="00B24090"/>
    <w:rsid w:val="00B2621F"/>
    <w:rsid w:val="00B272E1"/>
    <w:rsid w:val="00B273F7"/>
    <w:rsid w:val="00B2779C"/>
    <w:rsid w:val="00B3059D"/>
    <w:rsid w:val="00B307F4"/>
    <w:rsid w:val="00B30AFF"/>
    <w:rsid w:val="00B332A4"/>
    <w:rsid w:val="00B3419D"/>
    <w:rsid w:val="00B40ECB"/>
    <w:rsid w:val="00B436D4"/>
    <w:rsid w:val="00B43D24"/>
    <w:rsid w:val="00B4434A"/>
    <w:rsid w:val="00B45349"/>
    <w:rsid w:val="00B456A5"/>
    <w:rsid w:val="00B46074"/>
    <w:rsid w:val="00B52927"/>
    <w:rsid w:val="00B5499D"/>
    <w:rsid w:val="00B55C8D"/>
    <w:rsid w:val="00B565B4"/>
    <w:rsid w:val="00B6113B"/>
    <w:rsid w:val="00B61527"/>
    <w:rsid w:val="00B65D0D"/>
    <w:rsid w:val="00B73477"/>
    <w:rsid w:val="00B73EA8"/>
    <w:rsid w:val="00B747F0"/>
    <w:rsid w:val="00B75E03"/>
    <w:rsid w:val="00B76172"/>
    <w:rsid w:val="00B76D28"/>
    <w:rsid w:val="00B828C2"/>
    <w:rsid w:val="00B82B91"/>
    <w:rsid w:val="00B8423E"/>
    <w:rsid w:val="00B84FDE"/>
    <w:rsid w:val="00B851D0"/>
    <w:rsid w:val="00B8566F"/>
    <w:rsid w:val="00B870AF"/>
    <w:rsid w:val="00B9171C"/>
    <w:rsid w:val="00B919AB"/>
    <w:rsid w:val="00B93B8E"/>
    <w:rsid w:val="00B93EE5"/>
    <w:rsid w:val="00B94AC5"/>
    <w:rsid w:val="00BA04D2"/>
    <w:rsid w:val="00BA0BCE"/>
    <w:rsid w:val="00BA1014"/>
    <w:rsid w:val="00BA1FEA"/>
    <w:rsid w:val="00BA3299"/>
    <w:rsid w:val="00BA409D"/>
    <w:rsid w:val="00BA62E3"/>
    <w:rsid w:val="00BA7D0D"/>
    <w:rsid w:val="00BB05A1"/>
    <w:rsid w:val="00BB0C36"/>
    <w:rsid w:val="00BB3A77"/>
    <w:rsid w:val="00BB3F87"/>
    <w:rsid w:val="00BB413C"/>
    <w:rsid w:val="00BB43EB"/>
    <w:rsid w:val="00BB4B22"/>
    <w:rsid w:val="00BC2623"/>
    <w:rsid w:val="00BC3919"/>
    <w:rsid w:val="00BC6347"/>
    <w:rsid w:val="00BD0506"/>
    <w:rsid w:val="00BD06A6"/>
    <w:rsid w:val="00BD2144"/>
    <w:rsid w:val="00BD385A"/>
    <w:rsid w:val="00BD52FA"/>
    <w:rsid w:val="00BD67D8"/>
    <w:rsid w:val="00BD68D2"/>
    <w:rsid w:val="00BE13DB"/>
    <w:rsid w:val="00BE2202"/>
    <w:rsid w:val="00BE37E7"/>
    <w:rsid w:val="00BF1BE5"/>
    <w:rsid w:val="00BF2525"/>
    <w:rsid w:val="00BF3C5A"/>
    <w:rsid w:val="00BF4982"/>
    <w:rsid w:val="00BF624F"/>
    <w:rsid w:val="00BF664C"/>
    <w:rsid w:val="00C00A66"/>
    <w:rsid w:val="00C03BE6"/>
    <w:rsid w:val="00C04424"/>
    <w:rsid w:val="00C04A4C"/>
    <w:rsid w:val="00C06532"/>
    <w:rsid w:val="00C07B8C"/>
    <w:rsid w:val="00C10650"/>
    <w:rsid w:val="00C13E73"/>
    <w:rsid w:val="00C1759F"/>
    <w:rsid w:val="00C202A8"/>
    <w:rsid w:val="00C21B36"/>
    <w:rsid w:val="00C21F35"/>
    <w:rsid w:val="00C256A7"/>
    <w:rsid w:val="00C26E69"/>
    <w:rsid w:val="00C27383"/>
    <w:rsid w:val="00C27D1D"/>
    <w:rsid w:val="00C335C0"/>
    <w:rsid w:val="00C35C56"/>
    <w:rsid w:val="00C36DB6"/>
    <w:rsid w:val="00C375AF"/>
    <w:rsid w:val="00C45BA4"/>
    <w:rsid w:val="00C50FA1"/>
    <w:rsid w:val="00C5228E"/>
    <w:rsid w:val="00C53E38"/>
    <w:rsid w:val="00C5413B"/>
    <w:rsid w:val="00C578C8"/>
    <w:rsid w:val="00C6148E"/>
    <w:rsid w:val="00C62129"/>
    <w:rsid w:val="00C62AFB"/>
    <w:rsid w:val="00C63D2A"/>
    <w:rsid w:val="00C678A5"/>
    <w:rsid w:val="00C70213"/>
    <w:rsid w:val="00C71CCF"/>
    <w:rsid w:val="00C72251"/>
    <w:rsid w:val="00C7240B"/>
    <w:rsid w:val="00C726F4"/>
    <w:rsid w:val="00C72C85"/>
    <w:rsid w:val="00C75221"/>
    <w:rsid w:val="00C7590B"/>
    <w:rsid w:val="00C7746D"/>
    <w:rsid w:val="00C812B0"/>
    <w:rsid w:val="00C8323D"/>
    <w:rsid w:val="00C83AB4"/>
    <w:rsid w:val="00C83B5D"/>
    <w:rsid w:val="00C84CDB"/>
    <w:rsid w:val="00C860CF"/>
    <w:rsid w:val="00C87ABF"/>
    <w:rsid w:val="00C91206"/>
    <w:rsid w:val="00C9156E"/>
    <w:rsid w:val="00C94D05"/>
    <w:rsid w:val="00C9516A"/>
    <w:rsid w:val="00C9646D"/>
    <w:rsid w:val="00CA079D"/>
    <w:rsid w:val="00CA127E"/>
    <w:rsid w:val="00CA31E8"/>
    <w:rsid w:val="00CA5BF2"/>
    <w:rsid w:val="00CA5DA4"/>
    <w:rsid w:val="00CA6674"/>
    <w:rsid w:val="00CA696D"/>
    <w:rsid w:val="00CA7C72"/>
    <w:rsid w:val="00CB164B"/>
    <w:rsid w:val="00CB1C15"/>
    <w:rsid w:val="00CB2980"/>
    <w:rsid w:val="00CB3CAB"/>
    <w:rsid w:val="00CB4D88"/>
    <w:rsid w:val="00CB5DD4"/>
    <w:rsid w:val="00CB6CB3"/>
    <w:rsid w:val="00CB7572"/>
    <w:rsid w:val="00CB77D0"/>
    <w:rsid w:val="00CB7E47"/>
    <w:rsid w:val="00CC278B"/>
    <w:rsid w:val="00CC3DE0"/>
    <w:rsid w:val="00CC3FF7"/>
    <w:rsid w:val="00CC42DC"/>
    <w:rsid w:val="00CC4924"/>
    <w:rsid w:val="00CC5B38"/>
    <w:rsid w:val="00CC741B"/>
    <w:rsid w:val="00CC79E3"/>
    <w:rsid w:val="00CC7F4B"/>
    <w:rsid w:val="00CD3220"/>
    <w:rsid w:val="00CD38C0"/>
    <w:rsid w:val="00CD73A4"/>
    <w:rsid w:val="00CE060A"/>
    <w:rsid w:val="00CE0829"/>
    <w:rsid w:val="00CE43FA"/>
    <w:rsid w:val="00CE4544"/>
    <w:rsid w:val="00CE5E49"/>
    <w:rsid w:val="00CE6B0E"/>
    <w:rsid w:val="00CF0595"/>
    <w:rsid w:val="00CF1919"/>
    <w:rsid w:val="00CF1BEF"/>
    <w:rsid w:val="00CF38B8"/>
    <w:rsid w:val="00CF5FE8"/>
    <w:rsid w:val="00CF6FB9"/>
    <w:rsid w:val="00CF717A"/>
    <w:rsid w:val="00CF77C3"/>
    <w:rsid w:val="00D00824"/>
    <w:rsid w:val="00D03B32"/>
    <w:rsid w:val="00D05CE0"/>
    <w:rsid w:val="00D07725"/>
    <w:rsid w:val="00D110CE"/>
    <w:rsid w:val="00D12A3E"/>
    <w:rsid w:val="00D14B7C"/>
    <w:rsid w:val="00D14FFA"/>
    <w:rsid w:val="00D15AA5"/>
    <w:rsid w:val="00D21341"/>
    <w:rsid w:val="00D22032"/>
    <w:rsid w:val="00D23D5D"/>
    <w:rsid w:val="00D248B9"/>
    <w:rsid w:val="00D25041"/>
    <w:rsid w:val="00D2648C"/>
    <w:rsid w:val="00D26C49"/>
    <w:rsid w:val="00D26E06"/>
    <w:rsid w:val="00D27A72"/>
    <w:rsid w:val="00D32827"/>
    <w:rsid w:val="00D33A90"/>
    <w:rsid w:val="00D34695"/>
    <w:rsid w:val="00D35773"/>
    <w:rsid w:val="00D35D78"/>
    <w:rsid w:val="00D37702"/>
    <w:rsid w:val="00D411CA"/>
    <w:rsid w:val="00D42E90"/>
    <w:rsid w:val="00D46BB3"/>
    <w:rsid w:val="00D4717B"/>
    <w:rsid w:val="00D50021"/>
    <w:rsid w:val="00D51749"/>
    <w:rsid w:val="00D51F99"/>
    <w:rsid w:val="00D53A90"/>
    <w:rsid w:val="00D54DEE"/>
    <w:rsid w:val="00D54FF4"/>
    <w:rsid w:val="00D569C5"/>
    <w:rsid w:val="00D56DF1"/>
    <w:rsid w:val="00D574B3"/>
    <w:rsid w:val="00D57AC5"/>
    <w:rsid w:val="00D57F39"/>
    <w:rsid w:val="00D60F69"/>
    <w:rsid w:val="00D612A5"/>
    <w:rsid w:val="00D6382D"/>
    <w:rsid w:val="00D65045"/>
    <w:rsid w:val="00D6542F"/>
    <w:rsid w:val="00D65650"/>
    <w:rsid w:val="00D65E33"/>
    <w:rsid w:val="00D66A28"/>
    <w:rsid w:val="00D67311"/>
    <w:rsid w:val="00D7158A"/>
    <w:rsid w:val="00D73702"/>
    <w:rsid w:val="00D73E83"/>
    <w:rsid w:val="00D76119"/>
    <w:rsid w:val="00D821CC"/>
    <w:rsid w:val="00D859F1"/>
    <w:rsid w:val="00D85A8A"/>
    <w:rsid w:val="00D865A9"/>
    <w:rsid w:val="00D900CC"/>
    <w:rsid w:val="00D90D7A"/>
    <w:rsid w:val="00D90DFF"/>
    <w:rsid w:val="00D9121A"/>
    <w:rsid w:val="00D91B33"/>
    <w:rsid w:val="00D95DE6"/>
    <w:rsid w:val="00D97CA1"/>
    <w:rsid w:val="00DA044D"/>
    <w:rsid w:val="00DA0FF1"/>
    <w:rsid w:val="00DA108D"/>
    <w:rsid w:val="00DA19B5"/>
    <w:rsid w:val="00DA2C45"/>
    <w:rsid w:val="00DA33D1"/>
    <w:rsid w:val="00DA6DC7"/>
    <w:rsid w:val="00DA76E5"/>
    <w:rsid w:val="00DB00C9"/>
    <w:rsid w:val="00DB00FB"/>
    <w:rsid w:val="00DB291F"/>
    <w:rsid w:val="00DB2B0C"/>
    <w:rsid w:val="00DB4030"/>
    <w:rsid w:val="00DB592F"/>
    <w:rsid w:val="00DC1C54"/>
    <w:rsid w:val="00DC2857"/>
    <w:rsid w:val="00DC3829"/>
    <w:rsid w:val="00DC4C04"/>
    <w:rsid w:val="00DC5C5A"/>
    <w:rsid w:val="00DC71AB"/>
    <w:rsid w:val="00DD44CB"/>
    <w:rsid w:val="00DD6487"/>
    <w:rsid w:val="00DD6582"/>
    <w:rsid w:val="00DE115C"/>
    <w:rsid w:val="00DE4FA5"/>
    <w:rsid w:val="00DE669B"/>
    <w:rsid w:val="00DE7A2C"/>
    <w:rsid w:val="00DF14DD"/>
    <w:rsid w:val="00DF18CD"/>
    <w:rsid w:val="00DF2FF9"/>
    <w:rsid w:val="00DF49E1"/>
    <w:rsid w:val="00DF5EF4"/>
    <w:rsid w:val="00DF733B"/>
    <w:rsid w:val="00E01B77"/>
    <w:rsid w:val="00E04EE0"/>
    <w:rsid w:val="00E06418"/>
    <w:rsid w:val="00E1131C"/>
    <w:rsid w:val="00E1510B"/>
    <w:rsid w:val="00E205A0"/>
    <w:rsid w:val="00E22456"/>
    <w:rsid w:val="00E233F4"/>
    <w:rsid w:val="00E25FBD"/>
    <w:rsid w:val="00E261F6"/>
    <w:rsid w:val="00E27330"/>
    <w:rsid w:val="00E27B94"/>
    <w:rsid w:val="00E3760D"/>
    <w:rsid w:val="00E37AB0"/>
    <w:rsid w:val="00E37D47"/>
    <w:rsid w:val="00E40F24"/>
    <w:rsid w:val="00E434AE"/>
    <w:rsid w:val="00E435ED"/>
    <w:rsid w:val="00E4455D"/>
    <w:rsid w:val="00E44FF6"/>
    <w:rsid w:val="00E458D4"/>
    <w:rsid w:val="00E4602E"/>
    <w:rsid w:val="00E51961"/>
    <w:rsid w:val="00E56252"/>
    <w:rsid w:val="00E567B1"/>
    <w:rsid w:val="00E56920"/>
    <w:rsid w:val="00E578E3"/>
    <w:rsid w:val="00E57E56"/>
    <w:rsid w:val="00E605D6"/>
    <w:rsid w:val="00E630EC"/>
    <w:rsid w:val="00E64C75"/>
    <w:rsid w:val="00E6539C"/>
    <w:rsid w:val="00E65FBC"/>
    <w:rsid w:val="00E7092A"/>
    <w:rsid w:val="00E7309F"/>
    <w:rsid w:val="00E733E4"/>
    <w:rsid w:val="00E738CC"/>
    <w:rsid w:val="00E73CBF"/>
    <w:rsid w:val="00E7675A"/>
    <w:rsid w:val="00E80DB3"/>
    <w:rsid w:val="00E81DC8"/>
    <w:rsid w:val="00E82001"/>
    <w:rsid w:val="00E8258C"/>
    <w:rsid w:val="00E82F89"/>
    <w:rsid w:val="00E83033"/>
    <w:rsid w:val="00E84EE8"/>
    <w:rsid w:val="00E85FCF"/>
    <w:rsid w:val="00E86DE6"/>
    <w:rsid w:val="00E91152"/>
    <w:rsid w:val="00E93CF1"/>
    <w:rsid w:val="00E93DCF"/>
    <w:rsid w:val="00E954BF"/>
    <w:rsid w:val="00E97C00"/>
    <w:rsid w:val="00E97D85"/>
    <w:rsid w:val="00EA011E"/>
    <w:rsid w:val="00EA1BFD"/>
    <w:rsid w:val="00EA33EF"/>
    <w:rsid w:val="00EA36BF"/>
    <w:rsid w:val="00EA456C"/>
    <w:rsid w:val="00EA551F"/>
    <w:rsid w:val="00EA6F38"/>
    <w:rsid w:val="00EB2FE5"/>
    <w:rsid w:val="00EB334F"/>
    <w:rsid w:val="00EB69D9"/>
    <w:rsid w:val="00EB6E81"/>
    <w:rsid w:val="00EC09CA"/>
    <w:rsid w:val="00EC1092"/>
    <w:rsid w:val="00EC1B0B"/>
    <w:rsid w:val="00EC5B6E"/>
    <w:rsid w:val="00ED0C26"/>
    <w:rsid w:val="00ED10B1"/>
    <w:rsid w:val="00ED10FE"/>
    <w:rsid w:val="00ED178D"/>
    <w:rsid w:val="00ED33BB"/>
    <w:rsid w:val="00ED797A"/>
    <w:rsid w:val="00EE26ED"/>
    <w:rsid w:val="00EE27B0"/>
    <w:rsid w:val="00EE301C"/>
    <w:rsid w:val="00EE543C"/>
    <w:rsid w:val="00EE55D4"/>
    <w:rsid w:val="00EE5A66"/>
    <w:rsid w:val="00EE62D4"/>
    <w:rsid w:val="00EF0DB7"/>
    <w:rsid w:val="00EF28F8"/>
    <w:rsid w:val="00EF37C9"/>
    <w:rsid w:val="00EF505B"/>
    <w:rsid w:val="00EF71A8"/>
    <w:rsid w:val="00F00E73"/>
    <w:rsid w:val="00F012AF"/>
    <w:rsid w:val="00F015E5"/>
    <w:rsid w:val="00F04310"/>
    <w:rsid w:val="00F046AF"/>
    <w:rsid w:val="00F05098"/>
    <w:rsid w:val="00F05DE9"/>
    <w:rsid w:val="00F06BB7"/>
    <w:rsid w:val="00F1000E"/>
    <w:rsid w:val="00F10781"/>
    <w:rsid w:val="00F10980"/>
    <w:rsid w:val="00F11842"/>
    <w:rsid w:val="00F13AD2"/>
    <w:rsid w:val="00F156AC"/>
    <w:rsid w:val="00F16378"/>
    <w:rsid w:val="00F16665"/>
    <w:rsid w:val="00F178E6"/>
    <w:rsid w:val="00F2071A"/>
    <w:rsid w:val="00F2359D"/>
    <w:rsid w:val="00F23C9B"/>
    <w:rsid w:val="00F24FDE"/>
    <w:rsid w:val="00F25897"/>
    <w:rsid w:val="00F263A1"/>
    <w:rsid w:val="00F2704D"/>
    <w:rsid w:val="00F30FF9"/>
    <w:rsid w:val="00F31B76"/>
    <w:rsid w:val="00F332ED"/>
    <w:rsid w:val="00F363C0"/>
    <w:rsid w:val="00F36AB9"/>
    <w:rsid w:val="00F36BD8"/>
    <w:rsid w:val="00F425B4"/>
    <w:rsid w:val="00F43750"/>
    <w:rsid w:val="00F4447C"/>
    <w:rsid w:val="00F4469B"/>
    <w:rsid w:val="00F44E20"/>
    <w:rsid w:val="00F4543A"/>
    <w:rsid w:val="00F50CA5"/>
    <w:rsid w:val="00F55BDB"/>
    <w:rsid w:val="00F57D77"/>
    <w:rsid w:val="00F651E1"/>
    <w:rsid w:val="00F65B63"/>
    <w:rsid w:val="00F671F0"/>
    <w:rsid w:val="00F70304"/>
    <w:rsid w:val="00F71647"/>
    <w:rsid w:val="00F7234A"/>
    <w:rsid w:val="00F72D5A"/>
    <w:rsid w:val="00F74178"/>
    <w:rsid w:val="00F76957"/>
    <w:rsid w:val="00F82A90"/>
    <w:rsid w:val="00F82E44"/>
    <w:rsid w:val="00F8365C"/>
    <w:rsid w:val="00F83D21"/>
    <w:rsid w:val="00F917A7"/>
    <w:rsid w:val="00F91BBB"/>
    <w:rsid w:val="00F921D2"/>
    <w:rsid w:val="00F94897"/>
    <w:rsid w:val="00F9612D"/>
    <w:rsid w:val="00FA2974"/>
    <w:rsid w:val="00FA2E89"/>
    <w:rsid w:val="00FA41BE"/>
    <w:rsid w:val="00FA4707"/>
    <w:rsid w:val="00FA527E"/>
    <w:rsid w:val="00FA7960"/>
    <w:rsid w:val="00FA7D30"/>
    <w:rsid w:val="00FB014D"/>
    <w:rsid w:val="00FB0694"/>
    <w:rsid w:val="00FB1859"/>
    <w:rsid w:val="00FB37CE"/>
    <w:rsid w:val="00FB4826"/>
    <w:rsid w:val="00FB4BED"/>
    <w:rsid w:val="00FB56C1"/>
    <w:rsid w:val="00FB5FAD"/>
    <w:rsid w:val="00FB77C3"/>
    <w:rsid w:val="00FC09C9"/>
    <w:rsid w:val="00FC1EBC"/>
    <w:rsid w:val="00FC2137"/>
    <w:rsid w:val="00FC2B3F"/>
    <w:rsid w:val="00FC42AC"/>
    <w:rsid w:val="00FC498F"/>
    <w:rsid w:val="00FC56AA"/>
    <w:rsid w:val="00FD10DF"/>
    <w:rsid w:val="00FD1829"/>
    <w:rsid w:val="00FD653C"/>
    <w:rsid w:val="00FD7F4C"/>
    <w:rsid w:val="00FE18BD"/>
    <w:rsid w:val="00FE213B"/>
    <w:rsid w:val="00FE374A"/>
    <w:rsid w:val="00FE55BB"/>
    <w:rsid w:val="00FE58A8"/>
    <w:rsid w:val="00FF008A"/>
    <w:rsid w:val="00FF47E5"/>
    <w:rsid w:val="00FF64D1"/>
    <w:rsid w:val="00FF68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747F2A"/>
  <w15:chartTrackingRefBased/>
  <w15:docId w15:val="{FBC766F8-5144-8047-ACD5-D9225532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Pr>
      <w:rFonts w:ascii="Arial" w:hAnsi="Arial"/>
      <w:sz w:val="24"/>
      <w:lang w:val="en-US" w:eastAsia="en-US"/>
    </w:rPr>
  </w:style>
  <w:style w:type="paragraph" w:styleId="Heading1">
    <w:name w:val="heading 1"/>
    <w:basedOn w:val="Normal"/>
    <w:next w:val="Normal"/>
    <w:link w:val="Heading1Char"/>
    <w:qFormat/>
    <w:rsid w:val="0079062E"/>
    <w:pPr>
      <w:keepNext/>
      <w:numPr>
        <w:numId w:val="23"/>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A34D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AA7596"/>
    <w:pPr>
      <w:keepNext/>
      <w:keepLines/>
      <w:numPr>
        <w:ilvl w:val="2"/>
        <w:numId w:val="23"/>
      </w:numPr>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semiHidden/>
    <w:unhideWhenUsed/>
    <w:qFormat/>
    <w:rsid w:val="00AA7596"/>
    <w:pPr>
      <w:keepNext/>
      <w:keepLines/>
      <w:numPr>
        <w:ilvl w:val="3"/>
        <w:numId w:val="2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AA7596"/>
    <w:pPr>
      <w:keepNext/>
      <w:keepLines/>
      <w:numPr>
        <w:ilvl w:val="4"/>
        <w:numId w:val="2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AA7596"/>
    <w:pPr>
      <w:keepNext/>
      <w:keepLines/>
      <w:numPr>
        <w:ilvl w:val="5"/>
        <w:numId w:val="2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AA7596"/>
    <w:pPr>
      <w:keepNext/>
      <w:keepLines/>
      <w:numPr>
        <w:ilvl w:val="6"/>
        <w:numId w:val="2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AA7596"/>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A7596"/>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spacing w:line="480" w:lineRule="auto"/>
      <w:ind w:firstLine="720"/>
    </w:pPr>
  </w:style>
  <w:style w:type="paragraph" w:customStyle="1" w:styleId="ColourfulListAccent11">
    <w:name w:val="Colourful List – Accent 11"/>
    <w:basedOn w:val="Normal"/>
    <w:uiPriority w:val="34"/>
    <w:qFormat/>
    <w:rsid w:val="00722AA9"/>
    <w:pPr>
      <w:spacing w:after="200" w:line="276" w:lineRule="auto"/>
      <w:ind w:left="720"/>
      <w:contextualSpacing/>
    </w:pPr>
    <w:rPr>
      <w:rFonts w:ascii="Calibri" w:eastAsia="Calibri" w:hAnsi="Calibri"/>
      <w:sz w:val="22"/>
      <w:szCs w:val="22"/>
    </w:rPr>
  </w:style>
  <w:style w:type="character" w:styleId="Hyperlink">
    <w:name w:val="Hyperlink"/>
    <w:unhideWhenUsed/>
    <w:rsid w:val="00722AA9"/>
    <w:rPr>
      <w:color w:val="0000FF"/>
      <w:u w:val="single"/>
    </w:rPr>
  </w:style>
  <w:style w:type="paragraph" w:styleId="BalloonText">
    <w:name w:val="Balloon Text"/>
    <w:basedOn w:val="Normal"/>
    <w:semiHidden/>
    <w:rsid w:val="003C203E"/>
    <w:rPr>
      <w:rFonts w:ascii="Tahoma" w:hAnsi="Tahoma" w:cs="Tahoma"/>
      <w:sz w:val="16"/>
      <w:szCs w:val="16"/>
    </w:rPr>
  </w:style>
  <w:style w:type="character" w:styleId="CommentReference">
    <w:name w:val="annotation reference"/>
    <w:semiHidden/>
    <w:rsid w:val="002F5DC1"/>
    <w:rPr>
      <w:sz w:val="16"/>
      <w:szCs w:val="16"/>
    </w:rPr>
  </w:style>
  <w:style w:type="paragraph" w:styleId="CommentText">
    <w:name w:val="annotation text"/>
    <w:basedOn w:val="Normal"/>
    <w:semiHidden/>
    <w:rsid w:val="002F5DC1"/>
    <w:rPr>
      <w:sz w:val="20"/>
    </w:rPr>
  </w:style>
  <w:style w:type="paragraph" w:styleId="CommentSubject">
    <w:name w:val="annotation subject"/>
    <w:basedOn w:val="CommentText"/>
    <w:next w:val="CommentText"/>
    <w:semiHidden/>
    <w:rsid w:val="002F5DC1"/>
    <w:rPr>
      <w:b/>
      <w:bCs/>
    </w:rPr>
  </w:style>
  <w:style w:type="paragraph" w:styleId="Caption">
    <w:name w:val="caption"/>
    <w:basedOn w:val="Normal"/>
    <w:next w:val="Normal"/>
    <w:qFormat/>
    <w:rsid w:val="005717FA"/>
    <w:rPr>
      <w:b/>
      <w:bCs/>
      <w:sz w:val="20"/>
    </w:rPr>
  </w:style>
  <w:style w:type="paragraph" w:customStyle="1" w:styleId="EndNoteBibliographyTitle">
    <w:name w:val="EndNote Bibliography Title"/>
    <w:basedOn w:val="Normal"/>
    <w:rsid w:val="006D30D4"/>
    <w:pPr>
      <w:jc w:val="center"/>
    </w:pPr>
    <w:rPr>
      <w:rFonts w:cs="Arial"/>
    </w:rPr>
  </w:style>
  <w:style w:type="paragraph" w:customStyle="1" w:styleId="EndNoteBibliography">
    <w:name w:val="EndNote Bibliography"/>
    <w:basedOn w:val="Normal"/>
    <w:rsid w:val="006D30D4"/>
    <w:rPr>
      <w:rFonts w:cs="Arial"/>
    </w:rPr>
  </w:style>
  <w:style w:type="table" w:styleId="TableGrid">
    <w:name w:val="Table Grid"/>
    <w:basedOn w:val="TableNormal"/>
    <w:rsid w:val="009A0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513D0"/>
    <w:pPr>
      <w:spacing w:before="100" w:beforeAutospacing="1" w:after="100" w:afterAutospacing="1"/>
    </w:pPr>
    <w:rPr>
      <w:rFonts w:ascii="Times New Roman" w:hAnsi="Times New Roman"/>
      <w:szCs w:val="24"/>
    </w:rPr>
  </w:style>
  <w:style w:type="character" w:styleId="UnresolvedMention">
    <w:name w:val="Unresolved Mention"/>
    <w:basedOn w:val="DefaultParagraphFont"/>
    <w:uiPriority w:val="47"/>
    <w:rsid w:val="00FA527E"/>
    <w:rPr>
      <w:color w:val="605E5C"/>
      <w:shd w:val="clear" w:color="auto" w:fill="E1DFDD"/>
    </w:rPr>
  </w:style>
  <w:style w:type="paragraph" w:styleId="HTMLPreformatted">
    <w:name w:val="HTML Preformatted"/>
    <w:basedOn w:val="Normal"/>
    <w:link w:val="HTMLPreformattedChar"/>
    <w:uiPriority w:val="99"/>
    <w:unhideWhenUsed/>
    <w:rsid w:val="00FC5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GB"/>
    </w:rPr>
  </w:style>
  <w:style w:type="character" w:customStyle="1" w:styleId="HTMLPreformattedChar">
    <w:name w:val="HTML Preformatted Char"/>
    <w:basedOn w:val="DefaultParagraphFont"/>
    <w:link w:val="HTMLPreformatted"/>
    <w:uiPriority w:val="99"/>
    <w:rsid w:val="00FC56AA"/>
    <w:rPr>
      <w:rFonts w:ascii="Courier New" w:hAnsi="Courier New" w:cs="Courier New"/>
    </w:rPr>
  </w:style>
  <w:style w:type="paragraph" w:styleId="FootnoteText">
    <w:name w:val="footnote text"/>
    <w:basedOn w:val="Normal"/>
    <w:link w:val="FootnoteTextChar"/>
    <w:rsid w:val="00660BA9"/>
    <w:rPr>
      <w:sz w:val="20"/>
    </w:rPr>
  </w:style>
  <w:style w:type="character" w:customStyle="1" w:styleId="FootnoteTextChar">
    <w:name w:val="Footnote Text Char"/>
    <w:basedOn w:val="DefaultParagraphFont"/>
    <w:link w:val="FootnoteText"/>
    <w:rsid w:val="00660BA9"/>
    <w:rPr>
      <w:rFonts w:ascii="Arial" w:hAnsi="Arial"/>
      <w:lang w:val="en-US" w:eastAsia="en-US"/>
    </w:rPr>
  </w:style>
  <w:style w:type="character" w:styleId="FootnoteReference">
    <w:name w:val="footnote reference"/>
    <w:basedOn w:val="DefaultParagraphFont"/>
    <w:rsid w:val="00660BA9"/>
    <w:rPr>
      <w:vertAlign w:val="superscript"/>
    </w:rPr>
  </w:style>
  <w:style w:type="character" w:customStyle="1" w:styleId="Heading1Char">
    <w:name w:val="Heading 1 Char"/>
    <w:basedOn w:val="DefaultParagraphFont"/>
    <w:link w:val="Heading1"/>
    <w:rsid w:val="0079062E"/>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rsid w:val="00A34DA8"/>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semiHidden/>
    <w:rsid w:val="00AA7596"/>
    <w:rPr>
      <w:rFonts w:asciiTheme="majorHAnsi" w:eastAsiaTheme="majorEastAsia" w:hAnsiTheme="majorHAnsi" w:cstheme="majorBidi"/>
      <w:color w:val="1F3763" w:themeColor="accent1" w:themeShade="7F"/>
      <w:sz w:val="24"/>
      <w:szCs w:val="24"/>
      <w:lang w:val="en-US" w:eastAsia="en-US"/>
    </w:rPr>
  </w:style>
  <w:style w:type="character" w:customStyle="1" w:styleId="Heading4Char">
    <w:name w:val="Heading 4 Char"/>
    <w:basedOn w:val="DefaultParagraphFont"/>
    <w:link w:val="Heading4"/>
    <w:semiHidden/>
    <w:rsid w:val="00AA7596"/>
    <w:rPr>
      <w:rFonts w:asciiTheme="majorHAnsi" w:eastAsiaTheme="majorEastAsia" w:hAnsiTheme="majorHAnsi" w:cstheme="majorBidi"/>
      <w:i/>
      <w:iCs/>
      <w:color w:val="2F5496" w:themeColor="accent1" w:themeShade="BF"/>
      <w:sz w:val="24"/>
      <w:lang w:val="en-US" w:eastAsia="en-US"/>
    </w:rPr>
  </w:style>
  <w:style w:type="character" w:customStyle="1" w:styleId="Heading5Char">
    <w:name w:val="Heading 5 Char"/>
    <w:basedOn w:val="DefaultParagraphFont"/>
    <w:link w:val="Heading5"/>
    <w:semiHidden/>
    <w:rsid w:val="00AA7596"/>
    <w:rPr>
      <w:rFonts w:asciiTheme="majorHAnsi" w:eastAsiaTheme="majorEastAsia" w:hAnsiTheme="majorHAnsi" w:cstheme="majorBidi"/>
      <w:color w:val="2F5496" w:themeColor="accent1" w:themeShade="BF"/>
      <w:sz w:val="24"/>
      <w:lang w:val="en-US" w:eastAsia="en-US"/>
    </w:rPr>
  </w:style>
  <w:style w:type="character" w:customStyle="1" w:styleId="Heading6Char">
    <w:name w:val="Heading 6 Char"/>
    <w:basedOn w:val="DefaultParagraphFont"/>
    <w:link w:val="Heading6"/>
    <w:semiHidden/>
    <w:rsid w:val="00AA7596"/>
    <w:rPr>
      <w:rFonts w:asciiTheme="majorHAnsi" w:eastAsiaTheme="majorEastAsia" w:hAnsiTheme="majorHAnsi" w:cstheme="majorBidi"/>
      <w:color w:val="1F3763" w:themeColor="accent1" w:themeShade="7F"/>
      <w:sz w:val="24"/>
      <w:lang w:val="en-US" w:eastAsia="en-US"/>
    </w:rPr>
  </w:style>
  <w:style w:type="character" w:customStyle="1" w:styleId="Heading7Char">
    <w:name w:val="Heading 7 Char"/>
    <w:basedOn w:val="DefaultParagraphFont"/>
    <w:link w:val="Heading7"/>
    <w:semiHidden/>
    <w:rsid w:val="00AA7596"/>
    <w:rPr>
      <w:rFonts w:asciiTheme="majorHAnsi" w:eastAsiaTheme="majorEastAsia" w:hAnsiTheme="majorHAnsi" w:cstheme="majorBidi"/>
      <w:i/>
      <w:iCs/>
      <w:color w:val="1F3763" w:themeColor="accent1" w:themeShade="7F"/>
      <w:sz w:val="24"/>
      <w:lang w:val="en-US" w:eastAsia="en-US"/>
    </w:rPr>
  </w:style>
  <w:style w:type="character" w:customStyle="1" w:styleId="Heading8Char">
    <w:name w:val="Heading 8 Char"/>
    <w:basedOn w:val="DefaultParagraphFont"/>
    <w:link w:val="Heading8"/>
    <w:semiHidden/>
    <w:rsid w:val="00AA7596"/>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semiHidden/>
    <w:rsid w:val="00AA7596"/>
    <w:rPr>
      <w:rFonts w:asciiTheme="majorHAnsi" w:eastAsiaTheme="majorEastAsia" w:hAnsiTheme="majorHAnsi" w:cstheme="majorBidi"/>
      <w:i/>
      <w:iCs/>
      <w:color w:val="272727" w:themeColor="text1" w:themeTint="D8"/>
      <w:sz w:val="21"/>
      <w:szCs w:val="21"/>
      <w:lang w:val="en-US" w:eastAsia="en-US"/>
    </w:rPr>
  </w:style>
  <w:style w:type="paragraph" w:customStyle="1" w:styleId="Appenidx">
    <w:name w:val="Appenidx"/>
    <w:basedOn w:val="Heading1"/>
    <w:link w:val="AppenidxChar"/>
    <w:qFormat/>
    <w:rsid w:val="00080ED7"/>
    <w:pPr>
      <w:keepLines/>
      <w:spacing w:before="100" w:beforeAutospacing="1" w:after="100" w:afterAutospacing="1" w:line="259" w:lineRule="auto"/>
      <w:ind w:left="720"/>
      <w:jc w:val="center"/>
    </w:pPr>
    <w:rPr>
      <w:bCs w:val="0"/>
    </w:rPr>
  </w:style>
  <w:style w:type="character" w:customStyle="1" w:styleId="AppenidxChar">
    <w:name w:val="Appenidx Char"/>
    <w:basedOn w:val="Heading1Char"/>
    <w:link w:val="Appenidx"/>
    <w:rsid w:val="00080ED7"/>
    <w:rPr>
      <w:rFonts w:asciiTheme="majorHAnsi" w:eastAsiaTheme="majorEastAsia" w:hAnsiTheme="majorHAnsi" w:cstheme="majorBidi"/>
      <w:b/>
      <w:bCs w:val="0"/>
      <w:kern w:val="32"/>
      <w:sz w:val="32"/>
      <w:szCs w:val="32"/>
      <w:lang w:val="en-US" w:eastAsia="en-US"/>
    </w:rPr>
  </w:style>
  <w:style w:type="paragraph" w:styleId="ListParagraph">
    <w:name w:val="List Paragraph"/>
    <w:basedOn w:val="Normal"/>
    <w:uiPriority w:val="34"/>
    <w:qFormat/>
    <w:rsid w:val="00A91671"/>
    <w:pPr>
      <w:ind w:left="720"/>
      <w:contextualSpacing/>
    </w:pPr>
  </w:style>
  <w:style w:type="character" w:styleId="PlaceholderText">
    <w:name w:val="Placeholder Text"/>
    <w:basedOn w:val="DefaultParagraphFont"/>
    <w:uiPriority w:val="99"/>
    <w:semiHidden/>
    <w:rsid w:val="00380E96"/>
    <w:rPr>
      <w:color w:val="808080"/>
    </w:rPr>
  </w:style>
  <w:style w:type="character" w:customStyle="1" w:styleId="Bodytext1385pt">
    <w:name w:val="Body text (13) + 8.5 pt"/>
    <w:aliases w:val="Not Bold,Italic"/>
    <w:basedOn w:val="DefaultParagraphFont"/>
    <w:rsid w:val="00DA33D1"/>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06468">
      <w:bodyDiv w:val="1"/>
      <w:marLeft w:val="0"/>
      <w:marRight w:val="0"/>
      <w:marTop w:val="0"/>
      <w:marBottom w:val="0"/>
      <w:divBdr>
        <w:top w:val="none" w:sz="0" w:space="0" w:color="auto"/>
        <w:left w:val="none" w:sz="0" w:space="0" w:color="auto"/>
        <w:bottom w:val="none" w:sz="0" w:space="0" w:color="auto"/>
        <w:right w:val="none" w:sz="0" w:space="0" w:color="auto"/>
      </w:divBdr>
    </w:div>
    <w:div w:id="316344055">
      <w:bodyDiv w:val="1"/>
      <w:marLeft w:val="0"/>
      <w:marRight w:val="0"/>
      <w:marTop w:val="0"/>
      <w:marBottom w:val="0"/>
      <w:divBdr>
        <w:top w:val="none" w:sz="0" w:space="0" w:color="auto"/>
        <w:left w:val="none" w:sz="0" w:space="0" w:color="auto"/>
        <w:bottom w:val="none" w:sz="0" w:space="0" w:color="auto"/>
        <w:right w:val="none" w:sz="0" w:space="0" w:color="auto"/>
      </w:divBdr>
    </w:div>
    <w:div w:id="371543881">
      <w:bodyDiv w:val="1"/>
      <w:marLeft w:val="0"/>
      <w:marRight w:val="0"/>
      <w:marTop w:val="0"/>
      <w:marBottom w:val="0"/>
      <w:divBdr>
        <w:top w:val="none" w:sz="0" w:space="0" w:color="auto"/>
        <w:left w:val="none" w:sz="0" w:space="0" w:color="auto"/>
        <w:bottom w:val="none" w:sz="0" w:space="0" w:color="auto"/>
        <w:right w:val="none" w:sz="0" w:space="0" w:color="auto"/>
      </w:divBdr>
    </w:div>
    <w:div w:id="484198709">
      <w:bodyDiv w:val="1"/>
      <w:marLeft w:val="0"/>
      <w:marRight w:val="0"/>
      <w:marTop w:val="0"/>
      <w:marBottom w:val="0"/>
      <w:divBdr>
        <w:top w:val="none" w:sz="0" w:space="0" w:color="auto"/>
        <w:left w:val="none" w:sz="0" w:space="0" w:color="auto"/>
        <w:bottom w:val="none" w:sz="0" w:space="0" w:color="auto"/>
        <w:right w:val="none" w:sz="0" w:space="0" w:color="auto"/>
      </w:divBdr>
    </w:div>
    <w:div w:id="736173782">
      <w:bodyDiv w:val="1"/>
      <w:marLeft w:val="0"/>
      <w:marRight w:val="0"/>
      <w:marTop w:val="0"/>
      <w:marBottom w:val="0"/>
      <w:divBdr>
        <w:top w:val="none" w:sz="0" w:space="0" w:color="auto"/>
        <w:left w:val="none" w:sz="0" w:space="0" w:color="auto"/>
        <w:bottom w:val="none" w:sz="0" w:space="0" w:color="auto"/>
        <w:right w:val="none" w:sz="0" w:space="0" w:color="auto"/>
      </w:divBdr>
    </w:div>
    <w:div w:id="957027243">
      <w:bodyDiv w:val="1"/>
      <w:marLeft w:val="0"/>
      <w:marRight w:val="0"/>
      <w:marTop w:val="0"/>
      <w:marBottom w:val="0"/>
      <w:divBdr>
        <w:top w:val="none" w:sz="0" w:space="0" w:color="auto"/>
        <w:left w:val="none" w:sz="0" w:space="0" w:color="auto"/>
        <w:bottom w:val="none" w:sz="0" w:space="0" w:color="auto"/>
        <w:right w:val="none" w:sz="0" w:space="0" w:color="auto"/>
      </w:divBdr>
    </w:div>
    <w:div w:id="1320110974">
      <w:bodyDiv w:val="1"/>
      <w:marLeft w:val="0"/>
      <w:marRight w:val="0"/>
      <w:marTop w:val="0"/>
      <w:marBottom w:val="0"/>
      <w:divBdr>
        <w:top w:val="none" w:sz="0" w:space="0" w:color="auto"/>
        <w:left w:val="none" w:sz="0" w:space="0" w:color="auto"/>
        <w:bottom w:val="none" w:sz="0" w:space="0" w:color="auto"/>
        <w:right w:val="none" w:sz="0" w:space="0" w:color="auto"/>
      </w:divBdr>
    </w:div>
    <w:div w:id="1411268420">
      <w:bodyDiv w:val="1"/>
      <w:marLeft w:val="0"/>
      <w:marRight w:val="0"/>
      <w:marTop w:val="0"/>
      <w:marBottom w:val="0"/>
      <w:divBdr>
        <w:top w:val="none" w:sz="0" w:space="0" w:color="auto"/>
        <w:left w:val="none" w:sz="0" w:space="0" w:color="auto"/>
        <w:bottom w:val="none" w:sz="0" w:space="0" w:color="auto"/>
        <w:right w:val="none" w:sz="0" w:space="0" w:color="auto"/>
      </w:divBdr>
    </w:div>
    <w:div w:id="1559053861">
      <w:bodyDiv w:val="1"/>
      <w:marLeft w:val="0"/>
      <w:marRight w:val="0"/>
      <w:marTop w:val="0"/>
      <w:marBottom w:val="0"/>
      <w:divBdr>
        <w:top w:val="none" w:sz="0" w:space="0" w:color="auto"/>
        <w:left w:val="none" w:sz="0" w:space="0" w:color="auto"/>
        <w:bottom w:val="none" w:sz="0" w:space="0" w:color="auto"/>
        <w:right w:val="none" w:sz="0" w:space="0" w:color="auto"/>
      </w:divBdr>
    </w:div>
    <w:div w:id="1561746988">
      <w:bodyDiv w:val="1"/>
      <w:marLeft w:val="0"/>
      <w:marRight w:val="0"/>
      <w:marTop w:val="0"/>
      <w:marBottom w:val="0"/>
      <w:divBdr>
        <w:top w:val="none" w:sz="0" w:space="0" w:color="auto"/>
        <w:left w:val="none" w:sz="0" w:space="0" w:color="auto"/>
        <w:bottom w:val="none" w:sz="0" w:space="0" w:color="auto"/>
        <w:right w:val="none" w:sz="0" w:space="0" w:color="auto"/>
      </w:divBdr>
    </w:div>
    <w:div w:id="1714502635">
      <w:bodyDiv w:val="1"/>
      <w:marLeft w:val="0"/>
      <w:marRight w:val="0"/>
      <w:marTop w:val="0"/>
      <w:marBottom w:val="0"/>
      <w:divBdr>
        <w:top w:val="none" w:sz="0" w:space="0" w:color="auto"/>
        <w:left w:val="none" w:sz="0" w:space="0" w:color="auto"/>
        <w:bottom w:val="none" w:sz="0" w:space="0" w:color="auto"/>
        <w:right w:val="none" w:sz="0" w:space="0" w:color="auto"/>
      </w:divBdr>
    </w:div>
    <w:div w:id="1723359579">
      <w:bodyDiv w:val="1"/>
      <w:marLeft w:val="0"/>
      <w:marRight w:val="0"/>
      <w:marTop w:val="0"/>
      <w:marBottom w:val="0"/>
      <w:divBdr>
        <w:top w:val="none" w:sz="0" w:space="0" w:color="auto"/>
        <w:left w:val="none" w:sz="0" w:space="0" w:color="auto"/>
        <w:bottom w:val="none" w:sz="0" w:space="0" w:color="auto"/>
        <w:right w:val="none" w:sz="0" w:space="0" w:color="auto"/>
      </w:divBdr>
      <w:divsChild>
        <w:div w:id="440803817">
          <w:marLeft w:val="0"/>
          <w:marRight w:val="0"/>
          <w:marTop w:val="0"/>
          <w:marBottom w:val="0"/>
          <w:divBdr>
            <w:top w:val="none" w:sz="0" w:space="0" w:color="auto"/>
            <w:left w:val="none" w:sz="0" w:space="0" w:color="auto"/>
            <w:bottom w:val="none" w:sz="0" w:space="0" w:color="auto"/>
            <w:right w:val="none" w:sz="0" w:space="0" w:color="auto"/>
          </w:divBdr>
          <w:divsChild>
            <w:div w:id="2076389764">
              <w:marLeft w:val="0"/>
              <w:marRight w:val="0"/>
              <w:marTop w:val="0"/>
              <w:marBottom w:val="0"/>
              <w:divBdr>
                <w:top w:val="none" w:sz="0" w:space="0" w:color="auto"/>
                <w:left w:val="none" w:sz="0" w:space="0" w:color="auto"/>
                <w:bottom w:val="none" w:sz="0" w:space="0" w:color="auto"/>
                <w:right w:val="none" w:sz="0" w:space="0" w:color="auto"/>
              </w:divBdr>
              <w:divsChild>
                <w:div w:id="12975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038218">
      <w:bodyDiv w:val="1"/>
      <w:marLeft w:val="0"/>
      <w:marRight w:val="0"/>
      <w:marTop w:val="0"/>
      <w:marBottom w:val="0"/>
      <w:divBdr>
        <w:top w:val="none" w:sz="0" w:space="0" w:color="auto"/>
        <w:left w:val="none" w:sz="0" w:space="0" w:color="auto"/>
        <w:bottom w:val="none" w:sz="0" w:space="0" w:color="auto"/>
        <w:right w:val="none" w:sz="0" w:space="0" w:color="auto"/>
      </w:divBdr>
    </w:div>
    <w:div w:id="1788498405">
      <w:bodyDiv w:val="1"/>
      <w:marLeft w:val="0"/>
      <w:marRight w:val="0"/>
      <w:marTop w:val="0"/>
      <w:marBottom w:val="0"/>
      <w:divBdr>
        <w:top w:val="none" w:sz="0" w:space="0" w:color="auto"/>
        <w:left w:val="none" w:sz="0" w:space="0" w:color="auto"/>
        <w:bottom w:val="none" w:sz="0" w:space="0" w:color="auto"/>
        <w:right w:val="none" w:sz="0" w:space="0" w:color="auto"/>
      </w:divBdr>
      <w:divsChild>
        <w:div w:id="1727221615">
          <w:marLeft w:val="0"/>
          <w:marRight w:val="0"/>
          <w:marTop w:val="0"/>
          <w:marBottom w:val="0"/>
          <w:divBdr>
            <w:top w:val="none" w:sz="0" w:space="0" w:color="auto"/>
            <w:left w:val="none" w:sz="0" w:space="0" w:color="auto"/>
            <w:bottom w:val="none" w:sz="0" w:space="0" w:color="auto"/>
            <w:right w:val="none" w:sz="0" w:space="0" w:color="auto"/>
          </w:divBdr>
          <w:divsChild>
            <w:div w:id="1113742275">
              <w:marLeft w:val="0"/>
              <w:marRight w:val="0"/>
              <w:marTop w:val="0"/>
              <w:marBottom w:val="0"/>
              <w:divBdr>
                <w:top w:val="none" w:sz="0" w:space="0" w:color="auto"/>
                <w:left w:val="none" w:sz="0" w:space="0" w:color="auto"/>
                <w:bottom w:val="none" w:sz="0" w:space="0" w:color="auto"/>
                <w:right w:val="none" w:sz="0" w:space="0" w:color="auto"/>
              </w:divBdr>
              <w:divsChild>
                <w:div w:id="9024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98650">
      <w:bodyDiv w:val="1"/>
      <w:marLeft w:val="0"/>
      <w:marRight w:val="0"/>
      <w:marTop w:val="0"/>
      <w:marBottom w:val="0"/>
      <w:divBdr>
        <w:top w:val="none" w:sz="0" w:space="0" w:color="auto"/>
        <w:left w:val="none" w:sz="0" w:space="0" w:color="auto"/>
        <w:bottom w:val="none" w:sz="0" w:space="0" w:color="auto"/>
        <w:right w:val="none" w:sz="0" w:space="0" w:color="auto"/>
      </w:divBdr>
    </w:div>
    <w:div w:id="2072849555">
      <w:bodyDiv w:val="1"/>
      <w:marLeft w:val="0"/>
      <w:marRight w:val="0"/>
      <w:marTop w:val="0"/>
      <w:marBottom w:val="0"/>
      <w:divBdr>
        <w:top w:val="none" w:sz="0" w:space="0" w:color="auto"/>
        <w:left w:val="none" w:sz="0" w:space="0" w:color="auto"/>
        <w:bottom w:val="none" w:sz="0" w:space="0" w:color="auto"/>
        <w:right w:val="none" w:sz="0" w:space="0" w:color="auto"/>
      </w:divBdr>
    </w:div>
    <w:div w:id="2073580917">
      <w:bodyDiv w:val="1"/>
      <w:marLeft w:val="0"/>
      <w:marRight w:val="0"/>
      <w:marTop w:val="0"/>
      <w:marBottom w:val="0"/>
      <w:divBdr>
        <w:top w:val="none" w:sz="0" w:space="0" w:color="auto"/>
        <w:left w:val="none" w:sz="0" w:space="0" w:color="auto"/>
        <w:bottom w:val="none" w:sz="0" w:space="0" w:color="auto"/>
        <w:right w:val="none" w:sz="0" w:space="0" w:color="auto"/>
      </w:divBdr>
      <w:divsChild>
        <w:div w:id="1482186762">
          <w:marLeft w:val="0"/>
          <w:marRight w:val="0"/>
          <w:marTop w:val="0"/>
          <w:marBottom w:val="0"/>
          <w:divBdr>
            <w:top w:val="none" w:sz="0" w:space="0" w:color="auto"/>
            <w:left w:val="none" w:sz="0" w:space="0" w:color="auto"/>
            <w:bottom w:val="none" w:sz="0" w:space="0" w:color="auto"/>
            <w:right w:val="none" w:sz="0" w:space="0" w:color="auto"/>
          </w:divBdr>
          <w:divsChild>
            <w:div w:id="1465393990">
              <w:marLeft w:val="0"/>
              <w:marRight w:val="0"/>
              <w:marTop w:val="0"/>
              <w:marBottom w:val="0"/>
              <w:divBdr>
                <w:top w:val="none" w:sz="0" w:space="0" w:color="auto"/>
                <w:left w:val="none" w:sz="0" w:space="0" w:color="auto"/>
                <w:bottom w:val="none" w:sz="0" w:space="0" w:color="auto"/>
                <w:right w:val="none" w:sz="0" w:space="0" w:color="auto"/>
              </w:divBdr>
              <w:divsChild>
                <w:div w:id="19043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0583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rks.princeton.edu/ark:/88435/dsp01xg94hp56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O_SRC\Application%20Data\Microsoft\Templates\AP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798A1-634E-4145-BF78-A47B96BF0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Settings\HO_SRC\Application Data\Microsoft\Templates\APA.dot</Template>
  <TotalTime>1</TotalTime>
  <Pages>30</Pages>
  <Words>2851</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GCU Style Template</vt:lpstr>
    </vt:vector>
  </TitlesOfParts>
  <Company>Grand Canyon University</Company>
  <LinksUpToDate>false</LinksUpToDate>
  <CharactersWithSpaces>19064</CharactersWithSpaces>
  <SharedDoc>false</SharedDoc>
  <HLinks>
    <vt:vector size="12" baseType="variant">
      <vt:variant>
        <vt:i4>3145821</vt:i4>
      </vt:variant>
      <vt:variant>
        <vt:i4>3</vt:i4>
      </vt:variant>
      <vt:variant>
        <vt:i4>0</vt:i4>
      </vt:variant>
      <vt:variant>
        <vt:i4>5</vt:i4>
      </vt:variant>
      <vt:variant>
        <vt:lpwstr>mailto:huiren@nus.edu.sg</vt:lpwstr>
      </vt:variant>
      <vt:variant>
        <vt:lpwstr/>
      </vt:variant>
      <vt:variant>
        <vt:i4>3342336</vt:i4>
      </vt:variant>
      <vt:variant>
        <vt:i4>0</vt:i4>
      </vt:variant>
      <vt:variant>
        <vt:i4>0</vt:i4>
      </vt:variant>
      <vt:variant>
        <vt:i4>5</vt:i4>
      </vt:variant>
      <vt:variant>
        <vt:lpwstr>mailto:jamesf@bu.edu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GCU Style Template</dc:title>
  <dc:subject/>
  <dc:creator>Grand Canyon University</dc:creator>
  <cp:keywords/>
  <cp:lastModifiedBy>SS</cp:lastModifiedBy>
  <cp:revision>3</cp:revision>
  <cp:lastPrinted>2009-10-20T21:29:00Z</cp:lastPrinted>
  <dcterms:created xsi:type="dcterms:W3CDTF">2020-07-21T21:20:00Z</dcterms:created>
  <dcterms:modified xsi:type="dcterms:W3CDTF">2020-07-21T21:21:00Z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umair.choudhry8@hotmail.com@www.mendeley.com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