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8C6" w:rsidRDefault="009F18C6" w:rsidP="009F18C6">
      <w:pPr>
        <w:jc w:val="center"/>
        <w:rPr>
          <w:b/>
          <w:sz w:val="24"/>
        </w:rPr>
      </w:pPr>
    </w:p>
    <w:p w:rsidR="009F18C6" w:rsidRDefault="009F18C6" w:rsidP="009F18C6">
      <w:pPr>
        <w:jc w:val="center"/>
        <w:rPr>
          <w:b/>
          <w:sz w:val="24"/>
        </w:rPr>
      </w:pPr>
    </w:p>
    <w:p w:rsidR="009F18C6" w:rsidRPr="00C67CDC" w:rsidRDefault="009F18C6" w:rsidP="009F18C6">
      <w:pPr>
        <w:spacing w:after="0" w:line="240" w:lineRule="auto"/>
        <w:jc w:val="center"/>
        <w:rPr>
          <w:b/>
          <w:sz w:val="28"/>
        </w:rPr>
      </w:pPr>
      <w:r w:rsidRPr="00C67CDC">
        <w:rPr>
          <w:b/>
          <w:sz w:val="28"/>
        </w:rPr>
        <w:t>Appendix: Sources, Data</w:t>
      </w:r>
      <w:r>
        <w:rPr>
          <w:b/>
          <w:sz w:val="28"/>
        </w:rPr>
        <w:t xml:space="preserve"> and Additional Results</w:t>
      </w:r>
    </w:p>
    <w:p w:rsidR="009F18C6" w:rsidRPr="00C67CDC" w:rsidRDefault="009F18C6" w:rsidP="009F18C6">
      <w:pPr>
        <w:spacing w:after="0" w:line="240" w:lineRule="auto"/>
        <w:jc w:val="center"/>
        <w:rPr>
          <w:b/>
          <w:sz w:val="28"/>
        </w:rPr>
      </w:pPr>
      <w:r w:rsidRPr="00C67CDC">
        <w:rPr>
          <w:b/>
          <w:sz w:val="28"/>
        </w:rPr>
        <w:t>(For Online Publication Only)</w:t>
      </w:r>
    </w:p>
    <w:p w:rsidR="009F18C6" w:rsidRDefault="009F18C6" w:rsidP="009F18C6">
      <w:pPr>
        <w:spacing w:after="0" w:line="240" w:lineRule="auto"/>
        <w:rPr>
          <w:b/>
        </w:rPr>
      </w:pPr>
    </w:p>
    <w:p w:rsidR="009F18C6" w:rsidRDefault="009F18C6" w:rsidP="009F18C6">
      <w:pPr>
        <w:spacing w:after="0" w:line="240" w:lineRule="auto"/>
        <w:rPr>
          <w:b/>
        </w:rPr>
      </w:pPr>
    </w:p>
    <w:p w:rsidR="009F18C6" w:rsidRDefault="009F18C6" w:rsidP="009F18C6">
      <w:pPr>
        <w:spacing w:after="0" w:line="240" w:lineRule="auto"/>
        <w:rPr>
          <w:b/>
        </w:rPr>
      </w:pPr>
    </w:p>
    <w:p w:rsidR="009F18C6" w:rsidRDefault="009F18C6" w:rsidP="009F18C6">
      <w:pPr>
        <w:spacing w:after="0" w:line="240" w:lineRule="auto"/>
        <w:rPr>
          <w:b/>
        </w:rPr>
      </w:pPr>
    </w:p>
    <w:p w:rsidR="009F18C6" w:rsidRDefault="009F18C6" w:rsidP="009F18C6">
      <w:pPr>
        <w:spacing w:after="0" w:line="240" w:lineRule="auto"/>
        <w:rPr>
          <w:b/>
        </w:rPr>
      </w:pPr>
    </w:p>
    <w:p w:rsidR="009F18C6" w:rsidRDefault="009F18C6" w:rsidP="009F18C6">
      <w:pPr>
        <w:spacing w:after="0" w:line="240" w:lineRule="auto"/>
        <w:rPr>
          <w:b/>
        </w:rPr>
      </w:pPr>
    </w:p>
    <w:p w:rsidR="009F18C6" w:rsidRDefault="009F18C6" w:rsidP="009F18C6">
      <w:pPr>
        <w:spacing w:after="0" w:line="240" w:lineRule="auto"/>
        <w:rPr>
          <w:b/>
        </w:rPr>
      </w:pPr>
    </w:p>
    <w:p w:rsidR="009F18C6" w:rsidRDefault="009F18C6" w:rsidP="009F18C6">
      <w:pPr>
        <w:spacing w:after="0" w:line="240" w:lineRule="auto"/>
        <w:rPr>
          <w:b/>
        </w:rPr>
      </w:pPr>
    </w:p>
    <w:p w:rsidR="009F18C6" w:rsidRPr="00841F39" w:rsidRDefault="009F18C6" w:rsidP="009F18C6">
      <w:pPr>
        <w:spacing w:after="0" w:line="240" w:lineRule="auto"/>
        <w:rPr>
          <w:b/>
          <w:sz w:val="24"/>
          <w:szCs w:val="24"/>
        </w:rPr>
      </w:pPr>
      <w:r w:rsidRPr="00841F39">
        <w:rPr>
          <w:b/>
          <w:sz w:val="24"/>
          <w:szCs w:val="24"/>
        </w:rPr>
        <w:t>Table of Contents</w:t>
      </w:r>
    </w:p>
    <w:p w:rsidR="009F18C6" w:rsidRPr="002E22F7" w:rsidRDefault="009F18C6" w:rsidP="009F18C6">
      <w:pPr>
        <w:spacing w:after="0" w:line="240" w:lineRule="auto"/>
        <w:rPr>
          <w:b/>
          <w:sz w:val="24"/>
          <w:szCs w:val="24"/>
        </w:rPr>
      </w:pPr>
      <w:r w:rsidRPr="00841F39">
        <w:rPr>
          <w:b/>
          <w:sz w:val="24"/>
          <w:szCs w:val="24"/>
        </w:rPr>
        <w:tab/>
      </w:r>
      <w:r w:rsidRPr="00841F39">
        <w:rPr>
          <w:b/>
          <w:sz w:val="24"/>
          <w:szCs w:val="24"/>
        </w:rPr>
        <w:tab/>
      </w:r>
      <w:r w:rsidRPr="00841F39">
        <w:rPr>
          <w:b/>
          <w:sz w:val="24"/>
          <w:szCs w:val="24"/>
        </w:rPr>
        <w:tab/>
      </w:r>
      <w:r w:rsidRPr="00841F39">
        <w:rPr>
          <w:b/>
          <w:sz w:val="24"/>
          <w:szCs w:val="24"/>
        </w:rPr>
        <w:tab/>
      </w:r>
      <w:r w:rsidRPr="00841F39">
        <w:rPr>
          <w:b/>
          <w:sz w:val="24"/>
          <w:szCs w:val="24"/>
        </w:rPr>
        <w:tab/>
      </w:r>
      <w:r w:rsidRPr="00841F39">
        <w:rPr>
          <w:b/>
          <w:sz w:val="24"/>
          <w:szCs w:val="24"/>
        </w:rPr>
        <w:tab/>
      </w:r>
      <w:r w:rsidRPr="00841F39">
        <w:rPr>
          <w:b/>
          <w:sz w:val="24"/>
          <w:szCs w:val="24"/>
        </w:rPr>
        <w:tab/>
      </w:r>
      <w:r w:rsidRPr="00841F39">
        <w:rPr>
          <w:b/>
          <w:sz w:val="24"/>
          <w:szCs w:val="24"/>
        </w:rPr>
        <w:tab/>
      </w:r>
      <w:r w:rsidRPr="00841F39">
        <w:rPr>
          <w:b/>
          <w:sz w:val="24"/>
          <w:szCs w:val="24"/>
        </w:rPr>
        <w:tab/>
      </w:r>
      <w:r w:rsidRPr="00841F39">
        <w:rPr>
          <w:b/>
          <w:sz w:val="24"/>
          <w:szCs w:val="24"/>
        </w:rPr>
        <w:tab/>
      </w:r>
      <w:r w:rsidRPr="00841F39">
        <w:rPr>
          <w:b/>
          <w:sz w:val="24"/>
          <w:szCs w:val="24"/>
        </w:rPr>
        <w:tab/>
      </w:r>
      <w:r w:rsidRPr="002E22F7">
        <w:rPr>
          <w:b/>
          <w:sz w:val="24"/>
          <w:szCs w:val="24"/>
        </w:rPr>
        <w:t xml:space="preserve">           Page</w:t>
      </w:r>
    </w:p>
    <w:p w:rsidR="009F18C6" w:rsidRPr="00841F39" w:rsidRDefault="009F18C6" w:rsidP="009F18C6">
      <w:pPr>
        <w:spacing w:after="0" w:line="240" w:lineRule="auto"/>
        <w:rPr>
          <w:b/>
          <w:sz w:val="24"/>
          <w:szCs w:val="24"/>
        </w:rPr>
      </w:pPr>
      <w:r w:rsidRPr="00841F39">
        <w:rPr>
          <w:b/>
          <w:sz w:val="24"/>
          <w:szCs w:val="24"/>
        </w:rPr>
        <w:t>1. Data: Sources</w:t>
      </w:r>
      <w:r w:rsidRPr="00841F39">
        <w:rPr>
          <w:rFonts w:eastAsia="Times New Roman" w:cs="Times New Roman"/>
          <w:b/>
          <w:sz w:val="24"/>
          <w:szCs w:val="24"/>
        </w:rPr>
        <w:t xml:space="preserve"> and definitions</w:t>
      </w:r>
    </w:p>
    <w:p w:rsidR="009F18C6" w:rsidRPr="002E22F7" w:rsidRDefault="009F18C6" w:rsidP="009F18C6">
      <w:pPr>
        <w:spacing w:after="0" w:line="240" w:lineRule="auto"/>
        <w:rPr>
          <w:rFonts w:eastAsia="Times New Roman" w:cs="Times New Roman"/>
          <w:b/>
        </w:rPr>
      </w:pPr>
      <w:r w:rsidRPr="002E22F7">
        <w:rPr>
          <w:b/>
        </w:rPr>
        <w:tab/>
      </w:r>
      <w:r w:rsidRPr="002E22F7">
        <w:rPr>
          <w:rFonts w:eastAsia="Times New Roman" w:cs="Times New Roman"/>
          <w:b/>
        </w:rPr>
        <w:t>1.1 Liberty bond subscription rates</w:t>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t>A</w:t>
      </w:r>
      <w:r w:rsidR="00206038">
        <w:rPr>
          <w:rFonts w:eastAsia="Times New Roman" w:cs="Times New Roman"/>
          <w:b/>
        </w:rPr>
        <w:t>1</w:t>
      </w:r>
    </w:p>
    <w:p w:rsidR="009F18C6" w:rsidRPr="002E22F7" w:rsidRDefault="009F18C6" w:rsidP="009F18C6">
      <w:pPr>
        <w:spacing w:after="0" w:line="240" w:lineRule="auto"/>
        <w:rPr>
          <w:rFonts w:eastAsia="Times New Roman" w:cs="Times New Roman"/>
          <w:b/>
        </w:rPr>
      </w:pPr>
      <w:r w:rsidRPr="002E22F7">
        <w:rPr>
          <w:b/>
        </w:rPr>
        <w:tab/>
      </w:r>
      <w:r w:rsidRPr="002E22F7">
        <w:rPr>
          <w:rFonts w:eastAsia="Times New Roman" w:cs="Times New Roman"/>
          <w:b/>
        </w:rPr>
        <w:t>1.2 Voting outcomes</w:t>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r>
      <w:r w:rsidRPr="002E22F7">
        <w:rPr>
          <w:rFonts w:eastAsia="Times New Roman" w:cs="Times New Roman"/>
          <w:b/>
        </w:rPr>
        <w:tab/>
        <w:t>A</w:t>
      </w:r>
      <w:r w:rsidR="00206038">
        <w:rPr>
          <w:rFonts w:eastAsia="Times New Roman" w:cs="Times New Roman"/>
          <w:b/>
        </w:rPr>
        <w:t>2</w:t>
      </w:r>
    </w:p>
    <w:p w:rsidR="009F18C6" w:rsidRPr="002E22F7" w:rsidRDefault="009F18C6" w:rsidP="009F18C6">
      <w:pPr>
        <w:spacing w:after="0" w:line="240" w:lineRule="auto"/>
        <w:rPr>
          <w:rFonts w:cs="Times New Roman"/>
          <w:b/>
        </w:rPr>
      </w:pPr>
      <w:r w:rsidRPr="002E22F7">
        <w:rPr>
          <w:b/>
        </w:rPr>
        <w:tab/>
      </w:r>
      <w:r w:rsidRPr="002E22F7">
        <w:rPr>
          <w:rFonts w:cs="Times New Roman"/>
          <w:b/>
        </w:rPr>
        <w:t>1.3 County characteristics</w:t>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t>A</w:t>
      </w:r>
      <w:r w:rsidR="00206038">
        <w:rPr>
          <w:rFonts w:cs="Times New Roman"/>
          <w:b/>
        </w:rPr>
        <w:t>2</w:t>
      </w:r>
    </w:p>
    <w:p w:rsidR="009F18C6" w:rsidRPr="002E22F7" w:rsidRDefault="009F18C6" w:rsidP="009F18C6">
      <w:pPr>
        <w:rPr>
          <w:rFonts w:cs="Times New Roman"/>
          <w:b/>
        </w:rPr>
      </w:pPr>
      <w:r w:rsidRPr="002E22F7">
        <w:rPr>
          <w:rFonts w:cs="Times New Roman"/>
          <w:b/>
        </w:rPr>
        <w:tab/>
        <w:t>1.4 Distance to camps instrument</w:t>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t>A</w:t>
      </w:r>
      <w:r w:rsidR="00206038">
        <w:rPr>
          <w:rFonts w:cs="Times New Roman"/>
          <w:b/>
        </w:rPr>
        <w:t>3</w:t>
      </w:r>
    </w:p>
    <w:p w:rsidR="009F18C6" w:rsidRPr="002E22F7" w:rsidRDefault="009F18C6" w:rsidP="009F18C6">
      <w:pPr>
        <w:spacing w:after="0" w:line="240" w:lineRule="auto"/>
        <w:rPr>
          <w:b/>
          <w:sz w:val="24"/>
          <w:szCs w:val="24"/>
        </w:rPr>
      </w:pPr>
      <w:r w:rsidRPr="002E22F7">
        <w:rPr>
          <w:b/>
          <w:sz w:val="24"/>
          <w:szCs w:val="24"/>
        </w:rPr>
        <w:t>2. Campaign advertisements, editorials:  Examples</w:t>
      </w:r>
      <w:r w:rsidRPr="002E22F7">
        <w:rPr>
          <w:b/>
          <w:sz w:val="24"/>
          <w:szCs w:val="24"/>
        </w:rPr>
        <w:tab/>
      </w:r>
      <w:r w:rsidRPr="002E22F7">
        <w:rPr>
          <w:b/>
          <w:sz w:val="24"/>
          <w:szCs w:val="24"/>
        </w:rPr>
        <w:tab/>
      </w:r>
      <w:r w:rsidRPr="002E22F7">
        <w:rPr>
          <w:b/>
          <w:sz w:val="24"/>
          <w:szCs w:val="24"/>
        </w:rPr>
        <w:tab/>
      </w:r>
      <w:r w:rsidRPr="002E22F7">
        <w:rPr>
          <w:b/>
          <w:sz w:val="24"/>
          <w:szCs w:val="24"/>
        </w:rPr>
        <w:tab/>
      </w:r>
      <w:r w:rsidRPr="002E22F7">
        <w:rPr>
          <w:b/>
          <w:sz w:val="24"/>
          <w:szCs w:val="24"/>
        </w:rPr>
        <w:tab/>
      </w:r>
      <w:r w:rsidRPr="002E22F7">
        <w:rPr>
          <w:b/>
          <w:szCs w:val="24"/>
        </w:rPr>
        <w:t>A</w:t>
      </w:r>
      <w:r w:rsidR="00206038">
        <w:rPr>
          <w:b/>
          <w:szCs w:val="24"/>
        </w:rPr>
        <w:t>3</w:t>
      </w:r>
    </w:p>
    <w:p w:rsidR="009F18C6" w:rsidRPr="002E22F7" w:rsidRDefault="009F18C6" w:rsidP="009F18C6">
      <w:pPr>
        <w:spacing w:after="0" w:line="240" w:lineRule="auto"/>
        <w:rPr>
          <w:b/>
        </w:rPr>
      </w:pPr>
    </w:p>
    <w:p w:rsidR="009F18C6" w:rsidRPr="002E22F7" w:rsidRDefault="009F18C6" w:rsidP="009F18C6">
      <w:pPr>
        <w:spacing w:after="0" w:line="240" w:lineRule="auto"/>
        <w:rPr>
          <w:b/>
          <w:sz w:val="24"/>
          <w:szCs w:val="24"/>
        </w:rPr>
      </w:pPr>
      <w:r w:rsidRPr="002E22F7">
        <w:rPr>
          <w:b/>
          <w:sz w:val="24"/>
          <w:szCs w:val="24"/>
        </w:rPr>
        <w:t>3. Analysis: Additional details and results</w:t>
      </w:r>
    </w:p>
    <w:p w:rsidR="009F18C6" w:rsidRPr="002E22F7" w:rsidRDefault="009F18C6" w:rsidP="009F18C6">
      <w:pPr>
        <w:spacing w:after="0" w:line="240" w:lineRule="auto"/>
        <w:rPr>
          <w:b/>
        </w:rPr>
      </w:pPr>
      <w:r w:rsidRPr="002E22F7">
        <w:rPr>
          <w:b/>
        </w:rPr>
        <w:tab/>
        <w:t xml:space="preserve">3.1 Cumulative returns </w:t>
      </w:r>
      <w:r w:rsidR="00277B33">
        <w:rPr>
          <w:b/>
        </w:rPr>
        <w:t>of liberty bonds</w:t>
      </w:r>
      <w:r w:rsidRPr="002E22F7">
        <w:rPr>
          <w:b/>
        </w:rPr>
        <w:tab/>
      </w:r>
      <w:r w:rsidRPr="002E22F7">
        <w:rPr>
          <w:b/>
        </w:rPr>
        <w:tab/>
      </w:r>
      <w:r w:rsidRPr="002E22F7">
        <w:rPr>
          <w:b/>
        </w:rPr>
        <w:tab/>
      </w:r>
      <w:r w:rsidRPr="002E22F7">
        <w:rPr>
          <w:b/>
        </w:rPr>
        <w:tab/>
      </w:r>
      <w:r w:rsidRPr="002E22F7">
        <w:rPr>
          <w:b/>
        </w:rPr>
        <w:tab/>
      </w:r>
      <w:r w:rsidRPr="002E22F7">
        <w:rPr>
          <w:b/>
        </w:rPr>
        <w:tab/>
        <w:t>A</w:t>
      </w:r>
      <w:r w:rsidR="00206038">
        <w:rPr>
          <w:b/>
        </w:rPr>
        <w:t>6</w:t>
      </w:r>
    </w:p>
    <w:p w:rsidR="009F18C6" w:rsidRPr="002E22F7" w:rsidRDefault="009F18C6" w:rsidP="009F18C6">
      <w:pPr>
        <w:spacing w:after="0" w:line="240" w:lineRule="auto"/>
        <w:ind w:left="720" w:hanging="720"/>
        <w:rPr>
          <w:rFonts w:cs="Times New Roman"/>
          <w:b/>
        </w:rPr>
      </w:pPr>
      <w:r w:rsidRPr="002E22F7">
        <w:rPr>
          <w:b/>
        </w:rPr>
        <w:tab/>
      </w:r>
      <w:r w:rsidRPr="002E22F7">
        <w:rPr>
          <w:rFonts w:cs="Times New Roman"/>
          <w:b/>
        </w:rPr>
        <w:t>3.2 Including additional liberty bond issues in the analysis</w:t>
      </w:r>
      <w:r w:rsidRPr="002E22F7">
        <w:rPr>
          <w:rFonts w:cs="Times New Roman"/>
          <w:b/>
        </w:rPr>
        <w:tab/>
      </w:r>
      <w:r w:rsidRPr="002E22F7">
        <w:rPr>
          <w:rFonts w:cs="Times New Roman"/>
          <w:b/>
        </w:rPr>
        <w:tab/>
      </w:r>
      <w:r w:rsidRPr="002E22F7">
        <w:rPr>
          <w:rFonts w:cs="Times New Roman"/>
          <w:b/>
        </w:rPr>
        <w:tab/>
      </w:r>
      <w:r w:rsidRPr="002E22F7">
        <w:rPr>
          <w:rFonts w:cs="Times New Roman"/>
          <w:b/>
        </w:rPr>
        <w:tab/>
        <w:t>A</w:t>
      </w:r>
      <w:r w:rsidR="00206038">
        <w:rPr>
          <w:rFonts w:cs="Times New Roman"/>
          <w:b/>
        </w:rPr>
        <w:t>6</w:t>
      </w:r>
    </w:p>
    <w:p w:rsidR="009F18C6" w:rsidRDefault="009F18C6" w:rsidP="009F18C6">
      <w:pPr>
        <w:spacing w:after="0" w:line="240" w:lineRule="auto"/>
        <w:rPr>
          <w:rFonts w:cs="Times New Roman"/>
          <w:b/>
        </w:rPr>
      </w:pPr>
      <w:r w:rsidRPr="002E22F7">
        <w:rPr>
          <w:b/>
        </w:rPr>
        <w:tab/>
      </w:r>
      <w:r w:rsidRPr="002E22F7">
        <w:rPr>
          <w:rFonts w:cs="Times New Roman"/>
          <w:b/>
        </w:rPr>
        <w:t>3.3 Wheat price controls and the 1920 election</w:t>
      </w:r>
      <w:r w:rsidRPr="002E22F7">
        <w:rPr>
          <w:rFonts w:cs="Times New Roman"/>
          <w:b/>
        </w:rPr>
        <w:tab/>
      </w:r>
      <w:r w:rsidRPr="002E22F7">
        <w:rPr>
          <w:rFonts w:cs="Times New Roman"/>
          <w:b/>
        </w:rPr>
        <w:tab/>
      </w:r>
      <w:r w:rsidRPr="002E22F7">
        <w:rPr>
          <w:rFonts w:cs="Times New Roman"/>
          <w:b/>
        </w:rPr>
        <w:tab/>
      </w:r>
      <w:r w:rsidRPr="002E22F7">
        <w:rPr>
          <w:rFonts w:cs="Times New Roman"/>
          <w:b/>
        </w:rPr>
        <w:tab/>
      </w:r>
      <w:r w:rsidRPr="002E22F7">
        <w:rPr>
          <w:rFonts w:cs="Times New Roman"/>
          <w:b/>
        </w:rPr>
        <w:tab/>
        <w:t>A</w:t>
      </w:r>
      <w:r w:rsidR="00206038">
        <w:rPr>
          <w:rFonts w:cs="Times New Roman"/>
          <w:b/>
        </w:rPr>
        <w:t>8</w:t>
      </w:r>
    </w:p>
    <w:p w:rsidR="009F18C6" w:rsidRDefault="009F18C6" w:rsidP="009F18C6">
      <w:pPr>
        <w:spacing w:after="0" w:line="240" w:lineRule="auto"/>
        <w:rPr>
          <w:rFonts w:cs="Times New Roman"/>
          <w:b/>
        </w:rPr>
      </w:pPr>
      <w:r>
        <w:rPr>
          <w:rFonts w:cs="Times New Roman"/>
          <w:b/>
        </w:rPr>
        <w:tab/>
        <w:t>3.4 Effect of the German born on election outcomes</w:t>
      </w:r>
      <w:r>
        <w:rPr>
          <w:rFonts w:cs="Times New Roman"/>
          <w:b/>
        </w:rPr>
        <w:tab/>
      </w:r>
      <w:r>
        <w:rPr>
          <w:rFonts w:cs="Times New Roman"/>
          <w:b/>
        </w:rPr>
        <w:tab/>
      </w:r>
      <w:r>
        <w:rPr>
          <w:rFonts w:cs="Times New Roman"/>
          <w:b/>
        </w:rPr>
        <w:tab/>
      </w:r>
      <w:r>
        <w:rPr>
          <w:rFonts w:cs="Times New Roman"/>
          <w:b/>
        </w:rPr>
        <w:tab/>
      </w:r>
      <w:r>
        <w:rPr>
          <w:rFonts w:cs="Times New Roman"/>
          <w:b/>
        </w:rPr>
        <w:tab/>
        <w:t>A</w:t>
      </w:r>
      <w:r w:rsidR="0078345C">
        <w:rPr>
          <w:rFonts w:cs="Times New Roman"/>
          <w:b/>
        </w:rPr>
        <w:t>8</w:t>
      </w:r>
    </w:p>
    <w:p w:rsidR="00117D42" w:rsidRDefault="00117D42" w:rsidP="00117D42">
      <w:pPr>
        <w:spacing w:after="0" w:line="240" w:lineRule="auto"/>
        <w:rPr>
          <w:rFonts w:cs="Times New Roman"/>
          <w:b/>
        </w:rPr>
      </w:pPr>
      <w:r>
        <w:rPr>
          <w:rFonts w:cs="Times New Roman"/>
          <w:b/>
        </w:rPr>
        <w:tab/>
        <w:t xml:space="preserve">3.5 Effects of women’s suffrage in 1920 </w:t>
      </w:r>
      <w:r w:rsidR="0078345C">
        <w:rPr>
          <w:rFonts w:cs="Times New Roman"/>
          <w:b/>
        </w:rPr>
        <w:tab/>
      </w:r>
      <w:r w:rsidR="0078345C">
        <w:rPr>
          <w:rFonts w:cs="Times New Roman"/>
          <w:b/>
        </w:rPr>
        <w:tab/>
      </w:r>
      <w:r w:rsidR="0078345C">
        <w:rPr>
          <w:rFonts w:cs="Times New Roman"/>
          <w:b/>
        </w:rPr>
        <w:tab/>
      </w:r>
      <w:r w:rsidR="0078345C">
        <w:rPr>
          <w:rFonts w:cs="Times New Roman"/>
          <w:b/>
        </w:rPr>
        <w:tab/>
      </w:r>
      <w:r w:rsidR="0078345C">
        <w:rPr>
          <w:rFonts w:cs="Times New Roman"/>
          <w:b/>
        </w:rPr>
        <w:tab/>
      </w:r>
      <w:r w:rsidR="0078345C">
        <w:rPr>
          <w:rFonts w:cs="Times New Roman"/>
          <w:b/>
        </w:rPr>
        <w:tab/>
        <w:t>A9</w:t>
      </w:r>
    </w:p>
    <w:p w:rsidR="009F18C6" w:rsidRDefault="009F18C6" w:rsidP="009F18C6">
      <w:pPr>
        <w:spacing w:after="0" w:line="240" w:lineRule="auto"/>
        <w:rPr>
          <w:rFonts w:cs="Times New Roman"/>
          <w:b/>
          <w:i/>
        </w:rPr>
      </w:pPr>
      <w:r w:rsidRPr="002E22F7">
        <w:rPr>
          <w:rFonts w:cs="Times New Roman"/>
          <w:b/>
        </w:rPr>
        <w:tab/>
        <w:t>3.</w:t>
      </w:r>
      <w:r w:rsidR="00117D42">
        <w:rPr>
          <w:rFonts w:cs="Times New Roman"/>
          <w:b/>
        </w:rPr>
        <w:t>6</w:t>
      </w:r>
      <w:r w:rsidRPr="002E22F7">
        <w:rPr>
          <w:rFonts w:cs="Times New Roman"/>
          <w:b/>
        </w:rPr>
        <w:t xml:space="preserve"> Evidence of influenza’s effect on fourth loan from the </w:t>
      </w:r>
      <w:r w:rsidRPr="002E22F7">
        <w:rPr>
          <w:rFonts w:cs="Times New Roman"/>
          <w:b/>
          <w:i/>
        </w:rPr>
        <w:t>New York Times</w:t>
      </w:r>
      <w:r w:rsidRPr="002E22F7">
        <w:rPr>
          <w:rFonts w:cs="Times New Roman"/>
          <w:b/>
          <w:i/>
        </w:rPr>
        <w:tab/>
      </w:r>
      <w:r w:rsidR="0078345C">
        <w:rPr>
          <w:rFonts w:cs="Times New Roman"/>
          <w:b/>
          <w:i/>
        </w:rPr>
        <w:tab/>
      </w:r>
      <w:r w:rsidR="0078345C">
        <w:rPr>
          <w:rFonts w:cs="Times New Roman"/>
          <w:b/>
          <w:iCs/>
        </w:rPr>
        <w:t>A11</w:t>
      </w:r>
      <w:r w:rsidRPr="002E22F7">
        <w:rPr>
          <w:rFonts w:cs="Times New Roman"/>
          <w:b/>
          <w:i/>
        </w:rPr>
        <w:tab/>
      </w:r>
    </w:p>
    <w:p w:rsidR="00ED7A56" w:rsidRDefault="00ED7A56" w:rsidP="009F18C6">
      <w:pPr>
        <w:spacing w:after="0" w:line="240" w:lineRule="auto"/>
        <w:rPr>
          <w:rFonts w:cs="Times New Roman"/>
          <w:b/>
        </w:rPr>
      </w:pPr>
      <w:r>
        <w:rPr>
          <w:rFonts w:cs="Times New Roman"/>
          <w:b/>
        </w:rPr>
        <w:t xml:space="preserve">             </w:t>
      </w:r>
      <w:r w:rsidRPr="002E22F7">
        <w:rPr>
          <w:rFonts w:cs="Times New Roman"/>
          <w:b/>
        </w:rPr>
        <w:t>3.</w:t>
      </w:r>
      <w:r>
        <w:rPr>
          <w:rFonts w:cs="Times New Roman"/>
          <w:b/>
        </w:rPr>
        <w:t>7</w:t>
      </w:r>
      <w:r w:rsidRPr="002E22F7">
        <w:rPr>
          <w:rFonts w:cs="Times New Roman"/>
          <w:b/>
        </w:rPr>
        <w:t xml:space="preserve"> </w:t>
      </w:r>
      <w:r>
        <w:rPr>
          <w:rFonts w:cs="Times New Roman"/>
          <w:b/>
        </w:rPr>
        <w:t xml:space="preserve">OLS </w:t>
      </w:r>
      <w:r w:rsidRPr="002E22F7">
        <w:rPr>
          <w:rFonts w:cs="Times New Roman"/>
          <w:b/>
        </w:rPr>
        <w:t>results with election-by-election interactions</w:t>
      </w:r>
      <w:r w:rsidRPr="002E22F7">
        <w:rPr>
          <w:rFonts w:cs="Times New Roman"/>
          <w:b/>
          <w:i/>
        </w:rPr>
        <w:tab/>
      </w:r>
      <w:r>
        <w:rPr>
          <w:rFonts w:cs="Times New Roman"/>
          <w:b/>
          <w:i/>
        </w:rPr>
        <w:tab/>
      </w:r>
      <w:r>
        <w:rPr>
          <w:rFonts w:cs="Times New Roman"/>
          <w:b/>
          <w:i/>
        </w:rPr>
        <w:t xml:space="preserve">  </w:t>
      </w:r>
      <w:r>
        <w:rPr>
          <w:rFonts w:cs="Times New Roman"/>
          <w:b/>
          <w:i/>
        </w:rPr>
        <w:tab/>
      </w:r>
      <w:r>
        <w:rPr>
          <w:rFonts w:cs="Times New Roman"/>
          <w:b/>
          <w:i/>
        </w:rPr>
        <w:tab/>
      </w:r>
      <w:r>
        <w:rPr>
          <w:rFonts w:cs="Times New Roman"/>
          <w:b/>
          <w:i/>
        </w:rPr>
        <w:tab/>
      </w:r>
      <w:r>
        <w:rPr>
          <w:rFonts w:cs="Times New Roman"/>
          <w:b/>
          <w:iCs/>
        </w:rPr>
        <w:t>A11</w:t>
      </w:r>
    </w:p>
    <w:p w:rsidR="00277B33" w:rsidRDefault="00277B33" w:rsidP="009F18C6">
      <w:pPr>
        <w:spacing w:after="0" w:line="240" w:lineRule="auto"/>
        <w:rPr>
          <w:rFonts w:cs="Times New Roman"/>
          <w:b/>
        </w:rPr>
      </w:pPr>
    </w:p>
    <w:p w:rsidR="00277B33" w:rsidRPr="00ED7A56" w:rsidRDefault="00277B33" w:rsidP="009F18C6">
      <w:pPr>
        <w:spacing w:after="0" w:line="240" w:lineRule="auto"/>
        <w:rPr>
          <w:rFonts w:cs="Times New Roman"/>
          <w:b/>
          <w:sz w:val="24"/>
          <w:szCs w:val="24"/>
        </w:rPr>
      </w:pPr>
      <w:r w:rsidRPr="00ED7A56">
        <w:rPr>
          <w:rFonts w:cs="Times New Roman"/>
          <w:b/>
          <w:sz w:val="24"/>
          <w:szCs w:val="24"/>
        </w:rPr>
        <w:t>4. The IV: further details and robustness</w:t>
      </w:r>
    </w:p>
    <w:p w:rsidR="00E51F38" w:rsidRPr="002E22F7" w:rsidRDefault="00277B33" w:rsidP="00E51F38">
      <w:pPr>
        <w:spacing w:after="0" w:line="240" w:lineRule="auto"/>
        <w:ind w:firstLine="720"/>
        <w:jc w:val="both"/>
        <w:rPr>
          <w:rFonts w:cs="Times New Roman"/>
          <w:b/>
        </w:rPr>
      </w:pPr>
      <w:r>
        <w:rPr>
          <w:rFonts w:cs="Times New Roman"/>
          <w:b/>
        </w:rPr>
        <w:t>4.1</w:t>
      </w:r>
      <w:r w:rsidR="00E51F38" w:rsidRPr="002E22F7">
        <w:rPr>
          <w:rFonts w:cs="Times New Roman"/>
          <w:b/>
        </w:rPr>
        <w:t xml:space="preserve"> </w:t>
      </w:r>
      <w:r w:rsidR="00E51F38">
        <w:rPr>
          <w:rFonts w:cs="Times New Roman"/>
          <w:b/>
        </w:rPr>
        <w:t>Reduced form results</w:t>
      </w:r>
      <w:r w:rsidR="00E51F38">
        <w:rPr>
          <w:rFonts w:cs="Times New Roman"/>
          <w:b/>
        </w:rPr>
        <w:tab/>
      </w:r>
      <w:r w:rsidR="00E51F38">
        <w:rPr>
          <w:rFonts w:cs="Times New Roman"/>
          <w:b/>
        </w:rPr>
        <w:tab/>
      </w:r>
      <w:r w:rsidR="00E51F38">
        <w:rPr>
          <w:rFonts w:cs="Times New Roman"/>
          <w:b/>
        </w:rPr>
        <w:tab/>
      </w:r>
      <w:r w:rsidR="00E51F38" w:rsidRPr="002E22F7">
        <w:rPr>
          <w:rFonts w:cs="Times New Roman"/>
          <w:b/>
        </w:rPr>
        <w:tab/>
      </w:r>
      <w:r w:rsidR="00E51F38" w:rsidRPr="002E22F7">
        <w:rPr>
          <w:rFonts w:cs="Times New Roman"/>
          <w:b/>
        </w:rPr>
        <w:tab/>
      </w:r>
      <w:r w:rsidR="00E51F38" w:rsidRPr="002E22F7">
        <w:rPr>
          <w:rFonts w:cs="Times New Roman"/>
          <w:b/>
        </w:rPr>
        <w:tab/>
      </w:r>
      <w:r w:rsidR="00E51F38" w:rsidRPr="002E22F7">
        <w:rPr>
          <w:rFonts w:cs="Times New Roman"/>
          <w:b/>
        </w:rPr>
        <w:tab/>
        <w:t xml:space="preserve">           </w:t>
      </w:r>
      <w:r w:rsidR="00E51F38" w:rsidRPr="002E22F7">
        <w:rPr>
          <w:rFonts w:cs="Times New Roman"/>
          <w:b/>
        </w:rPr>
        <w:tab/>
      </w:r>
      <w:r w:rsidR="00ED7A56">
        <w:rPr>
          <w:rFonts w:cs="Times New Roman"/>
          <w:b/>
        </w:rPr>
        <w:t>A13</w:t>
      </w:r>
    </w:p>
    <w:p w:rsidR="009F18C6" w:rsidRDefault="009F18C6" w:rsidP="009F18C6">
      <w:pPr>
        <w:spacing w:after="0" w:line="240" w:lineRule="auto"/>
        <w:jc w:val="both"/>
        <w:rPr>
          <w:rFonts w:cs="Times New Roman"/>
          <w:b/>
        </w:rPr>
      </w:pPr>
      <w:r w:rsidRPr="002E22F7">
        <w:rPr>
          <w:rFonts w:cs="Times New Roman"/>
          <w:b/>
        </w:rPr>
        <w:tab/>
      </w:r>
      <w:r w:rsidR="00277B33">
        <w:rPr>
          <w:rFonts w:cs="Times New Roman"/>
          <w:b/>
        </w:rPr>
        <w:t>4.2</w:t>
      </w:r>
      <w:r w:rsidRPr="002E22F7">
        <w:rPr>
          <w:rFonts w:cs="Times New Roman"/>
          <w:b/>
        </w:rPr>
        <w:t xml:space="preserve"> IV results with election-by-election interactions</w:t>
      </w:r>
      <w:r w:rsidRPr="002E22F7">
        <w:rPr>
          <w:rFonts w:cs="Times New Roman"/>
          <w:b/>
        </w:rPr>
        <w:tab/>
      </w:r>
      <w:r w:rsidRPr="002E22F7">
        <w:rPr>
          <w:rFonts w:cs="Times New Roman"/>
          <w:b/>
        </w:rPr>
        <w:tab/>
      </w:r>
      <w:r w:rsidRPr="002E22F7">
        <w:rPr>
          <w:rFonts w:cs="Times New Roman"/>
          <w:b/>
        </w:rPr>
        <w:tab/>
      </w:r>
      <w:r w:rsidRPr="002E22F7">
        <w:rPr>
          <w:rFonts w:cs="Times New Roman"/>
          <w:b/>
        </w:rPr>
        <w:tab/>
        <w:t xml:space="preserve">           </w:t>
      </w:r>
      <w:r w:rsidRPr="002E22F7">
        <w:rPr>
          <w:rFonts w:cs="Times New Roman"/>
          <w:b/>
        </w:rPr>
        <w:tab/>
      </w:r>
      <w:r w:rsidR="00ED7A56">
        <w:rPr>
          <w:rFonts w:cs="Times New Roman"/>
          <w:b/>
        </w:rPr>
        <w:t>A13</w:t>
      </w:r>
    </w:p>
    <w:p w:rsidR="00BF5E94" w:rsidRDefault="00BF5E94" w:rsidP="009F18C6">
      <w:pPr>
        <w:spacing w:after="0" w:line="240" w:lineRule="auto"/>
        <w:jc w:val="both"/>
        <w:rPr>
          <w:rFonts w:cs="Times New Roman"/>
          <w:b/>
        </w:rPr>
      </w:pPr>
      <w:r>
        <w:rPr>
          <w:rFonts w:cs="Times New Roman"/>
          <w:b/>
        </w:rPr>
        <w:tab/>
        <w:t>4.3 IV results with the west dropped from the sample</w:t>
      </w:r>
      <w:r w:rsidR="00ED7A56">
        <w:rPr>
          <w:rFonts w:cs="Times New Roman"/>
          <w:b/>
        </w:rPr>
        <w:tab/>
      </w:r>
      <w:r w:rsidR="00ED7A56">
        <w:rPr>
          <w:rFonts w:cs="Times New Roman"/>
          <w:b/>
        </w:rPr>
        <w:tab/>
      </w:r>
      <w:r w:rsidR="00ED7A56">
        <w:rPr>
          <w:rFonts w:cs="Times New Roman"/>
          <w:b/>
        </w:rPr>
        <w:tab/>
      </w:r>
      <w:r w:rsidR="00ED7A56">
        <w:rPr>
          <w:rFonts w:cs="Times New Roman"/>
          <w:b/>
        </w:rPr>
        <w:tab/>
      </w:r>
      <w:r w:rsidR="00ED7A56">
        <w:rPr>
          <w:rFonts w:cs="Times New Roman"/>
          <w:b/>
        </w:rPr>
        <w:tab/>
        <w:t>A16</w:t>
      </w:r>
    </w:p>
    <w:p w:rsidR="0078345C" w:rsidRDefault="0078345C" w:rsidP="009F18C6">
      <w:pPr>
        <w:spacing w:after="0" w:line="240" w:lineRule="auto"/>
        <w:jc w:val="both"/>
        <w:rPr>
          <w:rFonts w:cs="Times New Roman"/>
          <w:b/>
        </w:rPr>
      </w:pPr>
      <w:r>
        <w:rPr>
          <w:rFonts w:cs="Times New Roman"/>
          <w:b/>
        </w:rPr>
        <w:tab/>
        <w:t>4.4 IV results with the sample restricted to counti</w:t>
      </w:r>
      <w:r w:rsidR="00ED7A56">
        <w:rPr>
          <w:rFonts w:cs="Times New Roman"/>
          <w:b/>
        </w:rPr>
        <w:t>es close to a military base</w:t>
      </w:r>
      <w:r w:rsidR="00ED7A56">
        <w:rPr>
          <w:rFonts w:cs="Times New Roman"/>
          <w:b/>
        </w:rPr>
        <w:tab/>
      </w:r>
      <w:r w:rsidR="00ED7A56">
        <w:rPr>
          <w:rFonts w:cs="Times New Roman"/>
          <w:b/>
        </w:rPr>
        <w:tab/>
        <w:t>A17</w:t>
      </w:r>
    </w:p>
    <w:p w:rsidR="00BF5E94" w:rsidRDefault="00BF5E94" w:rsidP="009F18C6">
      <w:pPr>
        <w:spacing w:after="0" w:line="240" w:lineRule="auto"/>
        <w:jc w:val="both"/>
        <w:rPr>
          <w:rFonts w:cs="Times New Roman"/>
          <w:b/>
        </w:rPr>
      </w:pPr>
      <w:r>
        <w:rPr>
          <w:rFonts w:cs="Times New Roman"/>
          <w:b/>
        </w:rPr>
        <w:tab/>
        <w:t>4.</w:t>
      </w:r>
      <w:r w:rsidR="00540FD1">
        <w:rPr>
          <w:rFonts w:cs="Times New Roman"/>
          <w:b/>
        </w:rPr>
        <w:t xml:space="preserve">5 </w:t>
      </w:r>
      <w:r w:rsidR="00733CBB">
        <w:rPr>
          <w:rFonts w:cs="Times New Roman"/>
          <w:b/>
        </w:rPr>
        <w:t>Alternative instruments</w:t>
      </w:r>
      <w:r w:rsidR="00733CBB">
        <w:rPr>
          <w:rFonts w:cs="Times New Roman"/>
          <w:b/>
        </w:rPr>
        <w:tab/>
      </w:r>
      <w:r w:rsidR="00733CBB">
        <w:rPr>
          <w:rFonts w:cs="Times New Roman"/>
          <w:b/>
        </w:rPr>
        <w:tab/>
      </w:r>
      <w:r w:rsidR="00733CBB">
        <w:rPr>
          <w:rFonts w:cs="Times New Roman"/>
          <w:b/>
        </w:rPr>
        <w:tab/>
      </w:r>
      <w:r w:rsidR="00733CBB">
        <w:rPr>
          <w:rFonts w:cs="Times New Roman"/>
          <w:b/>
        </w:rPr>
        <w:tab/>
      </w:r>
      <w:r w:rsidR="00733CBB">
        <w:rPr>
          <w:rFonts w:cs="Times New Roman"/>
          <w:b/>
        </w:rPr>
        <w:tab/>
      </w:r>
      <w:r w:rsidR="00733CBB">
        <w:rPr>
          <w:rFonts w:cs="Times New Roman"/>
          <w:b/>
        </w:rPr>
        <w:tab/>
      </w:r>
      <w:r w:rsidR="00ED7A56">
        <w:rPr>
          <w:rFonts w:cs="Times New Roman"/>
          <w:b/>
        </w:rPr>
        <w:tab/>
      </w:r>
      <w:r w:rsidR="00ED7A56">
        <w:rPr>
          <w:rFonts w:cs="Times New Roman"/>
          <w:b/>
        </w:rPr>
        <w:tab/>
        <w:t>A18</w:t>
      </w:r>
    </w:p>
    <w:p w:rsidR="00277B33" w:rsidRDefault="00277B33" w:rsidP="009F18C6">
      <w:pPr>
        <w:spacing w:after="0" w:line="240" w:lineRule="auto"/>
        <w:jc w:val="both"/>
        <w:rPr>
          <w:rFonts w:cs="Times New Roman"/>
          <w:b/>
        </w:rPr>
      </w:pPr>
    </w:p>
    <w:p w:rsidR="00277B33" w:rsidRPr="002E22F7" w:rsidRDefault="00277B33" w:rsidP="009F18C6">
      <w:pPr>
        <w:spacing w:after="0" w:line="240" w:lineRule="auto"/>
        <w:jc w:val="both"/>
        <w:rPr>
          <w:rFonts w:cs="Times New Roman"/>
          <w:b/>
        </w:rPr>
      </w:pPr>
      <w:r w:rsidRPr="00ED7A56">
        <w:rPr>
          <w:rFonts w:cs="Times New Roman"/>
          <w:b/>
          <w:sz w:val="24"/>
        </w:rPr>
        <w:t>5. State-level analysis</w:t>
      </w:r>
      <w:r w:rsidR="00ED7A56" w:rsidRPr="00ED7A56">
        <w:rPr>
          <w:rFonts w:cs="Times New Roman"/>
          <w:b/>
          <w:sz w:val="24"/>
        </w:rPr>
        <w:tab/>
      </w:r>
      <w:r w:rsidR="00ED7A56" w:rsidRPr="00ED7A56">
        <w:rPr>
          <w:rFonts w:cs="Times New Roman"/>
          <w:b/>
          <w:sz w:val="24"/>
        </w:rPr>
        <w:tab/>
      </w:r>
      <w:r w:rsidR="00ED7A56">
        <w:rPr>
          <w:rFonts w:cs="Times New Roman"/>
          <w:b/>
        </w:rPr>
        <w:tab/>
      </w:r>
      <w:r w:rsidR="00ED7A56">
        <w:rPr>
          <w:rFonts w:cs="Times New Roman"/>
          <w:b/>
        </w:rPr>
        <w:tab/>
      </w:r>
      <w:r w:rsidR="00ED7A56">
        <w:rPr>
          <w:rFonts w:cs="Times New Roman"/>
          <w:b/>
        </w:rPr>
        <w:tab/>
      </w:r>
      <w:r w:rsidR="00ED7A56">
        <w:rPr>
          <w:rFonts w:cs="Times New Roman"/>
          <w:b/>
        </w:rPr>
        <w:tab/>
      </w:r>
      <w:r w:rsidR="00ED7A56">
        <w:rPr>
          <w:rFonts w:cs="Times New Roman"/>
          <w:b/>
        </w:rPr>
        <w:tab/>
      </w:r>
      <w:r w:rsidR="00ED7A56">
        <w:rPr>
          <w:rFonts w:cs="Times New Roman"/>
          <w:b/>
        </w:rPr>
        <w:tab/>
      </w:r>
      <w:r w:rsidR="00ED7A56">
        <w:rPr>
          <w:rFonts w:cs="Times New Roman"/>
          <w:b/>
        </w:rPr>
        <w:tab/>
        <w:t>A22</w:t>
      </w:r>
    </w:p>
    <w:p w:rsidR="009F18C6" w:rsidRPr="002E22F7" w:rsidRDefault="009F18C6" w:rsidP="009F18C6">
      <w:pPr>
        <w:spacing w:after="0" w:line="240" w:lineRule="auto"/>
        <w:jc w:val="both"/>
        <w:rPr>
          <w:rFonts w:cs="Times New Roman"/>
          <w:b/>
        </w:rPr>
      </w:pPr>
      <w:r w:rsidRPr="002E22F7">
        <w:rPr>
          <w:rFonts w:cs="Times New Roman"/>
          <w:b/>
        </w:rPr>
        <w:tab/>
      </w:r>
      <w:r w:rsidRPr="002E22F7">
        <w:rPr>
          <w:rFonts w:cs="Times New Roman"/>
          <w:b/>
        </w:rPr>
        <w:tab/>
      </w:r>
      <w:r w:rsidRPr="002E22F7">
        <w:rPr>
          <w:rFonts w:cs="Times New Roman"/>
          <w:b/>
        </w:rPr>
        <w:tab/>
      </w:r>
      <w:r w:rsidRPr="002E22F7">
        <w:rPr>
          <w:rFonts w:cs="Times New Roman"/>
          <w:b/>
        </w:rPr>
        <w:tab/>
        <w:t xml:space="preserve">        </w:t>
      </w:r>
      <w:r w:rsidRPr="002E22F7">
        <w:rPr>
          <w:rFonts w:cs="Times New Roman"/>
          <w:b/>
        </w:rPr>
        <w:tab/>
      </w:r>
    </w:p>
    <w:p w:rsidR="009F18C6" w:rsidRPr="002E22F7" w:rsidRDefault="009F18C6" w:rsidP="009F18C6">
      <w:pPr>
        <w:spacing w:after="0" w:line="240" w:lineRule="auto"/>
        <w:jc w:val="both"/>
        <w:rPr>
          <w:rFonts w:cs="Times New Roman"/>
          <w:b/>
        </w:rPr>
      </w:pPr>
      <w:r w:rsidRPr="002E22F7">
        <w:rPr>
          <w:rFonts w:cs="Times New Roman"/>
          <w:b/>
        </w:rPr>
        <w:tab/>
      </w:r>
    </w:p>
    <w:p w:rsidR="009F18C6" w:rsidRDefault="009F18C6" w:rsidP="009F18C6">
      <w:pPr>
        <w:spacing w:after="0" w:line="240" w:lineRule="auto"/>
        <w:rPr>
          <w:b/>
        </w:rPr>
      </w:pPr>
    </w:p>
    <w:p w:rsidR="009F18C6" w:rsidRDefault="009F18C6" w:rsidP="009F18C6">
      <w:pPr>
        <w:spacing w:after="0" w:line="480" w:lineRule="auto"/>
        <w:ind w:left="720" w:hanging="720"/>
        <w:rPr>
          <w:rFonts w:eastAsia="Times New Roman" w:cs="Times New Roman"/>
        </w:rPr>
      </w:pPr>
    </w:p>
    <w:p w:rsidR="009F18C6" w:rsidRDefault="009F18C6" w:rsidP="009F18C6">
      <w:pPr>
        <w:rPr>
          <w:rFonts w:eastAsia="Times New Roman" w:cs="Times New Roman"/>
        </w:rPr>
      </w:pPr>
    </w:p>
    <w:p w:rsidR="009F18C6" w:rsidRDefault="009F18C6" w:rsidP="009F18C6">
      <w:pPr>
        <w:rPr>
          <w:rFonts w:eastAsia="Times New Roman" w:cs="Times New Roman"/>
        </w:rPr>
      </w:pPr>
    </w:p>
    <w:p w:rsidR="009F18C6" w:rsidRDefault="009F18C6" w:rsidP="009F18C6">
      <w:pPr>
        <w:rPr>
          <w:rFonts w:eastAsia="Times New Roman" w:cs="Times New Roman"/>
        </w:rPr>
      </w:pPr>
    </w:p>
    <w:p w:rsidR="009F18C6" w:rsidRPr="00841F39" w:rsidRDefault="009F18C6" w:rsidP="009F18C6">
      <w:pPr>
        <w:rPr>
          <w:rFonts w:eastAsia="Times New Roman" w:cs="Times New Roman"/>
          <w:sz w:val="24"/>
          <w:szCs w:val="24"/>
        </w:rPr>
      </w:pPr>
      <w:r>
        <w:rPr>
          <w:rFonts w:eastAsia="Times New Roman" w:cs="Times New Roman"/>
        </w:rPr>
        <w:br w:type="page"/>
      </w:r>
      <w:r w:rsidRPr="00841F39">
        <w:rPr>
          <w:b/>
          <w:sz w:val="24"/>
          <w:szCs w:val="24"/>
        </w:rPr>
        <w:lastRenderedPageBreak/>
        <w:t>1. Data: Sources</w:t>
      </w:r>
      <w:r w:rsidRPr="00841F39">
        <w:rPr>
          <w:rFonts w:eastAsia="Times New Roman" w:cs="Times New Roman"/>
          <w:b/>
          <w:sz w:val="24"/>
          <w:szCs w:val="24"/>
        </w:rPr>
        <w:t xml:space="preserve"> and definitions</w:t>
      </w:r>
    </w:p>
    <w:p w:rsidR="009F18C6" w:rsidRPr="002A4559" w:rsidRDefault="009F18C6" w:rsidP="009F18C6">
      <w:pPr>
        <w:rPr>
          <w:rFonts w:eastAsia="Times New Roman" w:cs="Times New Roman"/>
          <w:b/>
        </w:rPr>
      </w:pPr>
      <w:r w:rsidRPr="002A4559">
        <w:rPr>
          <w:rFonts w:eastAsia="Times New Roman" w:cs="Times New Roman"/>
          <w:b/>
        </w:rPr>
        <w:t>1.1 Liberty bond subscription rates</w:t>
      </w:r>
    </w:p>
    <w:p w:rsidR="009F18C6" w:rsidRDefault="009F18C6" w:rsidP="009F18C6">
      <w:pPr>
        <w:rPr>
          <w:rFonts w:eastAsia="Times New Roman" w:cs="Times New Roman"/>
        </w:rPr>
      </w:pPr>
      <w:r>
        <w:rPr>
          <w:rFonts w:eastAsia="Times New Roman" w:cs="Times New Roman"/>
        </w:rPr>
        <w:tab/>
      </w:r>
      <w:r w:rsidRPr="007F4953">
        <w:rPr>
          <w:rFonts w:eastAsia="Times New Roman" w:cs="Times New Roman"/>
        </w:rPr>
        <w:t xml:space="preserve">For the purposes of this paper, we assembled a dataset of liberty bond subscriptions at the county level for several Federal Reserve Districts from documents found in a number of different archives.  These were </w:t>
      </w:r>
      <w:r>
        <w:rPr>
          <w:rFonts w:eastAsia="Times New Roman" w:cs="Times New Roman"/>
        </w:rPr>
        <w:t xml:space="preserve">mostly pamphlets </w:t>
      </w:r>
      <w:r w:rsidRPr="007F4953">
        <w:rPr>
          <w:rFonts w:eastAsia="Times New Roman" w:cs="Times New Roman"/>
        </w:rPr>
        <w:t>published by the Federal Reserve Banks’ liberty loan committees or by state-lev</w:t>
      </w:r>
      <w:r>
        <w:rPr>
          <w:rFonts w:eastAsia="Times New Roman" w:cs="Times New Roman"/>
        </w:rPr>
        <w:t>el liberty loan committees, which were produced as part of the effort to market the victory loan.</w:t>
      </w:r>
    </w:p>
    <w:p w:rsidR="009F18C6" w:rsidRDefault="009F18C6" w:rsidP="009F18C6">
      <w:pPr>
        <w:rPr>
          <w:rFonts w:eastAsia="Times New Roman" w:cs="Times New Roman"/>
        </w:rPr>
      </w:pPr>
      <w:r>
        <w:rPr>
          <w:rFonts w:eastAsia="Times New Roman" w:cs="Times New Roman"/>
        </w:rPr>
        <w:tab/>
        <w:t xml:space="preserve">The sources were as follows.  For the fourth district, </w:t>
      </w:r>
      <w:r w:rsidRPr="002A4559">
        <w:rPr>
          <w:rFonts w:eastAsia="Times New Roman" w:cs="Times New Roman"/>
          <w:i/>
        </w:rPr>
        <w:t>Figuregram for the Fifth or Victory Liberty Loan in the Fourth Federal Reserve District, Also Important Data on the First Four Loans.</w:t>
      </w:r>
      <w:r>
        <w:rPr>
          <w:rFonts w:eastAsia="Times New Roman" w:cs="Times New Roman"/>
        </w:rPr>
        <w:t xml:space="preserve">  Cleveland, OH:  Federal Reserve Bank of Cleveland. For the fifth district, </w:t>
      </w:r>
      <w:r w:rsidRPr="006A54D2">
        <w:rPr>
          <w:rFonts w:eastAsia="Times New Roman" w:cs="Times New Roman"/>
          <w:i/>
        </w:rPr>
        <w:t>Report on Subscriptions to the Fourth Liberty Loan of 1918 for the 5</w:t>
      </w:r>
      <w:r w:rsidRPr="006A54D2">
        <w:rPr>
          <w:rFonts w:eastAsia="Times New Roman" w:cs="Times New Roman"/>
          <w:i/>
          <w:vertAlign w:val="superscript"/>
        </w:rPr>
        <w:t>th</w:t>
      </w:r>
      <w:r w:rsidRPr="006A54D2">
        <w:rPr>
          <w:rFonts w:eastAsia="Times New Roman" w:cs="Times New Roman"/>
          <w:i/>
        </w:rPr>
        <w:t xml:space="preserve"> Federal Reserve District.</w:t>
      </w:r>
      <w:r>
        <w:rPr>
          <w:rFonts w:eastAsia="Times New Roman" w:cs="Times New Roman"/>
        </w:rPr>
        <w:t xml:space="preserve">  Compiled by the Federal Reserve Bank of Richmond.  For the eighth district, </w:t>
      </w:r>
      <w:r w:rsidRPr="006A54D2">
        <w:rPr>
          <w:rFonts w:eastAsia="Times New Roman" w:cs="Times New Roman"/>
          <w:i/>
        </w:rPr>
        <w:t>Subscriptions to the Fourth Liberty Loan</w:t>
      </w:r>
      <w:r>
        <w:rPr>
          <w:rFonts w:eastAsia="Times New Roman" w:cs="Times New Roman"/>
        </w:rPr>
        <w:t xml:space="preserve"> [Separate Issues by State].  War Loan Organization, St. Louis.  For the ninth district, the September 8 1919 issue of the </w:t>
      </w:r>
      <w:r w:rsidRPr="00B3068C">
        <w:rPr>
          <w:rFonts w:eastAsia="Times New Roman" w:cs="Times New Roman"/>
          <w:i/>
        </w:rPr>
        <w:t>Liberty Bell</w:t>
      </w:r>
      <w:r>
        <w:rPr>
          <w:rFonts w:eastAsia="Times New Roman" w:cs="Times New Roman"/>
        </w:rPr>
        <w:t xml:space="preserve"> magazine, published by the Minneapolis Fed, included county-level subscription data.  For the twelfth district, Fourth Liberty Loan:  </w:t>
      </w:r>
      <w:r w:rsidRPr="00B3068C">
        <w:rPr>
          <w:rFonts w:eastAsia="Times New Roman" w:cs="Times New Roman"/>
          <w:i/>
        </w:rPr>
        <w:t>Report of Amount of Subscriptions, Quotas, Percentage Subscribed, Number of Subscriptions, and Percentage Population Subscribed.</w:t>
      </w:r>
      <w:r>
        <w:rPr>
          <w:rFonts w:eastAsia="Times New Roman" w:cs="Times New Roman"/>
        </w:rPr>
        <w:t xml:space="preserve">  Issued by Liberty Loan General Executive Board, San Francisco CA.  Finally, we also have data for Iowa, which is part of the seventh district, from </w:t>
      </w:r>
      <w:r w:rsidRPr="00B3068C">
        <w:rPr>
          <w:rFonts w:eastAsia="Times New Roman" w:cs="Times New Roman"/>
          <w:i/>
        </w:rPr>
        <w:t>Sale of War Bonds in Iowa</w:t>
      </w:r>
      <w:r>
        <w:rPr>
          <w:rFonts w:eastAsia="Times New Roman" w:cs="Times New Roman"/>
        </w:rPr>
        <w:t>, by Nathaniel B. Whitney, published by the State Historical Society of Iowa in 1923.  Most of these publications were found</w:t>
      </w:r>
      <w:r w:rsidRPr="007F4953">
        <w:rPr>
          <w:rFonts w:eastAsia="Times New Roman" w:cs="Times New Roman"/>
        </w:rPr>
        <w:t xml:space="preserve"> at the National Archives, in Princeton University’s Mudd Manuscript Library, </w:t>
      </w:r>
      <w:r>
        <w:rPr>
          <w:rFonts w:eastAsia="Times New Roman" w:cs="Times New Roman"/>
        </w:rPr>
        <w:t xml:space="preserve">or </w:t>
      </w:r>
      <w:r w:rsidRPr="007F4953">
        <w:rPr>
          <w:rFonts w:eastAsia="Times New Roman" w:cs="Times New Roman"/>
        </w:rPr>
        <w:t>the Library of Congress</w:t>
      </w:r>
      <w:r>
        <w:rPr>
          <w:rFonts w:eastAsia="Times New Roman" w:cs="Times New Roman"/>
        </w:rPr>
        <w:t>.</w:t>
      </w:r>
    </w:p>
    <w:p w:rsidR="009F18C6" w:rsidRDefault="009F18C6" w:rsidP="009F18C6">
      <w:pPr>
        <w:rPr>
          <w:rFonts w:eastAsia="Times New Roman" w:cs="Times New Roman"/>
        </w:rPr>
      </w:pPr>
      <w:r>
        <w:rPr>
          <w:rFonts w:eastAsia="Times New Roman" w:cs="Times New Roman"/>
        </w:rPr>
        <w:tab/>
        <w:t xml:space="preserve">Most of these pamphlets do not describe how the data they present were compiled.  The pamphlet from the Richmond Fed, however, does present some information on the methods they used in producing their tables.  They reported that they sent forms to all the banks in the district asking for the number of subscribers, and in cases where they did not get a reply, they sought information from the leadership of county liberty loan committees.  They also stated that they allocated the subscriptions obtained from large corporations to the counties where the individual subscribers resided, and they also allocated all other subscriptions to the counties where the subscribers resided, even if they subscribed through a bank located in another county.   </w:t>
      </w:r>
    </w:p>
    <w:p w:rsidR="009F18C6" w:rsidRDefault="009F18C6" w:rsidP="009F18C6">
      <w:pPr>
        <w:rPr>
          <w:rFonts w:eastAsia="Times New Roman" w:cs="Times New Roman"/>
        </w:rPr>
      </w:pPr>
      <w:r>
        <w:rPr>
          <w:rFonts w:eastAsia="Times New Roman" w:cs="Times New Roman"/>
        </w:rPr>
        <w:tab/>
      </w:r>
      <w:r w:rsidRPr="00757D19">
        <w:rPr>
          <w:rFonts w:eastAsia="Times New Roman" w:cs="Times New Roman"/>
        </w:rPr>
        <w:t xml:space="preserve">We lack data for the </w:t>
      </w:r>
      <w:r>
        <w:rPr>
          <w:rFonts w:eastAsia="Times New Roman" w:cs="Times New Roman"/>
        </w:rPr>
        <w:t>f</w:t>
      </w:r>
      <w:r w:rsidRPr="00757D19">
        <w:rPr>
          <w:rFonts w:eastAsia="Times New Roman" w:cs="Times New Roman"/>
        </w:rPr>
        <w:t xml:space="preserve">irst </w:t>
      </w:r>
      <w:r>
        <w:rPr>
          <w:rFonts w:eastAsia="Times New Roman" w:cs="Times New Roman"/>
        </w:rPr>
        <w:t>district (Boston Fed), s</w:t>
      </w:r>
      <w:r w:rsidRPr="00757D19">
        <w:rPr>
          <w:rFonts w:eastAsia="Times New Roman" w:cs="Times New Roman"/>
        </w:rPr>
        <w:t xml:space="preserve">econd (New York), </w:t>
      </w:r>
      <w:r>
        <w:rPr>
          <w:rFonts w:eastAsia="Times New Roman" w:cs="Times New Roman"/>
        </w:rPr>
        <w:t>t</w:t>
      </w:r>
      <w:r w:rsidRPr="00757D19">
        <w:rPr>
          <w:rFonts w:eastAsia="Times New Roman" w:cs="Times New Roman"/>
        </w:rPr>
        <w:t xml:space="preserve">hird (Philadelphia), </w:t>
      </w:r>
      <w:r>
        <w:rPr>
          <w:rFonts w:eastAsia="Times New Roman" w:cs="Times New Roman"/>
        </w:rPr>
        <w:t>s</w:t>
      </w:r>
      <w:r w:rsidRPr="00757D19">
        <w:rPr>
          <w:rFonts w:eastAsia="Times New Roman" w:cs="Times New Roman"/>
        </w:rPr>
        <w:t xml:space="preserve">ixth (Atlanta), </w:t>
      </w:r>
      <w:r>
        <w:rPr>
          <w:rFonts w:eastAsia="Times New Roman" w:cs="Times New Roman"/>
        </w:rPr>
        <w:t>s</w:t>
      </w:r>
      <w:r w:rsidRPr="00757D19">
        <w:rPr>
          <w:rFonts w:eastAsia="Times New Roman" w:cs="Times New Roman"/>
        </w:rPr>
        <w:t xml:space="preserve">eventh (Chicago), </w:t>
      </w:r>
      <w:r>
        <w:rPr>
          <w:rFonts w:eastAsia="Times New Roman" w:cs="Times New Roman"/>
        </w:rPr>
        <w:t>t</w:t>
      </w:r>
      <w:r w:rsidRPr="00757D19">
        <w:rPr>
          <w:rFonts w:eastAsia="Times New Roman" w:cs="Times New Roman"/>
        </w:rPr>
        <w:t xml:space="preserve">enth (Kansas City) and </w:t>
      </w:r>
      <w:r>
        <w:rPr>
          <w:rFonts w:eastAsia="Times New Roman" w:cs="Times New Roman"/>
        </w:rPr>
        <w:t>e</w:t>
      </w:r>
      <w:r w:rsidRPr="00757D19">
        <w:rPr>
          <w:rFonts w:eastAsia="Times New Roman" w:cs="Times New Roman"/>
        </w:rPr>
        <w:t xml:space="preserve">leventh (Dallas.)  These districts do not appear to have published any county level records for </w:t>
      </w:r>
      <w:r>
        <w:rPr>
          <w:rFonts w:eastAsia="Times New Roman" w:cs="Times New Roman"/>
        </w:rPr>
        <w:t>subscriptions to</w:t>
      </w:r>
      <w:r w:rsidRPr="00757D19">
        <w:rPr>
          <w:rFonts w:eastAsia="Times New Roman" w:cs="Times New Roman"/>
        </w:rPr>
        <w:t xml:space="preserve"> the fourth loan.  In the cases of Boston, Philadelphia and New York, this likely reflects the fact that those </w:t>
      </w:r>
      <w:r>
        <w:rPr>
          <w:rFonts w:eastAsia="Times New Roman" w:cs="Times New Roman"/>
        </w:rPr>
        <w:t>reserve b</w:t>
      </w:r>
      <w:r w:rsidRPr="00757D19">
        <w:rPr>
          <w:rFonts w:eastAsia="Times New Roman" w:cs="Times New Roman"/>
        </w:rPr>
        <w:t>anks were more focused on the sales of liberty bonds to wealthy indiv</w:t>
      </w:r>
      <w:r>
        <w:rPr>
          <w:rFonts w:eastAsia="Times New Roman" w:cs="Times New Roman"/>
        </w:rPr>
        <w:t>iduals and institutions; compiling subscription data for small rural counties in their districts for use in marketing subsequent bond issues in those districts, was probably seen as not very cost-effective.  The New York Fed, for example, grouped its New York, New Jersey and Connecticut counties into six ‘districts’ and compiled some limited data for those, whereas the Chicago Fed seems to have compiled only state-level data.</w:t>
      </w:r>
    </w:p>
    <w:p w:rsidR="009F18C6" w:rsidRDefault="009F18C6" w:rsidP="009F18C6">
      <w:pPr>
        <w:rPr>
          <w:rFonts w:eastAsia="Times New Roman" w:cs="Times New Roman"/>
        </w:rPr>
      </w:pPr>
      <w:r>
        <w:rPr>
          <w:rFonts w:eastAsia="Times New Roman" w:cs="Times New Roman"/>
        </w:rPr>
        <w:tab/>
        <w:t xml:space="preserve">Table A1 presents some data obtained from an internal memorandum found in the archives of the New York Fed, which help explain why that institution was less focused on compiling county level data.  </w:t>
      </w:r>
    </w:p>
    <w:p w:rsidR="009F18C6" w:rsidRDefault="009F18C6" w:rsidP="009F18C6">
      <w:pPr>
        <w:rPr>
          <w:rFonts w:eastAsia="Times New Roman" w:cs="Times New Roman"/>
        </w:rPr>
      </w:pPr>
    </w:p>
    <w:p w:rsidR="009F18C6" w:rsidRDefault="009F18C6" w:rsidP="009F18C6">
      <w:pPr>
        <w:rPr>
          <w:rFonts w:eastAsia="Times New Roman" w:cs="Times New Roman"/>
        </w:rPr>
      </w:pPr>
    </w:p>
    <w:p w:rsidR="009F18C6" w:rsidRDefault="009F18C6" w:rsidP="009F18C6">
      <w:pPr>
        <w:rPr>
          <w:rFonts w:eastAsia="Times New Roman" w:cs="Times New Roman"/>
        </w:rPr>
      </w:pPr>
    </w:p>
    <w:p w:rsidR="009F18C6" w:rsidRDefault="009F18C6" w:rsidP="009F18C6">
      <w:pPr>
        <w:rPr>
          <w:rFonts w:eastAsia="Times New Roman" w:cs="Times New Roman"/>
        </w:rPr>
      </w:pPr>
    </w:p>
    <w:p w:rsidR="009F18C6" w:rsidRPr="00E1139A" w:rsidRDefault="009F18C6" w:rsidP="009F18C6">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A1</w:t>
      </w:r>
      <w:r w:rsidRPr="00E1139A">
        <w:rPr>
          <w:rFonts w:eastAsia="Calibri" w:cs="Times New Roman"/>
          <w:b/>
        </w:rPr>
        <w:t xml:space="preserve">: </w:t>
      </w:r>
    </w:p>
    <w:p w:rsidR="009F18C6" w:rsidRDefault="009F18C6" w:rsidP="009F18C6">
      <w:pPr>
        <w:spacing w:after="0" w:line="240" w:lineRule="auto"/>
        <w:jc w:val="center"/>
        <w:rPr>
          <w:rFonts w:eastAsia="Calibri" w:cs="Times New Roman"/>
          <w:b/>
        </w:rPr>
      </w:pPr>
      <w:r>
        <w:rPr>
          <w:rFonts w:eastAsia="Calibri" w:cs="Times New Roman"/>
          <w:b/>
        </w:rPr>
        <w:t>Subscriptions, Second Liberty Loan, Second Federal Reserve District (NY Fed)</w:t>
      </w:r>
    </w:p>
    <w:tbl>
      <w:tblPr>
        <w:tblpPr w:leftFromText="180" w:rightFromText="180" w:vertAnchor="page" w:horzAnchor="margin" w:tblpXSpec="center" w:tblpY="2695"/>
        <w:tblW w:w="7281" w:type="dxa"/>
        <w:tblCellMar>
          <w:left w:w="0" w:type="dxa"/>
          <w:right w:w="0" w:type="dxa"/>
        </w:tblCellMar>
        <w:tblLook w:val="0600" w:firstRow="0" w:lastRow="0" w:firstColumn="0" w:lastColumn="0" w:noHBand="1" w:noVBand="1"/>
      </w:tblPr>
      <w:tblGrid>
        <w:gridCol w:w="2845"/>
        <w:gridCol w:w="1857"/>
        <w:gridCol w:w="1682"/>
        <w:gridCol w:w="897"/>
      </w:tblGrid>
      <w:tr w:rsidR="009F18C6" w:rsidRPr="007870F0" w:rsidTr="00E77EAC">
        <w:trPr>
          <w:trHeight w:val="20"/>
        </w:trPr>
        <w:tc>
          <w:tcPr>
            <w:tcW w:w="2845" w:type="dxa"/>
            <w:tcBorders>
              <w:top w:val="double" w:sz="6"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 xml:space="preserve">Amount </w:t>
            </w:r>
          </w:p>
        </w:tc>
        <w:tc>
          <w:tcPr>
            <w:tcW w:w="1857" w:type="dxa"/>
            <w:tcBorders>
              <w:top w:val="double" w:sz="6"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Number of</w:t>
            </w:r>
          </w:p>
        </w:tc>
        <w:tc>
          <w:tcPr>
            <w:tcW w:w="1682" w:type="dxa"/>
            <w:tcBorders>
              <w:top w:val="double" w:sz="6"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Amount</w:t>
            </w:r>
          </w:p>
        </w:tc>
        <w:tc>
          <w:tcPr>
            <w:tcW w:w="897" w:type="dxa"/>
            <w:tcBorders>
              <w:top w:val="double" w:sz="6"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 xml:space="preserve">% of </w:t>
            </w:r>
          </w:p>
        </w:tc>
      </w:tr>
      <w:tr w:rsidR="009F18C6" w:rsidRPr="007870F0" w:rsidTr="00E77EAC">
        <w:trPr>
          <w:trHeight w:val="20"/>
        </w:trPr>
        <w:tc>
          <w:tcPr>
            <w:tcW w:w="2845"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Subscribed</w:t>
            </w:r>
          </w:p>
        </w:tc>
        <w:tc>
          <w:tcPr>
            <w:tcW w:w="1857"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Subscribers</w:t>
            </w:r>
          </w:p>
        </w:tc>
        <w:tc>
          <w:tcPr>
            <w:tcW w:w="1682"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Subscribed</w:t>
            </w:r>
          </w:p>
        </w:tc>
        <w:tc>
          <w:tcPr>
            <w:tcW w:w="897"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Total</w:t>
            </w:r>
          </w:p>
        </w:tc>
      </w:tr>
      <w:tr w:rsidR="009F18C6" w:rsidRPr="007870F0" w:rsidTr="00E77EAC">
        <w:trPr>
          <w:trHeight w:val="20"/>
        </w:trPr>
        <w:tc>
          <w:tcPr>
            <w:tcW w:w="2845" w:type="dxa"/>
            <w:tcBorders>
              <w:top w:val="single" w:sz="4"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&lt;10,000</w:t>
            </w:r>
          </w:p>
        </w:tc>
        <w:tc>
          <w:tcPr>
            <w:tcW w:w="1857" w:type="dxa"/>
            <w:tcBorders>
              <w:top w:val="single" w:sz="4"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2,173,884</w:t>
            </w:r>
          </w:p>
        </w:tc>
        <w:tc>
          <w:tcPr>
            <w:tcW w:w="1682" w:type="dxa"/>
            <w:tcBorders>
              <w:top w:val="single" w:sz="4"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 xml:space="preserve">$441,101,150 </w:t>
            </w:r>
          </w:p>
        </w:tc>
        <w:tc>
          <w:tcPr>
            <w:tcW w:w="897" w:type="dxa"/>
            <w:tcBorders>
              <w:top w:val="single" w:sz="4" w:space="0" w:color="000000"/>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28.4</w:t>
            </w:r>
          </w:p>
        </w:tc>
      </w:tr>
      <w:tr w:rsidR="009F18C6" w:rsidRPr="007870F0" w:rsidTr="00E77EAC">
        <w:trPr>
          <w:trHeight w:val="20"/>
        </w:trPr>
        <w:tc>
          <w:tcPr>
            <w:tcW w:w="2845"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10,050 - 50,000</w:t>
            </w:r>
          </w:p>
        </w:tc>
        <w:tc>
          <w:tcPr>
            <w:tcW w:w="185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5,868</w:t>
            </w:r>
          </w:p>
        </w:tc>
        <w:tc>
          <w:tcPr>
            <w:tcW w:w="1682"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168,326,200</w:t>
            </w:r>
          </w:p>
        </w:tc>
        <w:tc>
          <w:tcPr>
            <w:tcW w:w="89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10.9</w:t>
            </w:r>
          </w:p>
        </w:tc>
      </w:tr>
      <w:tr w:rsidR="009F18C6" w:rsidRPr="007870F0" w:rsidTr="00E77EAC">
        <w:trPr>
          <w:trHeight w:val="20"/>
        </w:trPr>
        <w:tc>
          <w:tcPr>
            <w:tcW w:w="2845"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50,050 - 100,000</w:t>
            </w:r>
          </w:p>
        </w:tc>
        <w:tc>
          <w:tcPr>
            <w:tcW w:w="185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1,097</w:t>
            </w:r>
          </w:p>
        </w:tc>
        <w:tc>
          <w:tcPr>
            <w:tcW w:w="1682"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100,722,650</w:t>
            </w:r>
          </w:p>
        </w:tc>
        <w:tc>
          <w:tcPr>
            <w:tcW w:w="89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6.5</w:t>
            </w:r>
          </w:p>
        </w:tc>
      </w:tr>
      <w:tr w:rsidR="009F18C6" w:rsidRPr="007870F0" w:rsidTr="00E77EAC">
        <w:trPr>
          <w:trHeight w:val="20"/>
        </w:trPr>
        <w:tc>
          <w:tcPr>
            <w:tcW w:w="2845"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100,050 - 200,000</w:t>
            </w:r>
          </w:p>
        </w:tc>
        <w:tc>
          <w:tcPr>
            <w:tcW w:w="185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413</w:t>
            </w:r>
          </w:p>
        </w:tc>
        <w:tc>
          <w:tcPr>
            <w:tcW w:w="1682"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68,166,700</w:t>
            </w:r>
          </w:p>
        </w:tc>
        <w:tc>
          <w:tcPr>
            <w:tcW w:w="89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4.4</w:t>
            </w:r>
          </w:p>
        </w:tc>
      </w:tr>
      <w:tr w:rsidR="009F18C6" w:rsidRPr="007870F0" w:rsidTr="00E77EAC">
        <w:trPr>
          <w:trHeight w:val="20"/>
        </w:trPr>
        <w:tc>
          <w:tcPr>
            <w:tcW w:w="2845"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200,050 - 400,000</w:t>
            </w:r>
          </w:p>
        </w:tc>
        <w:tc>
          <w:tcPr>
            <w:tcW w:w="185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309</w:t>
            </w:r>
          </w:p>
        </w:tc>
        <w:tc>
          <w:tcPr>
            <w:tcW w:w="1682"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87,975,800</w:t>
            </w:r>
          </w:p>
        </w:tc>
        <w:tc>
          <w:tcPr>
            <w:tcW w:w="89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5.7</w:t>
            </w:r>
          </w:p>
        </w:tc>
      </w:tr>
      <w:tr w:rsidR="009F18C6" w:rsidRPr="007870F0" w:rsidTr="00E77EAC">
        <w:trPr>
          <w:trHeight w:val="20"/>
        </w:trPr>
        <w:tc>
          <w:tcPr>
            <w:tcW w:w="2845"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400,050</w:t>
            </w:r>
            <w:r w:rsidRPr="00841F39">
              <w:rPr>
                <w:rFonts w:ascii="Arial" w:eastAsia="Times New Roman" w:hAnsi="Arial" w:cs="Arial"/>
                <w:color w:val="000000"/>
                <w:kern w:val="24"/>
                <w:sz w:val="18"/>
                <w:szCs w:val="18"/>
              </w:rPr>
              <w:t xml:space="preserve"> </w:t>
            </w:r>
            <w:r w:rsidRPr="007870F0">
              <w:rPr>
                <w:rFonts w:ascii="Arial" w:eastAsia="Times New Roman" w:hAnsi="Arial" w:cs="Arial"/>
                <w:color w:val="000000"/>
                <w:kern w:val="24"/>
                <w:sz w:val="18"/>
                <w:szCs w:val="18"/>
              </w:rPr>
              <w:t>-</w:t>
            </w:r>
            <w:r w:rsidRPr="00841F39">
              <w:rPr>
                <w:rFonts w:ascii="Arial" w:eastAsia="Times New Roman" w:hAnsi="Arial" w:cs="Arial"/>
                <w:color w:val="000000"/>
                <w:kern w:val="24"/>
                <w:sz w:val="18"/>
                <w:szCs w:val="18"/>
              </w:rPr>
              <w:t xml:space="preserve"> </w:t>
            </w:r>
            <w:r w:rsidRPr="007870F0">
              <w:rPr>
                <w:rFonts w:ascii="Arial" w:eastAsia="Times New Roman" w:hAnsi="Arial" w:cs="Arial"/>
                <w:color w:val="000000"/>
                <w:kern w:val="24"/>
                <w:sz w:val="18"/>
                <w:szCs w:val="18"/>
              </w:rPr>
              <w:t>1,000,000</w:t>
            </w:r>
          </w:p>
        </w:tc>
        <w:tc>
          <w:tcPr>
            <w:tcW w:w="185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340</w:t>
            </w:r>
          </w:p>
        </w:tc>
        <w:tc>
          <w:tcPr>
            <w:tcW w:w="1682"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227,698,950</w:t>
            </w:r>
          </w:p>
        </w:tc>
        <w:tc>
          <w:tcPr>
            <w:tcW w:w="897" w:type="dxa"/>
            <w:tcBorders>
              <w:top w:val="nil"/>
              <w:left w:val="nil"/>
              <w:bottom w:val="nil"/>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14.7</w:t>
            </w:r>
          </w:p>
        </w:tc>
      </w:tr>
      <w:tr w:rsidR="009F18C6" w:rsidRPr="007870F0" w:rsidTr="00E77EAC">
        <w:trPr>
          <w:trHeight w:val="20"/>
        </w:trPr>
        <w:tc>
          <w:tcPr>
            <w:tcW w:w="2845"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841F39">
              <w:rPr>
                <w:rFonts w:ascii="Arial" w:eastAsia="Times New Roman" w:hAnsi="Arial" w:cs="Arial"/>
                <w:color w:val="000000"/>
                <w:kern w:val="24"/>
                <w:sz w:val="18"/>
                <w:szCs w:val="18"/>
              </w:rPr>
              <w:t>&gt;1,000,050</w:t>
            </w:r>
          </w:p>
        </w:tc>
        <w:tc>
          <w:tcPr>
            <w:tcW w:w="1857"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106</w:t>
            </w:r>
          </w:p>
        </w:tc>
        <w:tc>
          <w:tcPr>
            <w:tcW w:w="1682"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456,462,000</w:t>
            </w:r>
          </w:p>
        </w:tc>
        <w:tc>
          <w:tcPr>
            <w:tcW w:w="897" w:type="dxa"/>
            <w:tcBorders>
              <w:top w:val="nil"/>
              <w:left w:val="nil"/>
              <w:bottom w:val="single" w:sz="4" w:space="0" w:color="000000"/>
              <w:right w:val="nil"/>
            </w:tcBorders>
            <w:shd w:val="clear" w:color="auto" w:fill="auto"/>
            <w:tcMar>
              <w:top w:w="22" w:type="dxa"/>
              <w:left w:w="22" w:type="dxa"/>
              <w:bottom w:w="0" w:type="dxa"/>
              <w:right w:w="22" w:type="dxa"/>
            </w:tcMar>
            <w:vAlign w:val="bottom"/>
            <w:hideMark/>
          </w:tcPr>
          <w:p w:rsidR="009F18C6" w:rsidRPr="007870F0" w:rsidRDefault="009F18C6" w:rsidP="00E77EAC">
            <w:pPr>
              <w:spacing w:after="0" w:line="240" w:lineRule="auto"/>
              <w:jc w:val="center"/>
              <w:textAlignment w:val="bottom"/>
              <w:rPr>
                <w:rFonts w:ascii="Arial" w:eastAsia="Times New Roman" w:hAnsi="Arial" w:cs="Arial"/>
                <w:sz w:val="18"/>
                <w:szCs w:val="18"/>
              </w:rPr>
            </w:pPr>
            <w:r w:rsidRPr="007870F0">
              <w:rPr>
                <w:rFonts w:ascii="Arial" w:eastAsia="Times New Roman" w:hAnsi="Arial" w:cs="Arial"/>
                <w:color w:val="000000"/>
                <w:kern w:val="24"/>
                <w:sz w:val="18"/>
                <w:szCs w:val="18"/>
              </w:rPr>
              <w:t>29.4</w:t>
            </w:r>
          </w:p>
        </w:tc>
      </w:tr>
    </w:tbl>
    <w:p w:rsidR="009F18C6" w:rsidRPr="00841F39" w:rsidRDefault="009F18C6" w:rsidP="009F18C6">
      <w:pPr>
        <w:rPr>
          <w:rFonts w:ascii="Arial" w:eastAsia="Times New Roman" w:hAnsi="Arial" w:cs="Arial"/>
          <w:sz w:val="18"/>
          <w:szCs w:val="18"/>
        </w:rPr>
      </w:pPr>
    </w:p>
    <w:p w:rsidR="009F18C6" w:rsidRPr="00841F39" w:rsidRDefault="009F18C6" w:rsidP="009F18C6">
      <w:pPr>
        <w:rPr>
          <w:rFonts w:ascii="Arial" w:eastAsia="Times New Roman" w:hAnsi="Arial" w:cs="Arial"/>
          <w:sz w:val="18"/>
          <w:szCs w:val="18"/>
        </w:rPr>
      </w:pPr>
    </w:p>
    <w:p w:rsidR="009F18C6" w:rsidRPr="00841F39" w:rsidRDefault="009F18C6" w:rsidP="009F18C6">
      <w:pPr>
        <w:rPr>
          <w:rFonts w:ascii="Arial" w:eastAsia="Times New Roman" w:hAnsi="Arial" w:cs="Arial"/>
          <w:sz w:val="18"/>
          <w:szCs w:val="18"/>
        </w:rPr>
      </w:pPr>
    </w:p>
    <w:p w:rsidR="009F18C6" w:rsidRPr="00841F39" w:rsidRDefault="009F18C6" w:rsidP="009F18C6">
      <w:pPr>
        <w:rPr>
          <w:rFonts w:ascii="Arial" w:eastAsia="Times New Roman" w:hAnsi="Arial" w:cs="Arial"/>
          <w:sz w:val="18"/>
          <w:szCs w:val="18"/>
        </w:rPr>
      </w:pPr>
    </w:p>
    <w:p w:rsidR="009F18C6" w:rsidRPr="00841F39" w:rsidRDefault="009F18C6" w:rsidP="009F18C6">
      <w:pPr>
        <w:rPr>
          <w:rFonts w:ascii="Arial" w:eastAsia="Times New Roman" w:hAnsi="Arial" w:cs="Arial"/>
          <w:sz w:val="18"/>
          <w:szCs w:val="18"/>
        </w:rPr>
      </w:pPr>
    </w:p>
    <w:p w:rsidR="009F18C6" w:rsidRPr="00841F39" w:rsidRDefault="009F18C6" w:rsidP="009F18C6">
      <w:pPr>
        <w:rPr>
          <w:rFonts w:ascii="Arial" w:eastAsia="Times New Roman" w:hAnsi="Arial" w:cs="Arial"/>
          <w:sz w:val="18"/>
          <w:szCs w:val="18"/>
        </w:rPr>
      </w:pPr>
    </w:p>
    <w:p w:rsidR="009F18C6" w:rsidRPr="00841F39" w:rsidRDefault="009F18C6" w:rsidP="009F18C6">
      <w:pPr>
        <w:rPr>
          <w:rFonts w:ascii="Arial" w:eastAsia="Times New Roman" w:hAnsi="Arial" w:cs="Arial"/>
          <w:sz w:val="18"/>
          <w:szCs w:val="18"/>
        </w:rPr>
      </w:pPr>
    </w:p>
    <w:p w:rsidR="009F18C6" w:rsidRPr="00841F39" w:rsidRDefault="009F18C6" w:rsidP="009F18C6">
      <w:pPr>
        <w:ind w:left="1080" w:right="990"/>
        <w:rPr>
          <w:rFonts w:ascii="Arial" w:eastAsia="Times New Roman" w:hAnsi="Arial" w:cs="Arial"/>
          <w:sz w:val="18"/>
          <w:szCs w:val="18"/>
        </w:rPr>
      </w:pPr>
      <w:r w:rsidRPr="00841F39">
        <w:rPr>
          <w:rFonts w:ascii="Arial" w:eastAsia="Times New Roman" w:hAnsi="Arial" w:cs="Arial"/>
          <w:sz w:val="18"/>
          <w:szCs w:val="18"/>
        </w:rPr>
        <w:t>Source:  Memorandum to Wm McAdoo, Secretary of the Treasury, 3 Nov. 1917, in: Correspondence and Circulars, Liberty Loan Campaign, Benjamin Strong Papers, NY Fed Archives</w:t>
      </w:r>
    </w:p>
    <w:p w:rsidR="009F18C6" w:rsidRDefault="009F18C6" w:rsidP="009F18C6">
      <w:pPr>
        <w:rPr>
          <w:rFonts w:eastAsia="Times New Roman" w:cs="Times New Roman"/>
        </w:rPr>
      </w:pPr>
      <w:r>
        <w:rPr>
          <w:rFonts w:eastAsia="Times New Roman" w:cs="Times New Roman"/>
        </w:rPr>
        <w:tab/>
        <w:t>These data show that  the total value of the subscriptions of the 106 individuals and institutions who subscribed to $1 million or more of the bond issue was actually greater than the total amount purchased by the 2.17 million individuals who subscribed for $10,000 or less. Clearly, in order to effectively sell large amounts of these bonds, the Liberty Loan Committee in the second district needed to focus on a relatively small number of institutions and individuals, nearly all of whom were likely located in New York City.  (The fact that the smallest amount reported is $10,000 or less is a further indication that they were less focused on small subscribers.)</w:t>
      </w:r>
    </w:p>
    <w:p w:rsidR="009F18C6" w:rsidRDefault="009F18C6" w:rsidP="009F18C6">
      <w:pPr>
        <w:rPr>
          <w:rFonts w:eastAsia="Times New Roman" w:cs="Times New Roman"/>
        </w:rPr>
      </w:pPr>
      <w:r>
        <w:rPr>
          <w:rFonts w:eastAsia="Times New Roman" w:cs="Times New Roman"/>
        </w:rPr>
        <w:tab/>
        <w:t>Liberty bond subscription rates are calculated as the total number of subscribers divided by the county population, as reported in the 1920 federal census.</w:t>
      </w:r>
    </w:p>
    <w:p w:rsidR="009F18C6" w:rsidRDefault="009F18C6" w:rsidP="009F18C6">
      <w:pPr>
        <w:rPr>
          <w:rFonts w:eastAsia="Times New Roman" w:cs="Times New Roman"/>
          <w:b/>
        </w:rPr>
      </w:pPr>
      <w:r w:rsidRPr="00757D19">
        <w:rPr>
          <w:rFonts w:eastAsia="Times New Roman" w:cs="Times New Roman"/>
          <w:b/>
        </w:rPr>
        <w:t>1.2 Voting outcomes</w:t>
      </w:r>
    </w:p>
    <w:p w:rsidR="009F18C6" w:rsidRDefault="009F18C6" w:rsidP="009F18C6">
      <w:pPr>
        <w:rPr>
          <w:rFonts w:cs="Times New Roman"/>
        </w:rPr>
      </w:pPr>
      <w:r>
        <w:rPr>
          <w:rFonts w:eastAsia="Times New Roman" w:cs="Times New Roman"/>
          <w:b/>
        </w:rPr>
        <w:tab/>
      </w:r>
      <w:r>
        <w:rPr>
          <w:rFonts w:eastAsia="Times New Roman" w:cs="Times New Roman"/>
        </w:rPr>
        <w:t xml:space="preserve">We obtain county level data on the </w:t>
      </w:r>
      <w:r>
        <w:rPr>
          <w:rFonts w:cs="Times New Roman"/>
        </w:rPr>
        <w:t>Democratic Party vote share in presidential elections from 1908 to 1932</w:t>
      </w:r>
      <w:r>
        <w:rPr>
          <w:rFonts w:eastAsia="Times New Roman" w:cs="Times New Roman"/>
        </w:rPr>
        <w:t xml:space="preserve"> from </w:t>
      </w:r>
      <w:r w:rsidRPr="0036180C">
        <w:rPr>
          <w:rFonts w:cs="Times New Roman"/>
        </w:rPr>
        <w:t>Clubb, Flanigan and Zingale (2006)</w:t>
      </w:r>
      <w:r>
        <w:rPr>
          <w:rFonts w:cs="Times New Roman"/>
        </w:rPr>
        <w:t>.  State level data on election outcomes was obtained from  uselectionatlas.org.</w:t>
      </w:r>
    </w:p>
    <w:p w:rsidR="009F18C6" w:rsidRPr="00317794" w:rsidRDefault="009F18C6" w:rsidP="009F18C6">
      <w:pPr>
        <w:rPr>
          <w:rFonts w:cs="Times New Roman"/>
          <w:b/>
        </w:rPr>
      </w:pPr>
      <w:r w:rsidRPr="00317794">
        <w:rPr>
          <w:rFonts w:cs="Times New Roman"/>
          <w:b/>
        </w:rPr>
        <w:t>1.3 County characteristics</w:t>
      </w:r>
    </w:p>
    <w:p w:rsidR="009F18C6" w:rsidRDefault="009F18C6" w:rsidP="009F18C6">
      <w:pPr>
        <w:rPr>
          <w:rFonts w:cs="Times New Roman"/>
        </w:rPr>
      </w:pPr>
      <w:r>
        <w:rPr>
          <w:rFonts w:cs="Times New Roman"/>
        </w:rPr>
        <w:tab/>
        <w:t>Most of the 1920 county characteristics were obtained from Haines (2010).  We obtained banking data for 1920 from FDIC (1992), and some additional county data from the 1925 agricultural census was shared with us by Price Fishback.  The definitions of the main variables are as follows, with the variable names from Haines (2010) or FDIC (1992).</w:t>
      </w:r>
    </w:p>
    <w:p w:rsidR="009F18C6" w:rsidRPr="00317794" w:rsidRDefault="009F18C6" w:rsidP="009F18C6">
      <w:pPr>
        <w:rPr>
          <w:rFonts w:cs="Times New Roman"/>
        </w:rPr>
      </w:pPr>
      <w:r>
        <w:rPr>
          <w:rFonts w:cs="Times New Roman"/>
        </w:rPr>
        <w:tab/>
      </w:r>
      <w:r w:rsidRPr="00BA0904">
        <w:rPr>
          <w:rFonts w:cs="Times New Roman"/>
          <w:i/>
        </w:rPr>
        <w:t>Home ownership rate, 1920</w:t>
      </w:r>
      <w:r>
        <w:rPr>
          <w:rFonts w:cs="Times New Roman"/>
        </w:rPr>
        <w:t>: owned homes (OWNHOM)/total homes (TOTHOM)</w:t>
      </w:r>
    </w:p>
    <w:p w:rsidR="009F18C6" w:rsidRPr="00317794" w:rsidRDefault="009F18C6" w:rsidP="009F18C6">
      <w:pPr>
        <w:rPr>
          <w:rFonts w:cs="Times New Roman"/>
        </w:rPr>
      </w:pPr>
      <w:r>
        <w:rPr>
          <w:rFonts w:cs="Times New Roman"/>
        </w:rPr>
        <w:tab/>
      </w:r>
      <w:r w:rsidRPr="004E4697">
        <w:rPr>
          <w:rFonts w:cs="Times New Roman"/>
          <w:i/>
        </w:rPr>
        <w:t>Banks per square mile, 1920</w:t>
      </w:r>
      <w:r>
        <w:rPr>
          <w:rFonts w:cs="Times New Roman"/>
        </w:rPr>
        <w:t>: total number of banks, 1920 (V42 in ICPSR 7) / total area of county (AREA).</w:t>
      </w:r>
    </w:p>
    <w:p w:rsidR="009F18C6" w:rsidRPr="00317794" w:rsidRDefault="009F18C6" w:rsidP="009F18C6">
      <w:pPr>
        <w:rPr>
          <w:rFonts w:cs="Times New Roman"/>
        </w:rPr>
      </w:pPr>
      <w:r>
        <w:rPr>
          <w:rFonts w:cs="Times New Roman"/>
        </w:rPr>
        <w:tab/>
      </w:r>
      <w:r w:rsidRPr="004E4697">
        <w:rPr>
          <w:rFonts w:cs="Times New Roman"/>
          <w:i/>
        </w:rPr>
        <w:t xml:space="preserve">Fraction </w:t>
      </w:r>
      <w:r w:rsidR="002F754C">
        <w:rPr>
          <w:rFonts w:cs="Times New Roman"/>
          <w:i/>
        </w:rPr>
        <w:t>in c</w:t>
      </w:r>
      <w:r w:rsidR="002F754C" w:rsidRPr="002F754C">
        <w:rPr>
          <w:rFonts w:ascii="Arial" w:eastAsia="Times New Roman" w:hAnsi="Arial" w:cs="Arial"/>
          <w:i/>
          <w:iCs/>
          <w:sz w:val="18"/>
          <w:szCs w:val="18"/>
        </w:rPr>
        <w:t>ities of 25,000</w:t>
      </w:r>
      <w:r>
        <w:rPr>
          <w:rFonts w:cs="Times New Roman"/>
        </w:rPr>
        <w:t>: fraction of the population residing in cities of 25,000 or more (URB25) /total 1920 population (TOTPOP).</w:t>
      </w:r>
    </w:p>
    <w:p w:rsidR="009F18C6" w:rsidRPr="00317794" w:rsidRDefault="009F18C6" w:rsidP="009F18C6">
      <w:pPr>
        <w:rPr>
          <w:rFonts w:cs="Times New Roman"/>
        </w:rPr>
      </w:pPr>
      <w:r>
        <w:rPr>
          <w:rFonts w:cs="Times New Roman"/>
        </w:rPr>
        <w:tab/>
      </w:r>
      <w:r w:rsidRPr="004E4697">
        <w:rPr>
          <w:rFonts w:cs="Times New Roman"/>
          <w:i/>
        </w:rPr>
        <w:t>Log(population), 1920</w:t>
      </w:r>
      <w:r>
        <w:rPr>
          <w:rFonts w:cs="Times New Roman"/>
        </w:rPr>
        <w:t>: log value of TOTPOP.</w:t>
      </w:r>
    </w:p>
    <w:p w:rsidR="009F18C6" w:rsidRPr="00317794" w:rsidRDefault="009F18C6" w:rsidP="009F18C6">
      <w:pPr>
        <w:rPr>
          <w:rFonts w:cs="Times New Roman"/>
        </w:rPr>
      </w:pPr>
      <w:r>
        <w:rPr>
          <w:rFonts w:cs="Times New Roman"/>
        </w:rPr>
        <w:lastRenderedPageBreak/>
        <w:tab/>
      </w:r>
      <w:r w:rsidRPr="004E4697">
        <w:rPr>
          <w:rFonts w:cs="Times New Roman"/>
          <w:i/>
        </w:rPr>
        <w:t>Share of the population engaged in agriculture, 1920</w:t>
      </w:r>
      <w:r>
        <w:rPr>
          <w:rFonts w:cs="Times New Roman"/>
        </w:rPr>
        <w:t>: this is calculated as total number of farms (FARMS)/total number of families (FAMILIES).</w:t>
      </w:r>
    </w:p>
    <w:p w:rsidR="009F18C6" w:rsidRPr="00317794" w:rsidRDefault="009F18C6" w:rsidP="009F18C6">
      <w:pPr>
        <w:rPr>
          <w:rFonts w:cs="Times New Roman"/>
        </w:rPr>
      </w:pPr>
      <w:r>
        <w:rPr>
          <w:rFonts w:cs="Times New Roman"/>
        </w:rPr>
        <w:tab/>
      </w:r>
      <w:r w:rsidRPr="00BA0904">
        <w:rPr>
          <w:rFonts w:cs="Times New Roman"/>
          <w:i/>
        </w:rPr>
        <w:t>Suspended bank deposits per capita, 1920</w:t>
      </w:r>
      <w:r>
        <w:rPr>
          <w:rFonts w:cs="Times New Roman"/>
        </w:rPr>
        <w:t xml:space="preserve">:  [suspended deposits of national banks (V93) + suspended deposits of state banks (V127)]/TOTPOP. </w:t>
      </w:r>
    </w:p>
    <w:p w:rsidR="009F18C6" w:rsidRPr="00317794" w:rsidRDefault="009F18C6" w:rsidP="009F18C6">
      <w:pPr>
        <w:rPr>
          <w:rFonts w:cs="Times New Roman"/>
        </w:rPr>
      </w:pPr>
      <w:r>
        <w:rPr>
          <w:rFonts w:cs="Times New Roman"/>
        </w:rPr>
        <w:tab/>
      </w:r>
      <w:r w:rsidRPr="00BA0904">
        <w:rPr>
          <w:rFonts w:cs="Times New Roman"/>
          <w:i/>
        </w:rPr>
        <w:t>Farm tenants per capita, 1920</w:t>
      </w:r>
      <w:r>
        <w:rPr>
          <w:rFonts w:cs="Times New Roman"/>
        </w:rPr>
        <w:t>: farm tenants (FARMTEN)/total families (FAMILIES)</w:t>
      </w:r>
    </w:p>
    <w:p w:rsidR="009F18C6" w:rsidRPr="00317794" w:rsidRDefault="009F18C6" w:rsidP="009F18C6">
      <w:pPr>
        <w:rPr>
          <w:rFonts w:cs="Times New Roman"/>
        </w:rPr>
      </w:pPr>
      <w:r>
        <w:rPr>
          <w:rFonts w:cs="Times New Roman"/>
        </w:rPr>
        <w:tab/>
      </w:r>
      <w:r w:rsidRPr="00BA0904">
        <w:rPr>
          <w:rFonts w:cs="Times New Roman"/>
          <w:i/>
        </w:rPr>
        <w:t>Change in crop income per capita, 1919-24:</w:t>
      </w:r>
      <w:r>
        <w:rPr>
          <w:rFonts w:cs="Times New Roman"/>
        </w:rPr>
        <w:t xml:space="preserve"> (value of crops, 1924  - value of same crops, 1919 [from Fishback])/TOTPOP.</w:t>
      </w:r>
    </w:p>
    <w:p w:rsidR="009F18C6" w:rsidRPr="00317794" w:rsidRDefault="009F18C6" w:rsidP="009F18C6">
      <w:pPr>
        <w:rPr>
          <w:rFonts w:cs="Times New Roman"/>
        </w:rPr>
      </w:pPr>
      <w:r>
        <w:rPr>
          <w:rFonts w:cs="Times New Roman"/>
        </w:rPr>
        <w:tab/>
      </w:r>
      <w:r w:rsidRPr="00BA0904">
        <w:rPr>
          <w:rFonts w:cs="Times New Roman"/>
          <w:i/>
        </w:rPr>
        <w:t>Change in farm values per capita, 1920-25:</w:t>
      </w:r>
      <w:r w:rsidRPr="00BA0904">
        <w:rPr>
          <w:rFonts w:cs="Times New Roman"/>
        </w:rPr>
        <w:t xml:space="preserve"> </w:t>
      </w:r>
      <w:r>
        <w:rPr>
          <w:rFonts w:cs="Times New Roman"/>
        </w:rPr>
        <w:t>from Fishback:  (value of farm land and buildings, 1925 [from Fishback] – FARMVAL – FARMBUI)/TOTPOP.</w:t>
      </w:r>
    </w:p>
    <w:p w:rsidR="009F18C6" w:rsidRPr="00317794" w:rsidRDefault="009F18C6" w:rsidP="009F18C6">
      <w:pPr>
        <w:rPr>
          <w:rFonts w:cs="Times New Roman"/>
        </w:rPr>
      </w:pPr>
      <w:r>
        <w:rPr>
          <w:rFonts w:cs="Times New Roman"/>
        </w:rPr>
        <w:tab/>
      </w:r>
      <w:r w:rsidRPr="00BA0904">
        <w:rPr>
          <w:rFonts w:cs="Times New Roman"/>
          <w:i/>
        </w:rPr>
        <w:t>Tax returns per capita, 1921</w:t>
      </w:r>
      <w:r>
        <w:rPr>
          <w:rFonts w:cs="Times New Roman"/>
        </w:rPr>
        <w:t>:</w:t>
      </w:r>
      <w:r w:rsidRPr="00BA0904">
        <w:rPr>
          <w:rFonts w:cs="Times New Roman"/>
        </w:rPr>
        <w:t xml:space="preserve"> </w:t>
      </w:r>
      <w:r>
        <w:rPr>
          <w:rFonts w:cs="Times New Roman"/>
        </w:rPr>
        <w:t>from Fishback: total number of tax returns, 1921[from Fishback]  / TOTPOP.</w:t>
      </w:r>
    </w:p>
    <w:p w:rsidR="009F18C6" w:rsidRPr="00317794" w:rsidRDefault="009F18C6" w:rsidP="009F18C6">
      <w:pPr>
        <w:rPr>
          <w:rFonts w:cs="Times New Roman"/>
        </w:rPr>
      </w:pPr>
      <w:r>
        <w:rPr>
          <w:rFonts w:cs="Times New Roman"/>
        </w:rPr>
        <w:tab/>
      </w:r>
      <w:r w:rsidRPr="00BA0904">
        <w:rPr>
          <w:rFonts w:cs="Times New Roman"/>
          <w:i/>
        </w:rPr>
        <w:t>Fraction acres devoted to wheat, 1924</w:t>
      </w:r>
      <w:r>
        <w:rPr>
          <w:rFonts w:cs="Times New Roman"/>
        </w:rPr>
        <w:t>:</w:t>
      </w:r>
      <w:r w:rsidRPr="00BA0904">
        <w:rPr>
          <w:rFonts w:cs="Times New Roman"/>
        </w:rPr>
        <w:t xml:space="preserve"> </w:t>
      </w:r>
      <w:r>
        <w:rPr>
          <w:rFonts w:cs="Times New Roman"/>
        </w:rPr>
        <w:t>wheat acres, 1924 [from Fishback] / total acres in farms, 1925 [from Fishback].</w:t>
      </w:r>
    </w:p>
    <w:p w:rsidR="009F18C6" w:rsidRPr="002E46CD" w:rsidRDefault="009F18C6" w:rsidP="009F18C6">
      <w:pPr>
        <w:rPr>
          <w:rFonts w:cs="Times New Roman"/>
          <w:b/>
        </w:rPr>
      </w:pPr>
      <w:r w:rsidRPr="002E46CD">
        <w:rPr>
          <w:rFonts w:cs="Times New Roman"/>
          <w:b/>
        </w:rPr>
        <w:t>1.4 Distance to camps instrument</w:t>
      </w:r>
    </w:p>
    <w:p w:rsidR="009F18C6" w:rsidRPr="00D84F47" w:rsidRDefault="009F18C6" w:rsidP="009F18C6">
      <w:pPr>
        <w:rPr>
          <w:rFonts w:eastAsia="Times New Roman" w:cs="Times New Roman"/>
        </w:rPr>
      </w:pPr>
      <w:r>
        <w:rPr>
          <w:rFonts w:eastAsia="Times New Roman" w:cs="Times New Roman"/>
          <w:b/>
        </w:rPr>
        <w:tab/>
      </w:r>
      <w:r w:rsidRPr="00D84F47">
        <w:rPr>
          <w:rFonts w:eastAsia="Times New Roman" w:cs="Times New Roman"/>
        </w:rPr>
        <w:t xml:space="preserve">The names and states of all World War I military training camps inside the United States were obtained from U.S. </w:t>
      </w:r>
      <w:r w:rsidRPr="00D84F47">
        <w:rPr>
          <w:rFonts w:eastAsia="Calibri" w:cs="Times New Roman"/>
        </w:rPr>
        <w:t>War Department (1920: 1519). Other sources were then consulted to find the county in which each camp was located.  The average distance measure to the camps for each county (the instrument) was then calculated as the mean value of the distance from each county centroid to the centroids of the counties in which the camps were located.</w:t>
      </w:r>
    </w:p>
    <w:p w:rsidR="009F18C6" w:rsidRPr="00841F39" w:rsidRDefault="009F18C6" w:rsidP="009F18C6">
      <w:pPr>
        <w:spacing w:after="0" w:line="240" w:lineRule="auto"/>
        <w:rPr>
          <w:b/>
          <w:sz w:val="24"/>
          <w:szCs w:val="24"/>
        </w:rPr>
      </w:pPr>
      <w:r w:rsidRPr="00841F39">
        <w:rPr>
          <w:b/>
          <w:sz w:val="24"/>
          <w:szCs w:val="24"/>
        </w:rPr>
        <w:t>2. Campaign advertisements, editorials:  Examples</w:t>
      </w:r>
    </w:p>
    <w:p w:rsidR="009F18C6" w:rsidRDefault="009F18C6" w:rsidP="009F18C6">
      <w:pPr>
        <w:spacing w:after="0" w:line="240" w:lineRule="auto"/>
        <w:ind w:left="720" w:hanging="720"/>
        <w:rPr>
          <w:rFonts w:eastAsia="Times New Roman" w:cs="Times New Roman"/>
        </w:rPr>
      </w:pPr>
    </w:p>
    <w:p w:rsidR="009F18C6" w:rsidRDefault="009F18C6" w:rsidP="009F18C6">
      <w:pPr>
        <w:spacing w:after="0" w:line="240" w:lineRule="auto"/>
        <w:rPr>
          <w:rFonts w:eastAsia="Times New Roman" w:cs="Times New Roman"/>
        </w:rPr>
      </w:pPr>
      <w:r>
        <w:rPr>
          <w:rFonts w:eastAsia="Times New Roman" w:cs="Times New Roman"/>
        </w:rPr>
        <w:tab/>
        <w:t>In order to investigate whether liberty loan prices were reflected in campaign advertising and rhetoric, full-text searchable newspaper indexes were used to find articles and advertisements containing terms such as Harding and liberty bonds in the presence of terms such as ‘depreciated’ or ‘below par.’</w:t>
      </w:r>
    </w:p>
    <w:p w:rsidR="009F18C6" w:rsidRDefault="009F18C6" w:rsidP="009F18C6">
      <w:pPr>
        <w:spacing w:after="0" w:line="240" w:lineRule="auto"/>
        <w:rPr>
          <w:rFonts w:eastAsia="Times New Roman" w:cs="Times New Roman"/>
        </w:rPr>
      </w:pPr>
    </w:p>
    <w:p w:rsidR="009F18C6" w:rsidRDefault="009F18C6" w:rsidP="009F18C6">
      <w:pPr>
        <w:spacing w:after="0" w:line="240" w:lineRule="auto"/>
        <w:rPr>
          <w:rFonts w:eastAsia="Times New Roman" w:cs="Times New Roman"/>
        </w:rPr>
      </w:pPr>
      <w:r>
        <w:rPr>
          <w:rFonts w:eastAsia="Times New Roman" w:cs="Times New Roman"/>
        </w:rPr>
        <w:tab/>
        <w:t>Among the most prominent results was an ad, identified as having been paid for by the Republican National Committee, which ran in a number of western and border states in October of 1920.  This ad, an excerpt of which is displayed as Figure A1 below, prominently mentioned the depressed prices of liberty bonds, and the “sacrifices” subscribers had to make if they need to sell their bonds to raise money in the “abnormal conditions” of the fall of 1920.  The low prices of liberty bonds were then linked to what the ad described as mismanagement and waste in the war effort and in public finances generally.</w:t>
      </w:r>
    </w:p>
    <w:p w:rsidR="009F18C6" w:rsidRDefault="009F18C6" w:rsidP="009F18C6">
      <w:pPr>
        <w:spacing w:after="0" w:line="240" w:lineRule="auto"/>
        <w:rPr>
          <w:rFonts w:eastAsia="Times New Roman" w:cs="Times New Roman"/>
        </w:rPr>
      </w:pPr>
    </w:p>
    <w:p w:rsidR="009F18C6" w:rsidRDefault="009F18C6" w:rsidP="009F18C6">
      <w:pPr>
        <w:spacing w:after="0" w:line="240" w:lineRule="auto"/>
        <w:rPr>
          <w:rFonts w:eastAsia="Times New Roman" w:cs="Times New Roman"/>
        </w:rPr>
      </w:pPr>
      <w:r>
        <w:rPr>
          <w:rFonts w:eastAsia="Times New Roman" w:cs="Times New Roman"/>
        </w:rPr>
        <w:tab/>
        <w:t>At the time, American newspapers were generally quite partisan.  Many Republican newspapers during the campaign season ran editorials attacking the Democrats for the low prices of liberty bonds, and praising Harding’s statement that they “should make” liberty bonds “worth all its patriotic citizens paid in purchasing them.”  Typical examples of editorials in local Republican papers are presented as Figures A1 to A5 below.</w:t>
      </w:r>
    </w:p>
    <w:p w:rsidR="009F18C6" w:rsidRDefault="009F18C6" w:rsidP="009F18C6">
      <w:pPr>
        <w:spacing w:after="0" w:line="240" w:lineRule="auto"/>
        <w:rPr>
          <w:rFonts w:eastAsia="Times New Roman" w:cs="Times New Roman"/>
        </w:rPr>
      </w:pPr>
    </w:p>
    <w:p w:rsidR="009F18C6" w:rsidRDefault="009F18C6" w:rsidP="009F18C6">
      <w:pPr>
        <w:spacing w:after="0" w:line="240" w:lineRule="auto"/>
        <w:rPr>
          <w:rFonts w:eastAsia="Times New Roman" w:cs="Times New Roman"/>
        </w:rPr>
      </w:pPr>
    </w:p>
    <w:p w:rsidR="009F18C6" w:rsidRDefault="009F18C6" w:rsidP="009F18C6">
      <w:pPr>
        <w:spacing w:after="0" w:line="240" w:lineRule="auto"/>
        <w:rPr>
          <w:rFonts w:eastAsia="Times New Roman" w:cs="Times New Roman"/>
        </w:rPr>
      </w:pPr>
    </w:p>
    <w:p w:rsidR="009F18C6" w:rsidRDefault="009F18C6" w:rsidP="009F18C6">
      <w:pPr>
        <w:tabs>
          <w:tab w:val="left" w:pos="1260"/>
        </w:tabs>
        <w:spacing w:after="0" w:line="480" w:lineRule="auto"/>
        <w:ind w:left="1440"/>
        <w:rPr>
          <w:rFonts w:eastAsia="Times New Roman" w:cs="Times New Roman"/>
        </w:rPr>
      </w:pPr>
      <w:r w:rsidRPr="00CA2C3A">
        <w:rPr>
          <w:rFonts w:eastAsia="Times New Roman" w:cs="Times New Roman"/>
          <w:noProof/>
        </w:rPr>
        <w:lastRenderedPageBreak/>
        <mc:AlternateContent>
          <mc:Choice Requires="wps">
            <w:drawing>
              <wp:anchor distT="0" distB="0" distL="114300" distR="114300" simplePos="0" relativeHeight="251659264" behindDoc="0" locked="0" layoutInCell="1" allowOverlap="1" wp14:anchorId="77E41564" wp14:editId="04159F55">
                <wp:simplePos x="0" y="0"/>
                <wp:positionH relativeFrom="column">
                  <wp:posOffset>2957688</wp:posOffset>
                </wp:positionH>
                <wp:positionV relativeFrom="paragraph">
                  <wp:posOffset>225778</wp:posOffset>
                </wp:positionV>
                <wp:extent cx="2370667" cy="1403985"/>
                <wp:effectExtent l="0" t="0" r="1079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667" cy="1403985"/>
                        </a:xfrm>
                        <a:prstGeom prst="rect">
                          <a:avLst/>
                        </a:prstGeom>
                        <a:solidFill>
                          <a:srgbClr val="FFFFFF"/>
                        </a:solidFill>
                        <a:ln w="19050">
                          <a:solidFill>
                            <a:srgbClr val="000000"/>
                          </a:solidFill>
                          <a:miter lim="800000"/>
                          <a:headEnd/>
                          <a:tailEnd/>
                        </a:ln>
                      </wps:spPr>
                      <wps:txbx>
                        <w:txbxContent>
                          <w:p w:rsidR="00504AC5" w:rsidRDefault="00504AC5" w:rsidP="009F18C6">
                            <w:pPr>
                              <w:rPr>
                                <w:rFonts w:cs="Times New Roman"/>
                              </w:rPr>
                            </w:pPr>
                            <w:r>
                              <w:rPr>
                                <w:rFonts w:cs="Times New Roman"/>
                              </w:rPr>
                              <w:t>“</w:t>
                            </w:r>
                            <w:r w:rsidRPr="00CA2C3A">
                              <w:rPr>
                                <w:rFonts w:cs="Times New Roman"/>
                              </w:rPr>
                              <w:t xml:space="preserve">Your Liberty Bonds—these I.O.U.’s of </w:t>
                            </w:r>
                            <w:r w:rsidRPr="008F06B4">
                              <w:rPr>
                                <w:rFonts w:cs="Times New Roman"/>
                              </w:rPr>
                              <w:t>Uncle Sam</w:t>
                            </w:r>
                            <w:r w:rsidRPr="00CA2C3A">
                              <w:rPr>
                                <w:rFonts w:cs="Times New Roman"/>
                              </w:rPr>
                              <w:t>—in which you invested so proudly, so generously, so patriotically, to help win the war, are today below par.  You made sacrifices, some of you, most of you, to buy them, and now, with the war long over, but with peace not yet fully established, you must make further sacrifices, if compelled to sell those Liberty Bonds, in order to meet the abnormal conditions confronting you and entering into your life at every turn</w:t>
                            </w:r>
                            <w:r>
                              <w:rPr>
                                <w:rFonts w:cs="Times New Roman"/>
                              </w:rPr>
                              <w:t>.</w:t>
                            </w:r>
                          </w:p>
                          <w:p w:rsidR="00504AC5" w:rsidRPr="00CA2C3A" w:rsidRDefault="00504AC5" w:rsidP="009F18C6">
                            <w:pPr>
                              <w:rPr>
                                <w:rFonts w:cs="Times New Roman"/>
                              </w:rPr>
                            </w:pPr>
                            <w:r>
                              <w:rPr>
                                <w:rFonts w:cs="Times New Roman"/>
                              </w:rPr>
                              <w:t>Think of the tragic climax thus put upon your patriotism!”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E41564" id="_x0000_t202" coordsize="21600,21600" o:spt="202" path="m,l,21600r21600,l21600,xe">
                <v:stroke joinstyle="miter"/>
                <v:path gradientshapeok="t" o:connecttype="rect"/>
              </v:shapetype>
              <v:shape id="Text Box 2" o:spid="_x0000_s1026" type="#_x0000_t202" style="position:absolute;left:0;text-align:left;margin-left:232.9pt;margin-top:17.8pt;width:186.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" strokeweight="1.5pt">
                <v:textbox style="mso-fit-shape-to-text:t">
                  <w:txbxContent>
                    <w:p w:rsidR="00504AC5" w:rsidRDefault="00504AC5" w:rsidP="009F18C6">
                      <w:pPr>
                        <w:rPr>
                          <w:rFonts w:cs="Times New Roman"/>
                        </w:rPr>
                      </w:pPr>
                      <w:r>
                        <w:rPr>
                          <w:rFonts w:cs="Times New Roman"/>
                        </w:rPr>
                        <w:t>“</w:t>
                      </w:r>
                      <w:r w:rsidRPr="00CA2C3A">
                        <w:rPr>
                          <w:rFonts w:cs="Times New Roman"/>
                        </w:rPr>
                        <w:t xml:space="preserve">Your Liberty Bonds—these I.O.U.’s of </w:t>
                      </w:r>
                      <w:r w:rsidRPr="008F06B4">
                        <w:rPr>
                          <w:rFonts w:cs="Times New Roman"/>
                        </w:rPr>
                        <w:t>Uncle Sam</w:t>
                      </w:r>
                      <w:r w:rsidRPr="00CA2C3A">
                        <w:rPr>
                          <w:rFonts w:cs="Times New Roman"/>
                        </w:rPr>
                        <w:t>—in which you invested so proudly, so generously, so patriotically, to help win the war, are today below par.  You made sacrifices, some of you, most of you, to buy them, and now, with the war long over, but with peace not yet fully established, you must make further sacrifices, if compelled to sell those Liberty Bonds, in order to meet the abnormal conditions confronting you and entering into your life at every turn</w:t>
                      </w:r>
                      <w:r>
                        <w:rPr>
                          <w:rFonts w:cs="Times New Roman"/>
                        </w:rPr>
                        <w:t>.</w:t>
                      </w:r>
                    </w:p>
                    <w:p w:rsidR="00504AC5" w:rsidRPr="00CA2C3A" w:rsidRDefault="00504AC5" w:rsidP="009F18C6">
                      <w:pPr>
                        <w:rPr>
                          <w:rFonts w:cs="Times New Roman"/>
                        </w:rPr>
                      </w:pPr>
                      <w:r>
                        <w:rPr>
                          <w:rFonts w:cs="Times New Roman"/>
                        </w:rPr>
                        <w:t>Think of the tragic climax thus put upon your patriotism!”</w:t>
                      </w:r>
                    </w:p>
                  </w:txbxContent>
                </v:textbox>
              </v:shape>
            </w:pict>
          </mc:Fallback>
        </mc:AlternateContent>
      </w:r>
      <w:r>
        <w:rPr>
          <w:rFonts w:eastAsia="Times New Roman" w:cs="Times New Roman"/>
          <w:noProof/>
        </w:rPr>
        <mc:AlternateContent>
          <mc:Choice Requires="wps">
            <w:drawing>
              <wp:anchor distT="0" distB="0" distL="114300" distR="114300" simplePos="0" relativeHeight="251660288" behindDoc="0" locked="0" layoutInCell="1" allowOverlap="1" wp14:anchorId="4C8E390C" wp14:editId="072F71E8">
                <wp:simplePos x="0" y="0"/>
                <wp:positionH relativeFrom="column">
                  <wp:posOffset>2658110</wp:posOffset>
                </wp:positionH>
                <wp:positionV relativeFrom="paragraph">
                  <wp:posOffset>1755140</wp:posOffset>
                </wp:positionV>
                <wp:extent cx="311150" cy="164465"/>
                <wp:effectExtent l="38100" t="0" r="31750" b="83185"/>
                <wp:wrapNone/>
                <wp:docPr id="7" name="Straight Arrow Connector 7"/>
                <wp:cNvGraphicFramePr/>
                <a:graphic xmlns:a="http://schemas.openxmlformats.org/drawingml/2006/main">
                  <a:graphicData uri="http://schemas.microsoft.com/office/word/2010/wordprocessingShape">
                    <wps:wsp>
                      <wps:cNvCnPr/>
                      <wps:spPr>
                        <a:xfrm flipH="1">
                          <a:off x="0" y="0"/>
                          <a:ext cx="311150" cy="164465"/>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8D64736" id="_x0000_t32" coordsize="21600,21600" o:spt="32" o:oned="t" path="m,l21600,21600e" filled="f">
                <v:path arrowok="t" fillok="f" o:connecttype="none"/>
                <o:lock v:ext="edit" shapetype="t"/>
              </v:shapetype>
              <v:shape id="Straight Arrow Connector 7" o:spid="_x0000_s1026" type="#_x0000_t32" style="position:absolute;margin-left:209.3pt;margin-top:138.2pt;width:24.5pt;height:12.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" strokecolor="black [3213]" strokeweight="1.75pt">
                <v:stroke endarrow="block" endarrowwidth="wide" joinstyle="miter"/>
              </v:shape>
            </w:pict>
          </mc:Fallback>
        </mc:AlternateContent>
      </w:r>
      <w:r w:rsidRPr="00A966F8">
        <w:rPr>
          <w:rFonts w:eastAsia="Times New Roman" w:cs="Times New Roman"/>
          <w:noProof/>
        </w:rPr>
        <w:drawing>
          <wp:inline distT="0" distB="0" distL="0" distR="0" wp14:anchorId="42317E03" wp14:editId="7FBC23C9">
            <wp:extent cx="1882588" cy="3336614"/>
            <wp:effectExtent l="0" t="0" r="3810" b="0"/>
            <wp:docPr id="1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887401" cy="3345145"/>
                    </a:xfrm>
                    <a:prstGeom prst="rect">
                      <a:avLst/>
                    </a:prstGeom>
                    <a:ln>
                      <a:noFill/>
                    </a:ln>
                    <a:extLst>
                      <a:ext uri="{53640926-AAD7-44D8-BBD7-CCE9431645EC}">
                        <a14:shadowObscured xmlns:a14="http://schemas.microsoft.com/office/drawing/2010/main"/>
                      </a:ext>
                    </a:extLst>
                  </pic:spPr>
                </pic:pic>
              </a:graphicData>
            </a:graphic>
          </wp:inline>
        </w:drawing>
      </w:r>
    </w:p>
    <w:p w:rsidR="009F18C6" w:rsidRPr="00CC56A7" w:rsidRDefault="009F18C6" w:rsidP="009F18C6">
      <w:pPr>
        <w:spacing w:after="0" w:line="240" w:lineRule="auto"/>
        <w:ind w:left="720" w:right="720"/>
        <w:jc w:val="center"/>
        <w:rPr>
          <w:rFonts w:eastAsia="Times New Roman" w:cs="Times New Roman"/>
          <w:b/>
        </w:rPr>
      </w:pPr>
      <w:r>
        <w:rPr>
          <w:rFonts w:eastAsia="Times New Roman" w:cs="Times New Roman"/>
          <w:b/>
        </w:rPr>
        <w:t>F</w:t>
      </w:r>
      <w:r w:rsidRPr="00CC56A7">
        <w:rPr>
          <w:rFonts w:eastAsia="Times New Roman" w:cs="Times New Roman"/>
          <w:b/>
        </w:rPr>
        <w:t>igure A1</w:t>
      </w:r>
      <w:r>
        <w:rPr>
          <w:rFonts w:eastAsia="Times New Roman" w:cs="Times New Roman"/>
          <w:b/>
        </w:rPr>
        <w:t>:</w:t>
      </w:r>
    </w:p>
    <w:p w:rsidR="009F18C6" w:rsidRPr="00841F39" w:rsidRDefault="009F18C6" w:rsidP="009F18C6">
      <w:pPr>
        <w:spacing w:after="0" w:line="240" w:lineRule="auto"/>
        <w:ind w:left="720" w:right="720"/>
        <w:jc w:val="both"/>
        <w:rPr>
          <w:rFonts w:eastAsia="Times New Roman" w:cs="Times New Roman"/>
          <w:sz w:val="20"/>
          <w:szCs w:val="20"/>
        </w:rPr>
      </w:pPr>
      <w:r w:rsidRPr="00841F39">
        <w:rPr>
          <w:rFonts w:eastAsia="Times New Roman" w:cs="Times New Roman"/>
          <w:sz w:val="20"/>
          <w:szCs w:val="20"/>
        </w:rPr>
        <w:t>Excerpt of an ad which is identified as being paid for by the National Republican Committee. This ad was run in newspapers in Idaho, Washington, Kentucky, Oregon, Utah, Tennessee, and Montana, and possibly others.</w:t>
      </w:r>
    </w:p>
    <w:p w:rsidR="009F18C6" w:rsidRDefault="009F18C6" w:rsidP="009F18C6">
      <w:pPr>
        <w:spacing w:after="0" w:line="240" w:lineRule="auto"/>
        <w:ind w:left="720" w:right="720"/>
        <w:jc w:val="both"/>
        <w:rPr>
          <w:rFonts w:eastAsia="Times New Roman" w:cs="Times New Roman"/>
        </w:rPr>
      </w:pPr>
    </w:p>
    <w:p w:rsidR="009F18C6" w:rsidRDefault="009F18C6" w:rsidP="009F18C6">
      <w:pPr>
        <w:spacing w:after="0" w:line="240" w:lineRule="auto"/>
        <w:ind w:left="720" w:right="720"/>
        <w:jc w:val="both"/>
        <w:rPr>
          <w:rFonts w:eastAsia="Times New Roman" w:cs="Times New Roman"/>
        </w:rPr>
      </w:pPr>
    </w:p>
    <w:p w:rsidR="009F18C6" w:rsidRDefault="009F18C6" w:rsidP="009F18C6">
      <w:pPr>
        <w:spacing w:after="0" w:line="240" w:lineRule="auto"/>
        <w:ind w:left="720" w:right="720"/>
        <w:jc w:val="both"/>
        <w:rPr>
          <w:rFonts w:eastAsia="Times New Roman" w:cs="Times New Roman"/>
        </w:rPr>
      </w:pPr>
    </w:p>
    <w:p w:rsidR="009F18C6" w:rsidRDefault="009F18C6" w:rsidP="009F18C6">
      <w:pPr>
        <w:spacing w:after="0" w:line="240" w:lineRule="auto"/>
        <w:ind w:left="720" w:right="720"/>
        <w:jc w:val="both"/>
        <w:rPr>
          <w:rFonts w:eastAsia="Times New Roman" w:cs="Times New Roman"/>
        </w:rPr>
      </w:pPr>
    </w:p>
    <w:p w:rsidR="009F18C6" w:rsidRDefault="009F18C6" w:rsidP="009F18C6">
      <w:pPr>
        <w:spacing w:after="0" w:line="240" w:lineRule="auto"/>
        <w:ind w:left="720" w:right="720"/>
        <w:jc w:val="both"/>
        <w:rPr>
          <w:rFonts w:eastAsia="Times New Roman" w:cs="Times New Roman"/>
        </w:rPr>
      </w:pPr>
    </w:p>
    <w:p w:rsidR="009F18C6" w:rsidRDefault="009F18C6" w:rsidP="009F18C6">
      <w:pPr>
        <w:spacing w:after="0" w:line="480" w:lineRule="auto"/>
        <w:ind w:left="720" w:hanging="720"/>
        <w:rPr>
          <w:rFonts w:eastAsia="Times New Roman" w:cs="Times New Roman"/>
        </w:rPr>
      </w:pPr>
      <w:r w:rsidRPr="003C0738">
        <w:rPr>
          <w:rFonts w:eastAsia="Times New Roman" w:cs="Times New Roman"/>
          <w:noProof/>
        </w:rPr>
        <w:drawing>
          <wp:anchor distT="0" distB="0" distL="114300" distR="114300" simplePos="0" relativeHeight="251661312" behindDoc="0" locked="0" layoutInCell="1" allowOverlap="1" wp14:anchorId="6FB5C908" wp14:editId="2BEE3137">
            <wp:simplePos x="0" y="0"/>
            <wp:positionH relativeFrom="column">
              <wp:posOffset>2635363</wp:posOffset>
            </wp:positionH>
            <wp:positionV relativeFrom="paragraph">
              <wp:posOffset>26035</wp:posOffset>
            </wp:positionV>
            <wp:extent cx="2872292" cy="2132431"/>
            <wp:effectExtent l="0" t="0" r="4445" b="1270"/>
            <wp:wrapNone/>
            <wp:docPr id="20" name="Picture 1">
              <a:extLst xmlns:a="http://schemas.openxmlformats.org/drawingml/2006/main">
                <a:ext uri="{FF2B5EF4-FFF2-40B4-BE49-F238E27FC236}">
                  <a16:creationId xmlns:a16="http://schemas.microsoft.com/office/drawing/2014/main" id="{D48B075B-7D3D-47EE-9363-9B8B9A3D7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48B075B-7D3D-47EE-9363-9B8B9A3D7950}"/>
                        </a:ext>
                      </a:extLst>
                    </pic:cNvPr>
                    <pic:cNvPicPr>
                      <a:picLocks noChangeAspect="1"/>
                    </pic:cNvPicPr>
                  </pic:nvPicPr>
                  <pic:blipFill rotWithShape="1">
                    <a:blip r:embed="rId9"/>
                    <a:srcRect l="16836" t="15261" r="22959" b="5283"/>
                    <a:stretch/>
                  </pic:blipFill>
                  <pic:spPr>
                    <a:xfrm>
                      <a:off x="0" y="0"/>
                      <a:ext cx="2872292" cy="2132431"/>
                    </a:xfrm>
                    <a:prstGeom prst="rect">
                      <a:avLst/>
                    </a:prstGeom>
                  </pic:spPr>
                </pic:pic>
              </a:graphicData>
            </a:graphic>
            <wp14:sizeRelH relativeFrom="margin">
              <wp14:pctWidth>0</wp14:pctWidth>
            </wp14:sizeRelH>
            <wp14:sizeRelV relativeFrom="margin">
              <wp14:pctHeight>0</wp14:pctHeight>
            </wp14:sizeRelV>
          </wp:anchor>
        </w:drawing>
      </w:r>
    </w:p>
    <w:p w:rsidR="009F18C6" w:rsidRDefault="009F18C6" w:rsidP="009F18C6">
      <w:pPr>
        <w:spacing w:after="0" w:line="480" w:lineRule="auto"/>
        <w:ind w:left="720" w:hanging="720"/>
        <w:rPr>
          <w:rFonts w:eastAsia="Times New Roman" w:cs="Times New Roman"/>
        </w:rPr>
      </w:pPr>
    </w:p>
    <w:p w:rsidR="009F18C6" w:rsidRDefault="009F18C6" w:rsidP="009F18C6">
      <w:pPr>
        <w:spacing w:after="0" w:line="480" w:lineRule="auto"/>
        <w:ind w:left="720" w:hanging="720"/>
        <w:rPr>
          <w:rFonts w:eastAsia="Times New Roman" w:cs="Times New Roman"/>
        </w:rPr>
      </w:pPr>
      <w:r w:rsidRPr="003C0738">
        <w:rPr>
          <w:rFonts w:eastAsia="Times New Roman" w:cs="Times New Roman"/>
          <w:noProof/>
        </w:rPr>
        <mc:AlternateContent>
          <mc:Choice Requires="wps">
            <w:drawing>
              <wp:anchor distT="0" distB="0" distL="114300" distR="114300" simplePos="0" relativeHeight="251662336" behindDoc="0" locked="0" layoutInCell="1" allowOverlap="1" wp14:anchorId="6BE2E7D0" wp14:editId="7AE418C9">
                <wp:simplePos x="0" y="0"/>
                <wp:positionH relativeFrom="column">
                  <wp:posOffset>687705</wp:posOffset>
                </wp:positionH>
                <wp:positionV relativeFrom="paragraph">
                  <wp:posOffset>49530</wp:posOffset>
                </wp:positionV>
                <wp:extent cx="1807210" cy="956945"/>
                <wp:effectExtent l="0" t="0" r="21590" b="14605"/>
                <wp:wrapNone/>
                <wp:docPr id="14" name="Text Box 2">
                  <a:extLst xmlns:a="http://schemas.openxmlformats.org/drawingml/2006/main">
                    <a:ext uri="{FF2B5EF4-FFF2-40B4-BE49-F238E27FC236}">
                      <a16:creationId xmlns:a16="http://schemas.microsoft.com/office/drawing/2014/main" id="{F634E063-16CD-45D3-B843-BAFD48F1D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956945"/>
                        </a:xfrm>
                        <a:prstGeom prst="rect">
                          <a:avLst/>
                        </a:prstGeom>
                        <a:solidFill>
                          <a:srgbClr val="FFFFFF"/>
                        </a:solidFill>
                        <a:ln w="19050">
                          <a:solidFill>
                            <a:srgbClr val="000000"/>
                          </a:solidFill>
                          <a:miter lim="800000"/>
                          <a:headEnd/>
                          <a:tailEnd/>
                        </a:ln>
                      </wps:spPr>
                      <wps:txbx>
                        <w:txbxContent>
                          <w:p w:rsidR="00504AC5" w:rsidRPr="00844E6F" w:rsidRDefault="00504AC5" w:rsidP="009F18C6">
                            <w:pPr>
                              <w:pStyle w:val="NormalWeb"/>
                              <w:spacing w:before="0" w:beforeAutospacing="0" w:after="0" w:afterAutospacing="0"/>
                              <w:textAlignment w:val="baseline"/>
                              <w:rPr>
                                <w:sz w:val="22"/>
                                <w:szCs w:val="22"/>
                              </w:rPr>
                            </w:pPr>
                            <w:r w:rsidRPr="00844E6F">
                              <w:rPr>
                                <w:color w:val="000000" w:themeColor="text1"/>
                                <w:kern w:val="24"/>
                                <w:sz w:val="22"/>
                                <w:szCs w:val="22"/>
                              </w:rPr>
                              <w:t>“If you want your Liberty Bonds to sell below par—Vote the Democratic ticket.”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E7D0" id="_x0000_s1027" type="#_x0000_t202" style="position:absolute;left:0;text-align:left;margin-left:54.15pt;margin-top:3.9pt;width:142.3pt;height:7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" strokeweight="1.5pt">
                <v:textbox>
                  <w:txbxContent>
                    <w:p w:rsidR="00504AC5" w:rsidRPr="00844E6F" w:rsidRDefault="00504AC5" w:rsidP="009F18C6">
                      <w:pPr>
                        <w:pStyle w:val="NormalWeb"/>
                        <w:spacing w:before="0" w:beforeAutospacing="0" w:after="0" w:afterAutospacing="0"/>
                        <w:textAlignment w:val="baseline"/>
                        <w:rPr>
                          <w:sz w:val="22"/>
                          <w:szCs w:val="22"/>
                        </w:rPr>
                      </w:pPr>
                      <w:r w:rsidRPr="00844E6F">
                        <w:rPr>
                          <w:color w:val="000000" w:themeColor="text1"/>
                          <w:kern w:val="24"/>
                          <w:sz w:val="22"/>
                          <w:szCs w:val="22"/>
                        </w:rPr>
                        <w:t>“If you want your Liberty Bonds to sell below par—Vote the Democratic ticket.”</w:t>
                      </w:r>
                    </w:p>
                  </w:txbxContent>
                </v:textbox>
              </v:shape>
            </w:pict>
          </mc:Fallback>
        </mc:AlternateContent>
      </w:r>
    </w:p>
    <w:p w:rsidR="009F18C6" w:rsidRDefault="009F18C6" w:rsidP="009F18C6">
      <w:pPr>
        <w:spacing w:after="0" w:line="480" w:lineRule="auto"/>
        <w:ind w:left="720" w:hanging="720"/>
        <w:jc w:val="right"/>
        <w:rPr>
          <w:rFonts w:eastAsia="Times New Roman" w:cs="Times New Roman"/>
        </w:rPr>
      </w:pPr>
      <w:r w:rsidRPr="003C0738">
        <w:rPr>
          <w:rFonts w:eastAsia="Times New Roman" w:cs="Times New Roman"/>
          <w:noProof/>
        </w:rPr>
        <mc:AlternateContent>
          <mc:Choice Requires="wps">
            <w:drawing>
              <wp:anchor distT="0" distB="0" distL="114300" distR="114300" simplePos="0" relativeHeight="251663360" behindDoc="0" locked="0" layoutInCell="1" allowOverlap="1" wp14:anchorId="1B97CB89" wp14:editId="29680BA1">
                <wp:simplePos x="0" y="0"/>
                <wp:positionH relativeFrom="column">
                  <wp:posOffset>2495699</wp:posOffset>
                </wp:positionH>
                <wp:positionV relativeFrom="paragraph">
                  <wp:posOffset>73062</wp:posOffset>
                </wp:positionV>
                <wp:extent cx="251498" cy="526789"/>
                <wp:effectExtent l="0" t="0" r="53340" b="64135"/>
                <wp:wrapNone/>
                <wp:docPr id="17" name="Straight Arrow Connector 3">
                  <a:extLst xmlns:a="http://schemas.openxmlformats.org/drawingml/2006/main">
                    <a:ext uri="{FF2B5EF4-FFF2-40B4-BE49-F238E27FC236}">
                      <a16:creationId xmlns:a16="http://schemas.microsoft.com/office/drawing/2014/main" id="{B9AE6AA4-3E31-441D-8290-1F402DE76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98" cy="526789"/>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8E0828" id="Straight Arrow Connector 3" o:spid="_x0000_s1026" type="#_x0000_t32" style="position:absolute;margin-left:196.5pt;margin-top:5.75pt;width:19.8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" strokecolor="black [3213]" strokeweight="1.75pt">
                <v:stroke endarrow="block" endarrowwidth="wide" joinstyle="miter"/>
                <o:lock v:ext="edit" shapetype="f"/>
              </v:shape>
            </w:pict>
          </mc:Fallback>
        </mc:AlternateContent>
      </w:r>
    </w:p>
    <w:p w:rsidR="009F18C6" w:rsidRDefault="009F18C6" w:rsidP="009F18C6">
      <w:pPr>
        <w:spacing w:after="0" w:line="480" w:lineRule="auto"/>
        <w:ind w:left="720" w:hanging="720"/>
        <w:rPr>
          <w:rFonts w:eastAsia="Times New Roman" w:cs="Times New Roman"/>
        </w:rPr>
      </w:pPr>
    </w:p>
    <w:p w:rsidR="009F18C6" w:rsidRDefault="009F18C6" w:rsidP="009F18C6">
      <w:pPr>
        <w:spacing w:after="0" w:line="480" w:lineRule="auto"/>
        <w:ind w:left="720" w:hanging="720"/>
        <w:rPr>
          <w:rFonts w:eastAsia="Times New Roman" w:cs="Times New Roman"/>
        </w:rPr>
      </w:pPr>
    </w:p>
    <w:p w:rsidR="009F18C6" w:rsidRDefault="009F18C6" w:rsidP="009F18C6">
      <w:pPr>
        <w:spacing w:after="0" w:line="480" w:lineRule="auto"/>
        <w:ind w:left="720" w:hanging="720"/>
        <w:rPr>
          <w:rFonts w:eastAsia="Times New Roman" w:cs="Times New Roman"/>
        </w:rPr>
      </w:pPr>
    </w:p>
    <w:p w:rsidR="009F18C6" w:rsidRDefault="009F18C6" w:rsidP="009F18C6">
      <w:pPr>
        <w:spacing w:after="0" w:line="480" w:lineRule="auto"/>
        <w:ind w:left="720" w:hanging="720"/>
        <w:rPr>
          <w:rFonts w:eastAsia="Times New Roman" w:cs="Times New Roman"/>
        </w:rPr>
      </w:pPr>
    </w:p>
    <w:p w:rsidR="009F18C6" w:rsidRPr="00CC56A7" w:rsidRDefault="009F18C6" w:rsidP="009F18C6">
      <w:pPr>
        <w:spacing w:after="0" w:line="240" w:lineRule="auto"/>
        <w:jc w:val="center"/>
        <w:rPr>
          <w:rFonts w:eastAsia="Times New Roman" w:cs="Times New Roman"/>
          <w:b/>
        </w:rPr>
      </w:pPr>
      <w:r w:rsidRPr="00CC56A7">
        <w:rPr>
          <w:rFonts w:eastAsia="Times New Roman" w:cs="Times New Roman"/>
          <w:b/>
        </w:rPr>
        <w:t>Figure A</w:t>
      </w:r>
      <w:r>
        <w:rPr>
          <w:rFonts w:eastAsia="Times New Roman" w:cs="Times New Roman"/>
          <w:b/>
        </w:rPr>
        <w:t>2:</w:t>
      </w:r>
    </w:p>
    <w:p w:rsidR="009F18C6" w:rsidRPr="00841F39" w:rsidRDefault="009F18C6" w:rsidP="009F18C6">
      <w:pPr>
        <w:tabs>
          <w:tab w:val="left" w:pos="720"/>
        </w:tabs>
        <w:spacing w:after="0" w:line="240" w:lineRule="auto"/>
        <w:ind w:left="720" w:right="720"/>
        <w:jc w:val="both"/>
        <w:rPr>
          <w:rFonts w:eastAsia="Times New Roman" w:cs="Times New Roman"/>
          <w:sz w:val="20"/>
          <w:szCs w:val="20"/>
        </w:rPr>
      </w:pPr>
      <w:r w:rsidRPr="00841F39">
        <w:rPr>
          <w:rFonts w:eastAsia="Times New Roman" w:cs="Times New Roman"/>
          <w:sz w:val="20"/>
          <w:szCs w:val="20"/>
        </w:rPr>
        <w:t xml:space="preserve">Excerpt from a full-page editorial in the </w:t>
      </w:r>
      <w:r w:rsidRPr="00841F39">
        <w:rPr>
          <w:rFonts w:eastAsia="Times New Roman" w:cs="Times New Roman"/>
          <w:i/>
          <w:sz w:val="20"/>
          <w:szCs w:val="20"/>
        </w:rPr>
        <w:t>Alma (Michigan) Record</w:t>
      </w:r>
      <w:r w:rsidRPr="00841F39">
        <w:rPr>
          <w:rFonts w:eastAsia="Times New Roman" w:cs="Times New Roman"/>
          <w:sz w:val="20"/>
          <w:szCs w:val="20"/>
        </w:rPr>
        <w:t>, published 28 October 1920.</w:t>
      </w:r>
    </w:p>
    <w:p w:rsidR="009F18C6" w:rsidRDefault="009F18C6" w:rsidP="009F18C6">
      <w:pPr>
        <w:spacing w:after="0" w:line="240" w:lineRule="auto"/>
        <w:jc w:val="both"/>
        <w:rPr>
          <w:rFonts w:eastAsia="Times New Roman" w:cs="Times New Roman"/>
        </w:rPr>
      </w:pPr>
    </w:p>
    <w:p w:rsidR="009F18C6" w:rsidRDefault="009F18C6" w:rsidP="009F18C6">
      <w:pPr>
        <w:spacing w:after="0" w:line="480" w:lineRule="auto"/>
        <w:ind w:left="720" w:hanging="720"/>
        <w:rPr>
          <w:rFonts w:eastAsia="Times New Roman" w:cs="Times New Roman"/>
        </w:rPr>
      </w:pPr>
      <w:r w:rsidRPr="00CC56A7">
        <w:rPr>
          <w:rFonts w:eastAsia="Times New Roman" w:cs="Times New Roman"/>
          <w:noProof/>
        </w:rPr>
        <w:lastRenderedPageBreak/>
        <mc:AlternateContent>
          <mc:Choice Requires="wps">
            <w:drawing>
              <wp:anchor distT="0" distB="0" distL="114300" distR="114300" simplePos="0" relativeHeight="251669504" behindDoc="0" locked="0" layoutInCell="1" allowOverlap="1" wp14:anchorId="1792F68F" wp14:editId="7C0981F8">
                <wp:simplePos x="0" y="0"/>
                <wp:positionH relativeFrom="column">
                  <wp:posOffset>2847975</wp:posOffset>
                </wp:positionH>
                <wp:positionV relativeFrom="paragraph">
                  <wp:posOffset>0</wp:posOffset>
                </wp:positionV>
                <wp:extent cx="2346325" cy="1108710"/>
                <wp:effectExtent l="0" t="0" r="15875" b="15240"/>
                <wp:wrapNone/>
                <wp:docPr id="28" name="Text Box 2">
                  <a:extLst xmlns:a="http://schemas.openxmlformats.org/drawingml/2006/main">
                    <a:ext uri="{FF2B5EF4-FFF2-40B4-BE49-F238E27FC236}">
                      <a16:creationId xmlns:a16="http://schemas.microsoft.com/office/drawing/2014/main" id="{F634E063-16CD-45D3-B843-BAFD48F1D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108710"/>
                        </a:xfrm>
                        <a:prstGeom prst="rect">
                          <a:avLst/>
                        </a:prstGeom>
                        <a:solidFill>
                          <a:srgbClr val="FFFFFF"/>
                        </a:solidFill>
                        <a:ln w="19050">
                          <a:solidFill>
                            <a:srgbClr val="000000"/>
                          </a:solidFill>
                          <a:miter lim="800000"/>
                          <a:headEnd/>
                          <a:tailEnd/>
                        </a:ln>
                      </wps:spPr>
                      <wps:txbx>
                        <w:txbxContent>
                          <w:p w:rsidR="00504AC5" w:rsidRPr="009951B6" w:rsidRDefault="00504AC5" w:rsidP="009F18C6">
                            <w:pPr>
                              <w:pStyle w:val="NormalWeb"/>
                              <w:spacing w:before="0" w:beforeAutospacing="0" w:after="0" w:afterAutospacing="0"/>
                              <w:jc w:val="center"/>
                              <w:textAlignment w:val="baseline"/>
                              <w:rPr>
                                <w:b/>
                                <w:color w:val="000000" w:themeColor="text1"/>
                                <w:kern w:val="24"/>
                                <w:sz w:val="22"/>
                                <w:szCs w:val="22"/>
                              </w:rPr>
                            </w:pPr>
                            <w:r>
                              <w:rPr>
                                <w:b/>
                                <w:color w:val="000000" w:themeColor="text1"/>
                                <w:kern w:val="24"/>
                                <w:sz w:val="22"/>
                                <w:szCs w:val="22"/>
                              </w:rPr>
                              <w:t>Harding For 100 Per Cent Liberty Bonds</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Pr="00844E6F" w:rsidRDefault="00504AC5" w:rsidP="009F18C6">
                            <w:pPr>
                              <w:pStyle w:val="NormalWeb"/>
                              <w:spacing w:before="0" w:beforeAutospacing="0" w:after="0" w:afterAutospacing="0"/>
                              <w:textAlignment w:val="baseline"/>
                              <w:rPr>
                                <w:sz w:val="22"/>
                                <w:szCs w:val="22"/>
                              </w:rPr>
                            </w:pPr>
                            <w:r>
                              <w:rPr>
                                <w:color w:val="000000" w:themeColor="text1"/>
                                <w:kern w:val="24"/>
                                <w:sz w:val="22"/>
                                <w:szCs w:val="22"/>
                              </w:rPr>
                              <w:t>“ ‘This government should make its liberty bonds worth all its patriotic citizens paid in purchasing them.’”</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F68F" id="_x0000_s1028" type="#_x0000_t202" style="position:absolute;left:0;text-align:left;margin-left:224.25pt;margin-top:0;width:184.75pt;height:8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" strokeweight="1.5pt">
                <v:textbox>
                  <w:txbxContent>
                    <w:p w:rsidR="00504AC5" w:rsidRPr="009951B6" w:rsidRDefault="00504AC5" w:rsidP="009F18C6">
                      <w:pPr>
                        <w:pStyle w:val="NormalWeb"/>
                        <w:spacing w:before="0" w:beforeAutospacing="0" w:after="0" w:afterAutospacing="0"/>
                        <w:jc w:val="center"/>
                        <w:textAlignment w:val="baseline"/>
                        <w:rPr>
                          <w:b/>
                          <w:color w:val="000000" w:themeColor="text1"/>
                          <w:kern w:val="24"/>
                          <w:sz w:val="22"/>
                          <w:szCs w:val="22"/>
                        </w:rPr>
                      </w:pPr>
                      <w:r>
                        <w:rPr>
                          <w:b/>
                          <w:color w:val="000000" w:themeColor="text1"/>
                          <w:kern w:val="24"/>
                          <w:sz w:val="22"/>
                          <w:szCs w:val="22"/>
                        </w:rPr>
                        <w:t>Harding For 100 Per Cent Liberty Bonds</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Pr="00844E6F" w:rsidRDefault="00504AC5" w:rsidP="009F18C6">
                      <w:pPr>
                        <w:pStyle w:val="NormalWeb"/>
                        <w:spacing w:before="0" w:beforeAutospacing="0" w:after="0" w:afterAutospacing="0"/>
                        <w:textAlignment w:val="baseline"/>
                        <w:rPr>
                          <w:sz w:val="22"/>
                          <w:szCs w:val="22"/>
                        </w:rPr>
                      </w:pPr>
                      <w:r>
                        <w:rPr>
                          <w:color w:val="000000" w:themeColor="text1"/>
                          <w:kern w:val="24"/>
                          <w:sz w:val="22"/>
                          <w:szCs w:val="22"/>
                        </w:rPr>
                        <w:t>“ ‘This government should make its liberty bonds worth all its patriotic citizens paid in purchasing them.’”</w:t>
                      </w:r>
                    </w:p>
                  </w:txbxContent>
                </v:textbox>
              </v:shape>
            </w:pict>
          </mc:Fallback>
        </mc:AlternateContent>
      </w:r>
      <w:r w:rsidRPr="00CC56A7">
        <w:rPr>
          <w:rFonts w:eastAsia="Times New Roman" w:cs="Times New Roman"/>
          <w:noProof/>
        </w:rPr>
        <mc:AlternateContent>
          <mc:Choice Requires="wps">
            <w:drawing>
              <wp:anchor distT="0" distB="0" distL="114300" distR="114300" simplePos="0" relativeHeight="251670528" behindDoc="0" locked="0" layoutInCell="1" allowOverlap="1" wp14:anchorId="13CC05E0" wp14:editId="150A22BE">
                <wp:simplePos x="0" y="0"/>
                <wp:positionH relativeFrom="column">
                  <wp:posOffset>2293496</wp:posOffset>
                </wp:positionH>
                <wp:positionV relativeFrom="paragraph">
                  <wp:posOffset>374754</wp:posOffset>
                </wp:positionV>
                <wp:extent cx="554635" cy="0"/>
                <wp:effectExtent l="38100" t="95250" r="0" b="114300"/>
                <wp:wrapNone/>
                <wp:docPr id="29" name="Straight Arrow Connector 3">
                  <a:extLst xmlns:a="http://schemas.openxmlformats.org/drawingml/2006/main">
                    <a:ext uri="{FF2B5EF4-FFF2-40B4-BE49-F238E27FC236}">
                      <a16:creationId xmlns:a16="http://schemas.microsoft.com/office/drawing/2014/main" id="{B9AE6AA4-3E31-441D-8290-1F402DE76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4635" cy="0"/>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D8DE4E" id="Straight Arrow Connector 3" o:spid="_x0000_s1026" type="#_x0000_t32" style="position:absolute;margin-left:180.6pt;margin-top:29.5pt;width:43.6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" strokecolor="black [3213]" strokeweight="1.75pt">
                <v:stroke endarrow="block" endarrowwidth="wide" joinstyle="miter"/>
                <o:lock v:ext="edit" shapetype="f"/>
              </v:shape>
            </w:pict>
          </mc:Fallback>
        </mc:AlternateContent>
      </w:r>
      <w:r>
        <w:rPr>
          <w:rFonts w:cs="Times New Roman"/>
          <w:b/>
          <w:noProof/>
        </w:rPr>
        <w:drawing>
          <wp:inline distT="0" distB="0" distL="0" distR="0" wp14:anchorId="40E387A0" wp14:editId="73D6CC3B">
            <wp:extent cx="2291508" cy="9199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8673" cy="918789"/>
                    </a:xfrm>
                    <a:prstGeom prst="rect">
                      <a:avLst/>
                    </a:prstGeom>
                    <a:noFill/>
                    <a:ln>
                      <a:noFill/>
                    </a:ln>
                  </pic:spPr>
                </pic:pic>
              </a:graphicData>
            </a:graphic>
          </wp:inline>
        </w:drawing>
      </w:r>
    </w:p>
    <w:p w:rsidR="009F18C6" w:rsidRDefault="009F18C6" w:rsidP="009F18C6">
      <w:pPr>
        <w:spacing w:after="0" w:line="480" w:lineRule="auto"/>
        <w:ind w:left="720" w:hanging="720"/>
        <w:jc w:val="center"/>
        <w:rPr>
          <w:rFonts w:eastAsia="Times New Roman" w:cs="Times New Roman"/>
        </w:rPr>
      </w:pPr>
    </w:p>
    <w:p w:rsidR="009F18C6" w:rsidRPr="00CC56A7" w:rsidRDefault="009F18C6" w:rsidP="009F18C6">
      <w:pPr>
        <w:spacing w:after="0" w:line="240" w:lineRule="auto"/>
        <w:jc w:val="center"/>
        <w:rPr>
          <w:rFonts w:eastAsia="Times New Roman" w:cs="Times New Roman"/>
          <w:b/>
        </w:rPr>
      </w:pPr>
      <w:r w:rsidRPr="00CC56A7">
        <w:rPr>
          <w:rFonts w:eastAsia="Times New Roman" w:cs="Times New Roman"/>
          <w:b/>
        </w:rPr>
        <w:t>Figure A</w:t>
      </w:r>
      <w:r>
        <w:rPr>
          <w:rFonts w:eastAsia="Times New Roman" w:cs="Times New Roman"/>
          <w:b/>
        </w:rPr>
        <w:t>3:</w:t>
      </w:r>
    </w:p>
    <w:p w:rsidR="009F18C6" w:rsidRPr="00841F39" w:rsidRDefault="009F18C6" w:rsidP="009F18C6">
      <w:pPr>
        <w:spacing w:after="0" w:line="240" w:lineRule="auto"/>
        <w:jc w:val="center"/>
        <w:rPr>
          <w:rFonts w:eastAsia="Times New Roman" w:cs="Times New Roman"/>
          <w:sz w:val="20"/>
          <w:szCs w:val="20"/>
        </w:rPr>
      </w:pPr>
      <w:r w:rsidRPr="00841F39">
        <w:rPr>
          <w:rFonts w:eastAsia="Times New Roman" w:cs="Times New Roman"/>
          <w:sz w:val="20"/>
          <w:szCs w:val="20"/>
        </w:rPr>
        <w:t xml:space="preserve">Editorial in the </w:t>
      </w:r>
      <w:r w:rsidRPr="00841F39">
        <w:rPr>
          <w:rFonts w:eastAsia="Times New Roman" w:cs="Times New Roman"/>
          <w:i/>
          <w:sz w:val="20"/>
          <w:szCs w:val="20"/>
        </w:rPr>
        <w:t>Morning Olympian (Olympia, WA)</w:t>
      </w:r>
      <w:r w:rsidRPr="00841F39">
        <w:rPr>
          <w:rFonts w:eastAsia="Times New Roman" w:cs="Times New Roman"/>
          <w:sz w:val="20"/>
          <w:szCs w:val="20"/>
        </w:rPr>
        <w:t>, published 14 September 1920.</w:t>
      </w:r>
    </w:p>
    <w:p w:rsidR="009F18C6" w:rsidRDefault="009F18C6" w:rsidP="009F18C6">
      <w:pPr>
        <w:spacing w:after="0" w:line="480" w:lineRule="auto"/>
        <w:rPr>
          <w:rFonts w:cs="Times New Roman"/>
          <w:b/>
        </w:rPr>
      </w:pPr>
    </w:p>
    <w:p w:rsidR="009F18C6" w:rsidRDefault="009F18C6" w:rsidP="009F18C6">
      <w:pPr>
        <w:spacing w:after="0" w:line="480" w:lineRule="auto"/>
        <w:ind w:left="720"/>
        <w:rPr>
          <w:rFonts w:cs="Times New Roman"/>
          <w:b/>
        </w:rPr>
      </w:pPr>
      <w:r w:rsidRPr="003C0738">
        <w:rPr>
          <w:rFonts w:eastAsia="Times New Roman" w:cs="Times New Roman"/>
          <w:noProof/>
        </w:rPr>
        <mc:AlternateContent>
          <mc:Choice Requires="wps">
            <w:drawing>
              <wp:anchor distT="0" distB="0" distL="114300" distR="114300" simplePos="0" relativeHeight="251668480" behindDoc="0" locked="0" layoutInCell="1" allowOverlap="1" wp14:anchorId="1265DBBD" wp14:editId="68AB8F24">
                <wp:simplePos x="0" y="0"/>
                <wp:positionH relativeFrom="column">
                  <wp:posOffset>1798820</wp:posOffset>
                </wp:positionH>
                <wp:positionV relativeFrom="paragraph">
                  <wp:posOffset>1268762</wp:posOffset>
                </wp:positionV>
                <wp:extent cx="494675" cy="517524"/>
                <wp:effectExtent l="38100" t="38100" r="19685" b="16510"/>
                <wp:wrapNone/>
                <wp:docPr id="26" name="Straight Arrow Connector 3">
                  <a:extLst xmlns:a="http://schemas.openxmlformats.org/drawingml/2006/main">
                    <a:ext uri="{FF2B5EF4-FFF2-40B4-BE49-F238E27FC236}">
                      <a16:creationId xmlns:a16="http://schemas.microsoft.com/office/drawing/2014/main" id="{B9AE6AA4-3E31-441D-8290-1F402DE76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4675" cy="517524"/>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2401AD" id="Straight Arrow Connector 3" o:spid="_x0000_s1026" type="#_x0000_t32" style="position:absolute;margin-left:141.65pt;margin-top:99.9pt;width:38.95pt;height:40.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" strokecolor="black [3213]" strokeweight="1.75pt">
                <v:stroke endarrow="block" endarrowwidth="wide" joinstyle="miter"/>
                <o:lock v:ext="edit" shapetype="f"/>
              </v:shape>
            </w:pict>
          </mc:Fallback>
        </mc:AlternateContent>
      </w:r>
      <w:r w:rsidRPr="003C0738">
        <w:rPr>
          <w:rFonts w:eastAsia="Times New Roman" w:cs="Times New Roman"/>
          <w:noProof/>
        </w:rPr>
        <mc:AlternateContent>
          <mc:Choice Requires="wps">
            <w:drawing>
              <wp:anchor distT="0" distB="0" distL="114300" distR="114300" simplePos="0" relativeHeight="251667456" behindDoc="0" locked="0" layoutInCell="1" allowOverlap="1" wp14:anchorId="189F3BBC" wp14:editId="2FC3651A">
                <wp:simplePos x="0" y="0"/>
                <wp:positionH relativeFrom="column">
                  <wp:posOffset>1798821</wp:posOffset>
                </wp:positionH>
                <wp:positionV relativeFrom="paragraph">
                  <wp:posOffset>309391</wp:posOffset>
                </wp:positionV>
                <wp:extent cx="494674" cy="198120"/>
                <wp:effectExtent l="0" t="57150" r="19685" b="30480"/>
                <wp:wrapNone/>
                <wp:docPr id="25" name="Straight Arrow Connector 3">
                  <a:extLst xmlns:a="http://schemas.openxmlformats.org/drawingml/2006/main">
                    <a:ext uri="{FF2B5EF4-FFF2-40B4-BE49-F238E27FC236}">
                      <a16:creationId xmlns:a16="http://schemas.microsoft.com/office/drawing/2014/main" id="{B9AE6AA4-3E31-441D-8290-1F402DE76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94674" cy="198120"/>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858E06" id="Straight Arrow Connector 3" o:spid="_x0000_s1026" type="#_x0000_t32" style="position:absolute;margin-left:141.65pt;margin-top:24.35pt;width:38.95pt;height:15.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" strokecolor="black [3213]" strokeweight="1.75pt">
                <v:stroke endarrow="block" endarrowwidth="wide" joinstyle="miter"/>
                <o:lock v:ext="edit" shapetype="f"/>
              </v:shape>
            </w:pict>
          </mc:Fallback>
        </mc:AlternateContent>
      </w:r>
      <w:r w:rsidRPr="003C0738">
        <w:rPr>
          <w:rFonts w:eastAsia="Times New Roman" w:cs="Times New Roman"/>
          <w:noProof/>
        </w:rPr>
        <mc:AlternateContent>
          <mc:Choice Requires="wps">
            <w:drawing>
              <wp:anchor distT="0" distB="0" distL="114300" distR="114300" simplePos="0" relativeHeight="251664384" behindDoc="0" locked="0" layoutInCell="1" allowOverlap="1" wp14:anchorId="760A6D0F" wp14:editId="0906D7C2">
                <wp:simplePos x="0" y="0"/>
                <wp:positionH relativeFrom="column">
                  <wp:posOffset>2293224</wp:posOffset>
                </wp:positionH>
                <wp:positionV relativeFrom="paragraph">
                  <wp:posOffset>-5757</wp:posOffset>
                </wp:positionV>
                <wp:extent cx="3417757" cy="2473377"/>
                <wp:effectExtent l="0" t="0" r="11430" b="22225"/>
                <wp:wrapNone/>
                <wp:docPr id="21" name="Text Box 2">
                  <a:extLst xmlns:a="http://schemas.openxmlformats.org/drawingml/2006/main">
                    <a:ext uri="{FF2B5EF4-FFF2-40B4-BE49-F238E27FC236}">
                      <a16:creationId xmlns:a16="http://schemas.microsoft.com/office/drawing/2014/main" id="{F634E063-16CD-45D3-B843-BAFD48F1D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757" cy="2473377"/>
                        </a:xfrm>
                        <a:prstGeom prst="rect">
                          <a:avLst/>
                        </a:prstGeom>
                        <a:solidFill>
                          <a:srgbClr val="FFFFFF"/>
                        </a:solidFill>
                        <a:ln w="19050">
                          <a:solidFill>
                            <a:srgbClr val="000000"/>
                          </a:solidFill>
                          <a:miter lim="800000"/>
                          <a:headEnd/>
                          <a:tailEnd/>
                        </a:ln>
                      </wps:spPr>
                      <wps:txbx>
                        <w:txbxContent>
                          <w:p w:rsidR="00504AC5" w:rsidRPr="009951B6" w:rsidRDefault="00504AC5" w:rsidP="009F18C6">
                            <w:pPr>
                              <w:pStyle w:val="NormalWeb"/>
                              <w:spacing w:before="0" w:beforeAutospacing="0" w:after="0" w:afterAutospacing="0"/>
                              <w:jc w:val="center"/>
                              <w:textAlignment w:val="baseline"/>
                              <w:rPr>
                                <w:b/>
                                <w:color w:val="000000" w:themeColor="text1"/>
                                <w:kern w:val="24"/>
                                <w:sz w:val="22"/>
                                <w:szCs w:val="22"/>
                              </w:rPr>
                            </w:pPr>
                            <w:r w:rsidRPr="009951B6">
                              <w:rPr>
                                <w:b/>
                                <w:color w:val="000000" w:themeColor="text1"/>
                                <w:kern w:val="24"/>
                                <w:sz w:val="22"/>
                                <w:szCs w:val="22"/>
                              </w:rPr>
                              <w:t>Bungled The People’s Bonds</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Default="00504AC5" w:rsidP="009F18C6">
                            <w:pPr>
                              <w:pStyle w:val="NormalWeb"/>
                              <w:spacing w:before="0" w:beforeAutospacing="0" w:after="0" w:afterAutospacing="0"/>
                              <w:textAlignment w:val="baseline"/>
                              <w:rPr>
                                <w:color w:val="000000" w:themeColor="text1"/>
                                <w:kern w:val="24"/>
                                <w:sz w:val="22"/>
                                <w:szCs w:val="22"/>
                              </w:rPr>
                            </w:pPr>
                            <w:r w:rsidRPr="00844E6F">
                              <w:rPr>
                                <w:color w:val="000000" w:themeColor="text1"/>
                                <w:kern w:val="24"/>
                                <w:sz w:val="22"/>
                                <w:szCs w:val="22"/>
                              </w:rPr>
                              <w:t>“</w:t>
                            </w:r>
                            <w:r>
                              <w:rPr>
                                <w:color w:val="000000" w:themeColor="text1"/>
                                <w:kern w:val="24"/>
                                <w:sz w:val="22"/>
                                <w:szCs w:val="22"/>
                              </w:rPr>
                              <w:t>The national convention of democrats at San Francisco of course commended the financial achievements of the administration.  But the platform made no mention of the deplorable mismanagement of the treasury department and the federal reserve system by which millions of Liberty bond-buyers have been bitterly disappointed…”</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Pr="00844E6F" w:rsidRDefault="00504AC5" w:rsidP="009F18C6">
                            <w:pPr>
                              <w:pStyle w:val="NormalWeb"/>
                              <w:spacing w:before="0" w:beforeAutospacing="0" w:after="0" w:afterAutospacing="0"/>
                              <w:textAlignment w:val="baseline"/>
                              <w:rPr>
                                <w:sz w:val="22"/>
                                <w:szCs w:val="22"/>
                              </w:rPr>
                            </w:pPr>
                            <w:r>
                              <w:rPr>
                                <w:color w:val="000000" w:themeColor="text1"/>
                                <w:kern w:val="24"/>
                                <w:sz w:val="22"/>
                                <w:szCs w:val="22"/>
                              </w:rPr>
                              <w:t>“Senator Harding, on the other hand, has declared that ‘the government should make Liberty bonds worth all that patriotic citizens paid in purchasing them.’  He says that if he is elected president he will do all in his power to bring that about.</w:t>
                            </w:r>
                            <w:r w:rsidRPr="00844E6F">
                              <w:rPr>
                                <w:color w:val="000000" w:themeColor="text1"/>
                                <w:kern w:val="24"/>
                                <w:sz w:val="22"/>
                                <w:szCs w:val="22"/>
                              </w:rPr>
                              <w: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A6D0F" id="_x0000_s1029" type="#_x0000_t202" style="position:absolute;left:0;text-align:left;margin-left:180.55pt;margin-top:-.45pt;width:269.1pt;height:19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" strokeweight="1.5pt">
                <v:textbox>
                  <w:txbxContent>
                    <w:p w:rsidR="00504AC5" w:rsidRPr="009951B6" w:rsidRDefault="00504AC5" w:rsidP="009F18C6">
                      <w:pPr>
                        <w:pStyle w:val="NormalWeb"/>
                        <w:spacing w:before="0" w:beforeAutospacing="0" w:after="0" w:afterAutospacing="0"/>
                        <w:jc w:val="center"/>
                        <w:textAlignment w:val="baseline"/>
                        <w:rPr>
                          <w:b/>
                          <w:color w:val="000000" w:themeColor="text1"/>
                          <w:kern w:val="24"/>
                          <w:sz w:val="22"/>
                          <w:szCs w:val="22"/>
                        </w:rPr>
                      </w:pPr>
                      <w:r w:rsidRPr="009951B6">
                        <w:rPr>
                          <w:b/>
                          <w:color w:val="000000" w:themeColor="text1"/>
                          <w:kern w:val="24"/>
                          <w:sz w:val="22"/>
                          <w:szCs w:val="22"/>
                        </w:rPr>
                        <w:t>Bungled The People’s Bonds</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Default="00504AC5" w:rsidP="009F18C6">
                      <w:pPr>
                        <w:pStyle w:val="NormalWeb"/>
                        <w:spacing w:before="0" w:beforeAutospacing="0" w:after="0" w:afterAutospacing="0"/>
                        <w:textAlignment w:val="baseline"/>
                        <w:rPr>
                          <w:color w:val="000000" w:themeColor="text1"/>
                          <w:kern w:val="24"/>
                          <w:sz w:val="22"/>
                          <w:szCs w:val="22"/>
                        </w:rPr>
                      </w:pPr>
                      <w:r w:rsidRPr="00844E6F">
                        <w:rPr>
                          <w:color w:val="000000" w:themeColor="text1"/>
                          <w:kern w:val="24"/>
                          <w:sz w:val="22"/>
                          <w:szCs w:val="22"/>
                        </w:rPr>
                        <w:t>“</w:t>
                      </w:r>
                      <w:r>
                        <w:rPr>
                          <w:color w:val="000000" w:themeColor="text1"/>
                          <w:kern w:val="24"/>
                          <w:sz w:val="22"/>
                          <w:szCs w:val="22"/>
                        </w:rPr>
                        <w:t>The national convention of democrats at San Francisco of course commended the financial achievements of the administration.  But the platform made no mention of the deplorable mismanagement of the treasury department and the federal reserve system by which millions of Liberty bond-buyers have been bitterly disappointed…”</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Pr="00844E6F" w:rsidRDefault="00504AC5" w:rsidP="009F18C6">
                      <w:pPr>
                        <w:pStyle w:val="NormalWeb"/>
                        <w:spacing w:before="0" w:beforeAutospacing="0" w:after="0" w:afterAutospacing="0"/>
                        <w:textAlignment w:val="baseline"/>
                        <w:rPr>
                          <w:sz w:val="22"/>
                          <w:szCs w:val="22"/>
                        </w:rPr>
                      </w:pPr>
                      <w:r>
                        <w:rPr>
                          <w:color w:val="000000" w:themeColor="text1"/>
                          <w:kern w:val="24"/>
                          <w:sz w:val="22"/>
                          <w:szCs w:val="22"/>
                        </w:rPr>
                        <w:t>“Senator Harding, on the other hand, has declared that ‘the government should make Liberty bonds worth all that patriotic citizens paid in purchasing them.’  He says that if he is elected president he will do all in his power to bring that about.</w:t>
                      </w:r>
                      <w:r w:rsidRPr="00844E6F">
                        <w:rPr>
                          <w:color w:val="000000" w:themeColor="text1"/>
                          <w:kern w:val="24"/>
                          <w:sz w:val="22"/>
                          <w:szCs w:val="22"/>
                        </w:rPr>
                        <w:t>”</w:t>
                      </w:r>
                    </w:p>
                  </w:txbxContent>
                </v:textbox>
              </v:shape>
            </w:pict>
          </mc:Fallback>
        </mc:AlternateContent>
      </w:r>
      <w:r>
        <w:rPr>
          <w:noProof/>
        </w:rPr>
        <w:drawing>
          <wp:inline distT="0" distB="0" distL="0" distR="0" wp14:anchorId="668FD1F7" wp14:editId="3676DC2E">
            <wp:extent cx="1334125" cy="2386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50110" cy="2414772"/>
                    </a:xfrm>
                    <a:prstGeom prst="rect">
                      <a:avLst/>
                    </a:prstGeom>
                  </pic:spPr>
                </pic:pic>
              </a:graphicData>
            </a:graphic>
          </wp:inline>
        </w:drawing>
      </w:r>
    </w:p>
    <w:p w:rsidR="009F18C6" w:rsidRDefault="009F18C6" w:rsidP="009F18C6">
      <w:pPr>
        <w:spacing w:after="0" w:line="240" w:lineRule="auto"/>
        <w:jc w:val="center"/>
        <w:rPr>
          <w:rFonts w:eastAsia="Times New Roman" w:cs="Times New Roman"/>
          <w:b/>
        </w:rPr>
      </w:pPr>
    </w:p>
    <w:p w:rsidR="009F18C6" w:rsidRPr="00CC56A7" w:rsidRDefault="009F18C6" w:rsidP="009F18C6">
      <w:pPr>
        <w:spacing w:after="0" w:line="240" w:lineRule="auto"/>
        <w:jc w:val="center"/>
        <w:rPr>
          <w:rFonts w:eastAsia="Times New Roman" w:cs="Times New Roman"/>
          <w:b/>
        </w:rPr>
      </w:pPr>
      <w:r w:rsidRPr="00CC56A7">
        <w:rPr>
          <w:rFonts w:eastAsia="Times New Roman" w:cs="Times New Roman"/>
          <w:b/>
        </w:rPr>
        <w:t>Figure A</w:t>
      </w:r>
      <w:r>
        <w:rPr>
          <w:rFonts w:eastAsia="Times New Roman" w:cs="Times New Roman"/>
          <w:b/>
        </w:rPr>
        <w:t>4:</w:t>
      </w:r>
    </w:p>
    <w:p w:rsidR="009F18C6" w:rsidRDefault="009F18C6" w:rsidP="009F18C6">
      <w:pPr>
        <w:spacing w:after="0" w:line="480" w:lineRule="auto"/>
        <w:ind w:left="720" w:hanging="720"/>
        <w:jc w:val="center"/>
        <w:rPr>
          <w:rFonts w:eastAsia="Times New Roman" w:cs="Times New Roman"/>
        </w:rPr>
      </w:pPr>
      <w:r>
        <w:rPr>
          <w:rFonts w:eastAsia="Times New Roman" w:cs="Times New Roman"/>
        </w:rPr>
        <w:t xml:space="preserve">Editorial from the  </w:t>
      </w:r>
      <w:r>
        <w:rPr>
          <w:rFonts w:eastAsia="Times New Roman" w:cs="Times New Roman"/>
          <w:i/>
        </w:rPr>
        <w:t>Albuquerque Morning Journal</w:t>
      </w:r>
      <w:r>
        <w:rPr>
          <w:rFonts w:eastAsia="Times New Roman" w:cs="Times New Roman"/>
        </w:rPr>
        <w:t>, 27 August 1920</w:t>
      </w:r>
    </w:p>
    <w:p w:rsidR="009F18C6" w:rsidRDefault="009F18C6" w:rsidP="009F18C6">
      <w:pPr>
        <w:spacing w:after="0" w:line="480" w:lineRule="auto"/>
        <w:ind w:left="720" w:hanging="720"/>
        <w:rPr>
          <w:rFonts w:eastAsia="Times New Roman" w:cs="Times New Roman"/>
        </w:rPr>
      </w:pPr>
    </w:p>
    <w:p w:rsidR="009F18C6" w:rsidRDefault="009F18C6" w:rsidP="009F18C6">
      <w:pPr>
        <w:spacing w:after="0" w:line="480" w:lineRule="auto"/>
        <w:ind w:left="720" w:right="1170" w:hanging="720"/>
        <w:jc w:val="right"/>
        <w:rPr>
          <w:rFonts w:cs="Times New Roman"/>
          <w:b/>
        </w:rPr>
      </w:pPr>
      <w:r w:rsidRPr="003C0738">
        <w:rPr>
          <w:rFonts w:eastAsia="Times New Roman" w:cs="Times New Roman"/>
          <w:noProof/>
        </w:rPr>
        <mc:AlternateContent>
          <mc:Choice Requires="wps">
            <w:drawing>
              <wp:anchor distT="0" distB="0" distL="114300" distR="114300" simplePos="0" relativeHeight="251666432" behindDoc="0" locked="0" layoutInCell="1" allowOverlap="1" wp14:anchorId="08E99653" wp14:editId="043897D1">
                <wp:simplePos x="0" y="0"/>
                <wp:positionH relativeFrom="column">
                  <wp:posOffset>4149271</wp:posOffset>
                </wp:positionH>
                <wp:positionV relativeFrom="paragraph">
                  <wp:posOffset>580533</wp:posOffset>
                </wp:positionV>
                <wp:extent cx="238281" cy="0"/>
                <wp:effectExtent l="0" t="95250" r="28575" b="114300"/>
                <wp:wrapNone/>
                <wp:docPr id="24" name="Straight Arrow Connector 3">
                  <a:extLst xmlns:a="http://schemas.openxmlformats.org/drawingml/2006/main">
                    <a:ext uri="{FF2B5EF4-FFF2-40B4-BE49-F238E27FC236}">
                      <a16:creationId xmlns:a16="http://schemas.microsoft.com/office/drawing/2014/main" id="{B9AE6AA4-3E31-441D-8290-1F402DE76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281" cy="0"/>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1A9BCC" id="Straight Arrow Connector 3" o:spid="_x0000_s1026" type="#_x0000_t32" style="position:absolute;margin-left:326.7pt;margin-top:45.7pt;width:18.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" strokecolor="black [3213]" strokeweight="1.75pt">
                <v:stroke endarrow="block" endarrowwidth="wide" joinstyle="miter"/>
                <o:lock v:ext="edit" shapetype="f"/>
              </v:shape>
            </w:pict>
          </mc:Fallback>
        </mc:AlternateContent>
      </w:r>
      <w:r w:rsidRPr="003C0738">
        <w:rPr>
          <w:rFonts w:eastAsia="Times New Roman" w:cs="Times New Roman"/>
          <w:noProof/>
        </w:rPr>
        <mc:AlternateContent>
          <mc:Choice Requires="wps">
            <w:drawing>
              <wp:anchor distT="0" distB="0" distL="114300" distR="114300" simplePos="0" relativeHeight="251665408" behindDoc="0" locked="0" layoutInCell="1" allowOverlap="1" wp14:anchorId="0A24E01B" wp14:editId="43B6219B">
                <wp:simplePos x="0" y="0"/>
                <wp:positionH relativeFrom="column">
                  <wp:posOffset>1240155</wp:posOffset>
                </wp:positionH>
                <wp:positionV relativeFrom="paragraph">
                  <wp:posOffset>217170</wp:posOffset>
                </wp:positionV>
                <wp:extent cx="2908300" cy="1069975"/>
                <wp:effectExtent l="0" t="0" r="25400" b="15875"/>
                <wp:wrapNone/>
                <wp:docPr id="23" name="Text Box 2">
                  <a:extLst xmlns:a="http://schemas.openxmlformats.org/drawingml/2006/main">
                    <a:ext uri="{FF2B5EF4-FFF2-40B4-BE49-F238E27FC236}">
                      <a16:creationId xmlns:a16="http://schemas.microsoft.com/office/drawing/2014/main" id="{F634E063-16CD-45D3-B843-BAFD48F1D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69975"/>
                        </a:xfrm>
                        <a:prstGeom prst="rect">
                          <a:avLst/>
                        </a:prstGeom>
                        <a:solidFill>
                          <a:srgbClr val="FFFFFF"/>
                        </a:solidFill>
                        <a:ln w="19050">
                          <a:solidFill>
                            <a:srgbClr val="000000"/>
                          </a:solidFill>
                          <a:miter lim="800000"/>
                          <a:headEnd/>
                          <a:tailEnd/>
                        </a:ln>
                      </wps:spPr>
                      <wps:txbx>
                        <w:txbxContent>
                          <w:p w:rsidR="00504AC5" w:rsidRPr="009951B6" w:rsidRDefault="00504AC5" w:rsidP="009F18C6">
                            <w:pPr>
                              <w:pStyle w:val="NormalWeb"/>
                              <w:spacing w:before="0" w:beforeAutospacing="0" w:after="0" w:afterAutospacing="0"/>
                              <w:jc w:val="center"/>
                              <w:textAlignment w:val="baseline"/>
                              <w:rPr>
                                <w:b/>
                                <w:color w:val="000000" w:themeColor="text1"/>
                                <w:kern w:val="24"/>
                                <w:sz w:val="22"/>
                                <w:szCs w:val="22"/>
                              </w:rPr>
                            </w:pPr>
                            <w:r w:rsidRPr="009951B6">
                              <w:rPr>
                                <w:b/>
                                <w:color w:val="000000" w:themeColor="text1"/>
                                <w:kern w:val="24"/>
                                <w:sz w:val="22"/>
                                <w:szCs w:val="22"/>
                              </w:rPr>
                              <w:t>Woman Sums Up Sins of Democratic Party</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Pr="00844E6F" w:rsidRDefault="00504AC5" w:rsidP="009F18C6">
                            <w:pPr>
                              <w:pStyle w:val="NormalWeb"/>
                              <w:spacing w:before="0" w:beforeAutospacing="0" w:after="0" w:afterAutospacing="0"/>
                              <w:textAlignment w:val="baseline"/>
                              <w:rPr>
                                <w:sz w:val="22"/>
                                <w:szCs w:val="22"/>
                              </w:rPr>
                            </w:pPr>
                            <w:r>
                              <w:rPr>
                                <w:color w:val="000000" w:themeColor="text1"/>
                                <w:kern w:val="24"/>
                                <w:sz w:val="22"/>
                                <w:szCs w:val="22"/>
                              </w:rPr>
                              <w:t>“…McAdoo said that liberty bonds would never go below par.  Look where they are now.”</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E01B" id="_x0000_s1030" type="#_x0000_t202" style="position:absolute;left:0;text-align:left;margin-left:97.65pt;margin-top:17.1pt;width:229pt;height:8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" strokeweight="1.5pt">
                <v:textbox>
                  <w:txbxContent>
                    <w:p w:rsidR="00504AC5" w:rsidRPr="009951B6" w:rsidRDefault="00504AC5" w:rsidP="009F18C6">
                      <w:pPr>
                        <w:pStyle w:val="NormalWeb"/>
                        <w:spacing w:before="0" w:beforeAutospacing="0" w:after="0" w:afterAutospacing="0"/>
                        <w:jc w:val="center"/>
                        <w:textAlignment w:val="baseline"/>
                        <w:rPr>
                          <w:b/>
                          <w:color w:val="000000" w:themeColor="text1"/>
                          <w:kern w:val="24"/>
                          <w:sz w:val="22"/>
                          <w:szCs w:val="22"/>
                        </w:rPr>
                      </w:pPr>
                      <w:r w:rsidRPr="009951B6">
                        <w:rPr>
                          <w:b/>
                          <w:color w:val="000000" w:themeColor="text1"/>
                          <w:kern w:val="24"/>
                          <w:sz w:val="22"/>
                          <w:szCs w:val="22"/>
                        </w:rPr>
                        <w:t>Woman Sums Up Sins of Democratic Party</w:t>
                      </w: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Default="00504AC5" w:rsidP="009F18C6">
                      <w:pPr>
                        <w:pStyle w:val="NormalWeb"/>
                        <w:spacing w:before="0" w:beforeAutospacing="0" w:after="0" w:afterAutospacing="0"/>
                        <w:textAlignment w:val="baseline"/>
                        <w:rPr>
                          <w:color w:val="000000" w:themeColor="text1"/>
                          <w:kern w:val="24"/>
                          <w:sz w:val="22"/>
                          <w:szCs w:val="22"/>
                        </w:rPr>
                      </w:pPr>
                    </w:p>
                    <w:p w:rsidR="00504AC5" w:rsidRPr="00844E6F" w:rsidRDefault="00504AC5" w:rsidP="009F18C6">
                      <w:pPr>
                        <w:pStyle w:val="NormalWeb"/>
                        <w:spacing w:before="0" w:beforeAutospacing="0" w:after="0" w:afterAutospacing="0"/>
                        <w:textAlignment w:val="baseline"/>
                        <w:rPr>
                          <w:sz w:val="22"/>
                          <w:szCs w:val="22"/>
                        </w:rPr>
                      </w:pPr>
                      <w:r>
                        <w:rPr>
                          <w:color w:val="000000" w:themeColor="text1"/>
                          <w:kern w:val="24"/>
                          <w:sz w:val="22"/>
                          <w:szCs w:val="22"/>
                        </w:rPr>
                        <w:t>“…McAdoo said that liberty bonds would never go below par.  Look where they are now.”</w:t>
                      </w:r>
                    </w:p>
                  </w:txbxContent>
                </v:textbox>
              </v:shape>
            </w:pict>
          </mc:Fallback>
        </mc:AlternateContent>
      </w:r>
      <w:r>
        <w:rPr>
          <w:rFonts w:cs="Times New Roman"/>
          <w:b/>
          <w:noProof/>
        </w:rPr>
        <w:drawing>
          <wp:inline distT="0" distB="0" distL="0" distR="0" wp14:anchorId="3D34212F" wp14:editId="13E9D4CE">
            <wp:extent cx="824459" cy="165027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7362" cy="1656081"/>
                    </a:xfrm>
                    <a:prstGeom prst="rect">
                      <a:avLst/>
                    </a:prstGeom>
                    <a:noFill/>
                    <a:ln>
                      <a:noFill/>
                    </a:ln>
                  </pic:spPr>
                </pic:pic>
              </a:graphicData>
            </a:graphic>
          </wp:inline>
        </w:drawing>
      </w:r>
    </w:p>
    <w:p w:rsidR="009F18C6" w:rsidRPr="00CC56A7" w:rsidRDefault="009F18C6" w:rsidP="009F18C6">
      <w:pPr>
        <w:spacing w:after="0" w:line="240" w:lineRule="auto"/>
        <w:jc w:val="center"/>
        <w:rPr>
          <w:rFonts w:eastAsia="Times New Roman" w:cs="Times New Roman"/>
          <w:b/>
        </w:rPr>
      </w:pPr>
      <w:r w:rsidRPr="00CC56A7">
        <w:rPr>
          <w:rFonts w:eastAsia="Times New Roman" w:cs="Times New Roman"/>
          <w:b/>
        </w:rPr>
        <w:t>Figure A</w:t>
      </w:r>
      <w:r>
        <w:rPr>
          <w:rFonts w:eastAsia="Times New Roman" w:cs="Times New Roman"/>
          <w:b/>
        </w:rPr>
        <w:t>5:</w:t>
      </w:r>
    </w:p>
    <w:p w:rsidR="009F18C6" w:rsidRDefault="009F18C6" w:rsidP="009F18C6">
      <w:pPr>
        <w:spacing w:after="0" w:line="480" w:lineRule="auto"/>
        <w:ind w:left="720" w:hanging="720"/>
        <w:jc w:val="center"/>
        <w:rPr>
          <w:rFonts w:eastAsia="Times New Roman" w:cs="Times New Roman"/>
        </w:rPr>
      </w:pPr>
      <w:r>
        <w:rPr>
          <w:rFonts w:eastAsia="Times New Roman" w:cs="Times New Roman"/>
        </w:rPr>
        <w:t xml:space="preserve">Editorial from  </w:t>
      </w:r>
      <w:r>
        <w:rPr>
          <w:rFonts w:eastAsia="Times New Roman" w:cs="Times New Roman"/>
          <w:i/>
        </w:rPr>
        <w:t>Tulsa Daily World</w:t>
      </w:r>
      <w:r>
        <w:rPr>
          <w:rFonts w:eastAsia="Times New Roman" w:cs="Times New Roman"/>
        </w:rPr>
        <w:t>, 19 September 1920</w:t>
      </w:r>
    </w:p>
    <w:p w:rsidR="009F18C6" w:rsidRDefault="009F18C6" w:rsidP="009F18C6">
      <w:pPr>
        <w:spacing w:after="0" w:line="480" w:lineRule="auto"/>
        <w:ind w:left="720" w:hanging="720"/>
        <w:jc w:val="center"/>
        <w:rPr>
          <w:rFonts w:cs="Times New Roman"/>
          <w:b/>
        </w:rPr>
      </w:pPr>
    </w:p>
    <w:p w:rsidR="009F18C6" w:rsidRPr="00841F39" w:rsidRDefault="009F18C6" w:rsidP="009F18C6">
      <w:pPr>
        <w:spacing w:after="0" w:line="240" w:lineRule="auto"/>
        <w:rPr>
          <w:b/>
          <w:sz w:val="24"/>
          <w:szCs w:val="24"/>
        </w:rPr>
      </w:pPr>
      <w:r w:rsidRPr="00841F39">
        <w:rPr>
          <w:b/>
          <w:sz w:val="24"/>
          <w:szCs w:val="24"/>
        </w:rPr>
        <w:lastRenderedPageBreak/>
        <w:t>3. Analysis: Additional details and results</w:t>
      </w:r>
    </w:p>
    <w:p w:rsidR="009F18C6" w:rsidRDefault="009F18C6" w:rsidP="009F18C6">
      <w:pPr>
        <w:spacing w:after="0" w:line="240" w:lineRule="auto"/>
        <w:rPr>
          <w:b/>
        </w:rPr>
      </w:pPr>
    </w:p>
    <w:p w:rsidR="009F18C6" w:rsidRDefault="009F18C6" w:rsidP="009F18C6">
      <w:pPr>
        <w:spacing w:after="0" w:line="240" w:lineRule="auto"/>
        <w:rPr>
          <w:b/>
        </w:rPr>
      </w:pPr>
      <w:r>
        <w:rPr>
          <w:b/>
        </w:rPr>
        <w:t xml:space="preserve">3.1 Cumulative returns </w:t>
      </w:r>
    </w:p>
    <w:p w:rsidR="009F18C6" w:rsidRDefault="009F18C6" w:rsidP="009F18C6">
      <w:pPr>
        <w:spacing w:after="0" w:line="240" w:lineRule="auto"/>
        <w:rPr>
          <w:b/>
        </w:rPr>
      </w:pPr>
    </w:p>
    <w:p w:rsidR="009F18C6" w:rsidRDefault="009F18C6" w:rsidP="009F18C6">
      <w:pPr>
        <w:spacing w:after="0" w:line="240" w:lineRule="auto"/>
        <w:rPr>
          <w:rFonts w:eastAsiaTheme="minorEastAsia"/>
        </w:rPr>
      </w:pPr>
      <w:r>
        <w:rPr>
          <w:b/>
        </w:rPr>
        <w:tab/>
      </w:r>
      <w:r>
        <w:t xml:space="preserve">Figure 2 in the paper presents nominal and real cumulative returns for the fourth liberty loan. Each point in the graph represents the total return earned by a subscriber to the bonds from the time of issue.  The nominal cumulative return at month </w:t>
      </w:r>
      <w:r w:rsidR="00663148" w:rsidRPr="00663148">
        <w:rPr>
          <w:i/>
        </w:rPr>
        <w:t>T</w:t>
      </w:r>
      <w:r>
        <w:t xml:space="preserve"> is calculated as </w:t>
      </w:r>
      <m:oMath>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.0425</m:t>
                    </m:r>
                  </m:num>
                  <m:den>
                    <m:r>
                      <w:rPr>
                        <w:rFonts w:ascii="Cambria Math" w:hAnsi="Cambria Math"/>
                      </w:rPr>
                      <m:t>12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num>
                  <m:den>
                    <m:sSub>
                      <m:sSubPr>
                        <m:ctrlPr>
                          <w:rPr>
                            <w:rFonts w:ascii="Cambria Math" w:hAnsi="Cambria Math"/>
                            <w:i/>
                          </w:rPr>
                        </m:ctrlPr>
                      </m:sSubPr>
                      <m:e>
                        <m:r>
                          <w:rPr>
                            <w:rFonts w:ascii="Cambria Math" w:hAnsi="Cambria Math"/>
                          </w:rPr>
                          <m:t>P</m:t>
                        </m:r>
                      </m:e>
                      <m:sub>
                        <m:r>
                          <w:rPr>
                            <w:rFonts w:ascii="Cambria Math" w:hAnsi="Cambria Math"/>
                          </w:rPr>
                          <m:t>t-1</m:t>
                        </m:r>
                      </m:sub>
                    </m:sSub>
                  </m:den>
                </m:f>
              </m:e>
            </m:d>
            <m:r>
              <w:rPr>
                <w:rFonts w:ascii="Cambria Math" w:hAnsi="Cambria Math"/>
              </w:rPr>
              <m:t>-1,</m:t>
            </m:r>
          </m:e>
        </m:nary>
      </m:oMath>
      <w:r>
        <w:rPr>
          <w:rFonts w:eastAsiaTheme="minorEastAsia"/>
        </w:rPr>
        <w:t xml:space="preserve"> where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 xml:space="preserve"> </m:t>
        </m:r>
      </m:oMath>
      <w:r>
        <w:rPr>
          <w:rFonts w:eastAsiaTheme="minorEastAsia"/>
        </w:rPr>
        <w:t xml:space="preserve">is the price of the bond in period </w:t>
      </w:r>
      <w:r w:rsidRPr="00C73147">
        <w:rPr>
          <w:rFonts w:eastAsiaTheme="minorEastAsia"/>
          <w:i/>
        </w:rPr>
        <w:t>t</w:t>
      </w:r>
      <w:r>
        <w:rPr>
          <w:rFonts w:eastAsiaTheme="minorEastAsia"/>
        </w:rPr>
        <w:t xml:space="preserve">. The annual coupon rate was 4.25%; these calculations effectively assume that 1/12 of the coupon income is received in each month.  The real rate of return is calculated as </w:t>
      </w:r>
      <m:oMath>
        <m:nary>
          <m:naryPr>
            <m:chr m:val="∏"/>
            <m:limLoc m:val="undOvr"/>
            <m:ctrlPr>
              <w:rPr>
                <w:rFonts w:ascii="Cambria Math" w:hAnsi="Cambria Math"/>
                <w:i/>
              </w:rPr>
            </m:ctrlPr>
          </m:naryPr>
          <m:sub>
            <m:r>
              <w:rPr>
                <w:rFonts w:ascii="Cambria Math" w:hAnsi="Cambria Math"/>
              </w:rPr>
              <m:t>t=0</m:t>
            </m:r>
          </m:sub>
          <m:sup>
            <m:r>
              <w:rPr>
                <w:rFonts w:ascii="Cambria Math" w:hAnsi="Cambria Math"/>
              </w:rPr>
              <m:t>T</m:t>
            </m:r>
          </m:sup>
          <m:e>
            <m:d>
              <m:dPr>
                <m:ctrlPr>
                  <w:rPr>
                    <w:rFonts w:ascii="Cambria Math" w:hAnsi="Cambria Math"/>
                    <w:i/>
                  </w:rPr>
                </m:ctrlPr>
              </m:dPr>
              <m:e>
                <m:f>
                  <m:fPr>
                    <m:ctrlPr>
                      <w:rPr>
                        <w:rFonts w:ascii="Cambria Math" w:hAnsi="Cambria Math"/>
                        <w:i/>
                      </w:rPr>
                    </m:ctrlPr>
                  </m:fPr>
                  <m:num>
                    <m:r>
                      <w:rPr>
                        <w:rFonts w:ascii="Cambria Math" w:hAnsi="Cambria Math"/>
                      </w:rPr>
                      <m:t>1+</m:t>
                    </m:r>
                    <m:f>
                      <m:fPr>
                        <m:ctrlPr>
                          <w:rPr>
                            <w:rFonts w:ascii="Cambria Math" w:hAnsi="Cambria Math"/>
                            <w:i/>
                          </w:rPr>
                        </m:ctrlPr>
                      </m:fPr>
                      <m:num>
                        <m:r>
                          <w:rPr>
                            <w:rFonts w:ascii="Cambria Math" w:hAnsi="Cambria Math"/>
                          </w:rPr>
                          <m:t>.0425</m:t>
                        </m:r>
                      </m:num>
                      <m:den>
                        <m:r>
                          <w:rPr>
                            <w:rFonts w:ascii="Cambria Math" w:hAnsi="Cambria Math"/>
                          </w:rPr>
                          <m:t>12</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m:t>
                            </m:r>
                          </m:sub>
                        </m:sSub>
                      </m:num>
                      <m:den>
                        <m:sSub>
                          <m:sSubPr>
                            <m:ctrlPr>
                              <w:rPr>
                                <w:rFonts w:ascii="Cambria Math" w:hAnsi="Cambria Math"/>
                                <w:i/>
                              </w:rPr>
                            </m:ctrlPr>
                          </m:sSubPr>
                          <m:e>
                            <m:r>
                              <w:rPr>
                                <w:rFonts w:ascii="Cambria Math" w:hAnsi="Cambria Math"/>
                              </w:rPr>
                              <m:t>P</m:t>
                            </m:r>
                          </m:e>
                          <m:sub>
                            <m:r>
                              <w:rPr>
                                <w:rFonts w:ascii="Cambria Math" w:hAnsi="Cambria Math"/>
                              </w:rPr>
                              <m:t>t-1</m:t>
                            </m:r>
                          </m:sub>
                        </m:sSub>
                      </m:den>
                    </m:f>
                  </m:num>
                  <m:den>
                    <m:r>
                      <w:rPr>
                        <w:rFonts w:ascii="Cambria Math" w:hAnsi="Cambria Math"/>
                      </w:rPr>
                      <m:t>1+</m:t>
                    </m:r>
                    <m:sSub>
                      <m:sSubPr>
                        <m:ctrlPr>
                          <w:rPr>
                            <w:rFonts w:ascii="Cambria Math" w:hAnsi="Cambria Math"/>
                            <w:i/>
                          </w:rPr>
                        </m:ctrlPr>
                      </m:sSubPr>
                      <m:e>
                        <m:r>
                          <w:rPr>
                            <w:rFonts w:ascii="Cambria Math" w:hAnsi="Cambria Math"/>
                          </w:rPr>
                          <m:t>π</m:t>
                        </m:r>
                      </m:e>
                      <m:sub>
                        <m:r>
                          <w:rPr>
                            <w:rFonts w:ascii="Cambria Math" w:hAnsi="Cambria Math"/>
                          </w:rPr>
                          <m:t>t</m:t>
                        </m:r>
                      </m:sub>
                    </m:sSub>
                  </m:den>
                </m:f>
              </m:e>
            </m:d>
            <m:r>
              <w:rPr>
                <w:rFonts w:ascii="Cambria Math" w:hAnsi="Cambria Math"/>
              </w:rPr>
              <m:t>-1,</m:t>
            </m:r>
          </m:e>
        </m:nary>
      </m:oMath>
      <w:r>
        <w:rPr>
          <w:rFonts w:eastAsiaTheme="minorEastAsia"/>
        </w:rPr>
        <w:t xml:space="preserve"> where </w:t>
      </w:r>
      <m:oMath>
        <m:sSub>
          <m:sSubPr>
            <m:ctrlPr>
              <w:rPr>
                <w:rFonts w:ascii="Cambria Math" w:hAnsi="Cambria Math"/>
                <w:i/>
              </w:rPr>
            </m:ctrlPr>
          </m:sSubPr>
          <m:e>
            <m:r>
              <w:rPr>
                <w:rFonts w:ascii="Cambria Math" w:hAnsi="Cambria Math"/>
              </w:rPr>
              <m:t>π</m:t>
            </m:r>
          </m:e>
          <m:sub>
            <m:r>
              <w:rPr>
                <w:rFonts w:ascii="Cambria Math" w:hAnsi="Cambria Math"/>
              </w:rPr>
              <m:t>t</m:t>
            </m:r>
          </m:sub>
        </m:sSub>
      </m:oMath>
      <w:r>
        <w:rPr>
          <w:rFonts w:eastAsiaTheme="minorEastAsia"/>
        </w:rPr>
        <w:t xml:space="preserve"> is the monthly inflation rate as reflected in the CPI.   </w:t>
      </w:r>
    </w:p>
    <w:p w:rsidR="009F18C6" w:rsidRDefault="009F18C6" w:rsidP="009F18C6">
      <w:pPr>
        <w:spacing w:after="0" w:line="240" w:lineRule="auto"/>
        <w:rPr>
          <w:rFonts w:eastAsiaTheme="minorEastAsia"/>
        </w:rPr>
      </w:pPr>
      <w:r>
        <w:rPr>
          <w:rFonts w:eastAsiaTheme="minorEastAsia"/>
        </w:rPr>
        <w:tab/>
        <w:t>Figure 2 also presents cumulative returns only for the 4</w:t>
      </w:r>
      <w:r w:rsidRPr="00553CB9">
        <w:rPr>
          <w:rFonts w:eastAsiaTheme="minorEastAsia"/>
          <w:vertAlign w:val="superscript"/>
        </w:rPr>
        <w:t>th</w:t>
      </w:r>
      <w:r>
        <w:rPr>
          <w:rFonts w:eastAsiaTheme="minorEastAsia"/>
        </w:rPr>
        <w:t xml:space="preserve"> loan.  Below in Figure A6, we present cumulative returns for both the 4</w:t>
      </w:r>
      <w:r w:rsidRPr="00553CB9">
        <w:rPr>
          <w:rFonts w:eastAsiaTheme="minorEastAsia"/>
          <w:vertAlign w:val="superscript"/>
        </w:rPr>
        <w:t>th</w:t>
      </w:r>
      <w:r>
        <w:rPr>
          <w:rFonts w:eastAsiaTheme="minorEastAsia"/>
        </w:rPr>
        <w:t xml:space="preserve"> and the 3</w:t>
      </w:r>
      <w:r w:rsidRPr="00553CB9">
        <w:rPr>
          <w:rFonts w:eastAsiaTheme="minorEastAsia"/>
          <w:vertAlign w:val="superscript"/>
        </w:rPr>
        <w:t>rd</w:t>
      </w:r>
      <w:r>
        <w:rPr>
          <w:rFonts w:eastAsiaTheme="minorEastAsia"/>
        </w:rPr>
        <w:t xml:space="preserve"> loan, which was the second most widely held issue. </w:t>
      </w:r>
    </w:p>
    <w:p w:rsidR="009F18C6" w:rsidRDefault="009F18C6" w:rsidP="009F18C6">
      <w:pPr>
        <w:spacing w:after="0" w:line="240" w:lineRule="auto"/>
        <w:rPr>
          <w:rFonts w:eastAsiaTheme="minorEastAsia"/>
        </w:rPr>
      </w:pPr>
    </w:p>
    <w:p w:rsidR="009F18C6" w:rsidRDefault="009F18C6" w:rsidP="009F18C6">
      <w:pPr>
        <w:spacing w:after="0" w:line="240" w:lineRule="auto"/>
        <w:jc w:val="center"/>
        <w:rPr>
          <w:rFonts w:eastAsiaTheme="minorEastAsia"/>
        </w:rPr>
      </w:pPr>
      <w:r>
        <w:rPr>
          <w:rFonts w:eastAsiaTheme="minorEastAsia"/>
          <w:noProof/>
        </w:rPr>
        <w:drawing>
          <wp:inline distT="0" distB="0" distL="0" distR="0" wp14:anchorId="0C959651" wp14:editId="61B44CBC">
            <wp:extent cx="4955822" cy="36913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8380" cy="3693233"/>
                    </a:xfrm>
                    <a:prstGeom prst="rect">
                      <a:avLst/>
                    </a:prstGeom>
                    <a:noFill/>
                    <a:ln>
                      <a:noFill/>
                    </a:ln>
                  </pic:spPr>
                </pic:pic>
              </a:graphicData>
            </a:graphic>
          </wp:inline>
        </w:drawing>
      </w:r>
    </w:p>
    <w:p w:rsidR="009F18C6" w:rsidRDefault="009F18C6" w:rsidP="009F18C6">
      <w:pPr>
        <w:spacing w:after="0" w:line="240" w:lineRule="auto"/>
        <w:jc w:val="center"/>
        <w:rPr>
          <w:rFonts w:eastAsia="Times New Roman" w:cs="Times New Roman"/>
          <w:b/>
        </w:rPr>
      </w:pPr>
      <w:r w:rsidRPr="0040196A">
        <w:rPr>
          <w:rFonts w:eastAsia="Times New Roman" w:cs="Times New Roman"/>
          <w:b/>
        </w:rPr>
        <w:t>Figure A</w:t>
      </w:r>
      <w:r>
        <w:rPr>
          <w:rFonts w:eastAsia="Times New Roman" w:cs="Times New Roman"/>
          <w:b/>
        </w:rPr>
        <w:t>6</w:t>
      </w:r>
      <w:r w:rsidRPr="0040196A">
        <w:rPr>
          <w:rFonts w:eastAsia="Times New Roman" w:cs="Times New Roman"/>
          <w:b/>
        </w:rPr>
        <w:t>:</w:t>
      </w:r>
    </w:p>
    <w:p w:rsidR="009F18C6" w:rsidRDefault="009F18C6" w:rsidP="009F18C6">
      <w:pPr>
        <w:spacing w:after="0" w:line="240" w:lineRule="auto"/>
        <w:jc w:val="center"/>
        <w:rPr>
          <w:rFonts w:eastAsia="Times New Roman" w:cs="Times New Roman"/>
        </w:rPr>
      </w:pPr>
      <w:r>
        <w:rPr>
          <w:rFonts w:eastAsia="Times New Roman" w:cs="Times New Roman"/>
          <w:b/>
        </w:rPr>
        <w:t>Cumulative Returns, 3</w:t>
      </w:r>
      <w:r w:rsidRPr="00553CB9">
        <w:rPr>
          <w:rFonts w:eastAsia="Times New Roman" w:cs="Times New Roman"/>
          <w:b/>
          <w:vertAlign w:val="superscript"/>
        </w:rPr>
        <w:t>rd</w:t>
      </w:r>
      <w:r>
        <w:rPr>
          <w:rFonts w:eastAsia="Times New Roman" w:cs="Times New Roman"/>
          <w:b/>
        </w:rPr>
        <w:t xml:space="preserve"> and 4</w:t>
      </w:r>
      <w:r w:rsidRPr="00553CB9">
        <w:rPr>
          <w:rFonts w:eastAsia="Times New Roman" w:cs="Times New Roman"/>
          <w:b/>
          <w:vertAlign w:val="superscript"/>
        </w:rPr>
        <w:t>th</w:t>
      </w:r>
      <w:r>
        <w:rPr>
          <w:rFonts w:eastAsia="Times New Roman" w:cs="Times New Roman"/>
          <w:b/>
        </w:rPr>
        <w:t xml:space="preserve"> Liberty Loans</w:t>
      </w:r>
    </w:p>
    <w:p w:rsidR="009F18C6" w:rsidRDefault="009F18C6" w:rsidP="009F18C6">
      <w:pPr>
        <w:spacing w:after="0" w:line="240" w:lineRule="auto"/>
        <w:rPr>
          <w:rFonts w:eastAsiaTheme="minorEastAsia"/>
        </w:rPr>
      </w:pPr>
    </w:p>
    <w:p w:rsidR="009F18C6" w:rsidRPr="00326F8F" w:rsidRDefault="009F18C6" w:rsidP="009F18C6">
      <w:pPr>
        <w:spacing w:after="0" w:line="240" w:lineRule="auto"/>
      </w:pPr>
      <w:r>
        <w:rPr>
          <w:rFonts w:eastAsiaTheme="minorEastAsia"/>
        </w:rPr>
        <w:t>The patterns over time are fundamentally similar, but the 3</w:t>
      </w:r>
      <w:r w:rsidRPr="00553CB9">
        <w:rPr>
          <w:rFonts w:eastAsiaTheme="minorEastAsia"/>
          <w:vertAlign w:val="superscript"/>
        </w:rPr>
        <w:t>rd</w:t>
      </w:r>
      <w:r>
        <w:rPr>
          <w:rFonts w:eastAsiaTheme="minorEastAsia"/>
        </w:rPr>
        <w:t xml:space="preserve"> loan did not depreciate to the same extent as the 4</w:t>
      </w:r>
      <w:r w:rsidRPr="00553CB9">
        <w:rPr>
          <w:rFonts w:eastAsiaTheme="minorEastAsia"/>
          <w:vertAlign w:val="superscript"/>
        </w:rPr>
        <w:t>th</w:t>
      </w:r>
      <w:r>
        <w:rPr>
          <w:rFonts w:eastAsiaTheme="minorEastAsia"/>
        </w:rPr>
        <w:t>, and its cumulative returns by late 1920 were not as negative.</w:t>
      </w:r>
    </w:p>
    <w:p w:rsidR="009F18C6" w:rsidRDefault="009F18C6" w:rsidP="009F18C6">
      <w:pPr>
        <w:spacing w:after="0" w:line="240" w:lineRule="auto"/>
        <w:rPr>
          <w:b/>
        </w:rPr>
      </w:pPr>
    </w:p>
    <w:p w:rsidR="009F18C6" w:rsidRDefault="009F18C6" w:rsidP="009F18C6">
      <w:pPr>
        <w:spacing w:after="0" w:line="480" w:lineRule="auto"/>
        <w:ind w:left="720" w:hanging="720"/>
        <w:rPr>
          <w:rFonts w:cs="Times New Roman"/>
          <w:b/>
        </w:rPr>
      </w:pPr>
      <w:r>
        <w:rPr>
          <w:rFonts w:cs="Times New Roman"/>
          <w:b/>
        </w:rPr>
        <w:t>3.2 Including additional liberty bond issues in the analysis</w:t>
      </w:r>
    </w:p>
    <w:p w:rsidR="009F18C6" w:rsidRDefault="009F18C6" w:rsidP="009F18C6">
      <w:pPr>
        <w:spacing w:after="0" w:line="240" w:lineRule="auto"/>
        <w:ind w:firstLine="720"/>
        <w:rPr>
          <w:rFonts w:cs="Times New Roman"/>
        </w:rPr>
      </w:pPr>
      <w:r>
        <w:rPr>
          <w:rFonts w:cs="Times New Roman"/>
        </w:rPr>
        <w:t>All of the analysis of the paper focuses on the participation rates for the fourth liberty loan, which was the largest and most widely-held of all the liberty loan issues. Yet the population clearly subscribed to the other loans as well, and those subscription rates are not included in the analysis.</w:t>
      </w:r>
      <w:r w:rsidRPr="005F474D">
        <w:rPr>
          <w:rFonts w:cs="Times New Roman"/>
        </w:rPr>
        <w:t xml:space="preserve">  </w:t>
      </w:r>
      <w:r>
        <w:rPr>
          <w:rFonts w:cs="Times New Roman"/>
        </w:rPr>
        <w:t>The fourth loan subscription rights might therefore be regarded as measuring the overall subscription rates with error</w:t>
      </w:r>
      <w:r w:rsidRPr="005F474D">
        <w:rPr>
          <w:rFonts w:cs="Times New Roman"/>
        </w:rPr>
        <w:t xml:space="preserve">.  If </w:t>
      </w:r>
      <w:r w:rsidRPr="005F474D">
        <w:rPr>
          <w:rFonts w:cs="Times New Roman"/>
        </w:rPr>
        <w:lastRenderedPageBreak/>
        <w:t xml:space="preserve">this were the case, our instrumental variable estimates will address the problem.  However, a different way to conceptualize the </w:t>
      </w:r>
      <w:r>
        <w:rPr>
          <w:rFonts w:cs="Times New Roman"/>
        </w:rPr>
        <w:t>issue</w:t>
      </w:r>
      <w:r w:rsidRPr="005F474D">
        <w:rPr>
          <w:rFonts w:cs="Times New Roman"/>
        </w:rPr>
        <w:t xml:space="preserve"> would be that we have a problem of omitted variables.  If, say, one of the other loan campaigns were </w:t>
      </w:r>
      <w:r>
        <w:rPr>
          <w:rFonts w:cs="Times New Roman"/>
        </w:rPr>
        <w:t>independently</w:t>
      </w:r>
      <w:r w:rsidRPr="005F474D">
        <w:rPr>
          <w:rFonts w:cs="Times New Roman"/>
        </w:rPr>
        <w:t xml:space="preserve"> politically important, the regression estimates </w:t>
      </w:r>
      <w:r>
        <w:rPr>
          <w:rFonts w:cs="Times New Roman"/>
        </w:rPr>
        <w:t>based on the fourth loan only would</w:t>
      </w:r>
      <w:r w:rsidRPr="005F474D">
        <w:rPr>
          <w:rFonts w:cs="Times New Roman"/>
        </w:rPr>
        <w:t xml:space="preserve"> suffer from omitted variable bias.  We explore this possibility in Table </w:t>
      </w:r>
      <w:r>
        <w:rPr>
          <w:rFonts w:cs="Times New Roman"/>
        </w:rPr>
        <w:t>A2 below</w:t>
      </w:r>
      <w:r w:rsidRPr="005F474D">
        <w:rPr>
          <w:rFonts w:cs="Times New Roman"/>
        </w:rPr>
        <w:t xml:space="preserve">, which presents regressions of changes in the Democratic vote share on the participation rates in loans 2 through 4, for the limited set of counties for which we have data for all three. </w:t>
      </w:r>
    </w:p>
    <w:p w:rsidR="009F18C6" w:rsidRDefault="009F18C6" w:rsidP="009F18C6">
      <w:pPr>
        <w:spacing w:after="0" w:line="240" w:lineRule="auto"/>
        <w:ind w:firstLine="720"/>
        <w:rPr>
          <w:rFonts w:cs="Times New Roman"/>
        </w:rPr>
      </w:pPr>
    </w:p>
    <w:p w:rsidR="009F18C6" w:rsidRPr="005F474D" w:rsidRDefault="009F18C6" w:rsidP="009F18C6">
      <w:pPr>
        <w:spacing w:after="0" w:line="240" w:lineRule="auto"/>
        <w:ind w:firstLine="720"/>
        <w:rPr>
          <w:rFonts w:cs="Times New Roman"/>
        </w:rPr>
      </w:pPr>
    </w:p>
    <w:p w:rsidR="009F18C6" w:rsidRPr="00E1139A" w:rsidRDefault="009F18C6" w:rsidP="009F18C6">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A2</w:t>
      </w:r>
      <w:r w:rsidRPr="00E1139A">
        <w:rPr>
          <w:rFonts w:eastAsia="Calibri" w:cs="Times New Roman"/>
          <w:b/>
        </w:rPr>
        <w:t xml:space="preserve">: </w:t>
      </w:r>
    </w:p>
    <w:p w:rsidR="009F18C6" w:rsidRDefault="009F18C6" w:rsidP="009F18C6">
      <w:pPr>
        <w:spacing w:after="0" w:line="240" w:lineRule="auto"/>
        <w:jc w:val="center"/>
        <w:rPr>
          <w:rFonts w:eastAsia="Calibri" w:cs="Times New Roman"/>
          <w:b/>
        </w:rPr>
      </w:pPr>
      <w:r w:rsidRPr="00E1139A">
        <w:rPr>
          <w:rFonts w:eastAsia="Calibri" w:cs="Times New Roman"/>
          <w:b/>
        </w:rPr>
        <w:t>Effect of Liberty Loan Participation on Electoral Outcomes, 1908-32</w:t>
      </w:r>
      <w:r>
        <w:rPr>
          <w:rFonts w:eastAsia="Calibri" w:cs="Times New Roman"/>
          <w:b/>
        </w:rPr>
        <w:t>:</w:t>
      </w:r>
    </w:p>
    <w:p w:rsidR="009F18C6" w:rsidRPr="00E1139A" w:rsidRDefault="009F18C6" w:rsidP="009F18C6">
      <w:pPr>
        <w:spacing w:after="0" w:line="240" w:lineRule="auto"/>
        <w:jc w:val="center"/>
        <w:rPr>
          <w:rFonts w:eastAsia="Calibri" w:cs="Times New Roman"/>
          <w:b/>
        </w:rPr>
      </w:pPr>
      <w:r>
        <w:rPr>
          <w:rFonts w:eastAsia="Calibri" w:cs="Times New Roman"/>
          <w:b/>
        </w:rPr>
        <w:t>Controlling for Additional Loan Participation</w:t>
      </w:r>
    </w:p>
    <w:p w:rsidR="009F18C6" w:rsidRDefault="009F18C6" w:rsidP="009F18C6">
      <w:pPr>
        <w:spacing w:after="0" w:line="240" w:lineRule="auto"/>
        <w:jc w:val="center"/>
        <w:rPr>
          <w:rFonts w:eastAsia="Calibri" w:cs="Times New Roman"/>
          <w:b/>
        </w:rPr>
      </w:pPr>
    </w:p>
    <w:p w:rsidR="009F18C6" w:rsidRDefault="009F18C6" w:rsidP="009F18C6">
      <w:pPr>
        <w:spacing w:after="0" w:line="240" w:lineRule="auto"/>
        <w:jc w:val="center"/>
        <w:rPr>
          <w:rFonts w:eastAsia="Calibri" w:cs="Times New Roman"/>
          <w:b/>
        </w:rPr>
      </w:pPr>
    </w:p>
    <w:tbl>
      <w:tblPr>
        <w:tblW w:w="8640" w:type="dxa"/>
        <w:jc w:val="center"/>
        <w:tblLook w:val="04A0" w:firstRow="1" w:lastRow="0" w:firstColumn="1" w:lastColumn="0" w:noHBand="0" w:noVBand="1"/>
      </w:tblPr>
      <w:tblGrid>
        <w:gridCol w:w="5160"/>
        <w:gridCol w:w="1140"/>
        <w:gridCol w:w="1180"/>
        <w:gridCol w:w="1160"/>
      </w:tblGrid>
      <w:tr w:rsidR="009F18C6" w:rsidRPr="00672025" w:rsidTr="00E77EAC">
        <w:trPr>
          <w:trHeight w:val="270"/>
          <w:jc w:val="center"/>
        </w:trPr>
        <w:tc>
          <w:tcPr>
            <w:tcW w:w="5160" w:type="dxa"/>
            <w:tcBorders>
              <w:top w:val="double" w:sz="6" w:space="0" w:color="auto"/>
              <w:left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p>
        </w:tc>
        <w:tc>
          <w:tcPr>
            <w:tcW w:w="1140" w:type="dxa"/>
            <w:tcBorders>
              <w:top w:val="double" w:sz="6" w:space="0" w:color="auto"/>
              <w:left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top w:val="double" w:sz="6" w:space="0" w:color="auto"/>
              <w:left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Counties</w:t>
            </w:r>
          </w:p>
        </w:tc>
        <w:tc>
          <w:tcPr>
            <w:tcW w:w="1160" w:type="dxa"/>
            <w:tcBorders>
              <w:top w:val="double" w:sz="6" w:space="0" w:color="auto"/>
              <w:left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Counties</w:t>
            </w:r>
          </w:p>
        </w:tc>
      </w:tr>
      <w:tr w:rsidR="009F18C6" w:rsidRPr="00672025" w:rsidTr="00E77EAC">
        <w:trPr>
          <w:trHeight w:val="270"/>
          <w:jc w:val="center"/>
        </w:trPr>
        <w:tc>
          <w:tcPr>
            <w:tcW w:w="5160" w:type="dxa"/>
            <w:tcBorders>
              <w:left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p>
        </w:tc>
        <w:tc>
          <w:tcPr>
            <w:tcW w:w="1140" w:type="dxa"/>
            <w:tcBorders>
              <w:left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left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With Data</w:t>
            </w:r>
          </w:p>
        </w:tc>
        <w:tc>
          <w:tcPr>
            <w:tcW w:w="1160" w:type="dxa"/>
            <w:tcBorders>
              <w:left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With Data</w:t>
            </w:r>
          </w:p>
        </w:tc>
      </w:tr>
      <w:tr w:rsidR="009F18C6" w:rsidRPr="00672025" w:rsidTr="00E77EAC">
        <w:trPr>
          <w:trHeight w:val="270"/>
          <w:jc w:val="center"/>
        </w:trPr>
        <w:tc>
          <w:tcPr>
            <w:tcW w:w="5160" w:type="dxa"/>
            <w:tcBorders>
              <w:left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p>
        </w:tc>
        <w:tc>
          <w:tcPr>
            <w:tcW w:w="1140" w:type="dxa"/>
            <w:tcBorders>
              <w:left w:val="nil"/>
              <w:right w:val="nil"/>
            </w:tcBorders>
            <w:shd w:val="clear" w:color="auto" w:fill="auto"/>
            <w:noWrap/>
            <w:vAlign w:val="bottom"/>
          </w:tcPr>
          <w:p w:rsidR="009F18C6"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All</w:t>
            </w:r>
          </w:p>
        </w:tc>
        <w:tc>
          <w:tcPr>
            <w:tcW w:w="1180" w:type="dxa"/>
            <w:tcBorders>
              <w:left w:val="nil"/>
              <w:right w:val="nil"/>
            </w:tcBorders>
            <w:shd w:val="clear" w:color="auto" w:fill="auto"/>
            <w:noWrap/>
            <w:vAlign w:val="bottom"/>
          </w:tcPr>
          <w:p w:rsidR="009F18C6"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For Loans</w:t>
            </w:r>
          </w:p>
        </w:tc>
        <w:tc>
          <w:tcPr>
            <w:tcW w:w="1160" w:type="dxa"/>
            <w:tcBorders>
              <w:left w:val="nil"/>
              <w:right w:val="nil"/>
            </w:tcBorders>
            <w:shd w:val="clear" w:color="auto" w:fill="auto"/>
            <w:noWrap/>
            <w:vAlign w:val="bottom"/>
          </w:tcPr>
          <w:p w:rsidR="009F18C6"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For Loans</w:t>
            </w:r>
          </w:p>
        </w:tc>
      </w:tr>
      <w:tr w:rsidR="009F18C6" w:rsidRPr="00672025" w:rsidTr="00E77EAC">
        <w:trPr>
          <w:trHeight w:val="270"/>
          <w:jc w:val="center"/>
        </w:trPr>
        <w:tc>
          <w:tcPr>
            <w:tcW w:w="5160" w:type="dxa"/>
            <w:tcBorders>
              <w:left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p>
        </w:tc>
        <w:tc>
          <w:tcPr>
            <w:tcW w:w="1140" w:type="dxa"/>
            <w:tcBorders>
              <w:left w:val="nil"/>
              <w:right w:val="nil"/>
            </w:tcBorders>
            <w:shd w:val="clear" w:color="auto" w:fill="auto"/>
            <w:noWrap/>
            <w:vAlign w:val="bottom"/>
          </w:tcPr>
          <w:p w:rsidR="009F18C6"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Counties</w:t>
            </w:r>
          </w:p>
        </w:tc>
        <w:tc>
          <w:tcPr>
            <w:tcW w:w="1180" w:type="dxa"/>
            <w:tcBorders>
              <w:left w:val="nil"/>
              <w:right w:val="nil"/>
            </w:tcBorders>
            <w:shd w:val="clear" w:color="auto" w:fill="auto"/>
            <w:noWrap/>
            <w:vAlign w:val="bottom"/>
          </w:tcPr>
          <w:p w:rsidR="009F18C6"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2 through 4</w:t>
            </w:r>
          </w:p>
        </w:tc>
        <w:tc>
          <w:tcPr>
            <w:tcW w:w="1160" w:type="dxa"/>
            <w:tcBorders>
              <w:left w:val="nil"/>
              <w:right w:val="nil"/>
            </w:tcBorders>
            <w:shd w:val="clear" w:color="auto" w:fill="auto"/>
            <w:noWrap/>
            <w:vAlign w:val="bottom"/>
          </w:tcPr>
          <w:p w:rsidR="009F18C6"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2 through 4</w:t>
            </w:r>
          </w:p>
        </w:tc>
      </w:tr>
      <w:tr w:rsidR="009F18C6" w:rsidRPr="00672025" w:rsidTr="00E77EAC">
        <w:trPr>
          <w:trHeight w:val="270"/>
          <w:jc w:val="center"/>
        </w:trPr>
        <w:tc>
          <w:tcPr>
            <w:tcW w:w="5160" w:type="dxa"/>
            <w:tcBorders>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 </w:t>
            </w:r>
          </w:p>
        </w:tc>
        <w:tc>
          <w:tcPr>
            <w:tcW w:w="1140" w:type="dxa"/>
            <w:tcBorders>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(1)</w:t>
            </w:r>
          </w:p>
        </w:tc>
        <w:tc>
          <w:tcPr>
            <w:tcW w:w="1180" w:type="dxa"/>
            <w:tcBorders>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(2)</w:t>
            </w:r>
          </w:p>
        </w:tc>
        <w:tc>
          <w:tcPr>
            <w:tcW w:w="1160" w:type="dxa"/>
            <w:tcBorders>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(3)</w:t>
            </w:r>
          </w:p>
        </w:tc>
      </w:tr>
      <w:tr w:rsidR="009F18C6" w:rsidRPr="00672025" w:rsidTr="00E77EAC">
        <w:trPr>
          <w:trHeight w:val="255"/>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p>
        </w:tc>
      </w:tr>
      <w:tr w:rsidR="009F18C6" w:rsidRPr="00672025" w:rsidTr="00E77EAC">
        <w:trPr>
          <w:trHeight w:val="255"/>
          <w:jc w:val="center"/>
        </w:trPr>
        <w:tc>
          <w:tcPr>
            <w:tcW w:w="5160" w:type="dxa"/>
            <w:tcBorders>
              <w:top w:val="nil"/>
              <w:left w:val="nil"/>
              <w:bottom w:val="nil"/>
              <w:right w:val="nil"/>
            </w:tcBorders>
            <w:shd w:val="clear" w:color="auto" w:fill="auto"/>
            <w:noWrap/>
            <w:vAlign w:val="center"/>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Post-1918 x</w:t>
            </w: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 xml:space="preserve">   Participation in 4th Liberty Loan</w:t>
            </w: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-18.633</w:t>
            </w:r>
            <w:r w:rsidRPr="00672025">
              <w:rPr>
                <w:rFonts w:ascii="Arial" w:eastAsia="Times New Roman" w:hAnsi="Arial" w:cs="Arial"/>
                <w:sz w:val="18"/>
                <w:szCs w:val="18"/>
              </w:rPr>
              <w:t>**</w:t>
            </w: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-19.549*</w:t>
            </w:r>
            <w:r w:rsidRPr="00672025">
              <w:rPr>
                <w:rFonts w:ascii="Arial" w:eastAsia="Times New Roman" w:hAnsi="Arial" w:cs="Arial"/>
                <w:sz w:val="18"/>
                <w:szCs w:val="18"/>
              </w:rPr>
              <w:t>*</w:t>
            </w: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-20.25</w:t>
            </w:r>
            <w:r w:rsidR="00B17778">
              <w:rPr>
                <w:rFonts w:ascii="Arial" w:eastAsia="Times New Roman" w:hAnsi="Arial" w:cs="Arial"/>
                <w:sz w:val="18"/>
                <w:szCs w:val="18"/>
              </w:rPr>
              <w:t>2</w:t>
            </w:r>
            <w:r>
              <w:rPr>
                <w:rFonts w:ascii="Arial" w:eastAsia="Times New Roman" w:hAnsi="Arial" w:cs="Arial"/>
                <w:sz w:val="18"/>
                <w:szCs w:val="18"/>
              </w:rPr>
              <w:t>*</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(4.259</w:t>
            </w:r>
            <w:r w:rsidRPr="00672025">
              <w:rPr>
                <w:rFonts w:ascii="Arial" w:eastAsia="Times New Roman" w:hAnsi="Arial" w:cs="Arial"/>
                <w:sz w:val="18"/>
                <w:szCs w:val="18"/>
              </w:rPr>
              <w:t>)</w:t>
            </w: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(7.398</w:t>
            </w:r>
            <w:r w:rsidRPr="00672025">
              <w:rPr>
                <w:rFonts w:ascii="Arial" w:eastAsia="Times New Roman" w:hAnsi="Arial" w:cs="Arial"/>
                <w:sz w:val="18"/>
                <w:szCs w:val="18"/>
              </w:rPr>
              <w:t>)</w:t>
            </w: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(10.283</w:t>
            </w:r>
            <w:r w:rsidRPr="00672025">
              <w:rPr>
                <w:rFonts w:ascii="Arial" w:eastAsia="Times New Roman" w:hAnsi="Arial" w:cs="Arial"/>
                <w:sz w:val="18"/>
                <w:szCs w:val="18"/>
              </w:rPr>
              <w:t>)</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Participation in 3rd</w:t>
            </w:r>
            <w:r w:rsidRPr="00672025">
              <w:rPr>
                <w:rFonts w:ascii="Arial" w:eastAsia="Times New Roman" w:hAnsi="Arial" w:cs="Arial"/>
                <w:sz w:val="18"/>
                <w:szCs w:val="18"/>
              </w:rPr>
              <w:t xml:space="preserve"> Liberty Loan</w:t>
            </w:r>
          </w:p>
        </w:tc>
        <w:tc>
          <w:tcPr>
            <w:tcW w:w="114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-17.433</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(12.0</w:t>
            </w:r>
            <w:r w:rsidR="00B17778">
              <w:rPr>
                <w:rFonts w:ascii="Arial" w:eastAsia="Times New Roman" w:hAnsi="Arial" w:cs="Arial"/>
                <w:sz w:val="18"/>
                <w:szCs w:val="18"/>
              </w:rPr>
              <w:t>68</w:t>
            </w:r>
            <w:r>
              <w:rPr>
                <w:rFonts w:ascii="Arial" w:eastAsia="Times New Roman" w:hAnsi="Arial" w:cs="Arial"/>
                <w:sz w:val="18"/>
                <w:szCs w:val="18"/>
              </w:rPr>
              <w:t>)</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Participation in 2nd</w:t>
            </w:r>
            <w:r w:rsidRPr="00672025">
              <w:rPr>
                <w:rFonts w:ascii="Arial" w:eastAsia="Times New Roman" w:hAnsi="Arial" w:cs="Arial"/>
                <w:sz w:val="18"/>
                <w:szCs w:val="18"/>
              </w:rPr>
              <w:t xml:space="preserve"> Liberty Loan</w:t>
            </w:r>
          </w:p>
        </w:tc>
        <w:tc>
          <w:tcPr>
            <w:tcW w:w="114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29.487</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(24.80</w:t>
            </w:r>
            <w:r w:rsidR="00B17778">
              <w:rPr>
                <w:rFonts w:ascii="Arial" w:eastAsia="Times New Roman" w:hAnsi="Arial" w:cs="Arial"/>
                <w:sz w:val="18"/>
                <w:szCs w:val="18"/>
              </w:rPr>
              <w:t>1</w:t>
            </w:r>
            <w:r>
              <w:rPr>
                <w:rFonts w:ascii="Arial" w:eastAsia="Times New Roman" w:hAnsi="Arial" w:cs="Arial"/>
                <w:sz w:val="18"/>
                <w:szCs w:val="18"/>
              </w:rPr>
              <w:t>)</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Constant</w:t>
            </w: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63.147</w:t>
            </w:r>
            <w:r w:rsidRPr="00672025">
              <w:rPr>
                <w:rFonts w:ascii="Arial" w:eastAsia="Times New Roman" w:hAnsi="Arial" w:cs="Arial"/>
                <w:sz w:val="18"/>
                <w:szCs w:val="18"/>
              </w:rPr>
              <w:t>**</w:t>
            </w: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57.346</w:t>
            </w:r>
            <w:r w:rsidRPr="00672025">
              <w:rPr>
                <w:rFonts w:ascii="Arial" w:eastAsia="Times New Roman" w:hAnsi="Arial" w:cs="Arial"/>
                <w:sz w:val="18"/>
                <w:szCs w:val="18"/>
              </w:rPr>
              <w:t>**</w:t>
            </w: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57.634</w:t>
            </w:r>
            <w:r w:rsidRPr="00672025">
              <w:rPr>
                <w:rFonts w:ascii="Arial" w:eastAsia="Times New Roman" w:hAnsi="Arial" w:cs="Arial"/>
                <w:sz w:val="18"/>
                <w:szCs w:val="18"/>
              </w:rPr>
              <w:t>**</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(0.738</w:t>
            </w:r>
            <w:r w:rsidRPr="00672025">
              <w:rPr>
                <w:rFonts w:ascii="Arial" w:eastAsia="Times New Roman" w:hAnsi="Arial" w:cs="Arial"/>
                <w:sz w:val="18"/>
                <w:szCs w:val="18"/>
              </w:rPr>
              <w:t>)</w:t>
            </w: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(1.529)</w:t>
            </w: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(1.408)</w:t>
            </w:r>
          </w:p>
        </w:tc>
      </w:tr>
      <w:tr w:rsidR="009F18C6" w:rsidRPr="00672025" w:rsidTr="00E77EAC">
        <w:trPr>
          <w:trHeight w:val="20"/>
          <w:jc w:val="center"/>
        </w:trPr>
        <w:tc>
          <w:tcPr>
            <w:tcW w:w="5160" w:type="dxa"/>
            <w:tcBorders>
              <w:top w:val="nil"/>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 </w:t>
            </w:r>
          </w:p>
        </w:tc>
        <w:tc>
          <w:tcPr>
            <w:tcW w:w="1140" w:type="dxa"/>
            <w:tcBorders>
              <w:top w:val="nil"/>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p>
        </w:tc>
        <w:tc>
          <w:tcPr>
            <w:tcW w:w="1180" w:type="dxa"/>
            <w:tcBorders>
              <w:top w:val="nil"/>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p>
        </w:tc>
        <w:tc>
          <w:tcPr>
            <w:tcW w:w="1160" w:type="dxa"/>
            <w:tcBorders>
              <w:top w:val="nil"/>
              <w:left w:val="nil"/>
              <w:bottom w:val="single" w:sz="4" w:space="0" w:color="auto"/>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Observations</w:t>
            </w: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9,855</w:t>
            </w: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3,869</w:t>
            </w: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3,869</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Counties</w:t>
            </w:r>
          </w:p>
        </w:tc>
        <w:tc>
          <w:tcPr>
            <w:tcW w:w="1140" w:type="dxa"/>
            <w:tcBorders>
              <w:top w:val="nil"/>
              <w:left w:val="nil"/>
              <w:bottom w:val="nil"/>
              <w:right w:val="nil"/>
            </w:tcBorders>
            <w:shd w:val="clear" w:color="auto" w:fill="auto"/>
            <w:noWrap/>
            <w:vAlign w:val="bottom"/>
          </w:tcPr>
          <w:p w:rsidR="009F18C6"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1,428</w:t>
            </w:r>
          </w:p>
        </w:tc>
        <w:tc>
          <w:tcPr>
            <w:tcW w:w="118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555</w:t>
            </w:r>
          </w:p>
        </w:tc>
        <w:tc>
          <w:tcPr>
            <w:tcW w:w="1160" w:type="dxa"/>
            <w:tcBorders>
              <w:top w:val="nil"/>
              <w:left w:val="nil"/>
              <w:bottom w:val="nil"/>
              <w:right w:val="nil"/>
            </w:tcBorders>
            <w:shd w:val="clear" w:color="auto" w:fill="auto"/>
            <w:noWrap/>
            <w:vAlign w:val="bottom"/>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555</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R-squared</w:t>
            </w: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0.935</w:t>
            </w: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0.938</w:t>
            </w: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0.938</w:t>
            </w:r>
          </w:p>
        </w:tc>
      </w:tr>
      <w:tr w:rsidR="009F18C6" w:rsidRPr="00672025" w:rsidTr="00E77EAC">
        <w:trPr>
          <w:trHeight w:val="20"/>
          <w:jc w:val="center"/>
        </w:trPr>
        <w:tc>
          <w:tcPr>
            <w:tcW w:w="5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sidRPr="00672025">
              <w:rPr>
                <w:rFonts w:ascii="Arial" w:eastAsia="Times New Roman" w:hAnsi="Arial" w:cs="Arial"/>
                <w:sz w:val="18"/>
                <w:szCs w:val="18"/>
              </w:rPr>
              <w:t>County FE</w:t>
            </w:r>
          </w:p>
        </w:tc>
        <w:tc>
          <w:tcPr>
            <w:tcW w:w="114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YES</w:t>
            </w:r>
          </w:p>
        </w:tc>
        <w:tc>
          <w:tcPr>
            <w:tcW w:w="118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YES</w:t>
            </w:r>
          </w:p>
        </w:tc>
        <w:tc>
          <w:tcPr>
            <w:tcW w:w="1160" w:type="dxa"/>
            <w:tcBorders>
              <w:top w:val="nil"/>
              <w:left w:val="nil"/>
              <w:bottom w:val="nil"/>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YES</w:t>
            </w:r>
          </w:p>
        </w:tc>
      </w:tr>
      <w:tr w:rsidR="009F18C6" w:rsidRPr="00672025" w:rsidTr="00E77EAC">
        <w:trPr>
          <w:trHeight w:val="20"/>
          <w:jc w:val="center"/>
        </w:trPr>
        <w:tc>
          <w:tcPr>
            <w:tcW w:w="5160" w:type="dxa"/>
            <w:tcBorders>
              <w:top w:val="nil"/>
              <w:left w:val="nil"/>
              <w:bottom w:val="single" w:sz="4" w:space="0" w:color="000000"/>
              <w:right w:val="nil"/>
            </w:tcBorders>
            <w:shd w:val="clear" w:color="auto" w:fill="auto"/>
            <w:noWrap/>
            <w:vAlign w:val="bottom"/>
            <w:hideMark/>
          </w:tcPr>
          <w:p w:rsidR="009F18C6" w:rsidRPr="00672025"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Fed District</w:t>
            </w:r>
            <w:r w:rsidRPr="00672025">
              <w:rPr>
                <w:rFonts w:ascii="Arial" w:eastAsia="Times New Roman" w:hAnsi="Arial" w:cs="Arial"/>
                <w:sz w:val="18"/>
                <w:szCs w:val="18"/>
              </w:rPr>
              <w:t xml:space="preserve"> x Year FE</w:t>
            </w:r>
          </w:p>
        </w:tc>
        <w:tc>
          <w:tcPr>
            <w:tcW w:w="1140" w:type="dxa"/>
            <w:tcBorders>
              <w:top w:val="nil"/>
              <w:left w:val="nil"/>
              <w:bottom w:val="single" w:sz="4" w:space="0" w:color="000000"/>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YES</w:t>
            </w:r>
          </w:p>
        </w:tc>
        <w:tc>
          <w:tcPr>
            <w:tcW w:w="1180" w:type="dxa"/>
            <w:tcBorders>
              <w:top w:val="nil"/>
              <w:left w:val="nil"/>
              <w:bottom w:val="single" w:sz="4" w:space="0" w:color="000000"/>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YES</w:t>
            </w:r>
          </w:p>
        </w:tc>
        <w:tc>
          <w:tcPr>
            <w:tcW w:w="1160" w:type="dxa"/>
            <w:tcBorders>
              <w:top w:val="nil"/>
              <w:left w:val="nil"/>
              <w:bottom w:val="single" w:sz="4" w:space="0" w:color="000000"/>
              <w:right w:val="nil"/>
            </w:tcBorders>
            <w:shd w:val="clear" w:color="auto" w:fill="auto"/>
            <w:noWrap/>
            <w:vAlign w:val="bottom"/>
            <w:hideMark/>
          </w:tcPr>
          <w:p w:rsidR="009F18C6" w:rsidRPr="00672025" w:rsidRDefault="009F18C6" w:rsidP="00E77EAC">
            <w:pPr>
              <w:spacing w:after="0" w:line="240" w:lineRule="auto"/>
              <w:jc w:val="center"/>
              <w:rPr>
                <w:rFonts w:ascii="Arial" w:eastAsia="Times New Roman" w:hAnsi="Arial" w:cs="Arial"/>
                <w:sz w:val="18"/>
                <w:szCs w:val="18"/>
              </w:rPr>
            </w:pPr>
            <w:r w:rsidRPr="00672025">
              <w:rPr>
                <w:rFonts w:ascii="Arial" w:eastAsia="Times New Roman" w:hAnsi="Arial" w:cs="Arial"/>
                <w:sz w:val="18"/>
                <w:szCs w:val="18"/>
              </w:rPr>
              <w:t>YES</w:t>
            </w:r>
          </w:p>
        </w:tc>
      </w:tr>
    </w:tbl>
    <w:p w:rsidR="009F18C6" w:rsidRPr="00E1139A" w:rsidRDefault="009F18C6" w:rsidP="009F18C6">
      <w:pPr>
        <w:spacing w:after="0" w:line="240" w:lineRule="auto"/>
        <w:ind w:left="450" w:right="270"/>
        <w:rPr>
          <w:rFonts w:ascii="Arial" w:eastAsia="Calibri" w:hAnsi="Arial" w:cs="Arial"/>
          <w:sz w:val="18"/>
        </w:rPr>
      </w:pPr>
      <w:r w:rsidRPr="009200FF">
        <w:rPr>
          <w:rFonts w:ascii="Arial" w:eastAsia="Calibri" w:hAnsi="Arial" w:cs="Arial"/>
          <w:i/>
          <w:sz w:val="18"/>
        </w:rPr>
        <w:t>Note</w:t>
      </w:r>
      <w:r w:rsidRPr="00E1139A">
        <w:rPr>
          <w:rFonts w:ascii="Arial" w:eastAsia="Calibri" w:hAnsi="Arial" w:cs="Arial"/>
          <w:sz w:val="18"/>
        </w:rPr>
        <w:t xml:space="preserve">:  this table presents OLS regressions of the effect of liberty loan participation on the Democratic Party vote share in presidential elections, in a panel of counties. </w:t>
      </w:r>
      <w:r>
        <w:rPr>
          <w:rFonts w:ascii="Arial" w:eastAsia="Calibri" w:hAnsi="Arial" w:cs="Arial"/>
          <w:sz w:val="18"/>
        </w:rPr>
        <w:t xml:space="preserve">In column (1), all counties for which we have data for the fourth loan are used.  In column (2), counties for which we have </w:t>
      </w:r>
      <w:r w:rsidRPr="00E1139A">
        <w:rPr>
          <w:rFonts w:ascii="Arial" w:eastAsia="Calibri" w:hAnsi="Arial" w:cs="Arial"/>
          <w:sz w:val="18"/>
        </w:rPr>
        <w:t xml:space="preserve"> </w:t>
      </w:r>
      <w:r>
        <w:rPr>
          <w:rFonts w:ascii="Arial" w:eastAsia="Calibri" w:hAnsi="Arial" w:cs="Arial"/>
          <w:sz w:val="18"/>
        </w:rPr>
        <w:t xml:space="preserve">data for loans 2-4 are used.  And in column (3), participation rates in loans 2 and 3 are included in the regressions. </w:t>
      </w:r>
      <w:r w:rsidRPr="00E1139A">
        <w:rPr>
          <w:rFonts w:ascii="Arial" w:eastAsia="Calibri" w:hAnsi="Arial" w:cs="Arial"/>
          <w:sz w:val="18"/>
        </w:rPr>
        <w:t xml:space="preserve">All regressions weighted by 1920 county population.  Robust </w:t>
      </w:r>
      <w:r w:rsidRPr="00E1139A">
        <w:rPr>
          <w:rFonts w:ascii="Arial" w:eastAsia="Times New Roman" w:hAnsi="Arial" w:cs="Arial"/>
          <w:sz w:val="18"/>
          <w:szCs w:val="18"/>
        </w:rPr>
        <w:t>standard errors clustered by county presented in parentheses.  ** p&lt;0.01, * p&lt;0.05, + p&lt;0.1</w:t>
      </w:r>
    </w:p>
    <w:p w:rsidR="009F18C6" w:rsidRDefault="009F18C6" w:rsidP="009F18C6">
      <w:pPr>
        <w:spacing w:after="0" w:line="240" w:lineRule="auto"/>
        <w:ind w:firstLine="450"/>
        <w:rPr>
          <w:rFonts w:cs="Times New Roman"/>
        </w:rPr>
      </w:pPr>
    </w:p>
    <w:p w:rsidR="009F18C6" w:rsidRDefault="009F18C6" w:rsidP="009F18C6">
      <w:pPr>
        <w:spacing w:after="0" w:line="240" w:lineRule="auto"/>
        <w:ind w:firstLine="450"/>
        <w:rPr>
          <w:rFonts w:cs="Times New Roman"/>
        </w:rPr>
      </w:pPr>
      <w:r>
        <w:rPr>
          <w:rFonts w:cs="Times New Roman"/>
        </w:rPr>
        <w:t xml:space="preserve">In column (1), we present the results of a regression in which we include only the fourth loan, with no additional county characteristics included as controls, using the full sample of counties for which we have data for the fourth loan. The set of counties for which we also have data for the third and second loans is considerably smaller, and to verify that the effects of the fourth loan are the same in those counties, in column (2) we restrict the analysis to the counties for which we have data for all three loans. The estimated effect of participation in the fourth loan is quite similar.  Finally, in column (3) we add the participation rates for the second and third loans.  </w:t>
      </w:r>
      <w:r w:rsidRPr="005F474D">
        <w:rPr>
          <w:rFonts w:cs="Times New Roman"/>
        </w:rPr>
        <w:t>The estimated effect of the forth loan is essentially unchanged, implying that excluding participation in the other loans from the regressions</w:t>
      </w:r>
      <w:r>
        <w:rPr>
          <w:rFonts w:cs="Times New Roman"/>
        </w:rPr>
        <w:t xml:space="preserve"> in the paper</w:t>
      </w:r>
      <w:r w:rsidRPr="005F474D">
        <w:rPr>
          <w:rFonts w:cs="Times New Roman"/>
        </w:rPr>
        <w:t xml:space="preserve"> does not substantially bias the estimated effect of participation in the fourth loan.</w:t>
      </w:r>
    </w:p>
    <w:p w:rsidR="009F18C6" w:rsidRPr="009C07E2" w:rsidRDefault="009F18C6" w:rsidP="009F18C6">
      <w:pPr>
        <w:spacing w:after="0" w:line="240" w:lineRule="auto"/>
        <w:ind w:firstLine="450"/>
        <w:rPr>
          <w:rFonts w:cs="Times New Roman"/>
        </w:rPr>
      </w:pPr>
      <w:r>
        <w:rPr>
          <w:rFonts w:cs="Times New Roman"/>
        </w:rPr>
        <w:t>It should be noted that i</w:t>
      </w:r>
      <w:r w:rsidRPr="009C07E2">
        <w:rPr>
          <w:rFonts w:cs="Times New Roman"/>
        </w:rPr>
        <w:t xml:space="preserve">n the regressions in the table, the usual state-by-year fixed effects are replaced by Fed district-by-year fixed effects, because with the Fed district-by-year fixed effects, the estimates </w:t>
      </w:r>
      <w:r>
        <w:rPr>
          <w:rFonts w:cs="Times New Roman"/>
        </w:rPr>
        <w:t xml:space="preserve">using the small sample of counties for which we have data on all three loans </w:t>
      </w:r>
      <w:r w:rsidRPr="009C07E2">
        <w:rPr>
          <w:rFonts w:cs="Times New Roman"/>
        </w:rPr>
        <w:t>are somewhat more precise.</w:t>
      </w:r>
    </w:p>
    <w:p w:rsidR="009F18C6" w:rsidRDefault="009F18C6" w:rsidP="009F18C6">
      <w:pPr>
        <w:spacing w:after="0" w:line="240" w:lineRule="auto"/>
        <w:rPr>
          <w:rFonts w:cs="Times New Roman"/>
          <w:b/>
        </w:rPr>
      </w:pPr>
    </w:p>
    <w:p w:rsidR="009F18C6" w:rsidRDefault="009F18C6" w:rsidP="009F18C6">
      <w:pPr>
        <w:spacing w:after="0" w:line="240" w:lineRule="auto"/>
        <w:rPr>
          <w:rFonts w:cs="Times New Roman"/>
          <w:b/>
        </w:rPr>
      </w:pPr>
      <w:r>
        <w:rPr>
          <w:rFonts w:cs="Times New Roman"/>
          <w:b/>
        </w:rPr>
        <w:t>3.3 Wheat price controls and the 1920 election</w:t>
      </w:r>
    </w:p>
    <w:p w:rsidR="009F18C6" w:rsidRDefault="009F18C6" w:rsidP="009F18C6">
      <w:pPr>
        <w:spacing w:after="0" w:line="240" w:lineRule="auto"/>
        <w:rPr>
          <w:rFonts w:cs="Times New Roman"/>
          <w:b/>
        </w:rPr>
      </w:pPr>
    </w:p>
    <w:p w:rsidR="009F18C6" w:rsidRDefault="009F18C6" w:rsidP="009F18C6">
      <w:pPr>
        <w:spacing w:after="0" w:line="240" w:lineRule="auto"/>
        <w:rPr>
          <w:rFonts w:eastAsia="Times New Roman" w:cs="Times New Roman"/>
        </w:rPr>
      </w:pPr>
      <w:r>
        <w:rPr>
          <w:rFonts w:eastAsia="Times New Roman" w:cs="Times New Roman"/>
        </w:rPr>
        <w:tab/>
      </w:r>
      <w:r w:rsidRPr="008075F0">
        <w:rPr>
          <w:rFonts w:eastAsia="Times New Roman" w:cs="Times New Roman"/>
        </w:rPr>
        <w:t>During the war years,</w:t>
      </w:r>
      <w:r>
        <w:rPr>
          <w:rFonts w:eastAsia="Times New Roman" w:cs="Times New Roman"/>
        </w:rPr>
        <w:t xml:space="preserve"> wheat prices were partly controlled, whereas cotton prices were not. As we document in the paper, this contributed to resentments against the Democratic Party in wheat growing areas, which was seen as favoring Southern cotton producers. </w:t>
      </w:r>
      <w:r w:rsidRPr="008075F0">
        <w:rPr>
          <w:rFonts w:eastAsia="Times New Roman" w:cs="Times New Roman"/>
        </w:rPr>
        <w:t xml:space="preserve">  </w:t>
      </w:r>
      <w:r>
        <w:rPr>
          <w:rFonts w:eastAsia="Times New Roman" w:cs="Times New Roman"/>
        </w:rPr>
        <w:t>Here we document the evolution of wheat and cotton prices in order to assess the significance of this issues.</w:t>
      </w:r>
    </w:p>
    <w:p w:rsidR="009F18C6" w:rsidRDefault="009F18C6" w:rsidP="009F18C6">
      <w:pPr>
        <w:spacing w:after="0" w:line="480" w:lineRule="auto"/>
        <w:ind w:left="720" w:hanging="720"/>
        <w:jc w:val="center"/>
        <w:rPr>
          <w:rFonts w:eastAsia="Times New Roman" w:cs="Times New Roman"/>
        </w:rPr>
      </w:pPr>
      <w:r>
        <w:rPr>
          <w:rFonts w:eastAsia="Times New Roman" w:cs="Times New Roman"/>
          <w:noProof/>
        </w:rPr>
        <w:drawing>
          <wp:inline distT="0" distB="0" distL="0" distR="0" wp14:anchorId="5CF0A1AF" wp14:editId="1677AB2A">
            <wp:extent cx="4475350" cy="27189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911" cy="2739314"/>
                    </a:xfrm>
                    <a:prstGeom prst="rect">
                      <a:avLst/>
                    </a:prstGeom>
                    <a:noFill/>
                    <a:ln>
                      <a:noFill/>
                    </a:ln>
                  </pic:spPr>
                </pic:pic>
              </a:graphicData>
            </a:graphic>
          </wp:inline>
        </w:drawing>
      </w:r>
    </w:p>
    <w:p w:rsidR="009F18C6" w:rsidRDefault="009F18C6" w:rsidP="009F18C6">
      <w:pPr>
        <w:spacing w:after="0" w:line="240" w:lineRule="auto"/>
        <w:jc w:val="center"/>
        <w:rPr>
          <w:rFonts w:eastAsia="Times New Roman" w:cs="Times New Roman"/>
          <w:b/>
        </w:rPr>
      </w:pPr>
      <w:r w:rsidRPr="0040196A">
        <w:rPr>
          <w:rFonts w:eastAsia="Times New Roman" w:cs="Times New Roman"/>
          <w:b/>
        </w:rPr>
        <w:t>Figure A</w:t>
      </w:r>
      <w:r>
        <w:rPr>
          <w:rFonts w:eastAsia="Times New Roman" w:cs="Times New Roman"/>
          <w:b/>
        </w:rPr>
        <w:t>7</w:t>
      </w:r>
      <w:r w:rsidRPr="0040196A">
        <w:rPr>
          <w:rFonts w:eastAsia="Times New Roman" w:cs="Times New Roman"/>
          <w:b/>
        </w:rPr>
        <w:t>:</w:t>
      </w:r>
    </w:p>
    <w:p w:rsidR="009F18C6" w:rsidRDefault="009F18C6" w:rsidP="009F18C6">
      <w:pPr>
        <w:spacing w:after="0" w:line="240" w:lineRule="auto"/>
        <w:jc w:val="center"/>
        <w:rPr>
          <w:rFonts w:eastAsia="Times New Roman" w:cs="Times New Roman"/>
        </w:rPr>
      </w:pPr>
      <w:r>
        <w:rPr>
          <w:rFonts w:eastAsia="Times New Roman" w:cs="Times New Roman"/>
          <w:b/>
        </w:rPr>
        <w:t>Wheat and Cotton Prices, 1914-1925</w:t>
      </w:r>
    </w:p>
    <w:p w:rsidR="009F18C6" w:rsidRDefault="009F18C6" w:rsidP="009F18C6">
      <w:pPr>
        <w:spacing w:after="0" w:line="240" w:lineRule="auto"/>
        <w:ind w:left="720" w:right="720"/>
        <w:jc w:val="both"/>
        <w:rPr>
          <w:rFonts w:eastAsia="Times New Roman" w:cs="Times New Roman"/>
        </w:rPr>
      </w:pPr>
      <w:r>
        <w:rPr>
          <w:rFonts w:eastAsia="Times New Roman" w:cs="Times New Roman"/>
        </w:rPr>
        <w:t xml:space="preserve">The figure plots monthly prices for number 2 red winter wheat, as quoted in Chicago, and for middling cotton, as quoted in New Orleans, as reported in </w:t>
      </w:r>
      <w:r w:rsidRPr="000612C7">
        <w:rPr>
          <w:rFonts w:eastAsia="Times New Roman" w:cs="Times New Roman"/>
        </w:rPr>
        <w:t>US Dept of Labor, Bureau of Labor Statistics</w:t>
      </w:r>
      <w:r>
        <w:rPr>
          <w:rFonts w:eastAsia="Times New Roman" w:cs="Times New Roman"/>
        </w:rPr>
        <w:t xml:space="preserve"> </w:t>
      </w:r>
      <w:r w:rsidRPr="000612C7">
        <w:rPr>
          <w:rFonts w:eastAsia="Times New Roman" w:cs="Times New Roman"/>
          <w:i/>
        </w:rPr>
        <w:t>Wholesale Prices:  Bulletin of the Bureau of Labor Statistics</w:t>
      </w:r>
      <w:r>
        <w:rPr>
          <w:rFonts w:eastAsia="Times New Roman" w:cs="Times New Roman"/>
        </w:rPr>
        <w:t xml:space="preserve"> (</w:t>
      </w:r>
      <w:r w:rsidRPr="000612C7">
        <w:rPr>
          <w:rFonts w:eastAsia="Times New Roman" w:cs="Times New Roman"/>
        </w:rPr>
        <w:t>various issues</w:t>
      </w:r>
      <w:r>
        <w:rPr>
          <w:rFonts w:eastAsia="Times New Roman" w:cs="Times New Roman"/>
        </w:rPr>
        <w:t>).  The values for January 1914 are set to 100.</w:t>
      </w:r>
    </w:p>
    <w:p w:rsidR="009F18C6" w:rsidRDefault="009F18C6" w:rsidP="009F18C6">
      <w:pPr>
        <w:spacing w:after="0" w:line="240" w:lineRule="auto"/>
        <w:rPr>
          <w:rFonts w:cs="Times New Roman"/>
          <w:b/>
        </w:rPr>
      </w:pPr>
    </w:p>
    <w:p w:rsidR="009F18C6" w:rsidRDefault="009F18C6" w:rsidP="009F18C6">
      <w:pPr>
        <w:spacing w:after="0" w:line="240" w:lineRule="auto"/>
        <w:rPr>
          <w:rFonts w:cs="Times New Roman"/>
        </w:rPr>
      </w:pPr>
      <w:r>
        <w:rPr>
          <w:rFonts w:cs="Times New Roman"/>
          <w:b/>
        </w:rPr>
        <w:tab/>
      </w:r>
      <w:r>
        <w:rPr>
          <w:rFonts w:cs="Times New Roman"/>
        </w:rPr>
        <w:t>Figure A7 presents monthly indexes of wheat and cotton prices from 1914 to 1925, where the January 1914 value is set to 100.  The period in which wheat prices were actually is visible in the figure, and followed a large spike in wheat prices. That cotton prices were rising around the time that wheat prices were controlled likely contributed to the resentments of wheat farmers.</w:t>
      </w:r>
    </w:p>
    <w:p w:rsidR="009F18C6" w:rsidRDefault="009F18C6" w:rsidP="009F18C6">
      <w:pPr>
        <w:spacing w:after="0" w:line="240" w:lineRule="auto"/>
        <w:rPr>
          <w:rFonts w:cs="Times New Roman"/>
        </w:rPr>
      </w:pPr>
      <w:r>
        <w:rPr>
          <w:rFonts w:cs="Times New Roman"/>
        </w:rPr>
        <w:tab/>
        <w:t>On the other hand, wheat prices were relatively quickly uncontrolled, and cotton prices actually fell much more than wheat prices prior to the 1920 election.  We conclude that although the decision to control wheat prices and leave cotton prices uncontrolled may have contributed to political resentments against the Democrats for favoring the South, the economic harm suffered by the wheat farmers in the months prior to the 1920 election was unlikely to have been greater than that suffered by cotton farmers.</w:t>
      </w:r>
    </w:p>
    <w:p w:rsidR="009F18C6" w:rsidRDefault="009F18C6" w:rsidP="009F18C6">
      <w:pPr>
        <w:spacing w:after="0" w:line="240" w:lineRule="auto"/>
        <w:rPr>
          <w:rFonts w:cs="Times New Roman"/>
        </w:rPr>
      </w:pPr>
    </w:p>
    <w:p w:rsidR="009F18C6" w:rsidRDefault="009F18C6" w:rsidP="009F18C6">
      <w:pPr>
        <w:spacing w:after="0" w:line="240" w:lineRule="auto"/>
        <w:rPr>
          <w:rFonts w:cs="Times New Roman"/>
          <w:b/>
        </w:rPr>
      </w:pPr>
      <w:r>
        <w:rPr>
          <w:rFonts w:cs="Times New Roman"/>
          <w:b/>
        </w:rPr>
        <w:t>3.4 Effect of the German born on election outcomes</w:t>
      </w:r>
    </w:p>
    <w:p w:rsidR="009F18C6" w:rsidRDefault="009F18C6" w:rsidP="009F18C6">
      <w:pPr>
        <w:spacing w:after="0" w:line="240" w:lineRule="auto"/>
        <w:rPr>
          <w:rFonts w:cs="Times New Roman"/>
          <w:b/>
        </w:rPr>
      </w:pPr>
    </w:p>
    <w:p w:rsidR="009F18C6" w:rsidRDefault="009F18C6" w:rsidP="009F18C6">
      <w:pPr>
        <w:spacing w:after="0" w:line="240" w:lineRule="auto"/>
        <w:rPr>
          <w:rFonts w:cs="Times New Roman"/>
          <w:b/>
        </w:rPr>
      </w:pPr>
      <w:r>
        <w:rPr>
          <w:rFonts w:cs="Times New Roman"/>
          <w:b/>
        </w:rPr>
        <w:tab/>
      </w:r>
      <w:r>
        <w:rPr>
          <w:rFonts w:cs="Times New Roman"/>
        </w:rPr>
        <w:t xml:space="preserve">Regression estimates presented in the Table 3 of the paper do not offer any support for the notion that the German born or foreign born were responsible for the effects of liberty bonds on election outcomes that are the focus of this paper.  One somewhat puzzling element of those results is that the estimated effects of the German born and foreign born population on the Democratic vote share are </w:t>
      </w:r>
      <w:r w:rsidRPr="005C31A2">
        <w:rPr>
          <w:rFonts w:cs="Times New Roman"/>
          <w:i/>
        </w:rPr>
        <w:t>positive</w:t>
      </w:r>
      <w:r>
        <w:rPr>
          <w:rFonts w:cs="Times New Roman"/>
        </w:rPr>
        <w:t xml:space="preserve"> for the post-1918 period, whereas Bagby’s (1962) analysis, and Tabellini’s (2017) results, suggest that it should be negative.  To investigate this further, regressions with election-by-election </w:t>
      </w:r>
      <w:r>
        <w:rPr>
          <w:rFonts w:cs="Times New Roman"/>
        </w:rPr>
        <w:lastRenderedPageBreak/>
        <w:t>interactions were estimated.  The estimates for the effect of the share German born are presented in Figure A8.</w:t>
      </w:r>
      <w:r>
        <w:rPr>
          <w:rFonts w:cs="Times New Roman"/>
          <w:b/>
        </w:rPr>
        <w:t xml:space="preserve"> </w:t>
      </w:r>
    </w:p>
    <w:p w:rsidR="009F18C6" w:rsidRDefault="009F18C6" w:rsidP="009F18C6">
      <w:pPr>
        <w:spacing w:after="0" w:line="240" w:lineRule="auto"/>
        <w:ind w:left="180"/>
        <w:rPr>
          <w:rFonts w:cs="Times New Roman"/>
          <w:b/>
        </w:rPr>
      </w:pPr>
      <w:r>
        <w:rPr>
          <w:rFonts w:cs="Times New Roman"/>
          <w:b/>
          <w:noProof/>
        </w:rPr>
        <w:drawing>
          <wp:inline distT="0" distB="0" distL="0" distR="0" wp14:anchorId="07EE3604" wp14:editId="589ADD11">
            <wp:extent cx="5372100" cy="2428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428875"/>
                    </a:xfrm>
                    <a:prstGeom prst="rect">
                      <a:avLst/>
                    </a:prstGeom>
                    <a:noFill/>
                    <a:ln>
                      <a:noFill/>
                    </a:ln>
                  </pic:spPr>
                </pic:pic>
              </a:graphicData>
            </a:graphic>
          </wp:inline>
        </w:drawing>
      </w:r>
    </w:p>
    <w:p w:rsidR="009F18C6" w:rsidRDefault="009F18C6" w:rsidP="009F18C6">
      <w:pPr>
        <w:spacing w:after="0" w:line="240" w:lineRule="auto"/>
        <w:rPr>
          <w:rFonts w:cs="Times New Roman"/>
          <w:b/>
        </w:rPr>
      </w:pPr>
    </w:p>
    <w:p w:rsidR="009F18C6" w:rsidRDefault="009F18C6" w:rsidP="009F18C6">
      <w:pPr>
        <w:spacing w:after="0" w:line="240" w:lineRule="auto"/>
        <w:rPr>
          <w:rFonts w:cs="Times New Roman"/>
          <w:b/>
        </w:rPr>
      </w:pPr>
    </w:p>
    <w:p w:rsidR="009F18C6" w:rsidRDefault="009F18C6" w:rsidP="009F18C6">
      <w:pPr>
        <w:spacing w:after="0" w:line="240" w:lineRule="auto"/>
        <w:jc w:val="center"/>
        <w:rPr>
          <w:rFonts w:eastAsia="Times New Roman" w:cs="Times New Roman"/>
          <w:b/>
        </w:rPr>
      </w:pPr>
      <w:r w:rsidRPr="0040196A">
        <w:rPr>
          <w:rFonts w:eastAsia="Times New Roman" w:cs="Times New Roman"/>
          <w:b/>
        </w:rPr>
        <w:t>Figure A</w:t>
      </w:r>
      <w:r>
        <w:rPr>
          <w:rFonts w:eastAsia="Times New Roman" w:cs="Times New Roman"/>
          <w:b/>
        </w:rPr>
        <w:t>8</w:t>
      </w:r>
      <w:r w:rsidRPr="0040196A">
        <w:rPr>
          <w:rFonts w:eastAsia="Times New Roman" w:cs="Times New Roman"/>
          <w:b/>
        </w:rPr>
        <w:t>:</w:t>
      </w:r>
    </w:p>
    <w:p w:rsidR="009F18C6" w:rsidRDefault="009F18C6" w:rsidP="009F18C6">
      <w:pPr>
        <w:spacing w:after="0" w:line="240" w:lineRule="auto"/>
        <w:jc w:val="center"/>
        <w:rPr>
          <w:rFonts w:eastAsia="Times New Roman" w:cs="Times New Roman"/>
        </w:rPr>
      </w:pPr>
      <w:r>
        <w:rPr>
          <w:rFonts w:eastAsia="Times New Roman" w:cs="Times New Roman"/>
          <w:b/>
        </w:rPr>
        <w:t>Election-by-Election Effects of German-Born Population</w:t>
      </w:r>
    </w:p>
    <w:p w:rsidR="009F18C6" w:rsidRDefault="009F18C6" w:rsidP="009F18C6">
      <w:pPr>
        <w:spacing w:after="0" w:line="240" w:lineRule="auto"/>
        <w:rPr>
          <w:rFonts w:cs="Times New Roman"/>
          <w:b/>
        </w:rPr>
      </w:pPr>
    </w:p>
    <w:p w:rsidR="009F18C6" w:rsidRDefault="009F18C6" w:rsidP="009F18C6">
      <w:pPr>
        <w:spacing w:after="0" w:line="240" w:lineRule="auto"/>
        <w:rPr>
          <w:rFonts w:cs="Times New Roman"/>
        </w:rPr>
      </w:pPr>
      <w:r>
        <w:rPr>
          <w:rFonts w:cs="Times New Roman"/>
          <w:b/>
        </w:rPr>
        <w:tab/>
      </w:r>
      <w:r>
        <w:rPr>
          <w:rFonts w:cs="Times New Roman"/>
        </w:rPr>
        <w:t xml:space="preserve">The estimates in Figure A8 make it clear why the post-1918 effect of the German born was found to be positive and imprecisely estimated.  Counties with large numbers of German born residents turned against the Democrats in 1916, 1920 and 1924 only; in 1928 and 1932, those counties voted for the Democrats at roughly the same rate as they did in 1908 and 1912.   The effects identified by Bagby (1962) were apparently reversed in 1928 and 1932.  (The estimated effects of liberty bond participation in the regression that produced those estimates is substantially the same as in regressions in which the fraction German born are excluded.) </w:t>
      </w:r>
    </w:p>
    <w:p w:rsidR="00117D42" w:rsidRDefault="00117D42" w:rsidP="009F18C6">
      <w:pPr>
        <w:spacing w:after="0" w:line="240" w:lineRule="auto"/>
        <w:rPr>
          <w:rFonts w:cs="Times New Roman"/>
        </w:rPr>
      </w:pPr>
    </w:p>
    <w:p w:rsidR="00117D42" w:rsidRDefault="00117D42" w:rsidP="00117D42">
      <w:pPr>
        <w:spacing w:after="0" w:line="240" w:lineRule="auto"/>
        <w:rPr>
          <w:rFonts w:cs="Times New Roman"/>
          <w:b/>
        </w:rPr>
      </w:pPr>
      <w:r w:rsidRPr="00841F39">
        <w:rPr>
          <w:rFonts w:cs="Times New Roman"/>
          <w:b/>
        </w:rPr>
        <w:t>3.</w:t>
      </w:r>
      <w:r>
        <w:rPr>
          <w:rFonts w:cs="Times New Roman"/>
          <w:b/>
        </w:rPr>
        <w:t>5</w:t>
      </w:r>
      <w:r w:rsidRPr="00841F39">
        <w:rPr>
          <w:rFonts w:cs="Times New Roman"/>
          <w:b/>
        </w:rPr>
        <w:t xml:space="preserve"> E</w:t>
      </w:r>
      <w:r>
        <w:rPr>
          <w:rFonts w:cs="Times New Roman"/>
          <w:b/>
        </w:rPr>
        <w:t>ffects of women’s enfranchisement</w:t>
      </w:r>
    </w:p>
    <w:p w:rsidR="00117D42" w:rsidRPr="00841F39" w:rsidRDefault="00117D42" w:rsidP="00117D42">
      <w:pPr>
        <w:spacing w:after="0" w:line="240" w:lineRule="auto"/>
        <w:rPr>
          <w:rFonts w:cs="Times New Roman"/>
          <w:b/>
        </w:rPr>
      </w:pPr>
    </w:p>
    <w:p w:rsidR="006575B9" w:rsidRDefault="00117D42" w:rsidP="00117D42">
      <w:pPr>
        <w:spacing w:after="0" w:line="240" w:lineRule="auto"/>
        <w:rPr>
          <w:rFonts w:eastAsia="Times New Roman" w:cs="Times New Roman"/>
          <w:color w:val="222222"/>
          <w:shd w:val="clear" w:color="auto" w:fill="FFFFFF"/>
        </w:rPr>
      </w:pPr>
      <w:r w:rsidRPr="00117D42">
        <w:rPr>
          <w:rFonts w:eastAsia="Times New Roman" w:cs="Times New Roman"/>
          <w:color w:val="222222"/>
          <w:shd w:val="clear" w:color="auto" w:fill="FFFFFF"/>
        </w:rPr>
        <w:t xml:space="preserve">Women’s organizations were actively involved in the liberty loan drives, and liberty loan participation rates were likely correlated with the degree to which the women of a county were involved in such organizations. </w:t>
      </w:r>
      <w:r w:rsidR="006575B9">
        <w:rPr>
          <w:rFonts w:eastAsia="Times New Roman" w:cs="Times New Roman"/>
          <w:color w:val="222222"/>
          <w:shd w:val="clear" w:color="auto" w:fill="FFFFFF"/>
        </w:rPr>
        <w:t>Contemporary observers noted that women were often liberty bond investors, and speculated that the enfranchisement of women may have contributed to the electoral backlash against the Democrats, as women responded to the depreciation in bond prices.</w:t>
      </w:r>
    </w:p>
    <w:p w:rsidR="006575B9" w:rsidRDefault="006575B9" w:rsidP="00117D42">
      <w:pPr>
        <w:spacing w:after="0" w:line="240" w:lineRule="auto"/>
        <w:rPr>
          <w:rFonts w:eastAsia="Times New Roman" w:cs="Times New Roman"/>
          <w:color w:val="222222"/>
          <w:shd w:val="clear" w:color="auto" w:fill="FFFFFF"/>
        </w:rPr>
      </w:pPr>
    </w:p>
    <w:p w:rsidR="00117D42" w:rsidRPr="00117D42" w:rsidRDefault="006575B9" w:rsidP="00117D42">
      <w:pPr>
        <w:spacing w:after="0" w:line="240" w:lineRule="auto"/>
        <w:rPr>
          <w:rFonts w:eastAsia="Times New Roman" w:cs="Times New Roman"/>
          <w:color w:val="222222"/>
          <w:shd w:val="clear" w:color="auto" w:fill="FFFFFF"/>
        </w:rPr>
      </w:pPr>
      <w:r>
        <w:rPr>
          <w:rFonts w:eastAsia="Times New Roman" w:cs="Times New Roman"/>
          <w:color w:val="222222"/>
          <w:shd w:val="clear" w:color="auto" w:fill="FFFFFF"/>
        </w:rPr>
        <w:t>However, i</w:t>
      </w:r>
      <w:r w:rsidR="00117D42">
        <w:rPr>
          <w:rFonts w:eastAsia="Times New Roman" w:cs="Times New Roman"/>
          <w:color w:val="222222"/>
          <w:shd w:val="clear" w:color="auto" w:fill="FFFFFF"/>
        </w:rPr>
        <w:t>n theory, the enfranchisement of women in 1920 could be a potentially serious source of concern regarding our results, through the following mechanism.</w:t>
      </w:r>
      <w:r w:rsidR="00117D42" w:rsidRPr="00117D42">
        <w:rPr>
          <w:rFonts w:eastAsia="Times New Roman" w:cs="Times New Roman"/>
          <w:color w:val="222222"/>
          <w:shd w:val="clear" w:color="auto" w:fill="FFFFFF"/>
        </w:rPr>
        <w:t xml:space="preserve">  Suppose women were generally more likely to vote for Republicans, and suppose counties in which women were more politically engaged were also counties that had higher liberty bond subscription rates. If this were the case, then the enfranchisement of women would have depressed the Democratic vote share to a greater extent in counties with higher liberty bond participation rates in 1920 and subsequent elections, since the more politically engaged women in those counties would have been more likely to actually turn out and vote against the Democrats, compared to women in other counties.  The resulting correlation between liberty bond participation and the change in the Democratic vote share in 1920 (and later) would not be due to the effects of liberty bond ownership, as proposed in the paper, but instead to differential turnout rates among women.</w:t>
      </w:r>
    </w:p>
    <w:p w:rsidR="00117D42" w:rsidRPr="00117D42" w:rsidRDefault="00117D42" w:rsidP="00117D42">
      <w:pPr>
        <w:spacing w:after="0" w:line="240" w:lineRule="auto"/>
        <w:rPr>
          <w:rFonts w:eastAsia="Times New Roman" w:cs="Times New Roman"/>
          <w:color w:val="222222"/>
          <w:shd w:val="clear" w:color="auto" w:fill="FFFFFF"/>
        </w:rPr>
      </w:pPr>
    </w:p>
    <w:p w:rsidR="00117D42" w:rsidRPr="00117D42" w:rsidRDefault="00117D42" w:rsidP="00117D42">
      <w:pPr>
        <w:spacing w:after="0" w:line="240" w:lineRule="auto"/>
        <w:rPr>
          <w:rFonts w:eastAsia="Times New Roman" w:cs="Times New Roman"/>
          <w:color w:val="222222"/>
          <w:shd w:val="clear" w:color="auto" w:fill="FFFFFF"/>
        </w:rPr>
      </w:pPr>
      <w:r>
        <w:rPr>
          <w:rFonts w:eastAsia="Times New Roman" w:cs="Times New Roman"/>
          <w:color w:val="222222"/>
          <w:shd w:val="clear" w:color="auto" w:fill="FFFFFF"/>
        </w:rPr>
        <w:lastRenderedPageBreak/>
        <w:t>It is important to note that s</w:t>
      </w:r>
      <w:r w:rsidRPr="00117D42">
        <w:rPr>
          <w:rFonts w:eastAsia="Times New Roman" w:cs="Times New Roman"/>
          <w:color w:val="222222"/>
          <w:shd w:val="clear" w:color="auto" w:fill="FFFFFF"/>
        </w:rPr>
        <w:t>everal states, beginning with Wyoming in 1869, enfranchised women well before 1920.  By the time of the 1916 presidential election, 11 states had already granted women the right to vote (see Miller, 2008 for data).  The 1920 presidential election was one in which women were newly enfranchised only in the other 37 states, including all of the South.</w:t>
      </w:r>
    </w:p>
    <w:p w:rsidR="00117D42" w:rsidRPr="00117D42" w:rsidRDefault="00117D42" w:rsidP="00117D42">
      <w:pPr>
        <w:spacing w:after="0" w:line="240" w:lineRule="auto"/>
        <w:rPr>
          <w:rFonts w:eastAsia="Times New Roman" w:cs="Times New Roman"/>
          <w:color w:val="222222"/>
          <w:shd w:val="clear" w:color="auto" w:fill="FFFFFF"/>
        </w:rPr>
      </w:pPr>
    </w:p>
    <w:p w:rsidR="00117D42" w:rsidRPr="00117D42" w:rsidRDefault="00117D42" w:rsidP="00117D42">
      <w:pPr>
        <w:spacing w:after="0" w:line="240" w:lineRule="auto"/>
        <w:rPr>
          <w:rFonts w:eastAsia="Times New Roman" w:cs="Times New Roman"/>
          <w:color w:val="222222"/>
          <w:shd w:val="clear" w:color="auto" w:fill="FFFFFF"/>
        </w:rPr>
      </w:pPr>
      <w:r>
        <w:rPr>
          <w:rFonts w:eastAsia="Times New Roman" w:cs="Times New Roman"/>
          <w:color w:val="222222"/>
          <w:shd w:val="clear" w:color="auto" w:fill="FFFFFF"/>
        </w:rPr>
        <w:t>W</w:t>
      </w:r>
      <w:r w:rsidRPr="00117D42">
        <w:rPr>
          <w:rFonts w:eastAsia="Times New Roman" w:cs="Times New Roman"/>
          <w:color w:val="222222"/>
          <w:shd w:val="clear" w:color="auto" w:fill="FFFFFF"/>
        </w:rPr>
        <w:t xml:space="preserve">e can actually use this variation in the timing across states to assess the role of women’s enfranchisement in our results.  In particular, we can compare the change in the Democratic vote share in states that already had enfranchised women in 1920 with those that had not, from 1916 to 1920.  If the mechanism we described above had an important impact on our estimates, then there should have been a differential impact of liberty bond participation in the states where women were newly enfranchised in 1920, compared to those where they were already permitted to vote in 1916. </w:t>
      </w:r>
    </w:p>
    <w:p w:rsidR="00117D42" w:rsidRPr="00117D42" w:rsidRDefault="00117D42" w:rsidP="00117D42">
      <w:pPr>
        <w:spacing w:after="0" w:line="240" w:lineRule="auto"/>
        <w:rPr>
          <w:rFonts w:eastAsia="Times New Roman" w:cs="Times New Roman"/>
          <w:color w:val="222222"/>
          <w:shd w:val="clear" w:color="auto" w:fill="FFFFFF"/>
        </w:rPr>
      </w:pPr>
    </w:p>
    <w:p w:rsidR="00117D42" w:rsidRPr="00117D42" w:rsidRDefault="00117D42" w:rsidP="00117D42">
      <w:pPr>
        <w:spacing w:after="0" w:line="240" w:lineRule="auto"/>
        <w:rPr>
          <w:rFonts w:eastAsia="Times New Roman" w:cs="Times New Roman"/>
          <w:color w:val="222222"/>
          <w:shd w:val="clear" w:color="auto" w:fill="FFFFFF"/>
        </w:rPr>
      </w:pPr>
      <w:r w:rsidRPr="00117D42">
        <w:rPr>
          <w:rFonts w:eastAsia="Times New Roman" w:cs="Times New Roman"/>
          <w:color w:val="222222"/>
          <w:shd w:val="clear" w:color="auto" w:fill="FFFFFF"/>
        </w:rPr>
        <w:t xml:space="preserve">In </w:t>
      </w:r>
      <w:r w:rsidR="006575B9">
        <w:rPr>
          <w:rFonts w:eastAsia="Times New Roman" w:cs="Times New Roman"/>
          <w:color w:val="222222"/>
          <w:shd w:val="clear" w:color="auto" w:fill="FFFFFF"/>
        </w:rPr>
        <w:t>Table A3</w:t>
      </w:r>
      <w:r w:rsidRPr="00117D42">
        <w:rPr>
          <w:rFonts w:eastAsia="Times New Roman" w:cs="Times New Roman"/>
          <w:color w:val="222222"/>
          <w:shd w:val="clear" w:color="auto" w:fill="FFFFFF"/>
        </w:rPr>
        <w:t xml:space="preserve"> below, we test for differential effects on the main outcome in the paper, the Democratic vote share, and also turnout rates, since elevated turnout is a necessary implication of the version of the women’s enfranchisement story that is most damaging to our </w:t>
      </w:r>
      <w:r w:rsidR="006575B9">
        <w:rPr>
          <w:rFonts w:eastAsia="Times New Roman" w:cs="Times New Roman"/>
          <w:color w:val="222222"/>
          <w:shd w:val="clear" w:color="auto" w:fill="FFFFFF"/>
        </w:rPr>
        <w:t>hypothesis</w:t>
      </w:r>
      <w:r w:rsidRPr="00117D42">
        <w:rPr>
          <w:rFonts w:eastAsia="Times New Roman" w:cs="Times New Roman"/>
          <w:color w:val="222222"/>
          <w:shd w:val="clear" w:color="auto" w:fill="FFFFFF"/>
        </w:rPr>
        <w:t>, in a panel that includes 1916 and 1920 only.</w:t>
      </w: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Pr="00E1139A" w:rsidRDefault="00117D42" w:rsidP="00117D42">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A3</w:t>
      </w:r>
      <w:r w:rsidRPr="00E1139A">
        <w:rPr>
          <w:rFonts w:eastAsia="Calibri" w:cs="Times New Roman"/>
          <w:b/>
        </w:rPr>
        <w:t xml:space="preserve">: </w:t>
      </w:r>
    </w:p>
    <w:p w:rsidR="00117D42" w:rsidRDefault="00117D42" w:rsidP="00117D42">
      <w:pPr>
        <w:spacing w:after="0" w:line="240" w:lineRule="auto"/>
        <w:jc w:val="center"/>
        <w:rPr>
          <w:rFonts w:eastAsia="Calibri" w:cs="Times New Roman"/>
          <w:b/>
        </w:rPr>
      </w:pPr>
      <w:r>
        <w:rPr>
          <w:rFonts w:eastAsia="Calibri" w:cs="Times New Roman"/>
          <w:b/>
        </w:rPr>
        <w:t xml:space="preserve">Interaction </w:t>
      </w:r>
      <w:r w:rsidRPr="00E1139A">
        <w:rPr>
          <w:rFonts w:eastAsia="Calibri" w:cs="Times New Roman"/>
          <w:b/>
        </w:rPr>
        <w:t>Effect</w:t>
      </w:r>
      <w:r>
        <w:rPr>
          <w:rFonts w:eastAsia="Calibri" w:cs="Times New Roman"/>
          <w:b/>
        </w:rPr>
        <w:t>s</w:t>
      </w:r>
      <w:r w:rsidRPr="00E1139A">
        <w:rPr>
          <w:rFonts w:eastAsia="Calibri" w:cs="Times New Roman"/>
          <w:b/>
        </w:rPr>
        <w:t xml:space="preserve"> </w:t>
      </w:r>
      <w:r>
        <w:rPr>
          <w:rFonts w:eastAsia="Calibri" w:cs="Times New Roman"/>
          <w:b/>
        </w:rPr>
        <w:t>Between</w:t>
      </w:r>
      <w:r w:rsidRPr="00E1139A">
        <w:rPr>
          <w:rFonts w:eastAsia="Calibri" w:cs="Times New Roman"/>
          <w:b/>
        </w:rPr>
        <w:t xml:space="preserve"> </w:t>
      </w:r>
      <w:r>
        <w:rPr>
          <w:rFonts w:eastAsia="Calibri" w:cs="Times New Roman"/>
          <w:b/>
        </w:rPr>
        <w:t>the Enfranchisement of Women and Liberty Bond Participation</w:t>
      </w:r>
    </w:p>
    <w:p w:rsidR="00117D42" w:rsidRPr="00E1139A" w:rsidRDefault="00117D42" w:rsidP="00117D42">
      <w:pPr>
        <w:spacing w:after="0" w:line="240" w:lineRule="auto"/>
        <w:jc w:val="center"/>
        <w:rPr>
          <w:rFonts w:eastAsia="Calibri" w:cs="Times New Roman"/>
          <w:b/>
        </w:rPr>
      </w:pPr>
      <w:r>
        <w:rPr>
          <w:rFonts w:eastAsia="Calibri" w:cs="Times New Roman"/>
          <w:b/>
        </w:rPr>
        <w:t>On Political Behavior, 1916-1920</w:t>
      </w:r>
    </w:p>
    <w:p w:rsidR="00117D42" w:rsidRDefault="00117D42" w:rsidP="00117D42">
      <w:pPr>
        <w:spacing w:after="0" w:line="240" w:lineRule="auto"/>
        <w:rPr>
          <w:rFonts w:ascii="Arial" w:eastAsia="Times New Roman" w:hAnsi="Arial" w:cs="Arial"/>
          <w:color w:val="222222"/>
          <w:sz w:val="24"/>
          <w:szCs w:val="24"/>
          <w:shd w:val="clear" w:color="auto" w:fill="FFFFFF"/>
        </w:rPr>
      </w:pPr>
    </w:p>
    <w:tbl>
      <w:tblPr>
        <w:tblpPr w:leftFromText="180" w:rightFromText="180" w:vertAnchor="text" w:horzAnchor="margin" w:tblpXSpec="center" w:tblpY="20"/>
        <w:tblW w:w="8127" w:type="dxa"/>
        <w:tblLook w:val="04A0" w:firstRow="1" w:lastRow="0" w:firstColumn="1" w:lastColumn="0" w:noHBand="0" w:noVBand="1"/>
      </w:tblPr>
      <w:tblGrid>
        <w:gridCol w:w="3220"/>
        <w:gridCol w:w="1180"/>
        <w:gridCol w:w="1140"/>
        <w:gridCol w:w="267"/>
        <w:gridCol w:w="1160"/>
        <w:gridCol w:w="1160"/>
      </w:tblGrid>
      <w:tr w:rsidR="00117D42" w:rsidRPr="00BA21FC" w:rsidTr="006575B9">
        <w:trPr>
          <w:trHeight w:val="20"/>
        </w:trPr>
        <w:tc>
          <w:tcPr>
            <w:tcW w:w="3220" w:type="dxa"/>
            <w:tcBorders>
              <w:top w:val="double" w:sz="6" w:space="0" w:color="auto"/>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 </w:t>
            </w:r>
          </w:p>
        </w:tc>
        <w:tc>
          <w:tcPr>
            <w:tcW w:w="2320" w:type="dxa"/>
            <w:gridSpan w:val="2"/>
            <w:tcBorders>
              <w:top w:val="double" w:sz="6" w:space="0" w:color="auto"/>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Democratic Vote Share</w:t>
            </w:r>
          </w:p>
        </w:tc>
        <w:tc>
          <w:tcPr>
            <w:tcW w:w="267" w:type="dxa"/>
            <w:tcBorders>
              <w:top w:val="double" w:sz="6" w:space="0" w:color="auto"/>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c>
          <w:tcPr>
            <w:tcW w:w="2320" w:type="dxa"/>
            <w:gridSpan w:val="2"/>
            <w:tcBorders>
              <w:top w:val="double" w:sz="6" w:space="0" w:color="auto"/>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Voter Turnout</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w:t>
            </w:r>
            <w:r w:rsidR="00E64DFB">
              <w:rPr>
                <w:rFonts w:ascii="Arial" w:eastAsia="Times New Roman" w:hAnsi="Arial" w:cs="Arial"/>
                <w:sz w:val="18"/>
                <w:szCs w:val="18"/>
              </w:rPr>
              <w:t>3</w:t>
            </w:r>
            <w:r w:rsidRPr="00BA21FC">
              <w:rPr>
                <w:rFonts w:ascii="Arial" w:eastAsia="Times New Roman" w:hAnsi="Arial" w:cs="Arial"/>
                <w:sz w:val="18"/>
                <w:szCs w:val="18"/>
              </w:rPr>
              <w:t>)</w:t>
            </w: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w:t>
            </w:r>
            <w:r w:rsidR="00E64DFB">
              <w:rPr>
                <w:rFonts w:ascii="Arial" w:eastAsia="Times New Roman" w:hAnsi="Arial" w:cs="Arial"/>
                <w:sz w:val="18"/>
                <w:szCs w:val="18"/>
              </w:rPr>
              <w:t>4</w:t>
            </w:r>
            <w:r w:rsidRPr="00BA21FC">
              <w:rPr>
                <w:rFonts w:ascii="Arial" w:eastAsia="Times New Roman" w:hAnsi="Arial" w:cs="Arial"/>
                <w:sz w:val="18"/>
                <w:szCs w:val="18"/>
              </w:rPr>
              <w:t>)</w:t>
            </w:r>
          </w:p>
        </w:tc>
      </w:tr>
      <w:tr w:rsidR="00117D42" w:rsidRPr="00BA21FC" w:rsidTr="006575B9">
        <w:trPr>
          <w:trHeight w:val="20"/>
        </w:trPr>
        <w:tc>
          <w:tcPr>
            <w:tcW w:w="3220" w:type="dxa"/>
            <w:tcBorders>
              <w:top w:val="single" w:sz="4" w:space="0" w:color="000000"/>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 </w:t>
            </w:r>
          </w:p>
        </w:tc>
        <w:tc>
          <w:tcPr>
            <w:tcW w:w="1180" w:type="dxa"/>
            <w:tcBorders>
              <w:top w:val="single" w:sz="4" w:space="0" w:color="000000"/>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c>
          <w:tcPr>
            <w:tcW w:w="1140" w:type="dxa"/>
            <w:tcBorders>
              <w:top w:val="single" w:sz="4" w:space="0" w:color="000000"/>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c>
          <w:tcPr>
            <w:tcW w:w="267" w:type="dxa"/>
            <w:tcBorders>
              <w:top w:val="single" w:sz="4" w:space="0" w:color="000000"/>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c>
          <w:tcPr>
            <w:tcW w:w="1160" w:type="dxa"/>
            <w:tcBorders>
              <w:top w:val="single" w:sz="4" w:space="0" w:color="000000"/>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c>
          <w:tcPr>
            <w:tcW w:w="1160" w:type="dxa"/>
            <w:tcBorders>
              <w:top w:val="single" w:sz="4" w:space="0" w:color="000000"/>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1920 Election x</w:t>
            </w: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r>
      <w:tr w:rsidR="00117D42" w:rsidRPr="00BA21FC" w:rsidTr="006575B9">
        <w:trPr>
          <w:trHeight w:val="20"/>
        </w:trPr>
        <w:tc>
          <w:tcPr>
            <w:tcW w:w="3220" w:type="dxa"/>
            <w:tcBorders>
              <w:top w:val="nil"/>
              <w:left w:val="nil"/>
              <w:bottom w:val="nil"/>
              <w:right w:val="nil"/>
            </w:tcBorders>
            <w:shd w:val="clear" w:color="auto" w:fill="auto"/>
            <w:noWrap/>
            <w:vAlign w:val="center"/>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 xml:space="preserve">   Participation in 4th Liberty Loan</w:t>
            </w: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-15.541+</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-29.384*</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25.215**</w:t>
            </w: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21.676*</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(8.578)</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(13.432)</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(8.962)</w:t>
            </w: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(8.817)</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 xml:space="preserve">   Women Newly Enfranchised</w:t>
            </w: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18.683</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4.720</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(16.679)</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(14.634)</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Constant</w:t>
            </w: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44.198**</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44.342**</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45.490**</w:t>
            </w: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45.532**</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(1.554)</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(1.445)</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(1.696)</w:t>
            </w: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(1.632)</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eastAsia="Times New Roman" w:cs="Times New Roman"/>
                <w:sz w:val="20"/>
                <w:szCs w:val="20"/>
              </w:rPr>
            </w:pPr>
          </w:p>
        </w:tc>
      </w:tr>
      <w:tr w:rsidR="00117D42" w:rsidRPr="00BA21FC" w:rsidTr="006575B9">
        <w:trPr>
          <w:trHeight w:val="20"/>
        </w:trPr>
        <w:tc>
          <w:tcPr>
            <w:tcW w:w="3220" w:type="dxa"/>
            <w:tcBorders>
              <w:top w:val="single" w:sz="4" w:space="0" w:color="auto"/>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Observations</w:t>
            </w:r>
          </w:p>
        </w:tc>
        <w:tc>
          <w:tcPr>
            <w:tcW w:w="1180" w:type="dxa"/>
            <w:tcBorders>
              <w:top w:val="single" w:sz="4" w:space="0" w:color="auto"/>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2,840</w:t>
            </w:r>
          </w:p>
        </w:tc>
        <w:tc>
          <w:tcPr>
            <w:tcW w:w="1140" w:type="dxa"/>
            <w:tcBorders>
              <w:top w:val="single" w:sz="4" w:space="0" w:color="auto"/>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2,840</w:t>
            </w:r>
          </w:p>
        </w:tc>
        <w:tc>
          <w:tcPr>
            <w:tcW w:w="267" w:type="dxa"/>
            <w:tcBorders>
              <w:top w:val="single" w:sz="4" w:space="0" w:color="auto"/>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c>
          <w:tcPr>
            <w:tcW w:w="1160" w:type="dxa"/>
            <w:tcBorders>
              <w:top w:val="single" w:sz="4" w:space="0" w:color="auto"/>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2,789</w:t>
            </w:r>
          </w:p>
        </w:tc>
        <w:tc>
          <w:tcPr>
            <w:tcW w:w="1160" w:type="dxa"/>
            <w:tcBorders>
              <w:top w:val="single" w:sz="4" w:space="0" w:color="auto"/>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2,789</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R-squared</w:t>
            </w: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0.984</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0.984</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0.972</w:t>
            </w: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0.972</w:t>
            </w: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County FE</w:t>
            </w: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r>
      <w:tr w:rsidR="00117D42" w:rsidRPr="00BA21FC" w:rsidTr="006575B9">
        <w:trPr>
          <w:trHeight w:val="20"/>
        </w:trPr>
        <w:tc>
          <w:tcPr>
            <w:tcW w:w="3220" w:type="dxa"/>
            <w:tcBorders>
              <w:top w:val="nil"/>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State x Year FE</w:t>
            </w:r>
          </w:p>
        </w:tc>
        <w:tc>
          <w:tcPr>
            <w:tcW w:w="1180" w:type="dxa"/>
            <w:tcBorders>
              <w:top w:val="nil"/>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c>
          <w:tcPr>
            <w:tcW w:w="1140" w:type="dxa"/>
            <w:tcBorders>
              <w:top w:val="nil"/>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c>
          <w:tcPr>
            <w:tcW w:w="267" w:type="dxa"/>
            <w:tcBorders>
              <w:top w:val="nil"/>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 </w:t>
            </w:r>
          </w:p>
        </w:tc>
        <w:tc>
          <w:tcPr>
            <w:tcW w:w="1160" w:type="dxa"/>
            <w:tcBorders>
              <w:top w:val="nil"/>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c>
          <w:tcPr>
            <w:tcW w:w="1160" w:type="dxa"/>
            <w:tcBorders>
              <w:top w:val="nil"/>
              <w:left w:val="nil"/>
              <w:bottom w:val="single" w:sz="4" w:space="0" w:color="000000"/>
              <w:right w:val="nil"/>
            </w:tcBorders>
            <w:shd w:val="clear" w:color="auto" w:fill="auto"/>
            <w:noWrap/>
            <w:vAlign w:val="bottom"/>
            <w:hideMark/>
          </w:tcPr>
          <w:p w:rsidR="00117D42" w:rsidRPr="00BA21FC" w:rsidRDefault="00117D42" w:rsidP="00117D42">
            <w:pPr>
              <w:spacing w:after="0" w:line="240" w:lineRule="auto"/>
              <w:jc w:val="center"/>
              <w:rPr>
                <w:rFonts w:ascii="Arial" w:eastAsia="Times New Roman" w:hAnsi="Arial" w:cs="Arial"/>
                <w:sz w:val="18"/>
                <w:szCs w:val="18"/>
              </w:rPr>
            </w:pPr>
            <w:r w:rsidRPr="00BA21FC">
              <w:rPr>
                <w:rFonts w:ascii="Arial" w:eastAsia="Times New Roman" w:hAnsi="Arial" w:cs="Arial"/>
                <w:sz w:val="18"/>
                <w:szCs w:val="18"/>
              </w:rPr>
              <w:t>YES</w:t>
            </w:r>
          </w:p>
        </w:tc>
      </w:tr>
      <w:tr w:rsidR="00117D42" w:rsidRPr="00BA21FC" w:rsidTr="006575B9">
        <w:trPr>
          <w:trHeight w:val="20"/>
        </w:trPr>
        <w:tc>
          <w:tcPr>
            <w:tcW w:w="4400" w:type="dxa"/>
            <w:gridSpan w:val="2"/>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Pr>
                <w:rFonts w:ascii="Arial" w:eastAsia="Times New Roman" w:hAnsi="Arial" w:cs="Arial"/>
                <w:sz w:val="18"/>
                <w:szCs w:val="18"/>
              </w:rPr>
              <w:t>S</w:t>
            </w:r>
            <w:r w:rsidRPr="00BA21FC">
              <w:rPr>
                <w:rFonts w:ascii="Arial" w:eastAsia="Times New Roman" w:hAnsi="Arial" w:cs="Arial"/>
                <w:sz w:val="18"/>
                <w:szCs w:val="18"/>
              </w:rPr>
              <w:t>tandard errors</w:t>
            </w:r>
            <w:r>
              <w:rPr>
                <w:rFonts w:ascii="Arial" w:eastAsia="Times New Roman" w:hAnsi="Arial" w:cs="Arial"/>
                <w:sz w:val="18"/>
                <w:szCs w:val="18"/>
              </w:rPr>
              <w:t xml:space="preserve"> clustered by county </w:t>
            </w:r>
            <w:r w:rsidRPr="00BA21FC">
              <w:rPr>
                <w:rFonts w:ascii="Arial" w:eastAsia="Times New Roman" w:hAnsi="Arial" w:cs="Arial"/>
                <w:sz w:val="18"/>
                <w:szCs w:val="18"/>
              </w:rPr>
              <w:t>in parentheses</w:t>
            </w:r>
            <w:r>
              <w:rPr>
                <w:rFonts w:ascii="Arial" w:eastAsia="Times New Roman" w:hAnsi="Arial" w:cs="Arial"/>
                <w:sz w:val="18"/>
                <w:szCs w:val="18"/>
              </w:rPr>
              <w:t>.</w:t>
            </w: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r>
      <w:tr w:rsidR="00117D42" w:rsidRPr="00BA21FC" w:rsidTr="006575B9">
        <w:trPr>
          <w:trHeight w:val="20"/>
        </w:trPr>
        <w:tc>
          <w:tcPr>
            <w:tcW w:w="322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r w:rsidRPr="00BA21FC">
              <w:rPr>
                <w:rFonts w:ascii="Arial" w:eastAsia="Times New Roman" w:hAnsi="Arial" w:cs="Arial"/>
                <w:sz w:val="18"/>
                <w:szCs w:val="18"/>
              </w:rPr>
              <w:t>** p&lt;0.01, * p&lt;0.05, + p&lt;0.1</w:t>
            </w:r>
          </w:p>
        </w:tc>
        <w:tc>
          <w:tcPr>
            <w:tcW w:w="118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c>
          <w:tcPr>
            <w:tcW w:w="267"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c>
          <w:tcPr>
            <w:tcW w:w="1160" w:type="dxa"/>
            <w:tcBorders>
              <w:top w:val="nil"/>
              <w:left w:val="nil"/>
              <w:bottom w:val="nil"/>
              <w:right w:val="nil"/>
            </w:tcBorders>
            <w:shd w:val="clear" w:color="auto" w:fill="auto"/>
            <w:noWrap/>
            <w:vAlign w:val="bottom"/>
            <w:hideMark/>
          </w:tcPr>
          <w:p w:rsidR="00117D42" w:rsidRPr="00BA21FC" w:rsidRDefault="00117D42" w:rsidP="00117D42">
            <w:pPr>
              <w:spacing w:after="0" w:line="240" w:lineRule="auto"/>
              <w:rPr>
                <w:rFonts w:eastAsia="Times New Roman" w:cs="Times New Roman"/>
                <w:sz w:val="20"/>
                <w:szCs w:val="20"/>
              </w:rPr>
            </w:pPr>
          </w:p>
        </w:tc>
      </w:tr>
    </w:tbl>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Default="00117D42" w:rsidP="00117D42">
      <w:pPr>
        <w:spacing w:after="0" w:line="240" w:lineRule="auto"/>
        <w:rPr>
          <w:rFonts w:ascii="Arial" w:eastAsia="Times New Roman" w:hAnsi="Arial" w:cs="Arial"/>
          <w:color w:val="222222"/>
          <w:sz w:val="24"/>
          <w:szCs w:val="24"/>
          <w:shd w:val="clear" w:color="auto" w:fill="FFFFFF"/>
        </w:rPr>
      </w:pPr>
    </w:p>
    <w:p w:rsidR="00117D42" w:rsidRPr="00117D42" w:rsidRDefault="00117D42" w:rsidP="00117D42">
      <w:pPr>
        <w:spacing w:after="0" w:line="240" w:lineRule="auto"/>
        <w:rPr>
          <w:rFonts w:eastAsia="Times New Roman" w:cs="Times New Roman"/>
          <w:color w:val="222222"/>
          <w:shd w:val="clear" w:color="auto" w:fill="FFFFFF"/>
        </w:rPr>
      </w:pPr>
      <w:r w:rsidRPr="00117D42">
        <w:rPr>
          <w:rFonts w:eastAsia="Times New Roman" w:cs="Times New Roman"/>
          <w:color w:val="222222"/>
          <w:shd w:val="clear" w:color="auto" w:fill="FFFFFF"/>
        </w:rPr>
        <w:t>Column (1) shows that the effect estimated in the paper is present in the 1916-20 comparison, although the estimate is smaller.  In column (2) we add an interaction between liberty bond participation and states in which women could vote for the first time in 1920.  With the interaction included, the coefficient on liberty bond participation becomes larger in absolute value, and the point estimate for the interaction is positive, indicating that the backlash against the incumbent Democrats was stronger in states that had already enfranchised women in 1916.  We conclude from this that it is unlikely that the enfranchisement of women in 1920 biased our estimates in a direction that was consistent with our hypothesized effects.</w:t>
      </w:r>
    </w:p>
    <w:p w:rsidR="00117D42" w:rsidRPr="00117D42" w:rsidRDefault="00117D42" w:rsidP="00117D42">
      <w:pPr>
        <w:spacing w:after="0" w:line="240" w:lineRule="auto"/>
        <w:rPr>
          <w:rFonts w:eastAsia="Times New Roman" w:cs="Times New Roman"/>
          <w:color w:val="222222"/>
          <w:shd w:val="clear" w:color="auto" w:fill="FFFFFF"/>
        </w:rPr>
      </w:pPr>
    </w:p>
    <w:p w:rsidR="00117D42" w:rsidRPr="00117D42" w:rsidRDefault="00117D42" w:rsidP="00117D42">
      <w:pPr>
        <w:spacing w:after="0" w:line="240" w:lineRule="auto"/>
        <w:rPr>
          <w:rFonts w:eastAsia="Times New Roman" w:cs="Times New Roman"/>
          <w:color w:val="222222"/>
          <w:shd w:val="clear" w:color="auto" w:fill="FFFFFF"/>
        </w:rPr>
      </w:pPr>
      <w:r w:rsidRPr="00117D42">
        <w:rPr>
          <w:rFonts w:eastAsia="Times New Roman" w:cs="Times New Roman"/>
          <w:color w:val="222222"/>
          <w:shd w:val="clear" w:color="auto" w:fill="FFFFFF"/>
        </w:rPr>
        <w:t>In column (3), we estimate the difference-in-differences in turnout rates in 1920 relative to 1916 associated with high liberty bond subscription rates.  The positive estimate implies that counties with higher liberty bond subscription rates saw differentially higher turnout in 1920 relative to 1916, which would be consistent with the liberty bond drives stimulating greater political engagement generally.  But it is nonetheless reassuring that the main coefficient in column (4) remains basically unchanged when we control for the interaction.</w:t>
      </w:r>
    </w:p>
    <w:p w:rsidR="009F18C6" w:rsidRPr="00841F39" w:rsidRDefault="009F18C6" w:rsidP="009F18C6">
      <w:pPr>
        <w:spacing w:after="0" w:line="240" w:lineRule="auto"/>
        <w:rPr>
          <w:rFonts w:cs="Times New Roman"/>
          <w:b/>
        </w:rPr>
      </w:pPr>
      <w:r w:rsidRPr="00841F39">
        <w:rPr>
          <w:rFonts w:cs="Times New Roman"/>
          <w:b/>
        </w:rPr>
        <w:lastRenderedPageBreak/>
        <w:t>3.</w:t>
      </w:r>
      <w:r w:rsidR="00EE6B5C">
        <w:rPr>
          <w:rFonts w:cs="Times New Roman"/>
          <w:b/>
        </w:rPr>
        <w:t>6</w:t>
      </w:r>
      <w:r w:rsidRPr="00841F39">
        <w:rPr>
          <w:rFonts w:cs="Times New Roman"/>
          <w:b/>
        </w:rPr>
        <w:t xml:space="preserve"> Evidence of influenza’s effect on fourth loan from the </w:t>
      </w:r>
      <w:r w:rsidRPr="00841F39">
        <w:rPr>
          <w:rFonts w:cs="Times New Roman"/>
          <w:b/>
          <w:i/>
        </w:rPr>
        <w:t>New York Times</w:t>
      </w:r>
    </w:p>
    <w:p w:rsidR="009F18C6" w:rsidRDefault="009F18C6" w:rsidP="009F18C6">
      <w:pPr>
        <w:spacing w:after="0" w:line="240" w:lineRule="auto"/>
        <w:rPr>
          <w:rFonts w:cs="Times New Roman"/>
        </w:rPr>
      </w:pPr>
    </w:p>
    <w:p w:rsidR="009F18C6" w:rsidRPr="00E1139A" w:rsidRDefault="009F18C6" w:rsidP="009F18C6">
      <w:pPr>
        <w:spacing w:after="0" w:line="240" w:lineRule="auto"/>
        <w:rPr>
          <w:rFonts w:eastAsia="Calibri" w:cs="Times New Roman"/>
        </w:rPr>
      </w:pPr>
      <w:r>
        <w:rPr>
          <w:rFonts w:eastAsia="Calibri" w:cs="Times New Roman"/>
        </w:rPr>
        <w:tab/>
        <w:t>A</w:t>
      </w:r>
      <w:r w:rsidRPr="00E1139A">
        <w:rPr>
          <w:rFonts w:eastAsia="Calibri" w:cs="Times New Roman"/>
        </w:rPr>
        <w:t xml:space="preserve">n official account of the progress of </w:t>
      </w:r>
      <w:r>
        <w:rPr>
          <w:rFonts w:eastAsia="Calibri" w:cs="Times New Roman"/>
        </w:rPr>
        <w:t>the fourth loan, released by the CPI and</w:t>
      </w:r>
      <w:r w:rsidRPr="00E1139A">
        <w:rPr>
          <w:rFonts w:eastAsia="Calibri" w:cs="Times New Roman"/>
        </w:rPr>
        <w:t xml:space="preserve"> printed in newspapers on October 18, including the </w:t>
      </w:r>
      <w:r w:rsidRPr="00E1139A">
        <w:rPr>
          <w:rFonts w:eastAsia="Calibri" w:cs="Times New Roman"/>
          <w:i/>
        </w:rPr>
        <w:t>New York Times</w:t>
      </w:r>
      <w:r>
        <w:rPr>
          <w:rFonts w:eastAsia="Calibri" w:cs="Times New Roman"/>
          <w:i/>
        </w:rPr>
        <w:t>,</w:t>
      </w:r>
      <w:r w:rsidRPr="00E1139A">
        <w:rPr>
          <w:rFonts w:eastAsia="Calibri" w:cs="Times New Roman"/>
        </w:rPr>
        <w:t xml:space="preserve"> included one-sentence accounts of the state of the campaign in each district, some of which mentioned problems related to influenza, whereas others did not.  If the mention of i</w:t>
      </w:r>
      <w:r>
        <w:rPr>
          <w:rFonts w:eastAsia="Calibri" w:cs="Times New Roman"/>
        </w:rPr>
        <w:t xml:space="preserve">nfluenza in these accounts can be interpreted as a rough </w:t>
      </w:r>
      <w:r w:rsidRPr="00E1139A">
        <w:rPr>
          <w:rFonts w:eastAsia="Calibri" w:cs="Times New Roman"/>
        </w:rPr>
        <w:t xml:space="preserve">indication </w:t>
      </w:r>
      <w:r>
        <w:rPr>
          <w:rFonts w:eastAsia="Calibri" w:cs="Times New Roman"/>
        </w:rPr>
        <w:t>that</w:t>
      </w:r>
      <w:r w:rsidRPr="00E1139A">
        <w:rPr>
          <w:rFonts w:eastAsia="Calibri" w:cs="Times New Roman"/>
        </w:rPr>
        <w:t xml:space="preserve"> the epidemic inhibited the loan campaign </w:t>
      </w:r>
      <w:r>
        <w:rPr>
          <w:rFonts w:eastAsia="Calibri" w:cs="Times New Roman"/>
        </w:rPr>
        <w:t>to a greater extent</w:t>
      </w:r>
      <w:r w:rsidRPr="00E1139A">
        <w:rPr>
          <w:rFonts w:eastAsia="Calibri" w:cs="Times New Roman"/>
        </w:rPr>
        <w:t>, then comparing the average distance to the camps for the districts that did and did not mention influenza can provide an additional test of the mechanisms behind the distance instrument.</w:t>
      </w:r>
    </w:p>
    <w:p w:rsidR="009F18C6" w:rsidRPr="00E1139A" w:rsidRDefault="009F18C6" w:rsidP="009F18C6">
      <w:pPr>
        <w:spacing w:after="0" w:line="240" w:lineRule="auto"/>
        <w:rPr>
          <w:rFonts w:eastAsia="Calibri" w:cs="Times New Roman"/>
        </w:rPr>
      </w:pPr>
      <w:r w:rsidRPr="00E1139A">
        <w:rPr>
          <w:rFonts w:eastAsia="Calibri" w:cs="Times New Roman"/>
        </w:rPr>
        <w:tab/>
        <w:t xml:space="preserve">Table </w:t>
      </w:r>
      <w:r>
        <w:rPr>
          <w:rFonts w:eastAsia="Calibri" w:cs="Times New Roman"/>
        </w:rPr>
        <w:t>A</w:t>
      </w:r>
      <w:r w:rsidR="00301B4A">
        <w:rPr>
          <w:rFonts w:eastAsia="Calibri" w:cs="Times New Roman"/>
        </w:rPr>
        <w:t>4</w:t>
      </w:r>
      <w:r w:rsidRPr="00E1139A">
        <w:rPr>
          <w:rFonts w:eastAsia="Calibri" w:cs="Times New Roman"/>
        </w:rPr>
        <w:t xml:space="preserve"> presents these comparisons.  For each district, the average distance to the camps, calculated as the population-weighted average distance among every county within the district, is presented.  Those mentioning influenza were indeed located closer to the camps, although the difference between the two groups, 215 km, is not statistically significant.</w:t>
      </w:r>
    </w:p>
    <w:p w:rsidR="009F18C6" w:rsidRDefault="009F18C6" w:rsidP="009F18C6">
      <w:pPr>
        <w:spacing w:after="0" w:line="240" w:lineRule="auto"/>
        <w:rPr>
          <w:rFonts w:cs="Times New Roman"/>
        </w:rPr>
      </w:pPr>
      <w:r>
        <w:rPr>
          <w:rFonts w:cs="Times New Roman"/>
        </w:rPr>
        <w:t xml:space="preserve"> </w:t>
      </w:r>
    </w:p>
    <w:p w:rsidR="009F18C6" w:rsidRDefault="009F18C6" w:rsidP="009F18C6">
      <w:pPr>
        <w:spacing w:after="0" w:line="240" w:lineRule="auto"/>
        <w:rPr>
          <w:rFonts w:cs="Times New Roman"/>
        </w:rPr>
      </w:pPr>
    </w:p>
    <w:p w:rsidR="009F18C6" w:rsidRDefault="009F18C6" w:rsidP="009F18C6">
      <w:pPr>
        <w:spacing w:after="0" w:line="240" w:lineRule="auto"/>
        <w:jc w:val="center"/>
        <w:rPr>
          <w:rFonts w:eastAsia="Calibri" w:cs="Times New Roman"/>
          <w:b/>
        </w:rPr>
      </w:pPr>
      <w:r>
        <w:rPr>
          <w:rFonts w:eastAsia="Calibri" w:cs="Times New Roman"/>
          <w:b/>
        </w:rPr>
        <w:t>Table A</w:t>
      </w:r>
      <w:r w:rsidR="00117D42">
        <w:rPr>
          <w:rFonts w:eastAsia="Calibri" w:cs="Times New Roman"/>
          <w:b/>
        </w:rPr>
        <w:t>4</w:t>
      </w:r>
      <w:r>
        <w:rPr>
          <w:rFonts w:eastAsia="Calibri" w:cs="Times New Roman"/>
          <w:b/>
        </w:rPr>
        <w:t>:</w:t>
      </w:r>
    </w:p>
    <w:p w:rsidR="009F18C6" w:rsidRPr="00E1139A" w:rsidRDefault="009F18C6" w:rsidP="009F18C6">
      <w:pPr>
        <w:spacing w:after="0" w:line="240" w:lineRule="auto"/>
        <w:jc w:val="center"/>
        <w:rPr>
          <w:rFonts w:eastAsia="Calibri" w:cs="Times New Roman"/>
          <w:b/>
        </w:rPr>
      </w:pPr>
      <w:r w:rsidRPr="00E1139A">
        <w:rPr>
          <w:rFonts w:eastAsia="Calibri" w:cs="Times New Roman"/>
          <w:b/>
        </w:rPr>
        <w:t xml:space="preserve">Influenza, Distance to Camps, and the Fourth Loan Campaign, </w:t>
      </w:r>
      <w:r w:rsidRPr="00E1139A">
        <w:rPr>
          <w:rFonts w:eastAsia="Calibri" w:cs="Times New Roman"/>
          <w:b/>
        </w:rPr>
        <w:br/>
        <w:t>By Reserve District</w:t>
      </w:r>
    </w:p>
    <w:p w:rsidR="009F18C6" w:rsidRPr="00E1139A" w:rsidRDefault="009F18C6" w:rsidP="009F18C6">
      <w:pPr>
        <w:spacing w:after="0" w:line="240" w:lineRule="auto"/>
        <w:jc w:val="center"/>
        <w:rPr>
          <w:rFonts w:eastAsia="Calibri" w:cs="Times New Roman"/>
          <w:b/>
        </w:rPr>
      </w:pPr>
    </w:p>
    <w:tbl>
      <w:tblPr>
        <w:tblW w:w="6500" w:type="dxa"/>
        <w:jc w:val="center"/>
        <w:tblLook w:val="04A0" w:firstRow="1" w:lastRow="0" w:firstColumn="1" w:lastColumn="0" w:noHBand="0" w:noVBand="1"/>
      </w:tblPr>
      <w:tblGrid>
        <w:gridCol w:w="4600"/>
        <w:gridCol w:w="1900"/>
      </w:tblGrid>
      <w:tr w:rsidR="009F18C6" w:rsidRPr="00E1139A" w:rsidTr="00E77EAC">
        <w:trPr>
          <w:trHeight w:val="270"/>
          <w:jc w:val="center"/>
        </w:trPr>
        <w:tc>
          <w:tcPr>
            <w:tcW w:w="4600" w:type="dxa"/>
            <w:tcBorders>
              <w:top w:val="double" w:sz="6" w:space="0" w:color="auto"/>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 </w:t>
            </w:r>
          </w:p>
        </w:tc>
        <w:tc>
          <w:tcPr>
            <w:tcW w:w="1900" w:type="dxa"/>
            <w:tcBorders>
              <w:top w:val="double" w:sz="6" w:space="0" w:color="auto"/>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Population-Weighted</w:t>
            </w:r>
          </w:p>
        </w:tc>
      </w:tr>
      <w:tr w:rsidR="009F18C6" w:rsidRPr="00E1139A" w:rsidTr="00E77EAC">
        <w:trPr>
          <w:trHeight w:val="255"/>
          <w:jc w:val="center"/>
        </w:trPr>
        <w:tc>
          <w:tcPr>
            <w:tcW w:w="46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Reserve District</w:t>
            </w:r>
          </w:p>
        </w:tc>
        <w:tc>
          <w:tcPr>
            <w:tcW w:w="19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Distance (km)</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i/>
                <w:iCs/>
                <w:sz w:val="18"/>
                <w:szCs w:val="20"/>
              </w:rPr>
            </w:pPr>
            <w:r w:rsidRPr="00E1139A">
              <w:rPr>
                <w:rFonts w:ascii="Arial" w:eastAsia="Times New Roman" w:hAnsi="Arial" w:cs="Arial"/>
                <w:i/>
                <w:iCs/>
                <w:sz w:val="18"/>
                <w:szCs w:val="20"/>
              </w:rPr>
              <w:t>Influenza Not Mentioned as Impairing Campaign</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New York</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1,446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Cleveland</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1,140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Atlanta</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1,127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Chicago</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1,218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Minneapolis</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1,683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Dallas</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1,430 </w:t>
            </w:r>
          </w:p>
        </w:tc>
      </w:tr>
      <w:tr w:rsidR="009F18C6" w:rsidRPr="00E1139A" w:rsidTr="00E77EAC">
        <w:trPr>
          <w:trHeight w:val="255"/>
          <w:jc w:val="center"/>
        </w:trPr>
        <w:tc>
          <w:tcPr>
            <w:tcW w:w="46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San Francisco</w:t>
            </w:r>
          </w:p>
        </w:tc>
        <w:tc>
          <w:tcPr>
            <w:tcW w:w="19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2,840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 xml:space="preserve">     Average:</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1,555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i/>
                <w:iCs/>
                <w:sz w:val="18"/>
                <w:szCs w:val="20"/>
              </w:rPr>
            </w:pPr>
            <w:r w:rsidRPr="00E1139A">
              <w:rPr>
                <w:rFonts w:ascii="Arial" w:eastAsia="Times New Roman" w:hAnsi="Arial" w:cs="Arial"/>
                <w:i/>
                <w:iCs/>
                <w:sz w:val="18"/>
                <w:szCs w:val="20"/>
              </w:rPr>
              <w:t>Influenza Mentioned as Impairing Campaign</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Boston</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1,674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Philadelphia</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1,353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Richmond</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1,155 </w:t>
            </w:r>
          </w:p>
        </w:tc>
      </w:tr>
      <w:tr w:rsidR="009F18C6" w:rsidRPr="00E1139A" w:rsidTr="00E77EAC">
        <w:trPr>
          <w:trHeight w:val="255"/>
          <w:jc w:val="center"/>
        </w:trPr>
        <w:tc>
          <w:tcPr>
            <w:tcW w:w="46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St Louis</w:t>
            </w:r>
          </w:p>
        </w:tc>
        <w:tc>
          <w:tcPr>
            <w:tcW w:w="1900" w:type="dxa"/>
            <w:tcBorders>
              <w:top w:val="nil"/>
              <w:left w:val="nil"/>
              <w:bottom w:val="nil"/>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1,091 </w:t>
            </w:r>
          </w:p>
        </w:tc>
      </w:tr>
      <w:tr w:rsidR="009F18C6" w:rsidRPr="00E1139A" w:rsidTr="00E77EAC">
        <w:trPr>
          <w:trHeight w:val="255"/>
          <w:jc w:val="center"/>
        </w:trPr>
        <w:tc>
          <w:tcPr>
            <w:tcW w:w="46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Kansas City</w:t>
            </w:r>
          </w:p>
        </w:tc>
        <w:tc>
          <w:tcPr>
            <w:tcW w:w="19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1,429 </w:t>
            </w:r>
          </w:p>
        </w:tc>
      </w:tr>
      <w:tr w:rsidR="009F18C6" w:rsidRPr="00E1139A" w:rsidTr="00E77EAC">
        <w:trPr>
          <w:trHeight w:val="255"/>
          <w:jc w:val="center"/>
        </w:trPr>
        <w:tc>
          <w:tcPr>
            <w:tcW w:w="46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rPr>
                <w:rFonts w:ascii="Arial" w:eastAsia="Times New Roman" w:hAnsi="Arial" w:cs="Arial"/>
                <w:sz w:val="18"/>
                <w:szCs w:val="20"/>
              </w:rPr>
            </w:pPr>
            <w:r w:rsidRPr="00E1139A">
              <w:rPr>
                <w:rFonts w:ascii="Arial" w:eastAsia="Times New Roman" w:hAnsi="Arial" w:cs="Arial"/>
                <w:sz w:val="18"/>
                <w:szCs w:val="20"/>
              </w:rPr>
              <w:t xml:space="preserve">     Average:</w:t>
            </w:r>
          </w:p>
        </w:tc>
        <w:tc>
          <w:tcPr>
            <w:tcW w:w="1900" w:type="dxa"/>
            <w:tcBorders>
              <w:top w:val="nil"/>
              <w:left w:val="nil"/>
              <w:bottom w:val="single" w:sz="4" w:space="0" w:color="auto"/>
              <w:right w:val="nil"/>
            </w:tcBorders>
            <w:shd w:val="clear" w:color="auto" w:fill="auto"/>
            <w:noWrap/>
            <w:vAlign w:val="bottom"/>
            <w:hideMark/>
          </w:tcPr>
          <w:p w:rsidR="009F18C6" w:rsidRPr="00E1139A" w:rsidRDefault="009F18C6" w:rsidP="00E77EAC">
            <w:pPr>
              <w:spacing w:after="0" w:line="240" w:lineRule="auto"/>
              <w:jc w:val="center"/>
              <w:rPr>
                <w:rFonts w:ascii="Arial" w:eastAsia="Times New Roman" w:hAnsi="Arial" w:cs="Arial"/>
                <w:sz w:val="18"/>
                <w:szCs w:val="20"/>
              </w:rPr>
            </w:pPr>
            <w:r w:rsidRPr="00E1139A">
              <w:rPr>
                <w:rFonts w:ascii="Arial" w:eastAsia="Times New Roman" w:hAnsi="Arial" w:cs="Arial"/>
                <w:sz w:val="18"/>
                <w:szCs w:val="20"/>
              </w:rPr>
              <w:t xml:space="preserve">1,340 </w:t>
            </w:r>
          </w:p>
        </w:tc>
      </w:tr>
    </w:tbl>
    <w:p w:rsidR="009F18C6" w:rsidRPr="00E1139A" w:rsidRDefault="009F18C6" w:rsidP="009F18C6">
      <w:pPr>
        <w:spacing w:after="0" w:line="240" w:lineRule="auto"/>
        <w:ind w:left="1530" w:right="1350"/>
        <w:rPr>
          <w:rFonts w:ascii="Arial" w:eastAsia="Calibri" w:hAnsi="Arial" w:cs="Arial"/>
        </w:rPr>
      </w:pPr>
      <w:r w:rsidRPr="009200FF">
        <w:rPr>
          <w:rFonts w:ascii="Arial" w:eastAsia="Calibri" w:hAnsi="Arial" w:cs="Arial"/>
          <w:i/>
          <w:sz w:val="18"/>
        </w:rPr>
        <w:t>Note</w:t>
      </w:r>
      <w:r w:rsidRPr="00E1139A">
        <w:rPr>
          <w:rFonts w:ascii="Arial" w:eastAsia="Calibri" w:hAnsi="Arial" w:cs="Arial"/>
          <w:sz w:val="18"/>
        </w:rPr>
        <w:t>: this table presents the population-weighted average distance of the counties in each reserve district to the military camps, and compares the districts where influenza was specifically mentioned as a hindrance to the fourth loan campaign to those where influenza was not mentioned, in an official statement of the campaign’s progress as of October 17.</w:t>
      </w:r>
    </w:p>
    <w:p w:rsidR="009F18C6" w:rsidRDefault="009F18C6" w:rsidP="009F18C6">
      <w:pPr>
        <w:spacing w:after="0" w:line="240" w:lineRule="auto"/>
        <w:jc w:val="center"/>
        <w:rPr>
          <w:rFonts w:eastAsia="Calibri" w:cs="Times New Roman"/>
          <w:b/>
        </w:rPr>
      </w:pPr>
    </w:p>
    <w:p w:rsidR="00BF5E94" w:rsidRDefault="00BF5E94" w:rsidP="00013C10">
      <w:pPr>
        <w:spacing w:after="0" w:line="480" w:lineRule="auto"/>
        <w:jc w:val="both"/>
        <w:rPr>
          <w:rFonts w:cs="Times New Roman"/>
          <w:b/>
        </w:rPr>
      </w:pPr>
    </w:p>
    <w:p w:rsidR="00C853E9" w:rsidRDefault="00C853E9" w:rsidP="00C853E9">
      <w:pPr>
        <w:spacing w:after="0" w:line="240" w:lineRule="auto"/>
        <w:rPr>
          <w:rFonts w:cs="Times New Roman"/>
          <w:b/>
        </w:rPr>
      </w:pPr>
      <w:r w:rsidRPr="00841F39">
        <w:rPr>
          <w:rFonts w:cs="Times New Roman"/>
          <w:b/>
        </w:rPr>
        <w:t>3.</w:t>
      </w:r>
      <w:r>
        <w:rPr>
          <w:rFonts w:cs="Times New Roman"/>
          <w:b/>
        </w:rPr>
        <w:t>7</w:t>
      </w:r>
      <w:r w:rsidRPr="00841F39">
        <w:rPr>
          <w:rFonts w:cs="Times New Roman"/>
          <w:b/>
        </w:rPr>
        <w:t xml:space="preserve"> </w:t>
      </w:r>
      <w:r>
        <w:rPr>
          <w:rFonts w:cs="Times New Roman"/>
          <w:b/>
        </w:rPr>
        <w:t>OLS results with election-by-election interactions</w:t>
      </w:r>
    </w:p>
    <w:p w:rsidR="00C853E9" w:rsidRDefault="00C853E9" w:rsidP="00C853E9">
      <w:pPr>
        <w:spacing w:after="0" w:line="240" w:lineRule="auto"/>
        <w:rPr>
          <w:rFonts w:cs="Times New Roman"/>
          <w:b/>
        </w:rPr>
      </w:pPr>
    </w:p>
    <w:p w:rsidR="00C853E9" w:rsidRPr="002C49E3" w:rsidRDefault="00C853E9" w:rsidP="00C853E9">
      <w:pPr>
        <w:spacing w:after="0" w:line="240" w:lineRule="auto"/>
        <w:ind w:firstLine="720"/>
        <w:rPr>
          <w:rFonts w:cs="Times New Roman"/>
        </w:rPr>
      </w:pPr>
      <w:r w:rsidRPr="002C49E3">
        <w:rPr>
          <w:rFonts w:cs="Times New Roman"/>
        </w:rPr>
        <w:t xml:space="preserve">In most of the specifications in the paper, we focus on the interaction between liberty bond subscription rates and in indicator for all post-1918 elections.  In order to analyze the temporal pattern of </w:t>
      </w:r>
      <w:r w:rsidRPr="002C49E3">
        <w:rPr>
          <w:rFonts w:cs="Times New Roman"/>
        </w:rPr>
        <w:lastRenderedPageBreak/>
        <w:t>the effects in greater detail, and to verify that the post-1918 effects do not represent the continuation of a preexisting trend of some kind in the differences in political behavior of counties with different liberty bond subscription rates, here we present election-by-election interactions.</w:t>
      </w:r>
      <w:r>
        <w:rPr>
          <w:rFonts w:cs="Times New Roman"/>
        </w:rPr>
        <w:t xml:space="preserve">  The equation to be estimated takes</w:t>
      </w:r>
      <w:r w:rsidRPr="002C49E3">
        <w:rPr>
          <w:rFonts w:cs="Times New Roman"/>
        </w:rPr>
        <w:t xml:space="preserve"> the form:</w:t>
      </w:r>
    </w:p>
    <w:p w:rsidR="00C853E9" w:rsidRPr="002C49E3" w:rsidRDefault="00C853E9" w:rsidP="00C853E9">
      <w:pPr>
        <w:spacing w:after="0" w:line="240" w:lineRule="auto"/>
        <w:rPr>
          <w:rFonts w:cs="Times New Roman"/>
        </w:rPr>
      </w:pPr>
    </w:p>
    <w:p w:rsidR="00C853E9" w:rsidRPr="002C49E3" w:rsidRDefault="00C853E9" w:rsidP="00C853E9">
      <w:pPr>
        <w:spacing w:after="0" w:line="240" w:lineRule="auto"/>
        <w:jc w:val="center"/>
        <w:rPr>
          <w:rFonts w:cs="Times New Roman"/>
        </w:rPr>
      </w:pPr>
      <m:oMath>
        <m:sSub>
          <m:sSubPr>
            <m:ctrlPr>
              <w:rPr>
                <w:rFonts w:ascii="Cambria Math" w:eastAsia="Calibri" w:hAnsi="Cambria Math" w:cs="Times New Roman"/>
                <w:bCs/>
                <w:i/>
                <w:iCs/>
                <w:vertAlign w:val="subscript"/>
              </w:rPr>
            </m:ctrlPr>
          </m:sSubPr>
          <m:e>
            <m:r>
              <w:rPr>
                <w:rFonts w:ascii="Cambria Math" w:eastAsia="Calibri" w:hAnsi="Cambria Math" w:cs="Times New Roman"/>
                <w:vertAlign w:val="subscript"/>
              </w:rPr>
              <m:t>Demshare</m:t>
            </m:r>
          </m:e>
          <m:sub>
            <m:r>
              <w:rPr>
                <w:rFonts w:ascii="Cambria Math" w:eastAsia="Calibri" w:hAnsi="Cambria Math" w:cs="Times New Roman"/>
                <w:vertAlign w:val="subscript"/>
              </w:rPr>
              <m:t>idt</m:t>
            </m:r>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i</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γ</m:t>
            </m:r>
          </m:e>
          <m:sub>
            <m:r>
              <w:rPr>
                <w:rFonts w:ascii="Cambria Math" w:eastAsia="Calibri" w:hAnsi="Cambria Math" w:cs="Times New Roman"/>
              </w:rPr>
              <m:t>st</m:t>
            </m:r>
          </m:sub>
        </m:sSub>
        <m:r>
          <w:rPr>
            <w:rFonts w:ascii="Cambria Math" w:eastAsia="Calibri" w:hAnsi="Cambria Math" w:cs="Times New Roman"/>
          </w:rPr>
          <m:t>+</m:t>
        </m:r>
        <m:nary>
          <m:naryPr>
            <m:chr m:val="∑"/>
            <m:limLoc m:val="undOvr"/>
            <m:subHide m:val="1"/>
            <m:supHide m:val="1"/>
            <m:ctrlPr>
              <w:rPr>
                <w:rFonts w:ascii="Cambria Math" w:eastAsia="Calibri" w:hAnsi="Cambria Math" w:cs="Times New Roman"/>
                <w:i/>
              </w:rPr>
            </m:ctrlPr>
          </m:naryPr>
          <m:sub/>
          <m:sup/>
          <m:e>
            <m:sSub>
              <m:sSubPr>
                <m:ctrlPr>
                  <w:rPr>
                    <w:rFonts w:ascii="Cambria Math" w:eastAsia="Calibri" w:hAnsi="Cambria Math" w:cs="Times New Roman"/>
                    <w:i/>
                  </w:rPr>
                </m:ctrlPr>
              </m:sSubPr>
              <m:e>
                <m:r>
                  <w:rPr>
                    <w:rFonts w:ascii="Cambria Math" w:eastAsia="Calibri" w:hAnsi="Cambria Math" w:cs="Times New Roman"/>
                  </w:rPr>
                  <m:t>δ</m:t>
                </m:r>
              </m:e>
              <m:sub>
                <m:r>
                  <w:rPr>
                    <w:rFonts w:ascii="Cambria Math" w:eastAsia="Calibri" w:hAnsi="Cambria Math" w:cs="Times New Roman"/>
                  </w:rPr>
                  <m:t>t</m:t>
                </m:r>
              </m:sub>
            </m:sSub>
            <m:sSub>
              <m:sSubPr>
                <m:ctrlPr>
                  <w:rPr>
                    <w:rFonts w:ascii="Cambria Math" w:eastAsia="Calibri" w:hAnsi="Cambria Math" w:cs="Times New Roman"/>
                    <w:i/>
                  </w:rPr>
                </m:ctrlPr>
              </m:sSubPr>
              <m:e>
                <m:r>
                  <w:rPr>
                    <w:rFonts w:ascii="Cambria Math" w:eastAsia="Calibri" w:hAnsi="Cambria Math" w:cs="Times New Roman"/>
                  </w:rPr>
                  <m:t>libloanparticip</m:t>
                </m:r>
              </m:e>
              <m:sub>
                <m:r>
                  <w:rPr>
                    <w:rFonts w:ascii="Cambria Math" w:eastAsia="Calibri" w:hAnsi="Cambria Math" w:cs="Times New Roman"/>
                  </w:rPr>
                  <m:t>i</m:t>
                </m:r>
              </m:sub>
            </m:sSub>
          </m:e>
        </m:nary>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year</m:t>
            </m:r>
          </m:e>
          <m:sub>
            <m:r>
              <w:rPr>
                <w:rFonts w:ascii="Cambria Math" w:eastAsia="Calibri" w:hAnsi="Cambria Math" w:cs="Times New Roman"/>
              </w:rPr>
              <m:t>t</m:t>
            </m:r>
          </m:sub>
        </m:sSub>
        <m:sSub>
          <m:sSubPr>
            <m:ctrlPr>
              <w:rPr>
                <w:rFonts w:ascii="Cambria Math" w:eastAsia="Calibri" w:hAnsi="Cambria Math" w:cs="Times New Roman"/>
                <w:i/>
              </w:rPr>
            </m:ctrlPr>
          </m:sSubPr>
          <m:e>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 xml:space="preserve"> β</m:t>
                </m:r>
                <m:r>
                  <m:rPr>
                    <m:sty m:val="bi"/>
                  </m:rPr>
                  <w:rPr>
                    <w:rFonts w:ascii="Cambria Math" w:eastAsia="Calibri" w:hAnsi="Cambria Math" w:cs="Times New Roman"/>
                  </w:rPr>
                  <m:t>X</m:t>
                </m:r>
              </m:e>
              <m:sub>
                <m:r>
                  <w:rPr>
                    <w:rFonts w:ascii="Cambria Math" w:eastAsia="Calibri" w:hAnsi="Cambria Math" w:cs="Times New Roman"/>
                  </w:rPr>
                  <m:t>it</m:t>
                </m:r>
              </m:sub>
            </m:sSub>
            <m:r>
              <w:rPr>
                <w:rFonts w:ascii="Cambria Math" w:eastAsia="Calibri" w:hAnsi="Cambria Math" w:cs="Times New Roman"/>
              </w:rPr>
              <m:t>+ ε</m:t>
            </m:r>
          </m:e>
          <m:sub>
            <m:r>
              <w:rPr>
                <w:rFonts w:ascii="Cambria Math" w:eastAsia="Calibri" w:hAnsi="Cambria Math" w:cs="Times New Roman"/>
              </w:rPr>
              <m:t>it</m:t>
            </m:r>
          </m:sub>
        </m:sSub>
      </m:oMath>
      <w:r w:rsidRPr="002C49E3">
        <w:rPr>
          <w:rFonts w:eastAsia="Times New Roman" w:cs="Times New Roman"/>
        </w:rPr>
        <w:t>,</w:t>
      </w:r>
      <w:r>
        <w:rPr>
          <w:rFonts w:eastAsia="Times New Roman" w:cs="Times New Roman"/>
        </w:rPr>
        <w:t xml:space="preserve">      (A1)</w:t>
      </w:r>
    </w:p>
    <w:p w:rsidR="00C853E9" w:rsidRPr="002C49E3" w:rsidRDefault="00C853E9" w:rsidP="00C853E9">
      <w:pPr>
        <w:spacing w:after="0" w:line="240" w:lineRule="auto"/>
        <w:rPr>
          <w:rFonts w:cs="Times New Roman"/>
        </w:rPr>
      </w:pPr>
    </w:p>
    <w:p w:rsidR="00C853E9" w:rsidRDefault="00C853E9" w:rsidP="00C853E9">
      <w:pPr>
        <w:spacing w:after="0" w:line="240" w:lineRule="auto"/>
        <w:rPr>
          <w:rFonts w:eastAsiaTheme="minorEastAsia" w:cs="Times New Roman"/>
        </w:rPr>
      </w:pPr>
      <w:r w:rsidRPr="002C49E3">
        <w:rPr>
          <w:rFonts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i</m:t>
            </m:r>
          </m:sub>
        </m:sSub>
      </m:oMath>
      <w:r w:rsidRPr="002C49E3">
        <w:rPr>
          <w:rFonts w:cs="Times New Roman"/>
        </w:rPr>
        <w:t xml:space="preserve"> is a county fixed effect,  </w:t>
      </w:r>
      <m:oMath>
        <m:sSub>
          <m:sSubPr>
            <m:ctrlPr>
              <w:rPr>
                <w:rFonts w:ascii="Cambria Math" w:eastAsia="Calibri" w:hAnsi="Cambria Math" w:cs="Times New Roman"/>
                <w:i/>
              </w:rPr>
            </m:ctrlPr>
          </m:sSubPr>
          <m:e>
            <m:r>
              <w:rPr>
                <w:rFonts w:ascii="Cambria Math" w:eastAsia="Calibri" w:hAnsi="Cambria Math" w:cs="Times New Roman"/>
              </w:rPr>
              <m:t>γ</m:t>
            </m:r>
          </m:e>
          <m:sub>
            <m:r>
              <w:rPr>
                <w:rFonts w:ascii="Cambria Math" w:eastAsia="Calibri" w:hAnsi="Cambria Math" w:cs="Times New Roman"/>
              </w:rPr>
              <m:t>st</m:t>
            </m:r>
          </m:sub>
        </m:sSub>
      </m:oMath>
      <w:r w:rsidRPr="002C49E3">
        <w:rPr>
          <w:rFonts w:cs="Times New Roman"/>
        </w:rPr>
        <w:t xml:space="preserve"> represents </w:t>
      </w:r>
      <w:r>
        <w:rPr>
          <w:rFonts w:cs="Times New Roman"/>
        </w:rPr>
        <w:t>state</w:t>
      </w:r>
      <w:r w:rsidRPr="002C49E3">
        <w:rPr>
          <w:rFonts w:cs="Times New Roman"/>
        </w:rPr>
        <w:t>-by-year fixed effects</w:t>
      </w:r>
      <w:r>
        <w:rPr>
          <w:rFonts w:cs="Times New Roman"/>
        </w:rPr>
        <w:t xml:space="preserve"> and</w:t>
      </w:r>
      <w:r w:rsidRPr="002C49E3">
        <w:rPr>
          <w:rFonts w:cs="Times New Roman"/>
        </w:rPr>
        <w:t xml:space="preserve">  </w:t>
      </w:r>
      <m:oMath>
        <m:nary>
          <m:naryPr>
            <m:chr m:val="∑"/>
            <m:limLoc m:val="undOvr"/>
            <m:subHide m:val="1"/>
            <m:supHide m:val="1"/>
            <m:ctrlPr>
              <w:rPr>
                <w:rFonts w:ascii="Cambria Math" w:eastAsia="Calibri" w:hAnsi="Cambria Math" w:cs="Times New Roman"/>
                <w:i/>
              </w:rPr>
            </m:ctrlPr>
          </m:naryPr>
          <m:sub/>
          <m:sup/>
          <m:e>
            <m:sSub>
              <m:sSubPr>
                <m:ctrlPr>
                  <w:rPr>
                    <w:rFonts w:ascii="Cambria Math" w:eastAsia="Calibri" w:hAnsi="Cambria Math" w:cs="Times New Roman"/>
                    <w:i/>
                  </w:rPr>
                </m:ctrlPr>
              </m:sSubPr>
              <m:e>
                <m:r>
                  <w:rPr>
                    <w:rFonts w:ascii="Cambria Math" w:eastAsia="Calibri" w:hAnsi="Cambria Math" w:cs="Times New Roman"/>
                  </w:rPr>
                  <m:t>δ</m:t>
                </m:r>
              </m:e>
              <m:sub>
                <m:r>
                  <w:rPr>
                    <w:rFonts w:ascii="Cambria Math" w:eastAsia="Calibri" w:hAnsi="Cambria Math" w:cs="Times New Roman"/>
                  </w:rPr>
                  <m:t>t</m:t>
                </m:r>
              </m:sub>
            </m:sSub>
            <m:sSub>
              <m:sSubPr>
                <m:ctrlPr>
                  <w:rPr>
                    <w:rFonts w:ascii="Cambria Math" w:eastAsia="Calibri" w:hAnsi="Cambria Math" w:cs="Times New Roman"/>
                    <w:i/>
                  </w:rPr>
                </m:ctrlPr>
              </m:sSubPr>
              <m:e>
                <m:r>
                  <w:rPr>
                    <w:rFonts w:ascii="Cambria Math" w:eastAsia="Calibri" w:hAnsi="Cambria Math" w:cs="Times New Roman"/>
                  </w:rPr>
                  <m:t>libloanparticip</m:t>
                </m:r>
              </m:e>
              <m:sub>
                <m:r>
                  <w:rPr>
                    <w:rFonts w:ascii="Cambria Math" w:eastAsia="Calibri" w:hAnsi="Cambria Math" w:cs="Times New Roman"/>
                  </w:rPr>
                  <m:t>i</m:t>
                </m:r>
              </m:sub>
            </m:sSub>
          </m:e>
        </m:nary>
      </m:oMath>
      <w:r w:rsidRPr="002C49E3">
        <w:rPr>
          <w:rFonts w:cs="Times New Roman"/>
        </w:rPr>
        <w:t xml:space="preserve"> is a series of interactions between a county’s liberty loan participation rate and each election year</w:t>
      </w:r>
      <w:r>
        <w:rPr>
          <w:rFonts w:cs="Times New Roman"/>
        </w:rPr>
        <w:t>.</w:t>
      </w:r>
      <w:r>
        <w:rPr>
          <w:rFonts w:eastAsiaTheme="minorEastAsia" w:cs="Times New Roman"/>
        </w:rPr>
        <w:t xml:space="preserve">  </w:t>
      </w:r>
      <w:r w:rsidR="00504AC5">
        <w:rPr>
          <w:rFonts w:eastAsiaTheme="minorEastAsia" w:cs="Times New Roman"/>
        </w:rPr>
        <w:t xml:space="preserve">In this framework, </w:t>
      </w:r>
      <m:oMath>
        <m:sSub>
          <m:sSubPr>
            <m:ctrlPr>
              <w:rPr>
                <w:rFonts w:ascii="Cambria Math" w:eastAsia="Calibri" w:hAnsi="Cambria Math" w:cs="Times New Roman"/>
                <w:i/>
              </w:rPr>
            </m:ctrlPr>
          </m:sSubPr>
          <m:e>
            <m:r>
              <w:rPr>
                <w:rFonts w:ascii="Cambria Math" w:eastAsia="Calibri" w:hAnsi="Cambria Math" w:cs="Times New Roman"/>
              </w:rPr>
              <m:t xml:space="preserve"> </m:t>
            </m:r>
            <m:r>
              <m:rPr>
                <m:sty m:val="bi"/>
              </m:rPr>
              <w:rPr>
                <w:rFonts w:ascii="Cambria Math" w:eastAsia="Calibri" w:hAnsi="Cambria Math" w:cs="Times New Roman"/>
              </w:rPr>
              <m:t>X</m:t>
            </m:r>
          </m:e>
          <m:sub>
            <m:r>
              <w:rPr>
                <w:rFonts w:ascii="Cambria Math" w:eastAsia="Calibri" w:hAnsi="Cambria Math" w:cs="Times New Roman"/>
              </w:rPr>
              <m:t>it</m:t>
            </m:r>
          </m:sub>
        </m:sSub>
      </m:oMath>
      <w:r w:rsidR="00504AC5">
        <w:rPr>
          <w:rFonts w:eastAsiaTheme="minorEastAsia" w:cs="Times New Roman"/>
        </w:rPr>
        <w:t xml:space="preserve"> includes 1920 county characteristics interacted with year indicators, rather than with a post-1918 indicator.</w:t>
      </w:r>
    </w:p>
    <w:p w:rsidR="00504AC5" w:rsidRDefault="00504AC5" w:rsidP="00C853E9">
      <w:pPr>
        <w:spacing w:after="0" w:line="240" w:lineRule="auto"/>
        <w:rPr>
          <w:rFonts w:eastAsiaTheme="minorEastAsia" w:cs="Times New Roman"/>
        </w:rPr>
      </w:pPr>
      <w:r>
        <w:rPr>
          <w:rFonts w:eastAsiaTheme="minorEastAsia" w:cs="Times New Roman"/>
        </w:rPr>
        <w:tab/>
        <w:t>Table A5 presents the results of regressions taking the same form as those in columns (1)-(4) of Table 3 in the main paper.  The same controls are included (but not shown), with year-by-year interactions.  It is noteworthy that the only elections where the liberty bonds had significant effects were those of 1920 and 1924.  These were the elections that followed the significant depreciation and appreciation of the liberty bond prices.</w:t>
      </w:r>
    </w:p>
    <w:p w:rsidR="00C853E9" w:rsidRDefault="00C853E9" w:rsidP="00C853E9">
      <w:pPr>
        <w:spacing w:after="0" w:line="240" w:lineRule="auto"/>
        <w:rPr>
          <w:rFonts w:cs="Times New Roman"/>
        </w:rPr>
      </w:pPr>
    </w:p>
    <w:p w:rsidR="00C853E9" w:rsidRPr="00C853E9" w:rsidRDefault="00C853E9" w:rsidP="00C853E9">
      <w:pPr>
        <w:spacing w:after="0" w:line="240" w:lineRule="auto"/>
        <w:rPr>
          <w:rFonts w:cs="Times New Roman"/>
        </w:rPr>
      </w:pPr>
    </w:p>
    <w:p w:rsidR="00C853E9" w:rsidRPr="00E1139A" w:rsidRDefault="00C853E9" w:rsidP="00C853E9">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A5</w:t>
      </w:r>
      <w:r w:rsidRPr="00E1139A">
        <w:rPr>
          <w:rFonts w:eastAsia="Calibri" w:cs="Times New Roman"/>
          <w:b/>
        </w:rPr>
        <w:t>:</w:t>
      </w:r>
    </w:p>
    <w:p w:rsidR="00C853E9" w:rsidRDefault="00C853E9" w:rsidP="00C853E9">
      <w:pPr>
        <w:spacing w:after="0" w:line="240" w:lineRule="auto"/>
        <w:jc w:val="center"/>
        <w:rPr>
          <w:rFonts w:eastAsia="Calibri" w:cs="Times New Roman"/>
          <w:b/>
        </w:rPr>
      </w:pPr>
      <w:r w:rsidRPr="00E1139A">
        <w:rPr>
          <w:rFonts w:eastAsia="Calibri" w:cs="Times New Roman"/>
          <w:b/>
        </w:rPr>
        <w:t>Effect of Liberty Loan Parti</w:t>
      </w:r>
      <w:r>
        <w:rPr>
          <w:rFonts w:eastAsia="Calibri" w:cs="Times New Roman"/>
          <w:b/>
        </w:rPr>
        <w:t>cipation on Electoral Outcomes by Year</w:t>
      </w:r>
    </w:p>
    <w:tbl>
      <w:tblPr>
        <w:tblpPr w:leftFromText="180" w:rightFromText="180" w:vertAnchor="text" w:horzAnchor="margin" w:tblpXSpec="center" w:tblpY="353"/>
        <w:tblW w:w="8550" w:type="dxa"/>
        <w:tblLook w:val="04A0" w:firstRow="1" w:lastRow="0" w:firstColumn="1" w:lastColumn="0" w:noHBand="0" w:noVBand="1"/>
      </w:tblPr>
      <w:tblGrid>
        <w:gridCol w:w="3360"/>
        <w:gridCol w:w="1140"/>
        <w:gridCol w:w="1350"/>
        <w:gridCol w:w="1200"/>
        <w:gridCol w:w="1500"/>
      </w:tblGrid>
      <w:tr w:rsidR="00504AC5" w:rsidRPr="00C853E9" w:rsidTr="00504AC5">
        <w:trPr>
          <w:trHeight w:val="270"/>
        </w:trPr>
        <w:tc>
          <w:tcPr>
            <w:tcW w:w="3360" w:type="dxa"/>
            <w:tcBorders>
              <w:top w:val="double" w:sz="6" w:space="0" w:color="auto"/>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 </w:t>
            </w:r>
          </w:p>
        </w:tc>
        <w:tc>
          <w:tcPr>
            <w:tcW w:w="1140" w:type="dxa"/>
            <w:tcBorders>
              <w:top w:val="double" w:sz="6" w:space="0" w:color="auto"/>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(1)</w:t>
            </w:r>
          </w:p>
        </w:tc>
        <w:tc>
          <w:tcPr>
            <w:tcW w:w="1350" w:type="dxa"/>
            <w:tcBorders>
              <w:top w:val="double" w:sz="6" w:space="0" w:color="auto"/>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w:t>
            </w:r>
          </w:p>
        </w:tc>
        <w:tc>
          <w:tcPr>
            <w:tcW w:w="1200" w:type="dxa"/>
            <w:tcBorders>
              <w:top w:val="double" w:sz="6" w:space="0" w:color="auto"/>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w:t>
            </w:r>
          </w:p>
        </w:tc>
        <w:tc>
          <w:tcPr>
            <w:tcW w:w="1500" w:type="dxa"/>
            <w:tcBorders>
              <w:top w:val="double" w:sz="6" w:space="0" w:color="auto"/>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 </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 </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 </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 </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 </w:t>
            </w: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Participation in the 4th Liberty Loan  x</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eastAsia="Times New Roman" w:cs="Times New Roman"/>
                <w:sz w:val="20"/>
                <w:szCs w:val="20"/>
              </w:rPr>
            </w:pP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eastAsia="Times New Roman" w:cs="Times New Roman"/>
                <w:sz w:val="20"/>
                <w:szCs w:val="20"/>
              </w:rPr>
            </w:pP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eastAsia="Times New Roman" w:cs="Times New Roman"/>
                <w:sz w:val="20"/>
                <w:szCs w:val="20"/>
              </w:rPr>
            </w:pP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C853E9">
              <w:rPr>
                <w:rFonts w:ascii="Arial" w:eastAsia="Times New Roman" w:hAnsi="Arial" w:cs="Arial"/>
                <w:sz w:val="18"/>
                <w:szCs w:val="18"/>
              </w:rPr>
              <w:t>1908</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3.540</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2.655</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3.131</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2.569</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(3.849)</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(3.906)</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(4.002)</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(4.071)</w:t>
            </w: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C853E9">
              <w:rPr>
                <w:rFonts w:ascii="Arial" w:eastAsia="Times New Roman" w:hAnsi="Arial" w:cs="Arial"/>
                <w:sz w:val="18"/>
                <w:szCs w:val="18"/>
              </w:rPr>
              <w:t>1912</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5.755</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3.354</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3.507</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3.289</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(5.661)</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(5.233)</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(5.417)</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(5.404)</w:t>
            </w: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C853E9">
              <w:rPr>
                <w:rFonts w:ascii="Arial" w:eastAsia="Times New Roman" w:hAnsi="Arial" w:cs="Arial"/>
                <w:sz w:val="18"/>
                <w:szCs w:val="18"/>
              </w:rPr>
              <w:t>1916</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w:t>
            </w: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C853E9">
              <w:rPr>
                <w:rFonts w:ascii="Arial" w:eastAsia="Times New Roman" w:hAnsi="Arial" w:cs="Arial"/>
                <w:sz w:val="18"/>
                <w:szCs w:val="18"/>
              </w:rPr>
              <w:t>1920</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-8.409+</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-9.840*</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-10.209*</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-9.831*</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(4.651)</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(4.839)</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(4.833)</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(4.859)</w:t>
            </w: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C853E9">
              <w:rPr>
                <w:rFonts w:ascii="Arial" w:eastAsia="Times New Roman" w:hAnsi="Arial" w:cs="Arial"/>
                <w:sz w:val="18"/>
                <w:szCs w:val="18"/>
              </w:rPr>
              <w:t>1924</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-20.818**</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-22.350**</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-22.169**</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-22.341**</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(4.959)</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(5.086)</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(5.214)</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(5.134)</w:t>
            </w: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C853E9">
              <w:rPr>
                <w:rFonts w:ascii="Arial" w:eastAsia="Times New Roman" w:hAnsi="Arial" w:cs="Arial"/>
                <w:sz w:val="18"/>
                <w:szCs w:val="18"/>
              </w:rPr>
              <w:t>1928</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-4.333</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-2.384</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-2.285</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-2.363</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(8.223)</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(7.862)</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(7.996)</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(7.836)</w:t>
            </w:r>
          </w:p>
        </w:tc>
      </w:tr>
      <w:tr w:rsidR="00504AC5" w:rsidRPr="00C853E9" w:rsidTr="00504AC5">
        <w:trPr>
          <w:trHeight w:val="255"/>
        </w:trPr>
        <w:tc>
          <w:tcPr>
            <w:tcW w:w="3360" w:type="dxa"/>
            <w:tcBorders>
              <w:top w:val="nil"/>
              <w:left w:val="nil"/>
              <w:bottom w:val="nil"/>
              <w:right w:val="nil"/>
            </w:tcBorders>
            <w:shd w:val="clear" w:color="auto" w:fill="auto"/>
            <w:noWrap/>
            <w:vAlign w:val="center"/>
            <w:hideMark/>
          </w:tcPr>
          <w:p w:rsidR="00504AC5" w:rsidRPr="00C853E9" w:rsidRDefault="00504AC5" w:rsidP="00504AC5">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C853E9">
              <w:rPr>
                <w:rFonts w:ascii="Arial" w:eastAsia="Times New Roman" w:hAnsi="Arial" w:cs="Arial"/>
                <w:sz w:val="18"/>
                <w:szCs w:val="18"/>
              </w:rPr>
              <w:t>1932</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-2.183</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-1.560</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-1.201</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-1.577</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(6.507)</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(6.587)</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(6.711)</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(6.625)</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Constant</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70.381**</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70.563**</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70.723**</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70.586**</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(2.289)</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(2.287)</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(2.286)</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(2.282)</w:t>
            </w:r>
          </w:p>
        </w:tc>
      </w:tr>
      <w:tr w:rsidR="00504AC5" w:rsidRPr="00C853E9" w:rsidTr="00504AC5">
        <w:trPr>
          <w:trHeight w:val="255"/>
        </w:trPr>
        <w:tc>
          <w:tcPr>
            <w:tcW w:w="3360" w:type="dxa"/>
            <w:tcBorders>
              <w:top w:val="nil"/>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 </w:t>
            </w:r>
          </w:p>
        </w:tc>
        <w:tc>
          <w:tcPr>
            <w:tcW w:w="1140" w:type="dxa"/>
            <w:tcBorders>
              <w:top w:val="nil"/>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 </w:t>
            </w:r>
          </w:p>
        </w:tc>
        <w:tc>
          <w:tcPr>
            <w:tcW w:w="1350" w:type="dxa"/>
            <w:tcBorders>
              <w:top w:val="nil"/>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 </w:t>
            </w:r>
          </w:p>
        </w:tc>
        <w:tc>
          <w:tcPr>
            <w:tcW w:w="1200" w:type="dxa"/>
            <w:tcBorders>
              <w:top w:val="nil"/>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 </w:t>
            </w:r>
          </w:p>
        </w:tc>
        <w:tc>
          <w:tcPr>
            <w:tcW w:w="1500" w:type="dxa"/>
            <w:tcBorders>
              <w:top w:val="nil"/>
              <w:left w:val="nil"/>
              <w:bottom w:val="single" w:sz="4" w:space="0" w:color="auto"/>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 </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Observations</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9,855</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9,838</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9,698</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9,838</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R-squared</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0.960</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0.961</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0.961</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0.961</w:t>
            </w:r>
          </w:p>
        </w:tc>
      </w:tr>
      <w:tr w:rsidR="00504AC5" w:rsidRPr="00C853E9" w:rsidTr="00504AC5">
        <w:trPr>
          <w:trHeight w:val="255"/>
        </w:trPr>
        <w:tc>
          <w:tcPr>
            <w:tcW w:w="336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County FE</w:t>
            </w:r>
          </w:p>
        </w:tc>
        <w:tc>
          <w:tcPr>
            <w:tcW w:w="114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c>
          <w:tcPr>
            <w:tcW w:w="135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c>
          <w:tcPr>
            <w:tcW w:w="12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c>
          <w:tcPr>
            <w:tcW w:w="1500" w:type="dxa"/>
            <w:tcBorders>
              <w:top w:val="nil"/>
              <w:left w:val="nil"/>
              <w:bottom w:val="nil"/>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r>
      <w:tr w:rsidR="00504AC5" w:rsidRPr="00C853E9" w:rsidTr="00504AC5">
        <w:trPr>
          <w:trHeight w:val="255"/>
        </w:trPr>
        <w:tc>
          <w:tcPr>
            <w:tcW w:w="3360" w:type="dxa"/>
            <w:tcBorders>
              <w:top w:val="nil"/>
              <w:left w:val="nil"/>
              <w:bottom w:val="single" w:sz="4" w:space="0" w:color="000000"/>
              <w:right w:val="nil"/>
            </w:tcBorders>
            <w:shd w:val="clear" w:color="auto" w:fill="auto"/>
            <w:noWrap/>
            <w:vAlign w:val="bottom"/>
            <w:hideMark/>
          </w:tcPr>
          <w:p w:rsidR="00504AC5" w:rsidRPr="00C853E9" w:rsidRDefault="00504AC5" w:rsidP="00504AC5">
            <w:pPr>
              <w:spacing w:after="0" w:line="240" w:lineRule="auto"/>
              <w:rPr>
                <w:rFonts w:ascii="Arial" w:eastAsia="Times New Roman" w:hAnsi="Arial" w:cs="Arial"/>
                <w:sz w:val="18"/>
                <w:szCs w:val="18"/>
              </w:rPr>
            </w:pPr>
            <w:r w:rsidRPr="00C853E9">
              <w:rPr>
                <w:rFonts w:ascii="Arial" w:eastAsia="Times New Roman" w:hAnsi="Arial" w:cs="Arial"/>
                <w:sz w:val="18"/>
                <w:szCs w:val="18"/>
              </w:rPr>
              <w:t>State x Year FE</w:t>
            </w:r>
          </w:p>
        </w:tc>
        <w:tc>
          <w:tcPr>
            <w:tcW w:w="1140" w:type="dxa"/>
            <w:tcBorders>
              <w:top w:val="nil"/>
              <w:left w:val="nil"/>
              <w:bottom w:val="single" w:sz="4" w:space="0" w:color="000000"/>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c>
          <w:tcPr>
            <w:tcW w:w="1350" w:type="dxa"/>
            <w:tcBorders>
              <w:top w:val="nil"/>
              <w:left w:val="nil"/>
              <w:bottom w:val="single" w:sz="4" w:space="0" w:color="000000"/>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c>
          <w:tcPr>
            <w:tcW w:w="1200" w:type="dxa"/>
            <w:tcBorders>
              <w:top w:val="nil"/>
              <w:left w:val="nil"/>
              <w:bottom w:val="single" w:sz="4" w:space="0" w:color="000000"/>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c>
          <w:tcPr>
            <w:tcW w:w="1500" w:type="dxa"/>
            <w:tcBorders>
              <w:top w:val="nil"/>
              <w:left w:val="nil"/>
              <w:bottom w:val="single" w:sz="4" w:space="0" w:color="000000"/>
              <w:right w:val="nil"/>
            </w:tcBorders>
            <w:shd w:val="clear" w:color="auto" w:fill="auto"/>
            <w:noWrap/>
            <w:vAlign w:val="bottom"/>
            <w:hideMark/>
          </w:tcPr>
          <w:p w:rsidR="00504AC5" w:rsidRPr="00C853E9" w:rsidRDefault="00504AC5" w:rsidP="00504AC5">
            <w:pPr>
              <w:spacing w:after="0" w:line="240" w:lineRule="auto"/>
              <w:jc w:val="center"/>
              <w:rPr>
                <w:rFonts w:ascii="Arial" w:eastAsia="Times New Roman" w:hAnsi="Arial" w:cs="Arial"/>
                <w:sz w:val="18"/>
                <w:szCs w:val="18"/>
              </w:rPr>
            </w:pPr>
            <w:r w:rsidRPr="00C853E9">
              <w:rPr>
                <w:rFonts w:ascii="Arial" w:eastAsia="Times New Roman" w:hAnsi="Arial" w:cs="Arial"/>
                <w:sz w:val="18"/>
                <w:szCs w:val="18"/>
              </w:rPr>
              <w:t>YES</w:t>
            </w:r>
          </w:p>
        </w:tc>
      </w:tr>
    </w:tbl>
    <w:p w:rsidR="00C853E9" w:rsidRDefault="00C853E9" w:rsidP="00013C10">
      <w:pPr>
        <w:spacing w:after="0" w:line="480" w:lineRule="auto"/>
        <w:jc w:val="both"/>
        <w:rPr>
          <w:rFonts w:cs="Times New Roman"/>
          <w:b/>
        </w:rPr>
      </w:pPr>
    </w:p>
    <w:p w:rsidR="00B17778" w:rsidRDefault="00B17778" w:rsidP="00013C10">
      <w:pPr>
        <w:spacing w:after="0" w:line="480" w:lineRule="auto"/>
        <w:jc w:val="both"/>
        <w:rPr>
          <w:rFonts w:cs="Times New Roman"/>
          <w:b/>
        </w:rPr>
      </w:pPr>
    </w:p>
    <w:p w:rsidR="00ED7A56" w:rsidRDefault="00ED7A56" w:rsidP="00013C10">
      <w:pPr>
        <w:spacing w:after="0" w:line="480" w:lineRule="auto"/>
        <w:jc w:val="both"/>
        <w:rPr>
          <w:rFonts w:cs="Times New Roman"/>
          <w:b/>
        </w:rPr>
      </w:pPr>
    </w:p>
    <w:p w:rsidR="00504AC5" w:rsidRDefault="00504AC5" w:rsidP="00013C10">
      <w:pPr>
        <w:spacing w:after="0" w:line="480" w:lineRule="auto"/>
        <w:jc w:val="both"/>
        <w:rPr>
          <w:rFonts w:cs="Times New Roman"/>
          <w:b/>
        </w:rPr>
      </w:pPr>
    </w:p>
    <w:p w:rsidR="00BF5E94" w:rsidRPr="00841F39" w:rsidRDefault="00BF5E94" w:rsidP="00BF5E94">
      <w:pPr>
        <w:spacing w:after="0" w:line="240" w:lineRule="auto"/>
        <w:rPr>
          <w:b/>
          <w:sz w:val="24"/>
          <w:szCs w:val="24"/>
        </w:rPr>
      </w:pPr>
      <w:r>
        <w:rPr>
          <w:b/>
          <w:sz w:val="24"/>
          <w:szCs w:val="24"/>
        </w:rPr>
        <w:lastRenderedPageBreak/>
        <w:t>4</w:t>
      </w:r>
      <w:r w:rsidRPr="00841F39">
        <w:rPr>
          <w:b/>
          <w:sz w:val="24"/>
          <w:szCs w:val="24"/>
        </w:rPr>
        <w:t xml:space="preserve">. </w:t>
      </w:r>
      <w:r w:rsidRPr="00BF5E94">
        <w:rPr>
          <w:b/>
          <w:sz w:val="24"/>
          <w:szCs w:val="24"/>
        </w:rPr>
        <w:t>The IV: further details and robustness</w:t>
      </w:r>
    </w:p>
    <w:p w:rsidR="00BF5E94" w:rsidRDefault="00BF5E94" w:rsidP="00013C10">
      <w:pPr>
        <w:spacing w:after="0" w:line="480" w:lineRule="auto"/>
        <w:jc w:val="both"/>
        <w:rPr>
          <w:rFonts w:cs="Times New Roman"/>
          <w:b/>
        </w:rPr>
      </w:pPr>
    </w:p>
    <w:p w:rsidR="00013C10" w:rsidRDefault="00BF5E94" w:rsidP="00013C10">
      <w:pPr>
        <w:spacing w:after="0" w:line="480" w:lineRule="auto"/>
        <w:jc w:val="both"/>
        <w:rPr>
          <w:rFonts w:cs="Times New Roman"/>
          <w:b/>
        </w:rPr>
      </w:pPr>
      <w:r>
        <w:rPr>
          <w:rFonts w:cs="Times New Roman"/>
          <w:b/>
        </w:rPr>
        <w:t>4.1</w:t>
      </w:r>
      <w:r w:rsidR="00013C10">
        <w:rPr>
          <w:rFonts w:cs="Times New Roman"/>
          <w:b/>
        </w:rPr>
        <w:t xml:space="preserve"> </w:t>
      </w:r>
      <w:r w:rsidR="00E51F38">
        <w:rPr>
          <w:rFonts w:cs="Times New Roman"/>
          <w:b/>
        </w:rPr>
        <w:t>Reduced form results</w:t>
      </w:r>
    </w:p>
    <w:p w:rsidR="009F18C6" w:rsidRDefault="00E51F38" w:rsidP="00E51F38">
      <w:pPr>
        <w:spacing w:after="0" w:line="240" w:lineRule="auto"/>
        <w:ind w:firstLine="720"/>
        <w:rPr>
          <w:rFonts w:cs="Times New Roman"/>
        </w:rPr>
      </w:pPr>
      <w:r>
        <w:rPr>
          <w:rFonts w:cs="Times New Roman"/>
        </w:rPr>
        <w:t>Table A</w:t>
      </w:r>
      <w:r w:rsidR="005029DD">
        <w:rPr>
          <w:rFonts w:cs="Times New Roman"/>
        </w:rPr>
        <w:t>6</w:t>
      </w:r>
      <w:r>
        <w:rPr>
          <w:rFonts w:cs="Times New Roman"/>
        </w:rPr>
        <w:t xml:space="preserve"> below presents the reduced-form version of our specification (with the democratic vote share regressed on the instrument).</w:t>
      </w:r>
    </w:p>
    <w:p w:rsidR="00E51F38" w:rsidRDefault="00E51F38" w:rsidP="00E51F38">
      <w:pPr>
        <w:spacing w:after="0" w:line="240" w:lineRule="auto"/>
        <w:ind w:firstLine="720"/>
        <w:rPr>
          <w:rFonts w:cs="Times New Roman"/>
        </w:rPr>
      </w:pPr>
      <w:r>
        <w:rPr>
          <w:rFonts w:cs="Times New Roman"/>
        </w:rPr>
        <w:t xml:space="preserve">The </w:t>
      </w:r>
      <w:r w:rsidR="002B1AF9">
        <w:rPr>
          <w:rFonts w:cs="Times New Roman"/>
        </w:rPr>
        <w:t xml:space="preserve">negative </w:t>
      </w:r>
      <w:r>
        <w:rPr>
          <w:rFonts w:cs="Times New Roman"/>
        </w:rPr>
        <w:t xml:space="preserve">sign of the relationship between the </w:t>
      </w:r>
      <w:r w:rsidR="002B1AF9">
        <w:rPr>
          <w:rFonts w:cs="Times New Roman"/>
        </w:rPr>
        <w:t xml:space="preserve">distance measure and the democratic vote share in the post-1918 years helps rule out some intuitive stories that would call into question whether the exclusion restriction holds.  For example, one might be concerned that counties close to military bases were places where economic activity declined differentially following the war, or saw the costs of war first-hand, or were angered by the influenza outbreak in the camps and nearby, all of which might have led those counties to turn against the incumbent Democrats in the 1920 election.  Yet the relationship between distance to the camps and electoral outcomes in 1920 is </w:t>
      </w:r>
      <w:r w:rsidR="002B1AF9" w:rsidRPr="002B1AF9">
        <w:rPr>
          <w:rFonts w:cs="Times New Roman"/>
          <w:i/>
        </w:rPr>
        <w:t>exactly the opposite</w:t>
      </w:r>
      <w:r w:rsidR="002B1AF9">
        <w:rPr>
          <w:rFonts w:cs="Times New Roman"/>
        </w:rPr>
        <w:t>:  the farther away a county was from military camps, the more likely the county was to turn against the Democrats.</w:t>
      </w:r>
    </w:p>
    <w:p w:rsidR="00E51F38" w:rsidRDefault="00E51F38" w:rsidP="00E51F38">
      <w:pPr>
        <w:spacing w:after="0" w:line="240" w:lineRule="auto"/>
        <w:ind w:firstLine="720"/>
        <w:rPr>
          <w:rFonts w:cs="Times New Roman"/>
        </w:rPr>
      </w:pPr>
    </w:p>
    <w:p w:rsidR="00E51F38" w:rsidRDefault="00E51F38" w:rsidP="00E51F38">
      <w:pPr>
        <w:spacing w:after="0" w:line="240" w:lineRule="auto"/>
        <w:ind w:firstLine="720"/>
        <w:rPr>
          <w:rFonts w:cs="Times New Roman"/>
        </w:rPr>
      </w:pPr>
    </w:p>
    <w:p w:rsidR="00013C10" w:rsidRPr="00E1139A" w:rsidRDefault="00013C10" w:rsidP="00013C10">
      <w:pPr>
        <w:spacing w:after="0" w:line="240" w:lineRule="auto"/>
        <w:jc w:val="center"/>
        <w:rPr>
          <w:rFonts w:eastAsia="Calibri" w:cs="Times New Roman"/>
          <w:b/>
        </w:rPr>
      </w:pPr>
      <w:r w:rsidRPr="00E1139A">
        <w:rPr>
          <w:rFonts w:eastAsia="Calibri" w:cs="Times New Roman"/>
          <w:b/>
        </w:rPr>
        <w:t xml:space="preserve">Table </w:t>
      </w:r>
      <w:r w:rsidR="00E51F38">
        <w:rPr>
          <w:rFonts w:eastAsia="Calibri" w:cs="Times New Roman"/>
          <w:b/>
        </w:rPr>
        <w:t>A</w:t>
      </w:r>
      <w:r w:rsidR="00504AC5">
        <w:rPr>
          <w:rFonts w:eastAsia="Calibri" w:cs="Times New Roman"/>
          <w:b/>
        </w:rPr>
        <w:t>6</w:t>
      </w:r>
      <w:r w:rsidRPr="00E1139A">
        <w:rPr>
          <w:rFonts w:eastAsia="Calibri" w:cs="Times New Roman"/>
          <w:b/>
        </w:rPr>
        <w:t>:</w:t>
      </w:r>
    </w:p>
    <w:p w:rsidR="00013C10" w:rsidRPr="00E1139A" w:rsidRDefault="00013C10" w:rsidP="00013C10">
      <w:pPr>
        <w:spacing w:after="0" w:line="240" w:lineRule="auto"/>
        <w:jc w:val="center"/>
        <w:rPr>
          <w:rFonts w:eastAsia="Calibri" w:cs="Times New Roman"/>
          <w:b/>
        </w:rPr>
      </w:pPr>
      <w:r>
        <w:rPr>
          <w:rFonts w:eastAsia="Calibri" w:cs="Times New Roman"/>
          <w:b/>
        </w:rPr>
        <w:t>Effect of Distance to Camps on Democratic Vote Share (Reduced Form)</w:t>
      </w:r>
    </w:p>
    <w:p w:rsidR="00013C10" w:rsidRPr="00E1139A" w:rsidRDefault="00013C10" w:rsidP="00013C10">
      <w:pPr>
        <w:spacing w:after="0" w:line="240" w:lineRule="auto"/>
        <w:rPr>
          <w:rFonts w:ascii="Arial" w:eastAsia="Calibri" w:hAnsi="Arial" w:cs="Arial"/>
          <w:sz w:val="18"/>
        </w:rPr>
      </w:pPr>
    </w:p>
    <w:p w:rsidR="00013C10" w:rsidRPr="00E1139A" w:rsidRDefault="00013C10" w:rsidP="00013C10">
      <w:pPr>
        <w:spacing w:after="0" w:line="240" w:lineRule="auto"/>
        <w:rPr>
          <w:rFonts w:ascii="Arial" w:eastAsia="Calibri" w:hAnsi="Arial" w:cs="Arial"/>
          <w:sz w:val="18"/>
        </w:rPr>
      </w:pPr>
    </w:p>
    <w:tbl>
      <w:tblPr>
        <w:tblW w:w="9060" w:type="dxa"/>
        <w:tblInd w:w="93" w:type="dxa"/>
        <w:tblLook w:val="04A0" w:firstRow="1" w:lastRow="0" w:firstColumn="1" w:lastColumn="0" w:noHBand="0" w:noVBand="1"/>
      </w:tblPr>
      <w:tblGrid>
        <w:gridCol w:w="5680"/>
        <w:gridCol w:w="1600"/>
        <w:gridCol w:w="1780"/>
      </w:tblGrid>
      <w:tr w:rsidR="00013C10" w:rsidRPr="00C7523E" w:rsidTr="00277B33">
        <w:trPr>
          <w:trHeight w:val="270"/>
        </w:trPr>
        <w:tc>
          <w:tcPr>
            <w:tcW w:w="5680" w:type="dxa"/>
            <w:tcBorders>
              <w:top w:val="double" w:sz="4" w:space="0" w:color="auto"/>
              <w:left w:val="nil"/>
              <w:bottom w:val="single" w:sz="4" w:space="0" w:color="auto"/>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sidRPr="00C7523E">
              <w:rPr>
                <w:rFonts w:ascii="Arial" w:eastAsia="Times New Roman" w:hAnsi="Arial" w:cs="Arial"/>
                <w:sz w:val="18"/>
                <w:szCs w:val="18"/>
              </w:rPr>
              <w:t> </w:t>
            </w:r>
          </w:p>
        </w:tc>
        <w:tc>
          <w:tcPr>
            <w:tcW w:w="1600" w:type="dxa"/>
            <w:tcBorders>
              <w:top w:val="double" w:sz="4" w:space="0" w:color="auto"/>
              <w:left w:val="nil"/>
              <w:bottom w:val="single" w:sz="4" w:space="0" w:color="auto"/>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(1)</w:t>
            </w:r>
          </w:p>
        </w:tc>
        <w:tc>
          <w:tcPr>
            <w:tcW w:w="1780" w:type="dxa"/>
            <w:tcBorders>
              <w:top w:val="double" w:sz="4" w:space="0" w:color="auto"/>
              <w:left w:val="nil"/>
              <w:bottom w:val="single" w:sz="4" w:space="0" w:color="auto"/>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(2)</w:t>
            </w:r>
          </w:p>
        </w:tc>
      </w:tr>
      <w:tr w:rsidR="00013C10" w:rsidRPr="00C7523E" w:rsidTr="00277B33">
        <w:trPr>
          <w:trHeight w:val="255"/>
        </w:trPr>
        <w:tc>
          <w:tcPr>
            <w:tcW w:w="5680" w:type="dxa"/>
            <w:tcBorders>
              <w:top w:val="single" w:sz="4" w:space="0" w:color="auto"/>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sidRPr="00C7523E">
              <w:rPr>
                <w:rFonts w:ascii="Arial" w:eastAsia="Times New Roman" w:hAnsi="Arial" w:cs="Arial"/>
                <w:sz w:val="18"/>
                <w:szCs w:val="18"/>
              </w:rPr>
              <w:t>Post-1918 x</w:t>
            </w:r>
          </w:p>
        </w:tc>
        <w:tc>
          <w:tcPr>
            <w:tcW w:w="1600" w:type="dxa"/>
            <w:tcBorders>
              <w:top w:val="single" w:sz="4" w:space="0" w:color="auto"/>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 </w:t>
            </w:r>
          </w:p>
        </w:tc>
        <w:tc>
          <w:tcPr>
            <w:tcW w:w="1780" w:type="dxa"/>
            <w:tcBorders>
              <w:top w:val="single" w:sz="4" w:space="0" w:color="auto"/>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 </w:t>
            </w:r>
          </w:p>
        </w:tc>
      </w:tr>
      <w:tr w:rsidR="00013C10" w:rsidRPr="00C7523E" w:rsidTr="00277B33">
        <w:trPr>
          <w:trHeight w:val="255"/>
        </w:trPr>
        <w:tc>
          <w:tcPr>
            <w:tcW w:w="56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Pr>
                <w:rFonts w:ascii="Arial" w:eastAsia="Times New Roman" w:hAnsi="Arial" w:cs="Arial"/>
                <w:sz w:val="18"/>
                <w:szCs w:val="18"/>
              </w:rPr>
              <w:t xml:space="preserve">   Mean Distance to Military Camps</w:t>
            </w:r>
          </w:p>
        </w:tc>
        <w:tc>
          <w:tcPr>
            <w:tcW w:w="160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-0.</w:t>
            </w:r>
            <w:r w:rsidR="00B17778">
              <w:rPr>
                <w:rFonts w:ascii="Arial" w:eastAsia="Times New Roman" w:hAnsi="Arial" w:cs="Arial"/>
                <w:sz w:val="18"/>
                <w:szCs w:val="18"/>
              </w:rPr>
              <w:t>640</w:t>
            </w:r>
            <w:r w:rsidRPr="00C7523E">
              <w:rPr>
                <w:rFonts w:ascii="Arial" w:eastAsia="Times New Roman" w:hAnsi="Arial" w:cs="Arial"/>
                <w:sz w:val="18"/>
                <w:szCs w:val="18"/>
              </w:rPr>
              <w:t>*</w:t>
            </w:r>
          </w:p>
        </w:tc>
        <w:tc>
          <w:tcPr>
            <w:tcW w:w="17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-0.</w:t>
            </w:r>
            <w:r w:rsidR="00B17778">
              <w:rPr>
                <w:rFonts w:ascii="Arial" w:eastAsia="Times New Roman" w:hAnsi="Arial" w:cs="Arial"/>
                <w:sz w:val="18"/>
                <w:szCs w:val="18"/>
              </w:rPr>
              <w:t>473</w:t>
            </w:r>
            <w:r w:rsidRPr="00C7523E">
              <w:rPr>
                <w:rFonts w:ascii="Arial" w:eastAsia="Times New Roman" w:hAnsi="Arial" w:cs="Arial"/>
                <w:sz w:val="18"/>
                <w:szCs w:val="18"/>
              </w:rPr>
              <w:t>*</w:t>
            </w:r>
          </w:p>
        </w:tc>
      </w:tr>
      <w:tr w:rsidR="00013C10" w:rsidRPr="00C7523E" w:rsidTr="00277B33">
        <w:trPr>
          <w:trHeight w:val="255"/>
        </w:trPr>
        <w:tc>
          <w:tcPr>
            <w:tcW w:w="56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(0.2</w:t>
            </w:r>
            <w:r w:rsidR="00B17778">
              <w:rPr>
                <w:rFonts w:ascii="Arial" w:eastAsia="Times New Roman" w:hAnsi="Arial" w:cs="Arial"/>
                <w:sz w:val="18"/>
                <w:szCs w:val="18"/>
              </w:rPr>
              <w:t>36</w:t>
            </w:r>
            <w:r w:rsidRPr="00C7523E">
              <w:rPr>
                <w:rFonts w:ascii="Arial" w:eastAsia="Times New Roman" w:hAnsi="Arial" w:cs="Arial"/>
                <w:sz w:val="18"/>
                <w:szCs w:val="18"/>
              </w:rPr>
              <w:t>)</w:t>
            </w:r>
          </w:p>
        </w:tc>
        <w:tc>
          <w:tcPr>
            <w:tcW w:w="17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(0.</w:t>
            </w:r>
            <w:r w:rsidR="00B17778">
              <w:rPr>
                <w:rFonts w:ascii="Arial" w:eastAsia="Times New Roman" w:hAnsi="Arial" w:cs="Arial"/>
                <w:sz w:val="18"/>
                <w:szCs w:val="18"/>
              </w:rPr>
              <w:t>235</w:t>
            </w:r>
            <w:r w:rsidRPr="00C7523E">
              <w:rPr>
                <w:rFonts w:ascii="Arial" w:eastAsia="Times New Roman" w:hAnsi="Arial" w:cs="Arial"/>
                <w:sz w:val="18"/>
                <w:szCs w:val="18"/>
              </w:rPr>
              <w:t>)</w:t>
            </w:r>
          </w:p>
        </w:tc>
      </w:tr>
      <w:tr w:rsidR="00013C10" w:rsidRPr="00C7523E" w:rsidTr="00277B33">
        <w:trPr>
          <w:trHeight w:val="255"/>
        </w:trPr>
        <w:tc>
          <w:tcPr>
            <w:tcW w:w="56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sidRPr="00C7523E">
              <w:rPr>
                <w:rFonts w:ascii="Arial" w:eastAsia="Times New Roman" w:hAnsi="Arial" w:cs="Arial"/>
                <w:sz w:val="18"/>
                <w:szCs w:val="18"/>
              </w:rPr>
              <w:t xml:space="preserve">   Fraction</w:t>
            </w:r>
            <w:r w:rsidR="00CF15BC">
              <w:rPr>
                <w:rFonts w:ascii="Arial" w:eastAsia="Times New Roman" w:hAnsi="Arial" w:cs="Arial"/>
                <w:sz w:val="18"/>
                <w:szCs w:val="18"/>
              </w:rPr>
              <w:t xml:space="preserve"> Residing</w:t>
            </w:r>
            <w:r w:rsidRPr="00C7523E">
              <w:rPr>
                <w:rFonts w:ascii="Arial" w:eastAsia="Times New Roman" w:hAnsi="Arial" w:cs="Arial"/>
                <w:sz w:val="18"/>
                <w:szCs w:val="18"/>
              </w:rPr>
              <w:t xml:space="preserve"> in </w:t>
            </w:r>
            <w:r w:rsidR="002F754C">
              <w:rPr>
                <w:rFonts w:ascii="Arial" w:eastAsia="Times New Roman" w:hAnsi="Arial" w:cs="Arial"/>
                <w:sz w:val="18"/>
                <w:szCs w:val="18"/>
              </w:rPr>
              <w:t>Cities of 25,000</w:t>
            </w:r>
          </w:p>
        </w:tc>
        <w:tc>
          <w:tcPr>
            <w:tcW w:w="160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p>
        </w:tc>
        <w:tc>
          <w:tcPr>
            <w:tcW w:w="17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-4.875**</w:t>
            </w:r>
          </w:p>
        </w:tc>
      </w:tr>
      <w:tr w:rsidR="00013C10" w:rsidRPr="00C7523E" w:rsidTr="00277B33">
        <w:trPr>
          <w:trHeight w:val="255"/>
        </w:trPr>
        <w:tc>
          <w:tcPr>
            <w:tcW w:w="56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p>
        </w:tc>
        <w:tc>
          <w:tcPr>
            <w:tcW w:w="17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(0.862</w:t>
            </w:r>
            <w:r w:rsidRPr="00C7523E">
              <w:rPr>
                <w:rFonts w:ascii="Arial" w:eastAsia="Times New Roman" w:hAnsi="Arial" w:cs="Arial"/>
                <w:sz w:val="18"/>
                <w:szCs w:val="18"/>
              </w:rPr>
              <w:t>)</w:t>
            </w:r>
          </w:p>
        </w:tc>
      </w:tr>
      <w:tr w:rsidR="00013C10" w:rsidRPr="00C7523E" w:rsidTr="00277B33">
        <w:trPr>
          <w:trHeight w:val="255"/>
        </w:trPr>
        <w:tc>
          <w:tcPr>
            <w:tcW w:w="56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E1139A">
              <w:rPr>
                <w:rFonts w:ascii="Arial" w:eastAsia="Times New Roman" w:hAnsi="Arial" w:cs="Arial"/>
                <w:sz w:val="18"/>
                <w:szCs w:val="18"/>
              </w:rPr>
              <w:t>Home Ownership Rate</w:t>
            </w:r>
          </w:p>
        </w:tc>
        <w:tc>
          <w:tcPr>
            <w:tcW w:w="160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p>
        </w:tc>
        <w:tc>
          <w:tcPr>
            <w:tcW w:w="17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-11.396**</w:t>
            </w:r>
          </w:p>
        </w:tc>
      </w:tr>
      <w:tr w:rsidR="00013C10" w:rsidRPr="00C7523E" w:rsidTr="00277B33">
        <w:trPr>
          <w:trHeight w:val="255"/>
        </w:trPr>
        <w:tc>
          <w:tcPr>
            <w:tcW w:w="5680" w:type="dxa"/>
            <w:tcBorders>
              <w:top w:val="nil"/>
              <w:left w:val="nil"/>
              <w:bottom w:val="nil"/>
              <w:right w:val="nil"/>
            </w:tcBorders>
            <w:shd w:val="clear" w:color="auto" w:fill="auto"/>
            <w:noWrap/>
            <w:vAlign w:val="bottom"/>
          </w:tcPr>
          <w:p w:rsidR="00013C10" w:rsidRPr="00C7523E" w:rsidRDefault="00013C10" w:rsidP="00277B33">
            <w:pPr>
              <w:spacing w:after="0" w:line="240" w:lineRule="auto"/>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bottom"/>
          </w:tcPr>
          <w:p w:rsidR="00013C10" w:rsidRPr="00C7523E" w:rsidRDefault="00013C10" w:rsidP="00277B33">
            <w:pPr>
              <w:spacing w:after="0" w:line="240" w:lineRule="auto"/>
              <w:jc w:val="center"/>
              <w:rPr>
                <w:rFonts w:ascii="Arial" w:eastAsia="Times New Roman" w:hAnsi="Arial" w:cs="Arial"/>
                <w:sz w:val="18"/>
                <w:szCs w:val="18"/>
              </w:rPr>
            </w:pPr>
          </w:p>
        </w:tc>
        <w:tc>
          <w:tcPr>
            <w:tcW w:w="1780" w:type="dxa"/>
            <w:tcBorders>
              <w:top w:val="nil"/>
              <w:left w:val="nil"/>
              <w:bottom w:val="nil"/>
              <w:right w:val="nil"/>
            </w:tcBorders>
            <w:shd w:val="clear" w:color="auto" w:fill="auto"/>
            <w:noWrap/>
            <w:vAlign w:val="bottom"/>
          </w:tcPr>
          <w:p w:rsidR="00013C10"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(2.143)</w:t>
            </w:r>
          </w:p>
        </w:tc>
      </w:tr>
      <w:tr w:rsidR="00013C10" w:rsidRPr="00C7523E" w:rsidTr="00277B33">
        <w:trPr>
          <w:trHeight w:val="255"/>
        </w:trPr>
        <w:tc>
          <w:tcPr>
            <w:tcW w:w="5680" w:type="dxa"/>
            <w:tcBorders>
              <w:top w:val="nil"/>
              <w:left w:val="nil"/>
              <w:bottom w:val="single" w:sz="4" w:space="0" w:color="auto"/>
              <w:right w:val="nil"/>
            </w:tcBorders>
            <w:shd w:val="clear" w:color="auto" w:fill="auto"/>
            <w:noWrap/>
            <w:vAlign w:val="bottom"/>
          </w:tcPr>
          <w:p w:rsidR="00013C10" w:rsidRPr="00C7523E" w:rsidRDefault="00013C10" w:rsidP="00277B33">
            <w:pPr>
              <w:spacing w:after="0" w:line="240" w:lineRule="auto"/>
              <w:rPr>
                <w:rFonts w:ascii="Arial" w:eastAsia="Times New Roman" w:hAnsi="Arial" w:cs="Arial"/>
                <w:sz w:val="18"/>
                <w:szCs w:val="18"/>
              </w:rPr>
            </w:pPr>
            <w:r w:rsidRPr="00C7523E">
              <w:rPr>
                <w:rFonts w:ascii="Arial" w:eastAsia="Times New Roman" w:hAnsi="Arial" w:cs="Arial"/>
                <w:sz w:val="18"/>
                <w:szCs w:val="18"/>
              </w:rPr>
              <w:t> </w:t>
            </w:r>
          </w:p>
        </w:tc>
        <w:tc>
          <w:tcPr>
            <w:tcW w:w="1600" w:type="dxa"/>
            <w:tcBorders>
              <w:top w:val="nil"/>
              <w:left w:val="nil"/>
              <w:bottom w:val="single" w:sz="4" w:space="0" w:color="auto"/>
              <w:right w:val="nil"/>
            </w:tcBorders>
            <w:shd w:val="clear" w:color="auto" w:fill="auto"/>
            <w:noWrap/>
            <w:vAlign w:val="bottom"/>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 </w:t>
            </w:r>
          </w:p>
        </w:tc>
        <w:tc>
          <w:tcPr>
            <w:tcW w:w="1780" w:type="dxa"/>
            <w:tcBorders>
              <w:top w:val="nil"/>
              <w:left w:val="nil"/>
              <w:bottom w:val="single" w:sz="4" w:space="0" w:color="auto"/>
              <w:right w:val="nil"/>
            </w:tcBorders>
            <w:shd w:val="clear" w:color="auto" w:fill="auto"/>
            <w:noWrap/>
            <w:vAlign w:val="bottom"/>
          </w:tcPr>
          <w:p w:rsidR="00013C10"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 </w:t>
            </w:r>
          </w:p>
        </w:tc>
      </w:tr>
      <w:tr w:rsidR="00013C10" w:rsidRPr="00C7523E" w:rsidTr="00277B33">
        <w:trPr>
          <w:trHeight w:val="255"/>
        </w:trPr>
        <w:tc>
          <w:tcPr>
            <w:tcW w:w="56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sidRPr="00C7523E">
              <w:rPr>
                <w:rFonts w:ascii="Arial" w:eastAsia="Times New Roman" w:hAnsi="Arial" w:cs="Arial"/>
                <w:sz w:val="18"/>
                <w:szCs w:val="18"/>
              </w:rPr>
              <w:t>Observations</w:t>
            </w:r>
          </w:p>
        </w:tc>
        <w:tc>
          <w:tcPr>
            <w:tcW w:w="160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9,862</w:t>
            </w:r>
          </w:p>
        </w:tc>
        <w:tc>
          <w:tcPr>
            <w:tcW w:w="17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9,855</w:t>
            </w:r>
          </w:p>
        </w:tc>
      </w:tr>
      <w:tr w:rsidR="00013C10" w:rsidRPr="00C7523E" w:rsidTr="00277B33">
        <w:trPr>
          <w:trHeight w:val="255"/>
        </w:trPr>
        <w:tc>
          <w:tcPr>
            <w:tcW w:w="56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sidRPr="00C7523E">
              <w:rPr>
                <w:rFonts w:ascii="Arial" w:eastAsia="Times New Roman" w:hAnsi="Arial" w:cs="Arial"/>
                <w:sz w:val="18"/>
                <w:szCs w:val="18"/>
              </w:rPr>
              <w:t>R-squared</w:t>
            </w:r>
          </w:p>
        </w:tc>
        <w:tc>
          <w:tcPr>
            <w:tcW w:w="160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0.955</w:t>
            </w:r>
          </w:p>
        </w:tc>
        <w:tc>
          <w:tcPr>
            <w:tcW w:w="1780" w:type="dxa"/>
            <w:tcBorders>
              <w:top w:val="nil"/>
              <w:left w:val="nil"/>
              <w:bottom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Pr>
                <w:rFonts w:ascii="Arial" w:eastAsia="Times New Roman" w:hAnsi="Arial" w:cs="Arial"/>
                <w:sz w:val="18"/>
                <w:szCs w:val="18"/>
              </w:rPr>
              <w:t>0.956</w:t>
            </w:r>
          </w:p>
        </w:tc>
      </w:tr>
      <w:tr w:rsidR="00013C10" w:rsidRPr="00C7523E" w:rsidTr="00277B33">
        <w:trPr>
          <w:trHeight w:val="255"/>
        </w:trPr>
        <w:tc>
          <w:tcPr>
            <w:tcW w:w="5680" w:type="dxa"/>
            <w:tcBorders>
              <w:top w:val="nil"/>
              <w:left w:val="nil"/>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Pr>
                <w:rFonts w:ascii="Arial" w:eastAsia="Times New Roman" w:hAnsi="Arial" w:cs="Arial"/>
                <w:sz w:val="18"/>
                <w:szCs w:val="18"/>
              </w:rPr>
              <w:t>County</w:t>
            </w:r>
            <w:r w:rsidRPr="00C7523E">
              <w:rPr>
                <w:rFonts w:ascii="Arial" w:eastAsia="Times New Roman" w:hAnsi="Arial" w:cs="Arial"/>
                <w:sz w:val="18"/>
                <w:szCs w:val="18"/>
              </w:rPr>
              <w:t xml:space="preserve"> FE</w:t>
            </w:r>
          </w:p>
        </w:tc>
        <w:tc>
          <w:tcPr>
            <w:tcW w:w="1600" w:type="dxa"/>
            <w:tcBorders>
              <w:top w:val="nil"/>
              <w:left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YES</w:t>
            </w:r>
          </w:p>
        </w:tc>
        <w:tc>
          <w:tcPr>
            <w:tcW w:w="1780" w:type="dxa"/>
            <w:tcBorders>
              <w:top w:val="nil"/>
              <w:left w:val="nil"/>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YES</w:t>
            </w:r>
          </w:p>
        </w:tc>
      </w:tr>
      <w:tr w:rsidR="00013C10" w:rsidRPr="00C7523E" w:rsidTr="00277B33">
        <w:trPr>
          <w:trHeight w:val="255"/>
        </w:trPr>
        <w:tc>
          <w:tcPr>
            <w:tcW w:w="5680" w:type="dxa"/>
            <w:tcBorders>
              <w:top w:val="nil"/>
              <w:left w:val="nil"/>
              <w:bottom w:val="single" w:sz="4" w:space="0" w:color="auto"/>
              <w:right w:val="nil"/>
            </w:tcBorders>
            <w:shd w:val="clear" w:color="auto" w:fill="auto"/>
            <w:noWrap/>
            <w:vAlign w:val="bottom"/>
            <w:hideMark/>
          </w:tcPr>
          <w:p w:rsidR="00013C10" w:rsidRPr="00C7523E" w:rsidRDefault="00013C10" w:rsidP="00277B33">
            <w:pPr>
              <w:spacing w:after="0" w:line="240" w:lineRule="auto"/>
              <w:rPr>
                <w:rFonts w:ascii="Arial" w:eastAsia="Times New Roman" w:hAnsi="Arial" w:cs="Arial"/>
                <w:sz w:val="18"/>
                <w:szCs w:val="18"/>
              </w:rPr>
            </w:pPr>
            <w:r>
              <w:rPr>
                <w:rFonts w:ascii="Arial" w:eastAsia="Times New Roman" w:hAnsi="Arial" w:cs="Arial"/>
                <w:sz w:val="18"/>
                <w:szCs w:val="18"/>
              </w:rPr>
              <w:t xml:space="preserve">State x </w:t>
            </w:r>
            <w:r w:rsidRPr="00C7523E">
              <w:rPr>
                <w:rFonts w:ascii="Arial" w:eastAsia="Times New Roman" w:hAnsi="Arial" w:cs="Arial"/>
                <w:sz w:val="18"/>
                <w:szCs w:val="18"/>
              </w:rPr>
              <w:t>Year FE</w:t>
            </w:r>
          </w:p>
        </w:tc>
        <w:tc>
          <w:tcPr>
            <w:tcW w:w="1600" w:type="dxa"/>
            <w:tcBorders>
              <w:top w:val="nil"/>
              <w:left w:val="nil"/>
              <w:bottom w:val="single" w:sz="4" w:space="0" w:color="auto"/>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YES</w:t>
            </w:r>
          </w:p>
        </w:tc>
        <w:tc>
          <w:tcPr>
            <w:tcW w:w="1780" w:type="dxa"/>
            <w:tcBorders>
              <w:top w:val="nil"/>
              <w:left w:val="nil"/>
              <w:bottom w:val="single" w:sz="4" w:space="0" w:color="auto"/>
              <w:right w:val="nil"/>
            </w:tcBorders>
            <w:shd w:val="clear" w:color="auto" w:fill="auto"/>
            <w:noWrap/>
            <w:vAlign w:val="bottom"/>
            <w:hideMark/>
          </w:tcPr>
          <w:p w:rsidR="00013C10" w:rsidRPr="00C7523E" w:rsidRDefault="00013C10" w:rsidP="00277B33">
            <w:pPr>
              <w:spacing w:after="0" w:line="240" w:lineRule="auto"/>
              <w:jc w:val="center"/>
              <w:rPr>
                <w:rFonts w:ascii="Arial" w:eastAsia="Times New Roman" w:hAnsi="Arial" w:cs="Arial"/>
                <w:sz w:val="18"/>
                <w:szCs w:val="18"/>
              </w:rPr>
            </w:pPr>
            <w:r w:rsidRPr="00C7523E">
              <w:rPr>
                <w:rFonts w:ascii="Arial" w:eastAsia="Times New Roman" w:hAnsi="Arial" w:cs="Arial"/>
                <w:sz w:val="18"/>
                <w:szCs w:val="18"/>
              </w:rPr>
              <w:t>YES</w:t>
            </w:r>
          </w:p>
        </w:tc>
      </w:tr>
    </w:tbl>
    <w:p w:rsidR="00013C10" w:rsidRPr="00E1139A" w:rsidRDefault="00013C10" w:rsidP="00013C10">
      <w:pPr>
        <w:spacing w:after="0" w:line="240" w:lineRule="auto"/>
        <w:rPr>
          <w:rFonts w:ascii="Arial" w:eastAsia="Calibri" w:hAnsi="Arial" w:cs="Arial"/>
          <w:sz w:val="18"/>
        </w:rPr>
      </w:pPr>
      <w:r w:rsidRPr="009200FF">
        <w:rPr>
          <w:rFonts w:ascii="Arial" w:eastAsia="Calibri" w:hAnsi="Arial" w:cs="Arial"/>
          <w:i/>
          <w:sz w:val="18"/>
        </w:rPr>
        <w:t>Note</w:t>
      </w:r>
      <w:r w:rsidRPr="00E1139A">
        <w:rPr>
          <w:rFonts w:ascii="Arial" w:eastAsia="Calibri" w:hAnsi="Arial" w:cs="Arial"/>
          <w:sz w:val="18"/>
        </w:rPr>
        <w:t xml:space="preserve">:  this table </w:t>
      </w:r>
      <w:r>
        <w:rPr>
          <w:rFonts w:ascii="Arial" w:eastAsia="Calibri" w:hAnsi="Arial" w:cs="Arial"/>
          <w:sz w:val="18"/>
        </w:rPr>
        <w:t>presents reduced-form</w:t>
      </w:r>
      <w:r w:rsidRPr="00E1139A">
        <w:rPr>
          <w:rFonts w:ascii="Arial" w:eastAsia="Calibri" w:hAnsi="Arial" w:cs="Arial"/>
          <w:sz w:val="18"/>
        </w:rPr>
        <w:t xml:space="preserve"> regressions of the </w:t>
      </w:r>
      <w:r>
        <w:rPr>
          <w:rFonts w:ascii="Arial" w:eastAsia="Calibri" w:hAnsi="Arial" w:cs="Arial"/>
          <w:sz w:val="18"/>
        </w:rPr>
        <w:t>democratic vote share regre</w:t>
      </w:r>
      <w:r w:rsidR="00E51F38">
        <w:rPr>
          <w:rFonts w:ascii="Arial" w:eastAsia="Calibri" w:hAnsi="Arial" w:cs="Arial"/>
          <w:sz w:val="18"/>
        </w:rPr>
        <w:t>ssed on the distance instrument</w:t>
      </w:r>
      <w:r w:rsidRPr="00E1139A">
        <w:rPr>
          <w:rFonts w:ascii="Arial" w:eastAsia="Calibri" w:hAnsi="Arial" w:cs="Arial"/>
          <w:sz w:val="18"/>
        </w:rPr>
        <w:t xml:space="preserve">, in a panel of counties.  All regressions weighted by 1920 county population.  Robust </w:t>
      </w:r>
      <w:r w:rsidRPr="00E1139A">
        <w:rPr>
          <w:rFonts w:ascii="Arial" w:eastAsia="Times New Roman" w:hAnsi="Arial" w:cs="Arial"/>
          <w:sz w:val="18"/>
          <w:szCs w:val="18"/>
        </w:rPr>
        <w:t>standard errors clustered by county presented in parentheses.  ** p&lt;0.01, * p&lt;0.05, + p&lt;0.1</w:t>
      </w:r>
    </w:p>
    <w:p w:rsidR="00013C10" w:rsidRDefault="00013C10" w:rsidP="009F18C6">
      <w:pPr>
        <w:spacing w:after="0" w:line="480" w:lineRule="auto"/>
        <w:jc w:val="both"/>
        <w:rPr>
          <w:rFonts w:cs="Times New Roman"/>
          <w:b/>
        </w:rPr>
      </w:pPr>
    </w:p>
    <w:p w:rsidR="009F18C6" w:rsidRDefault="00BF5E94" w:rsidP="009F18C6">
      <w:pPr>
        <w:spacing w:after="0" w:line="480" w:lineRule="auto"/>
        <w:jc w:val="both"/>
        <w:rPr>
          <w:rFonts w:cs="Times New Roman"/>
          <w:b/>
        </w:rPr>
      </w:pPr>
      <w:r>
        <w:rPr>
          <w:rFonts w:cs="Times New Roman"/>
          <w:b/>
        </w:rPr>
        <w:t>4.2</w:t>
      </w:r>
      <w:r w:rsidR="009F18C6">
        <w:rPr>
          <w:rFonts w:cs="Times New Roman"/>
          <w:b/>
        </w:rPr>
        <w:t xml:space="preserve"> IV results with election-by-election interactions</w:t>
      </w:r>
    </w:p>
    <w:p w:rsidR="009F18C6" w:rsidRPr="002C49E3" w:rsidRDefault="009F18C6" w:rsidP="009F18C6">
      <w:pPr>
        <w:spacing w:after="0" w:line="240" w:lineRule="auto"/>
        <w:rPr>
          <w:rFonts w:cs="Times New Roman"/>
        </w:rPr>
      </w:pPr>
      <w:r w:rsidRPr="002C49E3">
        <w:rPr>
          <w:rFonts w:cs="Times New Roman"/>
          <w:b/>
        </w:rPr>
        <w:tab/>
      </w:r>
      <w:r w:rsidR="00504AC5">
        <w:rPr>
          <w:rFonts w:cs="Times New Roman"/>
        </w:rPr>
        <w:t>Here</w:t>
      </w:r>
      <w:r w:rsidRPr="002C49E3">
        <w:rPr>
          <w:rFonts w:cs="Times New Roman"/>
        </w:rPr>
        <w:t xml:space="preserve"> we present election-by-election interactions for our IV specification.</w:t>
      </w:r>
      <w:r w:rsidR="00504AC5">
        <w:rPr>
          <w:rFonts w:cs="Times New Roman"/>
        </w:rPr>
        <w:t xml:space="preserve">   </w:t>
      </w:r>
      <w:r w:rsidRPr="002C49E3">
        <w:rPr>
          <w:rFonts w:cs="Times New Roman"/>
        </w:rPr>
        <w:t>With the IV estimation, the standard errors are quite large.  In an effort to gain more precision in our estimates, we replace the state-by-year fixed effects with Fed district-by-year fixed effects, and estimate regressions of the form:</w:t>
      </w:r>
    </w:p>
    <w:p w:rsidR="009F18C6" w:rsidRPr="002C49E3" w:rsidRDefault="009F18C6" w:rsidP="009F18C6">
      <w:pPr>
        <w:spacing w:after="0" w:line="240" w:lineRule="auto"/>
        <w:rPr>
          <w:rFonts w:cs="Times New Roman"/>
        </w:rPr>
      </w:pPr>
    </w:p>
    <w:p w:rsidR="009F18C6" w:rsidRPr="002C49E3" w:rsidRDefault="00504AC5" w:rsidP="009F18C6">
      <w:pPr>
        <w:spacing w:after="0" w:line="240" w:lineRule="auto"/>
        <w:jc w:val="center"/>
        <w:rPr>
          <w:rFonts w:cs="Times New Roman"/>
        </w:rPr>
      </w:pPr>
      <m:oMath>
        <m:sSub>
          <m:sSubPr>
            <m:ctrlPr>
              <w:rPr>
                <w:rFonts w:ascii="Cambria Math" w:eastAsia="Calibri" w:hAnsi="Cambria Math" w:cs="Times New Roman"/>
                <w:bCs/>
                <w:i/>
                <w:iCs/>
                <w:vertAlign w:val="subscript"/>
              </w:rPr>
            </m:ctrlPr>
          </m:sSubPr>
          <m:e>
            <m:r>
              <w:rPr>
                <w:rFonts w:ascii="Cambria Math" w:eastAsia="Calibri" w:hAnsi="Cambria Math" w:cs="Times New Roman"/>
                <w:vertAlign w:val="subscript"/>
              </w:rPr>
              <m:t>Demshare</m:t>
            </m:r>
          </m:e>
          <m:sub>
            <m:r>
              <w:rPr>
                <w:rFonts w:ascii="Cambria Math" w:eastAsia="Calibri" w:hAnsi="Cambria Math" w:cs="Times New Roman"/>
                <w:vertAlign w:val="subscript"/>
              </w:rPr>
              <m:t>idt</m:t>
            </m:r>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i</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γ</m:t>
            </m:r>
          </m:e>
          <m:sub>
            <m:r>
              <w:rPr>
                <w:rFonts w:ascii="Cambria Math" w:eastAsia="Calibri" w:hAnsi="Cambria Math" w:cs="Times New Roman"/>
              </w:rPr>
              <m:t>dt</m:t>
            </m:r>
          </m:sub>
        </m:sSub>
        <m:r>
          <w:rPr>
            <w:rFonts w:ascii="Cambria Math" w:eastAsia="Calibri" w:hAnsi="Cambria Math" w:cs="Times New Roman"/>
          </w:rPr>
          <m:t>+</m:t>
        </m:r>
        <m:nary>
          <m:naryPr>
            <m:chr m:val="∑"/>
            <m:limLoc m:val="undOvr"/>
            <m:subHide m:val="1"/>
            <m:supHide m:val="1"/>
            <m:ctrlPr>
              <w:rPr>
                <w:rFonts w:ascii="Cambria Math" w:eastAsia="Calibri" w:hAnsi="Cambria Math" w:cs="Times New Roman"/>
                <w:i/>
              </w:rPr>
            </m:ctrlPr>
          </m:naryPr>
          <m:sub/>
          <m:sup/>
          <m:e>
            <m:sSub>
              <m:sSubPr>
                <m:ctrlPr>
                  <w:rPr>
                    <w:rFonts w:ascii="Cambria Math" w:eastAsia="Calibri" w:hAnsi="Cambria Math" w:cs="Times New Roman"/>
                    <w:i/>
                  </w:rPr>
                </m:ctrlPr>
              </m:sSubPr>
              <m:e>
                <m:r>
                  <w:rPr>
                    <w:rFonts w:ascii="Cambria Math" w:eastAsia="Calibri" w:hAnsi="Cambria Math" w:cs="Times New Roman"/>
                  </w:rPr>
                  <m:t>δ</m:t>
                </m:r>
              </m:e>
              <m:sub>
                <m:r>
                  <w:rPr>
                    <w:rFonts w:ascii="Cambria Math" w:eastAsia="Calibri" w:hAnsi="Cambria Math" w:cs="Times New Roman"/>
                  </w:rPr>
                  <m:t>t</m:t>
                </m:r>
              </m:sub>
            </m:sSub>
            <m:sSub>
              <m:sSubPr>
                <m:ctrlPr>
                  <w:rPr>
                    <w:rFonts w:ascii="Cambria Math" w:eastAsia="Calibri" w:hAnsi="Cambria Math" w:cs="Times New Roman"/>
                    <w:i/>
                  </w:rPr>
                </m:ctrlPr>
              </m:sSubPr>
              <m:e>
                <m:r>
                  <w:rPr>
                    <w:rFonts w:ascii="Cambria Math" w:eastAsia="Calibri" w:hAnsi="Cambria Math" w:cs="Times New Roman"/>
                  </w:rPr>
                  <m:t>libloanparticip</m:t>
                </m:r>
              </m:e>
              <m:sub>
                <m:r>
                  <w:rPr>
                    <w:rFonts w:ascii="Cambria Math" w:eastAsia="Calibri" w:hAnsi="Cambria Math" w:cs="Times New Roman"/>
                  </w:rPr>
                  <m:t>i</m:t>
                </m:r>
              </m:sub>
            </m:sSub>
          </m:e>
        </m:nary>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year</m:t>
            </m:r>
          </m:e>
          <m:sub>
            <m:r>
              <w:rPr>
                <w:rFonts w:ascii="Cambria Math" w:eastAsia="Calibri" w:hAnsi="Cambria Math" w:cs="Times New Roman"/>
              </w:rPr>
              <m:t>t</m:t>
            </m:r>
          </m:sub>
        </m:sSub>
        <m:sSub>
          <m:sSubPr>
            <m:ctrlPr>
              <w:rPr>
                <w:rFonts w:ascii="Cambria Math" w:eastAsia="Calibri" w:hAnsi="Cambria Math" w:cs="Times New Roman"/>
                <w:i/>
              </w:rPr>
            </m:ctrlPr>
          </m:sSubPr>
          <m:e>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 xml:space="preserve"> β</m:t>
                </m:r>
                <m:r>
                  <m:rPr>
                    <m:sty m:val="bi"/>
                  </m:rPr>
                  <w:rPr>
                    <w:rFonts w:ascii="Cambria Math" w:eastAsia="Calibri" w:hAnsi="Cambria Math" w:cs="Times New Roman"/>
                  </w:rPr>
                  <m:t>X</m:t>
                </m:r>
              </m:e>
              <m:sub>
                <m:r>
                  <w:rPr>
                    <w:rFonts w:ascii="Cambria Math" w:eastAsia="Calibri" w:hAnsi="Cambria Math" w:cs="Times New Roman"/>
                  </w:rPr>
                  <m:t>it</m:t>
                </m:r>
              </m:sub>
            </m:sSub>
            <m:r>
              <w:rPr>
                <w:rFonts w:ascii="Cambria Math" w:eastAsia="Calibri" w:hAnsi="Cambria Math" w:cs="Times New Roman"/>
              </w:rPr>
              <m:t>+ ε</m:t>
            </m:r>
          </m:e>
          <m:sub>
            <m:r>
              <w:rPr>
                <w:rFonts w:ascii="Cambria Math" w:eastAsia="Calibri" w:hAnsi="Cambria Math" w:cs="Times New Roman"/>
              </w:rPr>
              <m:t>it</m:t>
            </m:r>
          </m:sub>
        </m:sSub>
      </m:oMath>
      <w:r w:rsidR="009F18C6" w:rsidRPr="002C49E3">
        <w:rPr>
          <w:rFonts w:eastAsia="Times New Roman" w:cs="Times New Roman"/>
        </w:rPr>
        <w:t>,</w:t>
      </w:r>
      <w:r w:rsidR="009F18C6">
        <w:rPr>
          <w:rFonts w:eastAsia="Times New Roman" w:cs="Times New Roman"/>
        </w:rPr>
        <w:t xml:space="preserve">      (A</w:t>
      </w:r>
      <w:r>
        <w:rPr>
          <w:rFonts w:eastAsia="Times New Roman" w:cs="Times New Roman"/>
        </w:rPr>
        <w:t>2</w:t>
      </w:r>
      <w:r w:rsidR="009F18C6">
        <w:rPr>
          <w:rFonts w:eastAsia="Times New Roman" w:cs="Times New Roman"/>
        </w:rPr>
        <w:t>)</w:t>
      </w:r>
    </w:p>
    <w:p w:rsidR="009F18C6" w:rsidRPr="002C49E3" w:rsidRDefault="009F18C6" w:rsidP="009F18C6">
      <w:pPr>
        <w:spacing w:after="0" w:line="240" w:lineRule="auto"/>
        <w:rPr>
          <w:rFonts w:cs="Times New Roman"/>
        </w:rPr>
      </w:pPr>
    </w:p>
    <w:p w:rsidR="009F18C6" w:rsidRDefault="009F18C6" w:rsidP="009F18C6">
      <w:pPr>
        <w:spacing w:after="0" w:line="240" w:lineRule="auto"/>
        <w:rPr>
          <w:rFonts w:eastAsiaTheme="minorEastAsia" w:cs="Times New Roman"/>
        </w:rPr>
      </w:pPr>
      <w:r w:rsidRPr="002C49E3">
        <w:rPr>
          <w:rFonts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α</m:t>
            </m:r>
          </m:e>
          <m:sub>
            <m:r>
              <w:rPr>
                <w:rFonts w:ascii="Cambria Math" w:eastAsia="Calibri" w:hAnsi="Cambria Math" w:cs="Times New Roman"/>
              </w:rPr>
              <m:t>i</m:t>
            </m:r>
          </m:sub>
        </m:sSub>
      </m:oMath>
      <w:r w:rsidRPr="002C49E3">
        <w:rPr>
          <w:rFonts w:cs="Times New Roman"/>
        </w:rPr>
        <w:t xml:space="preserve"> is a county fixed effect,  </w:t>
      </w:r>
      <m:oMath>
        <m:sSub>
          <m:sSubPr>
            <m:ctrlPr>
              <w:rPr>
                <w:rFonts w:ascii="Cambria Math" w:eastAsia="Calibri" w:hAnsi="Cambria Math" w:cs="Times New Roman"/>
                <w:i/>
              </w:rPr>
            </m:ctrlPr>
          </m:sSubPr>
          <m:e>
            <m:r>
              <w:rPr>
                <w:rFonts w:ascii="Cambria Math" w:eastAsia="Calibri" w:hAnsi="Cambria Math" w:cs="Times New Roman"/>
              </w:rPr>
              <m:t>γ</m:t>
            </m:r>
          </m:e>
          <m:sub>
            <m:r>
              <w:rPr>
                <w:rFonts w:ascii="Cambria Math" w:eastAsia="Calibri" w:hAnsi="Cambria Math" w:cs="Times New Roman"/>
              </w:rPr>
              <m:t>dt</m:t>
            </m:r>
          </m:sub>
        </m:sSub>
      </m:oMath>
      <w:r w:rsidRPr="002C49E3">
        <w:rPr>
          <w:rFonts w:cs="Times New Roman"/>
        </w:rPr>
        <w:t xml:space="preserve"> represents Fed district-by-year fixed effects</w:t>
      </w:r>
      <w:r w:rsidR="008D52E1">
        <w:rPr>
          <w:rFonts w:cs="Times New Roman"/>
        </w:rPr>
        <w:t xml:space="preserve"> and</w:t>
      </w:r>
      <w:r w:rsidRPr="002C49E3">
        <w:rPr>
          <w:rFonts w:cs="Times New Roman"/>
        </w:rPr>
        <w:t xml:space="preserve">  </w:t>
      </w:r>
      <m:oMath>
        <m:nary>
          <m:naryPr>
            <m:chr m:val="∑"/>
            <m:limLoc m:val="undOvr"/>
            <m:subHide m:val="1"/>
            <m:supHide m:val="1"/>
            <m:ctrlPr>
              <w:rPr>
                <w:rFonts w:ascii="Cambria Math" w:eastAsia="Calibri" w:hAnsi="Cambria Math" w:cs="Times New Roman"/>
                <w:i/>
              </w:rPr>
            </m:ctrlPr>
          </m:naryPr>
          <m:sub/>
          <m:sup/>
          <m:e>
            <m:sSub>
              <m:sSubPr>
                <m:ctrlPr>
                  <w:rPr>
                    <w:rFonts w:ascii="Cambria Math" w:eastAsia="Calibri" w:hAnsi="Cambria Math" w:cs="Times New Roman"/>
                    <w:i/>
                  </w:rPr>
                </m:ctrlPr>
              </m:sSubPr>
              <m:e>
                <m:r>
                  <w:rPr>
                    <w:rFonts w:ascii="Cambria Math" w:eastAsia="Calibri" w:hAnsi="Cambria Math" w:cs="Times New Roman"/>
                  </w:rPr>
                  <m:t>δ</m:t>
                </m:r>
              </m:e>
              <m:sub>
                <m:r>
                  <w:rPr>
                    <w:rFonts w:ascii="Cambria Math" w:eastAsia="Calibri" w:hAnsi="Cambria Math" w:cs="Times New Roman"/>
                  </w:rPr>
                  <m:t>t</m:t>
                </m:r>
              </m:sub>
            </m:sSub>
            <m:sSub>
              <m:sSubPr>
                <m:ctrlPr>
                  <w:rPr>
                    <w:rFonts w:ascii="Cambria Math" w:eastAsia="Calibri" w:hAnsi="Cambria Math" w:cs="Times New Roman"/>
                    <w:i/>
                  </w:rPr>
                </m:ctrlPr>
              </m:sSubPr>
              <m:e>
                <m:r>
                  <w:rPr>
                    <w:rFonts w:ascii="Cambria Math" w:eastAsia="Calibri" w:hAnsi="Cambria Math" w:cs="Times New Roman"/>
                  </w:rPr>
                  <m:t>libloanparticip</m:t>
                </m:r>
              </m:e>
              <m:sub>
                <m:r>
                  <w:rPr>
                    <w:rFonts w:ascii="Cambria Math" w:eastAsia="Calibri" w:hAnsi="Cambria Math" w:cs="Times New Roman"/>
                  </w:rPr>
                  <m:t>i</m:t>
                </m:r>
              </m:sub>
            </m:sSub>
          </m:e>
        </m:nary>
      </m:oMath>
      <w:r w:rsidRPr="002C49E3">
        <w:rPr>
          <w:rFonts w:cs="Times New Roman"/>
        </w:rPr>
        <w:t xml:space="preserve"> is a series of interactions between a county’s liberty loan participation rate and each election year</w:t>
      </w:r>
      <w:r w:rsidR="008D52E1">
        <w:rPr>
          <w:rFonts w:cs="Times New Roman"/>
        </w:rPr>
        <w:t>.</w:t>
      </w:r>
    </w:p>
    <w:p w:rsidR="009F18C6" w:rsidRPr="002C49E3" w:rsidRDefault="009F18C6" w:rsidP="009F18C6">
      <w:pPr>
        <w:spacing w:after="0" w:line="240" w:lineRule="auto"/>
        <w:rPr>
          <w:rFonts w:cs="Times New Roman"/>
        </w:rPr>
      </w:pPr>
      <w:r>
        <w:rPr>
          <w:rFonts w:cs="Times New Roman"/>
        </w:rPr>
        <w:lastRenderedPageBreak/>
        <w:tab/>
        <w:t>In order to estimate equation A</w:t>
      </w:r>
      <w:r w:rsidR="00504AC5">
        <w:rPr>
          <w:rFonts w:cs="Times New Roman"/>
        </w:rPr>
        <w:t>2</w:t>
      </w:r>
      <w:r>
        <w:rPr>
          <w:rFonts w:cs="Times New Roman"/>
        </w:rPr>
        <w:t xml:space="preserve"> with 2SLS, we instrument for each liberty bond participation by year interaction with the county’s mean distance to the military camps interacted with that same year.  We therefore have six first-stage regressions for our six included liberty bond interactions.</w:t>
      </w:r>
    </w:p>
    <w:p w:rsidR="009F18C6" w:rsidRDefault="009F18C6" w:rsidP="009F18C6">
      <w:pPr>
        <w:spacing w:after="0" w:line="240" w:lineRule="auto"/>
        <w:rPr>
          <w:rFonts w:cs="Times New Roman"/>
        </w:rPr>
      </w:pPr>
      <w:r>
        <w:rPr>
          <w:rFonts w:cs="Times New Roman"/>
        </w:rPr>
        <w:tab/>
        <w:t>We begin with plots of the results, first for OLS.  These are presented in Figure A9.</w:t>
      </w:r>
    </w:p>
    <w:p w:rsidR="009F18C6" w:rsidRDefault="009F18C6" w:rsidP="009F18C6">
      <w:pPr>
        <w:spacing w:after="0" w:line="240" w:lineRule="auto"/>
        <w:rPr>
          <w:rFonts w:cs="Times New Roman"/>
        </w:rPr>
      </w:pPr>
    </w:p>
    <w:p w:rsidR="009F18C6" w:rsidRDefault="009F18C6" w:rsidP="009F18C6">
      <w:pPr>
        <w:spacing w:after="0" w:line="480" w:lineRule="auto"/>
        <w:ind w:left="270" w:hanging="720"/>
        <w:jc w:val="center"/>
        <w:rPr>
          <w:rFonts w:eastAsia="Times New Roman" w:cs="Times New Roman"/>
        </w:rPr>
      </w:pPr>
      <w:r>
        <w:rPr>
          <w:rFonts w:eastAsia="Times New Roman" w:cs="Times New Roman"/>
          <w:noProof/>
        </w:rPr>
        <w:drawing>
          <wp:inline distT="0" distB="0" distL="0" distR="0" wp14:anchorId="481FB60F" wp14:editId="039831F9">
            <wp:extent cx="3747052" cy="219746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827" cy="2216683"/>
                    </a:xfrm>
                    <a:prstGeom prst="rect">
                      <a:avLst/>
                    </a:prstGeom>
                    <a:noFill/>
                    <a:ln>
                      <a:noFill/>
                    </a:ln>
                  </pic:spPr>
                </pic:pic>
              </a:graphicData>
            </a:graphic>
          </wp:inline>
        </w:drawing>
      </w:r>
    </w:p>
    <w:p w:rsidR="009F18C6" w:rsidRDefault="009F18C6" w:rsidP="009F18C6">
      <w:pPr>
        <w:spacing w:after="0" w:line="240" w:lineRule="auto"/>
        <w:jc w:val="center"/>
        <w:rPr>
          <w:rFonts w:eastAsia="Times New Roman" w:cs="Times New Roman"/>
          <w:b/>
        </w:rPr>
      </w:pPr>
      <w:r w:rsidRPr="0040196A">
        <w:rPr>
          <w:rFonts w:eastAsia="Times New Roman" w:cs="Times New Roman"/>
          <w:b/>
        </w:rPr>
        <w:t>Figure A</w:t>
      </w:r>
      <w:r>
        <w:rPr>
          <w:rFonts w:eastAsia="Times New Roman" w:cs="Times New Roman"/>
          <w:b/>
        </w:rPr>
        <w:t>9</w:t>
      </w:r>
      <w:r w:rsidRPr="0040196A">
        <w:rPr>
          <w:rFonts w:eastAsia="Times New Roman" w:cs="Times New Roman"/>
          <w:b/>
        </w:rPr>
        <w:t>:</w:t>
      </w:r>
    </w:p>
    <w:p w:rsidR="009F18C6" w:rsidRDefault="009F18C6" w:rsidP="009F18C6">
      <w:pPr>
        <w:spacing w:after="0" w:line="240" w:lineRule="auto"/>
        <w:jc w:val="center"/>
        <w:rPr>
          <w:rFonts w:eastAsia="Times New Roman" w:cs="Times New Roman"/>
          <w:b/>
        </w:rPr>
      </w:pPr>
      <w:r>
        <w:rPr>
          <w:rFonts w:eastAsia="Times New Roman" w:cs="Times New Roman"/>
          <w:b/>
        </w:rPr>
        <w:t xml:space="preserve">Election-by-Election </w:t>
      </w:r>
      <w:r w:rsidRPr="002C49E3">
        <w:rPr>
          <w:rFonts w:eastAsia="Times New Roman" w:cs="Times New Roman"/>
          <w:b/>
        </w:rPr>
        <w:t xml:space="preserve">Effect of Liberty Bond Participation on the </w:t>
      </w:r>
    </w:p>
    <w:p w:rsidR="009F18C6" w:rsidRDefault="009F18C6" w:rsidP="009F18C6">
      <w:pPr>
        <w:spacing w:after="0" w:line="240" w:lineRule="auto"/>
        <w:jc w:val="center"/>
        <w:rPr>
          <w:rFonts w:eastAsia="Times New Roman" w:cs="Times New Roman"/>
          <w:b/>
        </w:rPr>
      </w:pPr>
      <w:r w:rsidRPr="002C49E3">
        <w:rPr>
          <w:rFonts w:eastAsia="Times New Roman" w:cs="Times New Roman"/>
          <w:b/>
        </w:rPr>
        <w:t>Democratic Vote Share</w:t>
      </w:r>
      <w:r>
        <w:rPr>
          <w:rFonts w:eastAsia="Times New Roman" w:cs="Times New Roman"/>
          <w:b/>
        </w:rPr>
        <w:t xml:space="preserve"> (OLS)</w:t>
      </w:r>
    </w:p>
    <w:p w:rsidR="008D52E1" w:rsidRDefault="008D52E1" w:rsidP="009F18C6">
      <w:pPr>
        <w:spacing w:after="0" w:line="240" w:lineRule="auto"/>
        <w:ind w:firstLine="720"/>
        <w:rPr>
          <w:rFonts w:eastAsia="Times New Roman" w:cs="Times New Roman"/>
        </w:rPr>
      </w:pPr>
    </w:p>
    <w:p w:rsidR="009F18C6" w:rsidRDefault="009F18C6" w:rsidP="009F18C6">
      <w:pPr>
        <w:spacing w:after="0" w:line="240" w:lineRule="auto"/>
        <w:ind w:firstLine="720"/>
        <w:rPr>
          <w:rFonts w:eastAsia="Times New Roman" w:cs="Times New Roman"/>
        </w:rPr>
      </w:pPr>
      <w:r>
        <w:rPr>
          <w:rFonts w:eastAsia="Times New Roman" w:cs="Times New Roman"/>
        </w:rPr>
        <w:t>As in Figure 4 in the paper, these results do not indicate that there was any preexisting trend in the effect of liberty bond participation on election outcomes.  The effect is essentially zero, then becomes negative for the 1920 and 1924 elections, and then zero again.</w:t>
      </w:r>
    </w:p>
    <w:p w:rsidR="009F18C6" w:rsidRDefault="009F18C6" w:rsidP="009F18C6">
      <w:pPr>
        <w:spacing w:after="0" w:line="240" w:lineRule="auto"/>
        <w:rPr>
          <w:rFonts w:eastAsia="Times New Roman" w:cs="Times New Roman"/>
        </w:rPr>
      </w:pPr>
    </w:p>
    <w:p w:rsidR="009F18C6" w:rsidRDefault="009F18C6" w:rsidP="009F18C6">
      <w:pPr>
        <w:spacing w:after="0" w:line="480" w:lineRule="auto"/>
        <w:ind w:left="270" w:hanging="720"/>
        <w:jc w:val="center"/>
        <w:rPr>
          <w:rFonts w:eastAsia="Times New Roman" w:cs="Times New Roman"/>
        </w:rPr>
      </w:pPr>
      <w:r>
        <w:rPr>
          <w:rFonts w:eastAsia="Times New Roman" w:cs="Times New Roman"/>
          <w:noProof/>
        </w:rPr>
        <w:drawing>
          <wp:inline distT="0" distB="0" distL="0" distR="0" wp14:anchorId="00C1CCBE" wp14:editId="25D839BD">
            <wp:extent cx="3962400" cy="2139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6690" cy="2163005"/>
                    </a:xfrm>
                    <a:prstGeom prst="rect">
                      <a:avLst/>
                    </a:prstGeom>
                    <a:noFill/>
                    <a:ln>
                      <a:noFill/>
                    </a:ln>
                  </pic:spPr>
                </pic:pic>
              </a:graphicData>
            </a:graphic>
          </wp:inline>
        </w:drawing>
      </w:r>
    </w:p>
    <w:p w:rsidR="009F18C6" w:rsidRDefault="009F18C6" w:rsidP="009F18C6">
      <w:pPr>
        <w:spacing w:after="0" w:line="240" w:lineRule="auto"/>
        <w:jc w:val="center"/>
        <w:rPr>
          <w:rFonts w:eastAsia="Times New Roman" w:cs="Times New Roman"/>
          <w:b/>
        </w:rPr>
      </w:pPr>
      <w:r w:rsidRPr="0040196A">
        <w:rPr>
          <w:rFonts w:eastAsia="Times New Roman" w:cs="Times New Roman"/>
          <w:b/>
        </w:rPr>
        <w:t>Figure A</w:t>
      </w:r>
      <w:r>
        <w:rPr>
          <w:rFonts w:eastAsia="Times New Roman" w:cs="Times New Roman"/>
          <w:b/>
        </w:rPr>
        <w:t>10</w:t>
      </w:r>
      <w:r w:rsidRPr="0040196A">
        <w:rPr>
          <w:rFonts w:eastAsia="Times New Roman" w:cs="Times New Roman"/>
          <w:b/>
        </w:rPr>
        <w:t>:</w:t>
      </w:r>
    </w:p>
    <w:p w:rsidR="009F18C6" w:rsidRDefault="009F18C6" w:rsidP="009F18C6">
      <w:pPr>
        <w:spacing w:after="0" w:line="240" w:lineRule="auto"/>
        <w:jc w:val="center"/>
        <w:rPr>
          <w:rFonts w:eastAsia="Times New Roman" w:cs="Times New Roman"/>
          <w:b/>
        </w:rPr>
      </w:pPr>
      <w:r>
        <w:rPr>
          <w:rFonts w:eastAsia="Times New Roman" w:cs="Times New Roman"/>
          <w:b/>
        </w:rPr>
        <w:t xml:space="preserve">Election-by-Election </w:t>
      </w:r>
      <w:r w:rsidRPr="002C49E3">
        <w:rPr>
          <w:rFonts w:eastAsia="Times New Roman" w:cs="Times New Roman"/>
          <w:b/>
        </w:rPr>
        <w:t xml:space="preserve">Effect of Liberty Bond Participation on the </w:t>
      </w:r>
    </w:p>
    <w:p w:rsidR="009F18C6" w:rsidRDefault="009F18C6" w:rsidP="009F18C6">
      <w:pPr>
        <w:spacing w:after="0" w:line="240" w:lineRule="auto"/>
        <w:jc w:val="center"/>
        <w:rPr>
          <w:rFonts w:eastAsia="Times New Roman" w:cs="Times New Roman"/>
          <w:b/>
        </w:rPr>
      </w:pPr>
      <w:r w:rsidRPr="002C49E3">
        <w:rPr>
          <w:rFonts w:eastAsia="Times New Roman" w:cs="Times New Roman"/>
          <w:b/>
        </w:rPr>
        <w:t>Democratic Vote Share</w:t>
      </w:r>
      <w:r>
        <w:rPr>
          <w:rFonts w:eastAsia="Times New Roman" w:cs="Times New Roman"/>
          <w:b/>
        </w:rPr>
        <w:t xml:space="preserve"> (IV)</w:t>
      </w:r>
    </w:p>
    <w:p w:rsidR="009F18C6" w:rsidRDefault="009F18C6" w:rsidP="009F18C6">
      <w:pPr>
        <w:spacing w:after="0" w:line="240" w:lineRule="auto"/>
        <w:rPr>
          <w:rFonts w:eastAsia="Times New Roman" w:cs="Times New Roman"/>
        </w:rPr>
      </w:pPr>
      <w:r>
        <w:rPr>
          <w:rFonts w:eastAsia="Times New Roman" w:cs="Times New Roman"/>
        </w:rPr>
        <w:tab/>
        <w:t xml:space="preserve">The corresponding IV results are presented in figure A10.  In general, the temporal patterns of the effects are similar to those for OLS, but there are some differences. Most notably, the magnitudes of the point estimates are much larger. There also seems to be suggestive evidence of an effect in the 1928 election, whereas this was not the case with OLS. And finally, there seems to be an effect in 1908.  However, if anything, combined with the estimate for 1912, this seems to suggest that the counties with </w:t>
      </w:r>
      <w:r>
        <w:rPr>
          <w:rFonts w:eastAsia="Times New Roman" w:cs="Times New Roman"/>
        </w:rPr>
        <w:lastRenderedPageBreak/>
        <w:t>high subscription rates for liberty bonds were seeing greater success for the Democrats prior to the 1916 election.  If we can call these points a trend, it was in the opposite direction of the effects following 1918.</w:t>
      </w:r>
    </w:p>
    <w:p w:rsidR="009F18C6" w:rsidRDefault="009F18C6" w:rsidP="009F18C6">
      <w:pPr>
        <w:spacing w:after="0" w:line="240" w:lineRule="auto"/>
        <w:rPr>
          <w:rFonts w:eastAsia="Times New Roman" w:cs="Times New Roman"/>
        </w:rPr>
      </w:pPr>
      <w:r>
        <w:rPr>
          <w:rFonts w:eastAsia="Times New Roman" w:cs="Times New Roman"/>
        </w:rPr>
        <w:tab/>
        <w:t>The parameter estimates and some additional details regarding the esti</w:t>
      </w:r>
      <w:r w:rsidR="002B1AF9">
        <w:rPr>
          <w:rFonts w:eastAsia="Times New Roman" w:cs="Times New Roman"/>
        </w:rPr>
        <w:t>mation are presented in Table A</w:t>
      </w:r>
      <w:r w:rsidR="00504AC5">
        <w:rPr>
          <w:rFonts w:eastAsia="Times New Roman" w:cs="Times New Roman"/>
        </w:rPr>
        <w:t>7</w:t>
      </w:r>
      <w:r>
        <w:rPr>
          <w:rFonts w:eastAsia="Times New Roman" w:cs="Times New Roman"/>
        </w:rPr>
        <w:t>.  Column (1) of the table presents the regression plotted in Figure A</w:t>
      </w:r>
      <w:r w:rsidR="00301B4A">
        <w:rPr>
          <w:rFonts w:eastAsia="Times New Roman" w:cs="Times New Roman"/>
        </w:rPr>
        <w:t>9</w:t>
      </w:r>
      <w:r>
        <w:rPr>
          <w:rFonts w:eastAsia="Times New Roman" w:cs="Times New Roman"/>
        </w:rPr>
        <w:t>, and column (2) presents the IV regression plotted in A10.  The Kleinbergen-Paap F test in column (2) is 18.9, helping to rule out concerns regarding weak instruments (p=0.000).  Finally, in column (3), we add some additional 1920 county characteristics interacted with year, and find that the parameter estimates are not meaningfully changed.</w:t>
      </w:r>
    </w:p>
    <w:p w:rsidR="009F18C6" w:rsidRDefault="009F18C6" w:rsidP="009F18C6">
      <w:pPr>
        <w:spacing w:after="0" w:line="240" w:lineRule="auto"/>
        <w:jc w:val="center"/>
        <w:rPr>
          <w:rFonts w:eastAsia="Calibri" w:cs="Times New Roman"/>
          <w:b/>
        </w:rPr>
      </w:pPr>
    </w:p>
    <w:p w:rsidR="009F18C6" w:rsidRPr="00E1139A" w:rsidRDefault="009F18C6" w:rsidP="009F18C6">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w:t>
      </w:r>
      <w:r w:rsidR="00504AC5">
        <w:rPr>
          <w:rFonts w:eastAsia="Calibri" w:cs="Times New Roman"/>
          <w:b/>
        </w:rPr>
        <w:t>7</w:t>
      </w:r>
      <w:r w:rsidRPr="00E1139A">
        <w:rPr>
          <w:rFonts w:eastAsia="Calibri" w:cs="Times New Roman"/>
          <w:b/>
        </w:rPr>
        <w:t>:</w:t>
      </w:r>
    </w:p>
    <w:p w:rsidR="009F18C6" w:rsidRDefault="009F18C6" w:rsidP="009F18C6">
      <w:pPr>
        <w:spacing w:after="0" w:line="240" w:lineRule="auto"/>
        <w:jc w:val="center"/>
        <w:rPr>
          <w:rFonts w:eastAsia="Calibri" w:cs="Times New Roman"/>
          <w:b/>
        </w:rPr>
      </w:pPr>
      <w:r w:rsidRPr="00E1139A">
        <w:rPr>
          <w:rFonts w:eastAsia="Calibri" w:cs="Times New Roman"/>
          <w:b/>
        </w:rPr>
        <w:t>Effect of Liberty Loan Parti</w:t>
      </w:r>
      <w:r>
        <w:rPr>
          <w:rFonts w:eastAsia="Calibri" w:cs="Times New Roman"/>
          <w:b/>
        </w:rPr>
        <w:t>cipation on Electoral Outcomes by Year</w:t>
      </w:r>
    </w:p>
    <w:p w:rsidR="008D52E1" w:rsidRPr="00E1139A" w:rsidRDefault="008D52E1" w:rsidP="009F18C6">
      <w:pPr>
        <w:spacing w:after="0" w:line="240" w:lineRule="auto"/>
        <w:jc w:val="center"/>
        <w:rPr>
          <w:rFonts w:eastAsia="Calibri" w:cs="Times New Roman"/>
          <w:b/>
        </w:rPr>
      </w:pPr>
    </w:p>
    <w:tbl>
      <w:tblPr>
        <w:tblW w:w="8542" w:type="dxa"/>
        <w:tblInd w:w="93" w:type="dxa"/>
        <w:tblLook w:val="04A0" w:firstRow="1" w:lastRow="0" w:firstColumn="1" w:lastColumn="0" w:noHBand="0" w:noVBand="1"/>
      </w:tblPr>
      <w:tblGrid>
        <w:gridCol w:w="4720"/>
        <w:gridCol w:w="1206"/>
        <w:gridCol w:w="267"/>
        <w:gridCol w:w="960"/>
        <w:gridCol w:w="460"/>
        <w:gridCol w:w="960"/>
      </w:tblGrid>
      <w:tr w:rsidR="009F18C6" w:rsidRPr="0046001F" w:rsidTr="00B17778">
        <w:trPr>
          <w:trHeight w:val="255"/>
        </w:trPr>
        <w:tc>
          <w:tcPr>
            <w:tcW w:w="4720" w:type="dxa"/>
            <w:tcBorders>
              <w:top w:val="doub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 </w:t>
            </w:r>
          </w:p>
        </w:tc>
        <w:tc>
          <w:tcPr>
            <w:tcW w:w="1206" w:type="dxa"/>
            <w:tcBorders>
              <w:top w:val="doub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(1)</w:t>
            </w:r>
          </w:p>
        </w:tc>
        <w:tc>
          <w:tcPr>
            <w:tcW w:w="236" w:type="dxa"/>
            <w:tcBorders>
              <w:top w:val="doub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960" w:type="dxa"/>
            <w:tcBorders>
              <w:top w:val="doub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(2)</w:t>
            </w:r>
          </w:p>
        </w:tc>
        <w:tc>
          <w:tcPr>
            <w:tcW w:w="460" w:type="dxa"/>
            <w:tcBorders>
              <w:top w:val="doub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960" w:type="dxa"/>
            <w:tcBorders>
              <w:top w:val="doub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(3)</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OLS</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IV-</w:t>
            </w:r>
            <w:r w:rsidRPr="0046001F">
              <w:rPr>
                <w:rFonts w:ascii="Arial" w:eastAsia="Times New Roman" w:hAnsi="Arial" w:cs="Arial"/>
                <w:sz w:val="18"/>
                <w:szCs w:val="18"/>
              </w:rPr>
              <w:t>2SLS</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IV-</w:t>
            </w:r>
            <w:r w:rsidRPr="0046001F">
              <w:rPr>
                <w:rFonts w:ascii="Arial" w:eastAsia="Times New Roman" w:hAnsi="Arial" w:cs="Arial"/>
                <w:sz w:val="18"/>
                <w:szCs w:val="18"/>
              </w:rPr>
              <w:t>2SLS</w:t>
            </w:r>
          </w:p>
        </w:tc>
      </w:tr>
      <w:tr w:rsidR="009F18C6" w:rsidRPr="0046001F" w:rsidTr="00B17778">
        <w:trPr>
          <w:trHeight w:val="255"/>
        </w:trPr>
        <w:tc>
          <w:tcPr>
            <w:tcW w:w="4720" w:type="dxa"/>
            <w:tcBorders>
              <w:top w:val="single" w:sz="4" w:space="0" w:color="000000"/>
              <w:left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 </w:t>
            </w:r>
          </w:p>
        </w:tc>
        <w:tc>
          <w:tcPr>
            <w:tcW w:w="1206" w:type="dxa"/>
            <w:tcBorders>
              <w:top w:val="single" w:sz="4" w:space="0" w:color="000000"/>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236" w:type="dxa"/>
            <w:tcBorders>
              <w:top w:val="single" w:sz="4" w:space="0" w:color="000000"/>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960" w:type="dxa"/>
            <w:tcBorders>
              <w:top w:val="single" w:sz="4" w:space="0" w:color="000000"/>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460" w:type="dxa"/>
            <w:tcBorders>
              <w:top w:val="single" w:sz="4" w:space="0" w:color="000000"/>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960" w:type="dxa"/>
            <w:tcBorders>
              <w:top w:val="single" w:sz="4" w:space="0" w:color="000000"/>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r>
      <w:tr w:rsidR="009F18C6" w:rsidRPr="0046001F" w:rsidTr="00B17778">
        <w:trPr>
          <w:trHeight w:val="255"/>
        </w:trPr>
        <w:tc>
          <w:tcPr>
            <w:tcW w:w="4720" w:type="dxa"/>
            <w:tcBorders>
              <w:left w:val="nil"/>
              <w:bottom w:val="nil"/>
              <w:right w:val="nil"/>
            </w:tcBorders>
            <w:shd w:val="clear" w:color="auto" w:fill="auto"/>
            <w:noWrap/>
            <w:vAlign w:val="bottom"/>
          </w:tcPr>
          <w:p w:rsidR="009F18C6" w:rsidRPr="0046001F" w:rsidRDefault="009F18C6" w:rsidP="00E77EAC">
            <w:pPr>
              <w:spacing w:after="0" w:line="240" w:lineRule="auto"/>
              <w:rPr>
                <w:rFonts w:ascii="Arial" w:eastAsia="Times New Roman" w:hAnsi="Arial" w:cs="Arial"/>
                <w:sz w:val="18"/>
                <w:szCs w:val="18"/>
              </w:rPr>
            </w:pPr>
            <w:r w:rsidRPr="00E1139A">
              <w:rPr>
                <w:rFonts w:ascii="Arial" w:eastAsia="Times New Roman" w:hAnsi="Arial" w:cs="Arial"/>
                <w:sz w:val="18"/>
                <w:szCs w:val="18"/>
              </w:rPr>
              <w:t xml:space="preserve">Participation in </w:t>
            </w:r>
            <w:r>
              <w:rPr>
                <w:rFonts w:ascii="Arial" w:eastAsia="Times New Roman" w:hAnsi="Arial" w:cs="Arial"/>
                <w:sz w:val="18"/>
                <w:szCs w:val="18"/>
              </w:rPr>
              <w:t xml:space="preserve">the </w:t>
            </w:r>
            <w:r w:rsidRPr="00E1139A">
              <w:rPr>
                <w:rFonts w:ascii="Arial" w:eastAsia="Times New Roman" w:hAnsi="Arial" w:cs="Arial"/>
                <w:sz w:val="18"/>
                <w:szCs w:val="18"/>
              </w:rPr>
              <w:t>4th Liberty Loan</w:t>
            </w:r>
            <w:r>
              <w:rPr>
                <w:rFonts w:ascii="Arial" w:eastAsia="Times New Roman" w:hAnsi="Arial" w:cs="Arial"/>
                <w:sz w:val="18"/>
                <w:szCs w:val="18"/>
              </w:rPr>
              <w:t xml:space="preserve">  x</w:t>
            </w:r>
          </w:p>
        </w:tc>
        <w:tc>
          <w:tcPr>
            <w:tcW w:w="1206" w:type="dxa"/>
            <w:tcBorders>
              <w:left w:val="nil"/>
              <w:bottom w:val="nil"/>
              <w:right w:val="nil"/>
            </w:tcBorders>
            <w:shd w:val="clear" w:color="auto" w:fill="auto"/>
            <w:noWrap/>
            <w:vAlign w:val="bottom"/>
          </w:tcPr>
          <w:p w:rsidR="009F18C6" w:rsidRPr="0046001F" w:rsidRDefault="009F18C6" w:rsidP="00E77EAC">
            <w:pPr>
              <w:spacing w:after="0" w:line="240" w:lineRule="auto"/>
              <w:jc w:val="center"/>
              <w:rPr>
                <w:rFonts w:ascii="Arial" w:eastAsia="Times New Roman" w:hAnsi="Arial" w:cs="Arial"/>
                <w:sz w:val="18"/>
                <w:szCs w:val="18"/>
              </w:rPr>
            </w:pPr>
          </w:p>
        </w:tc>
        <w:tc>
          <w:tcPr>
            <w:tcW w:w="236" w:type="dxa"/>
            <w:tcBorders>
              <w:left w:val="nil"/>
              <w:bottom w:val="nil"/>
              <w:right w:val="nil"/>
            </w:tcBorders>
            <w:shd w:val="clear" w:color="auto" w:fill="auto"/>
            <w:noWrap/>
            <w:vAlign w:val="bottom"/>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left w:val="nil"/>
              <w:bottom w:val="nil"/>
              <w:right w:val="nil"/>
            </w:tcBorders>
            <w:shd w:val="clear" w:color="auto" w:fill="auto"/>
            <w:noWrap/>
            <w:vAlign w:val="bottom"/>
          </w:tcPr>
          <w:p w:rsidR="009F18C6" w:rsidRPr="0046001F" w:rsidRDefault="009F18C6" w:rsidP="00E77EAC">
            <w:pPr>
              <w:spacing w:after="0" w:line="240" w:lineRule="auto"/>
              <w:jc w:val="center"/>
              <w:rPr>
                <w:rFonts w:ascii="Arial" w:eastAsia="Times New Roman" w:hAnsi="Arial" w:cs="Arial"/>
                <w:sz w:val="18"/>
                <w:szCs w:val="18"/>
              </w:rPr>
            </w:pPr>
          </w:p>
        </w:tc>
        <w:tc>
          <w:tcPr>
            <w:tcW w:w="460" w:type="dxa"/>
            <w:tcBorders>
              <w:left w:val="nil"/>
              <w:bottom w:val="nil"/>
              <w:right w:val="nil"/>
            </w:tcBorders>
            <w:shd w:val="clear" w:color="auto" w:fill="auto"/>
            <w:noWrap/>
            <w:vAlign w:val="bottom"/>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left w:val="nil"/>
              <w:bottom w:val="nil"/>
              <w:right w:val="nil"/>
            </w:tcBorders>
            <w:shd w:val="clear" w:color="auto" w:fill="auto"/>
            <w:noWrap/>
            <w:vAlign w:val="bottom"/>
          </w:tcPr>
          <w:p w:rsidR="009F18C6" w:rsidRPr="0046001F" w:rsidRDefault="009F18C6" w:rsidP="00E77EAC">
            <w:pPr>
              <w:spacing w:after="0" w:line="240" w:lineRule="auto"/>
              <w:jc w:val="center"/>
              <w:rPr>
                <w:rFonts w:ascii="Arial" w:eastAsia="Times New Roman" w:hAnsi="Arial" w:cs="Arial"/>
                <w:sz w:val="18"/>
                <w:szCs w:val="18"/>
              </w:rPr>
            </w:pP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46001F">
              <w:rPr>
                <w:rFonts w:ascii="Arial" w:eastAsia="Times New Roman" w:hAnsi="Arial" w:cs="Arial"/>
                <w:sz w:val="18"/>
                <w:szCs w:val="18"/>
              </w:rPr>
              <w:t>1908</w:t>
            </w:r>
          </w:p>
        </w:tc>
        <w:tc>
          <w:tcPr>
            <w:tcW w:w="1206" w:type="dxa"/>
            <w:tcBorders>
              <w:top w:val="nil"/>
              <w:left w:val="nil"/>
              <w:bottom w:val="nil"/>
              <w:right w:val="nil"/>
            </w:tcBorders>
            <w:shd w:val="clear" w:color="auto" w:fill="auto"/>
            <w:noWrap/>
            <w:vAlign w:val="bottom"/>
            <w:hideMark/>
          </w:tcPr>
          <w:p w:rsidR="009F18C6" w:rsidRPr="0046001F" w:rsidRDefault="00B17778"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3.549</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52.185</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55.519</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3.017</w:t>
            </w:r>
            <w:r w:rsidRPr="0046001F">
              <w:rPr>
                <w:rFonts w:ascii="Arial" w:eastAsia="Times New Roman" w:hAnsi="Arial" w:cs="Arial"/>
                <w:sz w:val="18"/>
                <w:szCs w:val="18"/>
              </w:rPr>
              <w:t>)</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22.805</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23.693</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46001F">
              <w:rPr>
                <w:rFonts w:ascii="Arial" w:eastAsia="Times New Roman" w:hAnsi="Arial" w:cs="Arial"/>
                <w:sz w:val="18"/>
                <w:szCs w:val="18"/>
              </w:rPr>
              <w:t>1912</w:t>
            </w:r>
          </w:p>
        </w:tc>
        <w:tc>
          <w:tcPr>
            <w:tcW w:w="1206" w:type="dxa"/>
            <w:tcBorders>
              <w:top w:val="nil"/>
              <w:left w:val="nil"/>
              <w:bottom w:val="nil"/>
              <w:right w:val="nil"/>
            </w:tcBorders>
            <w:shd w:val="clear" w:color="auto" w:fill="auto"/>
            <w:noWrap/>
            <w:vAlign w:val="bottom"/>
            <w:hideMark/>
          </w:tcPr>
          <w:p w:rsidR="009F18C6" w:rsidRPr="0046001F" w:rsidRDefault="00B17778"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1.606</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29.461</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29.199</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5.191</w:t>
            </w:r>
            <w:r w:rsidRPr="0046001F">
              <w:rPr>
                <w:rFonts w:ascii="Arial" w:eastAsia="Times New Roman" w:hAnsi="Arial" w:cs="Arial"/>
                <w:sz w:val="18"/>
                <w:szCs w:val="18"/>
              </w:rPr>
              <w:t>)</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41.641</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43.395</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46001F">
              <w:rPr>
                <w:rFonts w:ascii="Arial" w:eastAsia="Times New Roman" w:hAnsi="Arial" w:cs="Arial"/>
                <w:sz w:val="18"/>
                <w:szCs w:val="18"/>
              </w:rPr>
              <w:t>1916</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46001F">
              <w:rPr>
                <w:rFonts w:ascii="Arial" w:eastAsia="Times New Roman" w:hAnsi="Arial" w:cs="Arial"/>
                <w:sz w:val="18"/>
                <w:szCs w:val="18"/>
              </w:rPr>
              <w:t>1920</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20.580</w:t>
            </w:r>
            <w:r w:rsidRPr="0046001F">
              <w:rPr>
                <w:rFonts w:ascii="Arial" w:eastAsia="Times New Roman" w:hAnsi="Arial" w:cs="Arial"/>
                <w:sz w:val="18"/>
                <w:szCs w:val="18"/>
              </w:rPr>
              <w:t>**</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111.6</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122.0</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4.206</w:t>
            </w:r>
            <w:r w:rsidRPr="0046001F">
              <w:rPr>
                <w:rFonts w:ascii="Arial" w:eastAsia="Times New Roman" w:hAnsi="Arial" w:cs="Arial"/>
                <w:sz w:val="18"/>
                <w:szCs w:val="18"/>
              </w:rPr>
              <w:t>)</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32.69</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32.97</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46001F">
              <w:rPr>
                <w:rFonts w:ascii="Arial" w:eastAsia="Times New Roman" w:hAnsi="Arial" w:cs="Arial"/>
                <w:sz w:val="18"/>
                <w:szCs w:val="18"/>
              </w:rPr>
              <w:t>1924</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37.478</w:t>
            </w:r>
            <w:r w:rsidRPr="0046001F">
              <w:rPr>
                <w:rFonts w:ascii="Arial" w:eastAsia="Times New Roman" w:hAnsi="Arial" w:cs="Arial"/>
                <w:sz w:val="18"/>
                <w:szCs w:val="18"/>
              </w:rPr>
              <w:t>**</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140.0</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145.8</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4.716</w:t>
            </w:r>
            <w:r w:rsidRPr="0046001F">
              <w:rPr>
                <w:rFonts w:ascii="Arial" w:eastAsia="Times New Roman" w:hAnsi="Arial" w:cs="Arial"/>
                <w:sz w:val="18"/>
                <w:szCs w:val="18"/>
              </w:rPr>
              <w:t>)</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35.32</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37.71</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46001F">
              <w:rPr>
                <w:rFonts w:ascii="Arial" w:eastAsia="Times New Roman" w:hAnsi="Arial" w:cs="Arial"/>
                <w:sz w:val="18"/>
                <w:szCs w:val="18"/>
              </w:rPr>
              <w:t>1928</w:t>
            </w:r>
          </w:p>
        </w:tc>
        <w:tc>
          <w:tcPr>
            <w:tcW w:w="1206" w:type="dxa"/>
            <w:tcBorders>
              <w:top w:val="nil"/>
              <w:left w:val="nil"/>
              <w:bottom w:val="nil"/>
              <w:right w:val="nil"/>
            </w:tcBorders>
            <w:shd w:val="clear" w:color="auto" w:fill="auto"/>
            <w:noWrap/>
            <w:vAlign w:val="bottom"/>
            <w:hideMark/>
          </w:tcPr>
          <w:p w:rsidR="009F18C6" w:rsidRPr="0046001F" w:rsidRDefault="00B17778"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4.208</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60.53</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62.71</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7.957</w:t>
            </w:r>
            <w:r w:rsidRPr="0046001F">
              <w:rPr>
                <w:rFonts w:ascii="Arial" w:eastAsia="Times New Roman" w:hAnsi="Arial" w:cs="Arial"/>
                <w:sz w:val="18"/>
                <w:szCs w:val="18"/>
              </w:rPr>
              <w:t>)</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34.764</w:t>
            </w:r>
            <w:r w:rsidRPr="0046001F">
              <w:rPr>
                <w:rFonts w:ascii="Arial" w:eastAsia="Times New Roman" w:hAnsi="Arial" w:cs="Arial"/>
                <w:sz w:val="18"/>
                <w:szCs w:val="18"/>
              </w:rPr>
              <w:t>)</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36.957</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r w:rsidRPr="0046001F">
              <w:rPr>
                <w:rFonts w:ascii="Arial" w:eastAsia="Times New Roman" w:hAnsi="Arial" w:cs="Arial"/>
                <w:sz w:val="18"/>
                <w:szCs w:val="18"/>
              </w:rPr>
              <w:t>1932</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w:t>
            </w:r>
            <w:r w:rsidR="00B17778">
              <w:rPr>
                <w:rFonts w:ascii="Arial" w:eastAsia="Times New Roman" w:hAnsi="Arial" w:cs="Arial"/>
                <w:sz w:val="18"/>
                <w:szCs w:val="18"/>
              </w:rPr>
              <w:t>510</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B17778"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22.157</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B17778" w:rsidP="00E77EAC">
            <w:pPr>
              <w:spacing w:after="0" w:line="240" w:lineRule="auto"/>
              <w:jc w:val="center"/>
              <w:rPr>
                <w:rFonts w:ascii="Arial" w:eastAsia="Times New Roman" w:hAnsi="Arial" w:cs="Arial"/>
                <w:sz w:val="18"/>
                <w:szCs w:val="18"/>
              </w:rPr>
            </w:pPr>
            <w:r>
              <w:rPr>
                <w:rFonts w:ascii="Arial" w:eastAsia="Times New Roman" w:hAnsi="Arial" w:cs="Arial"/>
                <w:sz w:val="18"/>
                <w:szCs w:val="18"/>
              </w:rPr>
              <w:t>22.031</w:t>
            </w:r>
          </w:p>
        </w:tc>
      </w:tr>
      <w:tr w:rsidR="009F18C6" w:rsidRPr="0046001F" w:rsidTr="00B17778">
        <w:trPr>
          <w:trHeight w:val="255"/>
        </w:trPr>
        <w:tc>
          <w:tcPr>
            <w:tcW w:w="4720" w:type="dxa"/>
            <w:tcBorders>
              <w:top w:val="nil"/>
              <w:left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6.498</w:t>
            </w:r>
            <w:r w:rsidRPr="0046001F">
              <w:rPr>
                <w:rFonts w:ascii="Arial" w:eastAsia="Times New Roman" w:hAnsi="Arial" w:cs="Arial"/>
                <w:sz w:val="18"/>
                <w:szCs w:val="18"/>
              </w:rPr>
              <w:t>)</w:t>
            </w:r>
          </w:p>
        </w:tc>
        <w:tc>
          <w:tcPr>
            <w:tcW w:w="236" w:type="dxa"/>
            <w:tcBorders>
              <w:top w:val="nil"/>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31.449</w:t>
            </w:r>
            <w:r w:rsidRPr="0046001F">
              <w:rPr>
                <w:rFonts w:ascii="Arial" w:eastAsia="Times New Roman" w:hAnsi="Arial" w:cs="Arial"/>
                <w:sz w:val="18"/>
                <w:szCs w:val="18"/>
              </w:rPr>
              <w:t>)</w:t>
            </w:r>
          </w:p>
        </w:tc>
        <w:tc>
          <w:tcPr>
            <w:tcW w:w="460" w:type="dxa"/>
            <w:tcBorders>
              <w:top w:val="nil"/>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r w:rsidR="00B17778">
              <w:rPr>
                <w:rFonts w:ascii="Arial" w:eastAsia="Times New Roman" w:hAnsi="Arial" w:cs="Arial"/>
                <w:sz w:val="18"/>
                <w:szCs w:val="18"/>
              </w:rPr>
              <w:t>33.363</w:t>
            </w:r>
            <w:r w:rsidRPr="0046001F">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236"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46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r>
      <w:tr w:rsidR="009F18C6" w:rsidRPr="0046001F" w:rsidTr="00B17778">
        <w:trPr>
          <w:trHeight w:val="255"/>
        </w:trPr>
        <w:tc>
          <w:tcPr>
            <w:tcW w:w="4720" w:type="dxa"/>
            <w:tcBorders>
              <w:top w:val="single" w:sz="4" w:space="0" w:color="auto"/>
              <w:left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Kleinbergen-Paap F</w:t>
            </w:r>
          </w:p>
        </w:tc>
        <w:tc>
          <w:tcPr>
            <w:tcW w:w="1206" w:type="dxa"/>
            <w:tcBorders>
              <w:top w:val="single" w:sz="4" w:space="0" w:color="auto"/>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w:t>
            </w:r>
          </w:p>
        </w:tc>
        <w:tc>
          <w:tcPr>
            <w:tcW w:w="236" w:type="dxa"/>
            <w:tcBorders>
              <w:top w:val="single" w:sz="4" w:space="0" w:color="auto"/>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single" w:sz="4" w:space="0" w:color="auto"/>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18.918</w:t>
            </w:r>
          </w:p>
        </w:tc>
        <w:tc>
          <w:tcPr>
            <w:tcW w:w="460" w:type="dxa"/>
            <w:tcBorders>
              <w:top w:val="single" w:sz="4" w:space="0" w:color="auto"/>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single" w:sz="4" w:space="0" w:color="auto"/>
              <w:left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20.024</w:t>
            </w:r>
          </w:p>
        </w:tc>
      </w:tr>
      <w:tr w:rsidR="009F18C6" w:rsidRPr="0046001F" w:rsidTr="00B17778">
        <w:trPr>
          <w:trHeight w:val="255"/>
        </w:trPr>
        <w:tc>
          <w:tcPr>
            <w:tcW w:w="472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1206"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236"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46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single" w:sz="4" w:space="0" w:color="auto"/>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r>
      <w:tr w:rsidR="009F18C6" w:rsidRPr="0046001F" w:rsidTr="00B17778">
        <w:trPr>
          <w:trHeight w:val="255"/>
        </w:trPr>
        <w:tc>
          <w:tcPr>
            <w:tcW w:w="4720" w:type="dxa"/>
            <w:tcBorders>
              <w:top w:val="sing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Observations</w:t>
            </w:r>
          </w:p>
        </w:tc>
        <w:tc>
          <w:tcPr>
            <w:tcW w:w="1206" w:type="dxa"/>
            <w:tcBorders>
              <w:top w:val="sing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9,855</w:t>
            </w:r>
          </w:p>
        </w:tc>
        <w:tc>
          <w:tcPr>
            <w:tcW w:w="236" w:type="dxa"/>
            <w:tcBorders>
              <w:top w:val="sing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sing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9,854</w:t>
            </w:r>
          </w:p>
        </w:tc>
        <w:tc>
          <w:tcPr>
            <w:tcW w:w="460" w:type="dxa"/>
            <w:tcBorders>
              <w:top w:val="sing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single" w:sz="4" w:space="0" w:color="auto"/>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9,837</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R-squared</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0.942</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0.736</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0.751</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Baseline controls x Year</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Additional controls x Year</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NO</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NO</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County FE</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District x Year FE</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YES</w:t>
            </w:r>
          </w:p>
        </w:tc>
      </w:tr>
      <w:tr w:rsidR="009F18C6" w:rsidRPr="0046001F" w:rsidTr="00B17778">
        <w:trPr>
          <w:trHeight w:val="255"/>
        </w:trPr>
        <w:tc>
          <w:tcPr>
            <w:tcW w:w="4720" w:type="dxa"/>
            <w:tcBorders>
              <w:top w:val="nil"/>
              <w:left w:val="nil"/>
              <w:bottom w:val="single" w:sz="4" w:space="0" w:color="000000"/>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Number of count</w:t>
            </w:r>
            <w:r>
              <w:rPr>
                <w:rFonts w:ascii="Arial" w:eastAsia="Times New Roman" w:hAnsi="Arial" w:cs="Arial"/>
                <w:sz w:val="18"/>
                <w:szCs w:val="18"/>
              </w:rPr>
              <w:t>ies</w:t>
            </w:r>
          </w:p>
        </w:tc>
        <w:tc>
          <w:tcPr>
            <w:tcW w:w="1206" w:type="dxa"/>
            <w:tcBorders>
              <w:top w:val="nil"/>
              <w:left w:val="nil"/>
              <w:bottom w:val="single" w:sz="4" w:space="0" w:color="000000"/>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1,427</w:t>
            </w:r>
          </w:p>
        </w:tc>
        <w:tc>
          <w:tcPr>
            <w:tcW w:w="236" w:type="dxa"/>
            <w:tcBorders>
              <w:top w:val="nil"/>
              <w:left w:val="nil"/>
              <w:bottom w:val="single" w:sz="4" w:space="0" w:color="000000"/>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960" w:type="dxa"/>
            <w:tcBorders>
              <w:top w:val="nil"/>
              <w:left w:val="nil"/>
              <w:bottom w:val="single" w:sz="4" w:space="0" w:color="000000"/>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1,426</w:t>
            </w:r>
          </w:p>
        </w:tc>
        <w:tc>
          <w:tcPr>
            <w:tcW w:w="460" w:type="dxa"/>
            <w:tcBorders>
              <w:top w:val="nil"/>
              <w:left w:val="nil"/>
              <w:bottom w:val="single" w:sz="4" w:space="0" w:color="000000"/>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 </w:t>
            </w:r>
          </w:p>
        </w:tc>
        <w:tc>
          <w:tcPr>
            <w:tcW w:w="960" w:type="dxa"/>
            <w:tcBorders>
              <w:top w:val="nil"/>
              <w:left w:val="nil"/>
              <w:bottom w:val="single" w:sz="4" w:space="0" w:color="000000"/>
              <w:right w:val="nil"/>
            </w:tcBorders>
            <w:shd w:val="clear" w:color="auto" w:fill="auto"/>
            <w:noWrap/>
            <w:vAlign w:val="bottom"/>
            <w:hideMark/>
          </w:tcPr>
          <w:p w:rsidR="009F18C6" w:rsidRPr="0046001F" w:rsidRDefault="009F18C6" w:rsidP="00E77EAC">
            <w:pPr>
              <w:spacing w:after="0" w:line="240" w:lineRule="auto"/>
              <w:jc w:val="center"/>
              <w:rPr>
                <w:rFonts w:ascii="Arial" w:eastAsia="Times New Roman" w:hAnsi="Arial" w:cs="Arial"/>
                <w:sz w:val="18"/>
                <w:szCs w:val="18"/>
              </w:rPr>
            </w:pPr>
            <w:r w:rsidRPr="0046001F">
              <w:rPr>
                <w:rFonts w:ascii="Arial" w:eastAsia="Times New Roman" w:hAnsi="Arial" w:cs="Arial"/>
                <w:sz w:val="18"/>
                <w:szCs w:val="18"/>
              </w:rPr>
              <w:t>1,423</w:t>
            </w:r>
          </w:p>
        </w:tc>
      </w:tr>
      <w:tr w:rsidR="009F18C6" w:rsidRPr="0046001F" w:rsidTr="00B17778">
        <w:trPr>
          <w:trHeight w:val="255"/>
        </w:trPr>
        <w:tc>
          <w:tcPr>
            <w:tcW w:w="8540" w:type="dxa"/>
            <w:gridSpan w:val="6"/>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 xml:space="preserve">Robust standard errors </w:t>
            </w:r>
            <w:r>
              <w:rPr>
                <w:rFonts w:ascii="Arial" w:eastAsia="Times New Roman" w:hAnsi="Arial" w:cs="Arial"/>
                <w:sz w:val="18"/>
                <w:szCs w:val="18"/>
              </w:rPr>
              <w:t xml:space="preserve">adjusted for clustering by firm </w:t>
            </w:r>
            <w:r w:rsidRPr="0046001F">
              <w:rPr>
                <w:rFonts w:ascii="Arial" w:eastAsia="Times New Roman" w:hAnsi="Arial" w:cs="Arial"/>
                <w:sz w:val="18"/>
                <w:szCs w:val="18"/>
              </w:rPr>
              <w:t>in parentheses</w:t>
            </w:r>
            <w:r>
              <w:rPr>
                <w:rFonts w:ascii="Arial" w:eastAsia="Times New Roman" w:hAnsi="Arial" w:cs="Arial"/>
                <w:sz w:val="18"/>
                <w:szCs w:val="18"/>
              </w:rPr>
              <w:t>.</w:t>
            </w:r>
          </w:p>
        </w:tc>
      </w:tr>
      <w:tr w:rsidR="009F18C6" w:rsidRPr="0046001F" w:rsidTr="00B17778">
        <w:trPr>
          <w:trHeight w:val="255"/>
        </w:trPr>
        <w:tc>
          <w:tcPr>
            <w:tcW w:w="472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r w:rsidRPr="0046001F">
              <w:rPr>
                <w:rFonts w:ascii="Arial" w:eastAsia="Times New Roman" w:hAnsi="Arial" w:cs="Arial"/>
                <w:sz w:val="18"/>
                <w:szCs w:val="18"/>
              </w:rPr>
              <w:t>** p&lt;0.01, * p&lt;0.05, + p&lt;0.1</w:t>
            </w:r>
          </w:p>
        </w:tc>
        <w:tc>
          <w:tcPr>
            <w:tcW w:w="120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236"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4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9F18C6" w:rsidRPr="0046001F" w:rsidRDefault="009F18C6" w:rsidP="00E77EAC">
            <w:pPr>
              <w:spacing w:after="0" w:line="240" w:lineRule="auto"/>
              <w:rPr>
                <w:rFonts w:ascii="Arial" w:eastAsia="Times New Roman" w:hAnsi="Arial" w:cs="Arial"/>
                <w:sz w:val="18"/>
                <w:szCs w:val="18"/>
              </w:rPr>
            </w:pPr>
          </w:p>
        </w:tc>
      </w:tr>
    </w:tbl>
    <w:p w:rsidR="009F18C6" w:rsidRDefault="009F18C6" w:rsidP="009F18C6">
      <w:pPr>
        <w:spacing w:after="0" w:line="480" w:lineRule="auto"/>
        <w:ind w:left="720" w:hanging="720"/>
        <w:rPr>
          <w:rFonts w:eastAsia="Times New Roman" w:cs="Times New Roman"/>
        </w:rPr>
      </w:pPr>
    </w:p>
    <w:p w:rsidR="008D52E1" w:rsidRDefault="008D52E1" w:rsidP="00BF5E94">
      <w:pPr>
        <w:spacing w:after="0" w:line="240" w:lineRule="auto"/>
        <w:jc w:val="both"/>
        <w:rPr>
          <w:rFonts w:cs="Times New Roman"/>
          <w:b/>
        </w:rPr>
      </w:pPr>
    </w:p>
    <w:p w:rsidR="006575B9" w:rsidRDefault="006575B9" w:rsidP="00BF5E94">
      <w:pPr>
        <w:spacing w:after="0" w:line="240" w:lineRule="auto"/>
        <w:jc w:val="both"/>
        <w:rPr>
          <w:rFonts w:cs="Times New Roman"/>
          <w:b/>
        </w:rPr>
      </w:pPr>
    </w:p>
    <w:p w:rsidR="00504AC5" w:rsidRDefault="00504AC5" w:rsidP="00BF5E94">
      <w:pPr>
        <w:spacing w:after="0" w:line="240" w:lineRule="auto"/>
        <w:jc w:val="both"/>
        <w:rPr>
          <w:rFonts w:cs="Times New Roman"/>
          <w:b/>
        </w:rPr>
      </w:pPr>
    </w:p>
    <w:p w:rsidR="00504AC5" w:rsidRDefault="00504AC5" w:rsidP="00BF5E94">
      <w:pPr>
        <w:spacing w:after="0" w:line="240" w:lineRule="auto"/>
        <w:jc w:val="both"/>
        <w:rPr>
          <w:rFonts w:cs="Times New Roman"/>
          <w:b/>
        </w:rPr>
      </w:pPr>
    </w:p>
    <w:p w:rsidR="00504AC5" w:rsidRDefault="00504AC5" w:rsidP="00BF5E94">
      <w:pPr>
        <w:spacing w:after="0" w:line="240" w:lineRule="auto"/>
        <w:jc w:val="both"/>
        <w:rPr>
          <w:rFonts w:cs="Times New Roman"/>
          <w:b/>
        </w:rPr>
      </w:pPr>
    </w:p>
    <w:p w:rsidR="006575B9" w:rsidRDefault="006575B9"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r>
        <w:rPr>
          <w:rFonts w:cs="Times New Roman"/>
          <w:b/>
        </w:rPr>
        <w:lastRenderedPageBreak/>
        <w:t>4.3 IV results with the west dropped from the sample</w:t>
      </w:r>
    </w:p>
    <w:p w:rsidR="00BF5E94" w:rsidRDefault="00BF5E94" w:rsidP="00BF5E94">
      <w:pPr>
        <w:spacing w:after="0" w:line="240" w:lineRule="auto"/>
        <w:jc w:val="both"/>
        <w:rPr>
          <w:rFonts w:cs="Times New Roman"/>
          <w:b/>
        </w:rPr>
      </w:pPr>
    </w:p>
    <w:p w:rsidR="00BF5E94" w:rsidRDefault="00B33978" w:rsidP="00B33978">
      <w:pPr>
        <w:spacing w:after="0" w:line="240" w:lineRule="auto"/>
        <w:rPr>
          <w:rFonts w:cs="Times New Roman"/>
        </w:rPr>
      </w:pPr>
      <w:r>
        <w:rPr>
          <w:rFonts w:cs="Times New Roman"/>
          <w:b/>
        </w:rPr>
        <w:tab/>
      </w:r>
      <w:r>
        <w:rPr>
          <w:rFonts w:cs="Times New Roman"/>
        </w:rPr>
        <w:t xml:space="preserve">One concern that could be raised regarding the IV analysis is that the instrument varies quite strongly by region, and its highest values by far are for the states in the far west, which may have turned against the Democrats for reasons unrelated to liberty bond prices.  It is important to note that the state-by-year fixed effects in the analysis sweep out any differential changes across states; Washington’s counties are not compared to Kentucky’s counties, but instead different counties within Kentucky and within Washington are compared to each other based on their distances to military camps.  Yet one might still be concerned </w:t>
      </w:r>
      <w:r w:rsidR="00BE5700">
        <w:rPr>
          <w:rFonts w:cs="Times New Roman"/>
        </w:rPr>
        <w:t>that those within-state differences in the west might be correlated with other factors (if, for example, the composition of economic activity varied across longitudes in the west).</w:t>
      </w:r>
    </w:p>
    <w:p w:rsidR="00BE5700" w:rsidRDefault="00BE5700" w:rsidP="00B33978">
      <w:pPr>
        <w:spacing w:after="0" w:line="240" w:lineRule="auto"/>
        <w:rPr>
          <w:rFonts w:cs="Times New Roman"/>
        </w:rPr>
      </w:pPr>
      <w:r>
        <w:rPr>
          <w:rFonts w:cs="Times New Roman"/>
        </w:rPr>
        <w:tab/>
        <w:t>We address this issue in Table A</w:t>
      </w:r>
      <w:r w:rsidR="00504AC5">
        <w:rPr>
          <w:rFonts w:cs="Times New Roman"/>
        </w:rPr>
        <w:t>8</w:t>
      </w:r>
      <w:r>
        <w:rPr>
          <w:rFonts w:cs="Times New Roman"/>
        </w:rPr>
        <w:t xml:space="preserve">, in which we exclude all states </w:t>
      </w:r>
      <w:r w:rsidR="00212630">
        <w:rPr>
          <w:rFonts w:cs="Times New Roman"/>
        </w:rPr>
        <w:t>from</w:t>
      </w:r>
      <w:r>
        <w:rPr>
          <w:rFonts w:cs="Times New Roman"/>
        </w:rPr>
        <w:t xml:space="preserve"> the west census region (Montana/Wyoming/Colorado/New Mexico and all states to the</w:t>
      </w:r>
      <w:r w:rsidR="00525892">
        <w:rPr>
          <w:rFonts w:cs="Times New Roman"/>
        </w:rPr>
        <w:t>ir</w:t>
      </w:r>
      <w:r>
        <w:rPr>
          <w:rFonts w:cs="Times New Roman"/>
        </w:rPr>
        <w:t xml:space="preserve"> west).  Column (1) presents the original 2SLS results; column (2) presents the new results excluding the west.  The loss of the western states does impact the first stage somewhat; the F-statistic falls from about 26.7 to 9.6.  The point estimate for the liberty loan coefficient nearly doubles in absolute magnitude, and the standard error of the estimate also doubles.  But the estimate is statistically significant at 10 percent, and </w:t>
      </w:r>
      <w:r w:rsidR="00212630">
        <w:rPr>
          <w:rFonts w:cs="Times New Roman"/>
        </w:rPr>
        <w:t>we conclude that our results are robust to dropping the west</w:t>
      </w:r>
      <w:r w:rsidR="008D3117">
        <w:rPr>
          <w:rFonts w:cs="Times New Roman"/>
        </w:rPr>
        <w:t xml:space="preserve">. </w:t>
      </w:r>
    </w:p>
    <w:p w:rsidR="00B33978" w:rsidRDefault="00B33978" w:rsidP="00B33978">
      <w:pPr>
        <w:spacing w:after="0" w:line="240" w:lineRule="auto"/>
        <w:rPr>
          <w:rFonts w:cs="Times New Roman"/>
          <w:b/>
        </w:rPr>
      </w:pPr>
    </w:p>
    <w:p w:rsidR="00B33978" w:rsidRPr="00E1139A" w:rsidRDefault="00B33978" w:rsidP="00B33978">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w:t>
      </w:r>
      <w:r w:rsidR="00504AC5">
        <w:rPr>
          <w:rFonts w:eastAsia="Calibri" w:cs="Times New Roman"/>
          <w:b/>
        </w:rPr>
        <w:t>8</w:t>
      </w:r>
      <w:r w:rsidRPr="00E1139A">
        <w:rPr>
          <w:rFonts w:eastAsia="Calibri" w:cs="Times New Roman"/>
          <w:b/>
        </w:rPr>
        <w:t>:</w:t>
      </w:r>
    </w:p>
    <w:p w:rsidR="00B33978" w:rsidRPr="00E1139A" w:rsidRDefault="00B33978" w:rsidP="00B33978">
      <w:pPr>
        <w:spacing w:after="0" w:line="240" w:lineRule="auto"/>
        <w:jc w:val="center"/>
        <w:rPr>
          <w:rFonts w:eastAsia="Calibri" w:cs="Times New Roman"/>
          <w:b/>
        </w:rPr>
      </w:pPr>
      <w:r>
        <w:rPr>
          <w:rFonts w:eastAsia="Calibri" w:cs="Times New Roman"/>
          <w:b/>
        </w:rPr>
        <w:t>IV Results Dropping the West</w:t>
      </w:r>
    </w:p>
    <w:p w:rsidR="00BF5E94" w:rsidRDefault="00BF5E94" w:rsidP="00BF5E94">
      <w:pPr>
        <w:spacing w:after="0" w:line="240" w:lineRule="auto"/>
        <w:jc w:val="both"/>
        <w:rPr>
          <w:rFonts w:cs="Times New Roman"/>
          <w:b/>
        </w:rPr>
      </w:pPr>
    </w:p>
    <w:tbl>
      <w:tblPr>
        <w:tblpPr w:leftFromText="180" w:rightFromText="180" w:vertAnchor="text" w:horzAnchor="margin" w:tblpXSpec="center" w:tblpY="48"/>
        <w:tblW w:w="8040" w:type="dxa"/>
        <w:tblLook w:val="04A0" w:firstRow="1" w:lastRow="0" w:firstColumn="1" w:lastColumn="0" w:noHBand="0" w:noVBand="1"/>
      </w:tblPr>
      <w:tblGrid>
        <w:gridCol w:w="4840"/>
        <w:gridCol w:w="1600"/>
        <w:gridCol w:w="1600"/>
      </w:tblGrid>
      <w:tr w:rsidR="00B33978" w:rsidRPr="00BF5E94" w:rsidTr="00B33978">
        <w:trPr>
          <w:trHeight w:val="270"/>
        </w:trPr>
        <w:tc>
          <w:tcPr>
            <w:tcW w:w="4840" w:type="dxa"/>
            <w:tcBorders>
              <w:top w:val="double" w:sz="6" w:space="0" w:color="auto"/>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bookmarkStart w:id="0" w:name="_Hlk4587555"/>
            <w:r w:rsidRPr="00BF5E94">
              <w:rPr>
                <w:rFonts w:ascii="Arial" w:eastAsia="Times New Roman" w:hAnsi="Arial" w:cs="Arial"/>
                <w:sz w:val="18"/>
                <w:szCs w:val="18"/>
              </w:rPr>
              <w:t> </w:t>
            </w:r>
          </w:p>
        </w:tc>
        <w:tc>
          <w:tcPr>
            <w:tcW w:w="1600" w:type="dxa"/>
            <w:tcBorders>
              <w:top w:val="double" w:sz="6" w:space="0" w:color="auto"/>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Orig. 2SLS</w:t>
            </w:r>
          </w:p>
        </w:tc>
        <w:tc>
          <w:tcPr>
            <w:tcW w:w="1600" w:type="dxa"/>
            <w:tcBorders>
              <w:top w:val="double" w:sz="6" w:space="0" w:color="auto"/>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Drop West</w:t>
            </w:r>
          </w:p>
        </w:tc>
      </w:tr>
      <w:tr w:rsidR="00B33978" w:rsidRPr="00BF5E94" w:rsidTr="00B33978">
        <w:trPr>
          <w:trHeight w:val="300"/>
        </w:trPr>
        <w:tc>
          <w:tcPr>
            <w:tcW w:w="4840" w:type="dxa"/>
            <w:tcBorders>
              <w:top w:val="nil"/>
              <w:left w:val="nil"/>
              <w:bottom w:val="single" w:sz="4" w:space="0" w:color="auto"/>
              <w:right w:val="nil"/>
            </w:tcBorders>
            <w:shd w:val="clear" w:color="auto" w:fill="auto"/>
            <w:noWrap/>
            <w:vAlign w:val="bottom"/>
            <w:hideMark/>
          </w:tcPr>
          <w:p w:rsidR="00B33978" w:rsidRPr="00BF5E94" w:rsidRDefault="00B33978" w:rsidP="00B33978">
            <w:pPr>
              <w:spacing w:after="0" w:line="240" w:lineRule="auto"/>
              <w:rPr>
                <w:rFonts w:ascii="Calibri" w:eastAsia="Times New Roman" w:hAnsi="Calibri" w:cs="Calibri"/>
              </w:rPr>
            </w:pPr>
            <w:r w:rsidRPr="00BF5E94">
              <w:rPr>
                <w:rFonts w:ascii="Calibri" w:eastAsia="Times New Roman" w:hAnsi="Calibri" w:cs="Calibri"/>
              </w:rPr>
              <w:t> </w:t>
            </w:r>
          </w:p>
        </w:tc>
        <w:tc>
          <w:tcPr>
            <w:tcW w:w="160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(1)</w:t>
            </w:r>
          </w:p>
        </w:tc>
        <w:tc>
          <w:tcPr>
            <w:tcW w:w="160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(2)</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eastAsia="Times New Roman" w:cs="Times New Roman"/>
                <w:sz w:val="20"/>
                <w:szCs w:val="20"/>
              </w:rPr>
            </w:pP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eastAsia="Times New Roman" w:cs="Times New Roman"/>
                <w:sz w:val="20"/>
                <w:szCs w:val="20"/>
              </w:rPr>
            </w:pPr>
          </w:p>
        </w:tc>
      </w:tr>
      <w:tr w:rsidR="00B33978" w:rsidRPr="00BF5E94" w:rsidTr="00B33978">
        <w:trPr>
          <w:trHeight w:val="300"/>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Post-1918 x</w:t>
            </w: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rPr>
                <w:rFonts w:eastAsia="Times New Roman" w:cs="Times New Roman"/>
                <w:sz w:val="20"/>
                <w:szCs w:val="20"/>
              </w:rPr>
            </w:pP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 xml:space="preserve">   Participation in 4th Liberty Loan</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-29.870*</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-58.996+</w:t>
            </w:r>
          </w:p>
        </w:tc>
      </w:tr>
      <w:tr w:rsidR="00B33978" w:rsidRPr="00BF5E94" w:rsidTr="00B33978">
        <w:trPr>
          <w:trHeight w:val="300"/>
        </w:trPr>
        <w:tc>
          <w:tcPr>
            <w:tcW w:w="484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(14.790)</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(30.273)</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 xml:space="preserve">   Fraction in </w:t>
            </w:r>
            <w:r w:rsidR="002F754C">
              <w:rPr>
                <w:rFonts w:ascii="Arial" w:eastAsia="Times New Roman" w:hAnsi="Arial" w:cs="Arial"/>
                <w:sz w:val="18"/>
                <w:szCs w:val="18"/>
              </w:rPr>
              <w:t>Cities of 25,000</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-2.049</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-0.266</w:t>
            </w:r>
          </w:p>
        </w:tc>
      </w:tr>
      <w:tr w:rsidR="00B33978" w:rsidRPr="00BF5E94" w:rsidTr="00B33978">
        <w:trPr>
          <w:trHeight w:val="300"/>
        </w:trPr>
        <w:tc>
          <w:tcPr>
            <w:tcW w:w="484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(1.739)</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(3.640)</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 xml:space="preserve">   Home Ownership Rate</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-15.271**</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-18.583**</w:t>
            </w:r>
          </w:p>
        </w:tc>
      </w:tr>
      <w:tr w:rsidR="00B33978" w:rsidRPr="00BF5E94" w:rsidTr="00B33978">
        <w:trPr>
          <w:trHeight w:val="300"/>
        </w:trPr>
        <w:tc>
          <w:tcPr>
            <w:tcW w:w="484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(3.241)</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(4.348)</w:t>
            </w:r>
          </w:p>
        </w:tc>
      </w:tr>
      <w:tr w:rsidR="00B33978" w:rsidRPr="00BF5E94" w:rsidTr="00B33978">
        <w:trPr>
          <w:trHeight w:val="255"/>
        </w:trPr>
        <w:tc>
          <w:tcPr>
            <w:tcW w:w="4840" w:type="dxa"/>
            <w:tcBorders>
              <w:top w:val="single" w:sz="4" w:space="0" w:color="auto"/>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Observations</w:t>
            </w:r>
          </w:p>
        </w:tc>
        <w:tc>
          <w:tcPr>
            <w:tcW w:w="1600" w:type="dxa"/>
            <w:tcBorders>
              <w:top w:val="single" w:sz="4" w:space="0" w:color="auto"/>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9,854</w:t>
            </w:r>
          </w:p>
        </w:tc>
        <w:tc>
          <w:tcPr>
            <w:tcW w:w="1600" w:type="dxa"/>
            <w:tcBorders>
              <w:top w:val="single" w:sz="4" w:space="0" w:color="auto"/>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8,157</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R-squared</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0.957</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0.805</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County FE</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State x Year FE</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r>
      <w:tr w:rsidR="00B33978" w:rsidRPr="00BF5E94" w:rsidTr="00B33978">
        <w:trPr>
          <w:trHeight w:val="255"/>
        </w:trPr>
        <w:tc>
          <w:tcPr>
            <w:tcW w:w="484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Number of counties</w:t>
            </w:r>
          </w:p>
        </w:tc>
        <w:tc>
          <w:tcPr>
            <w:tcW w:w="160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1,426 </w:t>
            </w:r>
          </w:p>
        </w:tc>
        <w:tc>
          <w:tcPr>
            <w:tcW w:w="160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1,172</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eastAsia="Times New Roman" w:cs="Times New Roman"/>
                <w:sz w:val="20"/>
                <w:szCs w:val="20"/>
              </w:rPr>
            </w:pP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eastAsia="Times New Roman" w:cs="Times New Roman"/>
                <w:sz w:val="20"/>
                <w:szCs w:val="20"/>
              </w:rPr>
            </w:pPr>
          </w:p>
        </w:tc>
      </w:tr>
      <w:tr w:rsidR="00B33978" w:rsidRPr="00BF5E94" w:rsidTr="00B33978">
        <w:trPr>
          <w:trHeight w:val="255"/>
        </w:trPr>
        <w:tc>
          <w:tcPr>
            <w:tcW w:w="484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 </w:t>
            </w:r>
          </w:p>
        </w:tc>
        <w:tc>
          <w:tcPr>
            <w:tcW w:w="3200" w:type="dxa"/>
            <w:gridSpan w:val="2"/>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First-Stage Regressions:</w:t>
            </w:r>
          </w:p>
        </w:tc>
      </w:tr>
      <w:tr w:rsidR="00B33978" w:rsidRPr="00BF5E94" w:rsidTr="00B33978">
        <w:trPr>
          <w:trHeight w:val="300"/>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Post-1918 x</w:t>
            </w: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rPr>
                <w:rFonts w:eastAsia="Times New Roman" w:cs="Times New Roman"/>
                <w:sz w:val="20"/>
                <w:szCs w:val="20"/>
              </w:rPr>
            </w:pP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 xml:space="preserve">   Mean Distance to Military Camps</w:t>
            </w: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0.016**</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0.015**</w:t>
            </w:r>
          </w:p>
        </w:tc>
      </w:tr>
      <w:tr w:rsidR="00B33978" w:rsidRPr="00BF5E94" w:rsidTr="00B33978">
        <w:trPr>
          <w:trHeight w:val="300"/>
        </w:trPr>
        <w:tc>
          <w:tcPr>
            <w:tcW w:w="484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(0.003)</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(0.005)</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 xml:space="preserve">   Fraction in Major Urban Areas</w:t>
            </w: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0.095**</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0.100**</w:t>
            </w:r>
          </w:p>
        </w:tc>
      </w:tr>
      <w:tr w:rsidR="00B33978" w:rsidRPr="00BF5E94" w:rsidTr="00B33978">
        <w:trPr>
          <w:trHeight w:val="300"/>
        </w:trPr>
        <w:tc>
          <w:tcPr>
            <w:tcW w:w="484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(0.011)</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(0.014)</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 xml:space="preserve">   Home Ownership Rate</w:t>
            </w: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-0.130**</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-0.096**</w:t>
            </w:r>
          </w:p>
        </w:tc>
      </w:tr>
      <w:tr w:rsidR="00B33978" w:rsidRPr="00BF5E94" w:rsidTr="008D52E1">
        <w:trPr>
          <w:trHeight w:val="300"/>
        </w:trPr>
        <w:tc>
          <w:tcPr>
            <w:tcW w:w="4840" w:type="dxa"/>
            <w:tcBorders>
              <w:top w:val="nil"/>
              <w:left w:val="nil"/>
              <w:bottom w:val="single" w:sz="4" w:space="0" w:color="auto"/>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p>
        </w:tc>
        <w:tc>
          <w:tcPr>
            <w:tcW w:w="1600" w:type="dxa"/>
            <w:tcBorders>
              <w:top w:val="nil"/>
              <w:left w:val="nil"/>
              <w:bottom w:val="single" w:sz="4" w:space="0" w:color="auto"/>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(0.025)</w:t>
            </w:r>
          </w:p>
        </w:tc>
        <w:tc>
          <w:tcPr>
            <w:tcW w:w="160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(0.025)</w:t>
            </w:r>
          </w:p>
        </w:tc>
      </w:tr>
      <w:tr w:rsidR="00B33978" w:rsidRPr="00BF5E94" w:rsidTr="008D52E1">
        <w:trPr>
          <w:trHeight w:val="255"/>
        </w:trPr>
        <w:tc>
          <w:tcPr>
            <w:tcW w:w="4840" w:type="dxa"/>
            <w:tcBorders>
              <w:top w:val="single" w:sz="4" w:space="0" w:color="auto"/>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Kleibergen-Paap F statistic</w:t>
            </w:r>
          </w:p>
        </w:tc>
        <w:tc>
          <w:tcPr>
            <w:tcW w:w="1600" w:type="dxa"/>
            <w:tcBorders>
              <w:top w:val="single" w:sz="4" w:space="0" w:color="auto"/>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26.54</w:t>
            </w:r>
          </w:p>
        </w:tc>
        <w:tc>
          <w:tcPr>
            <w:tcW w:w="1600" w:type="dxa"/>
            <w:tcBorders>
              <w:top w:val="single" w:sz="4" w:space="0" w:color="auto"/>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9.60</w:t>
            </w:r>
          </w:p>
        </w:tc>
      </w:tr>
      <w:tr w:rsidR="00B33978" w:rsidRPr="00BF5E94" w:rsidTr="00B33978">
        <w:trPr>
          <w:trHeight w:val="255"/>
        </w:trPr>
        <w:tc>
          <w:tcPr>
            <w:tcW w:w="484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County FE</w:t>
            </w:r>
          </w:p>
        </w:tc>
        <w:tc>
          <w:tcPr>
            <w:tcW w:w="1600" w:type="dxa"/>
            <w:tcBorders>
              <w:top w:val="nil"/>
              <w:left w:val="nil"/>
              <w:bottom w:val="nil"/>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c>
          <w:tcPr>
            <w:tcW w:w="1600" w:type="dxa"/>
            <w:tcBorders>
              <w:top w:val="nil"/>
              <w:left w:val="nil"/>
              <w:bottom w:val="nil"/>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r>
      <w:tr w:rsidR="00B33978" w:rsidRPr="00BF5E94" w:rsidTr="00B33978">
        <w:trPr>
          <w:trHeight w:val="255"/>
        </w:trPr>
        <w:tc>
          <w:tcPr>
            <w:tcW w:w="484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rPr>
                <w:rFonts w:ascii="Arial" w:eastAsia="Times New Roman" w:hAnsi="Arial" w:cs="Arial"/>
                <w:sz w:val="18"/>
                <w:szCs w:val="18"/>
              </w:rPr>
            </w:pPr>
            <w:r w:rsidRPr="00BF5E94">
              <w:rPr>
                <w:rFonts w:ascii="Arial" w:eastAsia="Times New Roman" w:hAnsi="Arial" w:cs="Arial"/>
                <w:sz w:val="18"/>
                <w:szCs w:val="18"/>
              </w:rPr>
              <w:t>State x Year FE</w:t>
            </w:r>
          </w:p>
        </w:tc>
        <w:tc>
          <w:tcPr>
            <w:tcW w:w="1600" w:type="dxa"/>
            <w:tcBorders>
              <w:top w:val="nil"/>
              <w:left w:val="nil"/>
              <w:bottom w:val="single" w:sz="4" w:space="0" w:color="auto"/>
              <w:right w:val="nil"/>
            </w:tcBorders>
            <w:shd w:val="clear" w:color="auto" w:fill="auto"/>
            <w:noWrap/>
            <w:vAlign w:val="bottom"/>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c>
          <w:tcPr>
            <w:tcW w:w="1600" w:type="dxa"/>
            <w:tcBorders>
              <w:top w:val="nil"/>
              <w:left w:val="nil"/>
              <w:bottom w:val="single" w:sz="4" w:space="0" w:color="auto"/>
              <w:right w:val="nil"/>
            </w:tcBorders>
            <w:shd w:val="clear" w:color="auto" w:fill="auto"/>
            <w:noWrap/>
            <w:vAlign w:val="center"/>
            <w:hideMark/>
          </w:tcPr>
          <w:p w:rsidR="00B33978" w:rsidRPr="00BF5E94" w:rsidRDefault="00B33978" w:rsidP="00B33978">
            <w:pPr>
              <w:spacing w:after="0" w:line="240" w:lineRule="auto"/>
              <w:jc w:val="center"/>
              <w:rPr>
                <w:rFonts w:ascii="Arial" w:eastAsia="Times New Roman" w:hAnsi="Arial" w:cs="Arial"/>
                <w:sz w:val="18"/>
                <w:szCs w:val="18"/>
              </w:rPr>
            </w:pPr>
            <w:r w:rsidRPr="00BF5E94">
              <w:rPr>
                <w:rFonts w:ascii="Arial" w:eastAsia="Times New Roman" w:hAnsi="Arial" w:cs="Arial"/>
                <w:sz w:val="18"/>
                <w:szCs w:val="18"/>
              </w:rPr>
              <w:t>YES</w:t>
            </w:r>
          </w:p>
        </w:tc>
      </w:tr>
      <w:bookmarkEnd w:id="0"/>
    </w:tbl>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BF5E94">
      <w:pPr>
        <w:spacing w:after="0" w:line="240" w:lineRule="auto"/>
        <w:jc w:val="both"/>
        <w:rPr>
          <w:rFonts w:cs="Times New Roman"/>
        </w:rPr>
      </w:pPr>
    </w:p>
    <w:p w:rsidR="008D52E1" w:rsidRDefault="008D52E1" w:rsidP="008D52E1">
      <w:pPr>
        <w:spacing w:after="0" w:line="240" w:lineRule="auto"/>
        <w:jc w:val="both"/>
        <w:rPr>
          <w:rFonts w:cs="Times New Roman"/>
          <w:b/>
        </w:rPr>
      </w:pPr>
      <w:r>
        <w:rPr>
          <w:rFonts w:cs="Times New Roman"/>
          <w:b/>
        </w:rPr>
        <w:lastRenderedPageBreak/>
        <w:t>4.</w:t>
      </w:r>
      <w:r w:rsidR="0078345C">
        <w:rPr>
          <w:rFonts w:cs="Times New Roman"/>
          <w:b/>
        </w:rPr>
        <w:t>4</w:t>
      </w:r>
      <w:r>
        <w:rPr>
          <w:rFonts w:cs="Times New Roman"/>
          <w:b/>
        </w:rPr>
        <w:t xml:space="preserve"> IV results with the </w:t>
      </w:r>
      <w:r w:rsidR="009444D9">
        <w:rPr>
          <w:rFonts w:cs="Times New Roman"/>
          <w:b/>
        </w:rPr>
        <w:t>sample restricted to counties close to a military base</w:t>
      </w:r>
    </w:p>
    <w:p w:rsidR="008D52E1" w:rsidRDefault="008D52E1" w:rsidP="00BF5E94">
      <w:pPr>
        <w:spacing w:after="0" w:line="240" w:lineRule="auto"/>
        <w:jc w:val="both"/>
        <w:rPr>
          <w:rFonts w:cs="Times New Roman"/>
        </w:rPr>
      </w:pPr>
    </w:p>
    <w:p w:rsidR="00BF5E94" w:rsidRDefault="009444D9" w:rsidP="00BF5E94">
      <w:pPr>
        <w:spacing w:after="0" w:line="240" w:lineRule="auto"/>
        <w:jc w:val="both"/>
        <w:rPr>
          <w:rFonts w:cs="Times New Roman"/>
        </w:rPr>
      </w:pPr>
      <w:r>
        <w:rPr>
          <w:rFonts w:cs="Times New Roman"/>
        </w:rPr>
        <w:t xml:space="preserve">Another concern related to </w:t>
      </w:r>
      <w:r w:rsidR="005029DD">
        <w:rPr>
          <w:rFonts w:cs="Times New Roman"/>
        </w:rPr>
        <w:t>the one discussed in section 4.3</w:t>
      </w:r>
      <w:r>
        <w:rPr>
          <w:rFonts w:cs="Times New Roman"/>
        </w:rPr>
        <w:t xml:space="preserve"> above could be that the instrument doesn’t make much sense for the counties in places like Montana and Idaho, which very far away from any military bases.  It shouldn’t matter too much if a county was</w:t>
      </w:r>
      <w:r w:rsidR="00A27E6D">
        <w:rPr>
          <w:rFonts w:cs="Times New Roman"/>
        </w:rPr>
        <w:t xml:space="preserve"> 2500 km or 3,000 km from the camps on average.</w:t>
      </w:r>
      <w:r w:rsidR="00ED18AB">
        <w:rPr>
          <w:rFonts w:cs="Times New Roman"/>
        </w:rPr>
        <w:t xml:space="preserve"> </w:t>
      </w:r>
      <w:r w:rsidR="00A27E6D">
        <w:rPr>
          <w:rFonts w:cs="Times New Roman"/>
        </w:rPr>
        <w:t xml:space="preserve">We can address this concern by deleting from the estimation sample all counties beyond some minimum distance from a military camp.  </w:t>
      </w:r>
      <w:r w:rsidR="006D14F5">
        <w:rPr>
          <w:rFonts w:cs="Times New Roman"/>
        </w:rPr>
        <w:t xml:space="preserve">Among the sample counties, the distance to the closest military base ranges from 0 km to 1,180 km, with a median of about 233 km.  </w:t>
      </w:r>
      <w:r w:rsidR="00CE02E8">
        <w:rPr>
          <w:rFonts w:cs="Times New Roman"/>
        </w:rPr>
        <w:t>In Table A</w:t>
      </w:r>
      <w:r w:rsidR="00504AC5">
        <w:rPr>
          <w:rFonts w:cs="Times New Roman"/>
        </w:rPr>
        <w:t>9</w:t>
      </w:r>
      <w:r w:rsidR="00CE02E8">
        <w:rPr>
          <w:rFonts w:cs="Times New Roman"/>
        </w:rPr>
        <w:t xml:space="preserve">, we present 2SLS estimates using subsets of the sample counties, with those exceeding a given minimum distance to a military </w:t>
      </w:r>
      <w:r w:rsidR="00A27E6D">
        <w:rPr>
          <w:rFonts w:cs="Times New Roman"/>
        </w:rPr>
        <w:t>camp</w:t>
      </w:r>
      <w:r w:rsidR="00CE02E8">
        <w:rPr>
          <w:rFonts w:cs="Times New Roman"/>
        </w:rPr>
        <w:t xml:space="preserve"> excluded.</w:t>
      </w:r>
      <w:r w:rsidR="006D14F5">
        <w:rPr>
          <w:rFonts w:cs="Times New Roman"/>
        </w:rPr>
        <w:t xml:space="preserve">   </w:t>
      </w:r>
    </w:p>
    <w:p w:rsidR="00A27E6D" w:rsidRPr="006D14F5" w:rsidRDefault="00A27E6D" w:rsidP="00BF5E94">
      <w:pPr>
        <w:spacing w:after="0" w:line="240" w:lineRule="auto"/>
        <w:jc w:val="both"/>
        <w:rPr>
          <w:rFonts w:cs="Times New Roman"/>
        </w:rPr>
      </w:pPr>
    </w:p>
    <w:p w:rsidR="006D14F5" w:rsidRDefault="006D14F5" w:rsidP="00BF5E94">
      <w:pPr>
        <w:spacing w:after="0" w:line="240" w:lineRule="auto"/>
        <w:jc w:val="both"/>
        <w:rPr>
          <w:rFonts w:cs="Times New Roman"/>
          <w:b/>
        </w:rPr>
      </w:pPr>
    </w:p>
    <w:p w:rsidR="00A27E6D" w:rsidRPr="00E1139A" w:rsidRDefault="00A27E6D" w:rsidP="00A27E6D">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w:t>
      </w:r>
      <w:r w:rsidR="00504AC5">
        <w:rPr>
          <w:rFonts w:eastAsia="Calibri" w:cs="Times New Roman"/>
          <w:b/>
        </w:rPr>
        <w:t>9</w:t>
      </w:r>
      <w:r w:rsidRPr="00E1139A">
        <w:rPr>
          <w:rFonts w:eastAsia="Calibri" w:cs="Times New Roman"/>
          <w:b/>
        </w:rPr>
        <w:t>:</w:t>
      </w:r>
    </w:p>
    <w:p w:rsidR="00A27E6D" w:rsidRPr="00E1139A" w:rsidRDefault="00A27E6D" w:rsidP="00A27E6D">
      <w:pPr>
        <w:spacing w:after="0" w:line="240" w:lineRule="auto"/>
        <w:jc w:val="center"/>
        <w:rPr>
          <w:rFonts w:eastAsia="Calibri" w:cs="Times New Roman"/>
          <w:b/>
        </w:rPr>
      </w:pPr>
      <w:r>
        <w:rPr>
          <w:rFonts w:eastAsia="Calibri" w:cs="Times New Roman"/>
          <w:b/>
        </w:rPr>
        <w:t>IV Results Dropping Counties Far From Military Camps</w:t>
      </w:r>
    </w:p>
    <w:p w:rsidR="006D14F5" w:rsidRDefault="006D14F5"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tbl>
      <w:tblPr>
        <w:tblW w:w="7580" w:type="dxa"/>
        <w:tblInd w:w="900" w:type="dxa"/>
        <w:tblLook w:val="04A0" w:firstRow="1" w:lastRow="0" w:firstColumn="1" w:lastColumn="0" w:noHBand="0" w:noVBand="1"/>
      </w:tblPr>
      <w:tblGrid>
        <w:gridCol w:w="3040"/>
        <w:gridCol w:w="960"/>
        <w:gridCol w:w="1220"/>
        <w:gridCol w:w="1180"/>
        <w:gridCol w:w="1180"/>
      </w:tblGrid>
      <w:tr w:rsidR="006D14F5" w:rsidRPr="006D14F5" w:rsidTr="006D14F5">
        <w:trPr>
          <w:trHeight w:val="270"/>
        </w:trPr>
        <w:tc>
          <w:tcPr>
            <w:tcW w:w="3040" w:type="dxa"/>
            <w:tcBorders>
              <w:top w:val="double" w:sz="6" w:space="0" w:color="auto"/>
              <w:left w:val="nil"/>
              <w:bottom w:val="nil"/>
              <w:right w:val="nil"/>
            </w:tcBorders>
            <w:shd w:val="clear" w:color="auto" w:fill="auto"/>
            <w:noWrap/>
            <w:vAlign w:val="bottom"/>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 </w:t>
            </w:r>
          </w:p>
        </w:tc>
        <w:tc>
          <w:tcPr>
            <w:tcW w:w="960" w:type="dxa"/>
            <w:tcBorders>
              <w:top w:val="double" w:sz="6" w:space="0" w:color="auto"/>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c>
          <w:tcPr>
            <w:tcW w:w="1220" w:type="dxa"/>
            <w:tcBorders>
              <w:top w:val="double" w:sz="6" w:space="0" w:color="auto"/>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Minimum</w:t>
            </w:r>
          </w:p>
        </w:tc>
        <w:tc>
          <w:tcPr>
            <w:tcW w:w="1180" w:type="dxa"/>
            <w:tcBorders>
              <w:top w:val="double" w:sz="6" w:space="0" w:color="auto"/>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Minimum</w:t>
            </w:r>
          </w:p>
        </w:tc>
        <w:tc>
          <w:tcPr>
            <w:tcW w:w="1180" w:type="dxa"/>
            <w:tcBorders>
              <w:top w:val="double" w:sz="6" w:space="0" w:color="auto"/>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Minimum</w:t>
            </w:r>
          </w:p>
        </w:tc>
      </w:tr>
      <w:tr w:rsidR="006D14F5" w:rsidRPr="006D14F5" w:rsidTr="006D14F5">
        <w:trPr>
          <w:trHeight w:val="255"/>
        </w:trPr>
        <w:tc>
          <w:tcPr>
            <w:tcW w:w="304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Full</w:t>
            </w: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Distance</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Distance</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Distance</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p>
        </w:tc>
        <w:tc>
          <w:tcPr>
            <w:tcW w:w="96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Sample</w:t>
            </w:r>
          </w:p>
        </w:tc>
        <w:tc>
          <w:tcPr>
            <w:tcW w:w="122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xml:space="preserve">&lt; 350 </w:t>
            </w:r>
            <w:r>
              <w:rPr>
                <w:rFonts w:ascii="Arial" w:eastAsia="Times New Roman" w:hAnsi="Arial" w:cs="Arial"/>
                <w:sz w:val="18"/>
                <w:szCs w:val="18"/>
              </w:rPr>
              <w:t>k</w:t>
            </w:r>
            <w:r w:rsidRPr="006D14F5">
              <w:rPr>
                <w:rFonts w:ascii="Arial" w:eastAsia="Times New Roman" w:hAnsi="Arial" w:cs="Arial"/>
                <w:sz w:val="18"/>
                <w:szCs w:val="18"/>
              </w:rPr>
              <w:t>m</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xml:space="preserve">&lt; 250 </w:t>
            </w:r>
            <w:r>
              <w:rPr>
                <w:rFonts w:ascii="Arial" w:eastAsia="Times New Roman" w:hAnsi="Arial" w:cs="Arial"/>
                <w:sz w:val="18"/>
                <w:szCs w:val="18"/>
              </w:rPr>
              <w:t>k</w:t>
            </w:r>
            <w:r w:rsidRPr="006D14F5">
              <w:rPr>
                <w:rFonts w:ascii="Arial" w:eastAsia="Times New Roman" w:hAnsi="Arial" w:cs="Arial"/>
                <w:sz w:val="18"/>
                <w:szCs w:val="18"/>
              </w:rPr>
              <w:t>m</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xml:space="preserve">&lt; 200 </w:t>
            </w:r>
            <w:r>
              <w:rPr>
                <w:rFonts w:ascii="Arial" w:eastAsia="Times New Roman" w:hAnsi="Arial" w:cs="Arial"/>
                <w:sz w:val="18"/>
                <w:szCs w:val="18"/>
              </w:rPr>
              <w:t>k</w:t>
            </w:r>
            <w:r w:rsidRPr="006D14F5">
              <w:rPr>
                <w:rFonts w:ascii="Arial" w:eastAsia="Times New Roman" w:hAnsi="Arial" w:cs="Arial"/>
                <w:sz w:val="18"/>
                <w:szCs w:val="18"/>
              </w:rPr>
              <w:t>m</w:t>
            </w:r>
          </w:p>
        </w:tc>
      </w:tr>
      <w:tr w:rsidR="006D14F5" w:rsidRPr="006D14F5" w:rsidTr="006D14F5">
        <w:trPr>
          <w:trHeight w:val="255"/>
        </w:trPr>
        <w:tc>
          <w:tcPr>
            <w:tcW w:w="3040" w:type="dxa"/>
            <w:tcBorders>
              <w:top w:val="nil"/>
              <w:left w:val="nil"/>
              <w:bottom w:val="single" w:sz="4" w:space="0" w:color="auto"/>
              <w:right w:val="nil"/>
            </w:tcBorders>
            <w:shd w:val="clear" w:color="auto" w:fill="auto"/>
            <w:noWrap/>
            <w:vAlign w:val="bottom"/>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 </w:t>
            </w:r>
          </w:p>
        </w:tc>
        <w:tc>
          <w:tcPr>
            <w:tcW w:w="960" w:type="dxa"/>
            <w:tcBorders>
              <w:top w:val="nil"/>
              <w:left w:val="nil"/>
              <w:bottom w:val="single" w:sz="4" w:space="0" w:color="auto"/>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(1)</w:t>
            </w:r>
          </w:p>
        </w:tc>
        <w:tc>
          <w:tcPr>
            <w:tcW w:w="1220" w:type="dxa"/>
            <w:tcBorders>
              <w:top w:val="nil"/>
              <w:left w:val="nil"/>
              <w:bottom w:val="single" w:sz="4" w:space="0" w:color="auto"/>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(2)</w:t>
            </w:r>
          </w:p>
        </w:tc>
        <w:tc>
          <w:tcPr>
            <w:tcW w:w="1180" w:type="dxa"/>
            <w:tcBorders>
              <w:top w:val="nil"/>
              <w:left w:val="nil"/>
              <w:bottom w:val="single" w:sz="4" w:space="0" w:color="auto"/>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(3)</w:t>
            </w:r>
          </w:p>
        </w:tc>
        <w:tc>
          <w:tcPr>
            <w:tcW w:w="1180" w:type="dxa"/>
            <w:tcBorders>
              <w:top w:val="nil"/>
              <w:left w:val="nil"/>
              <w:bottom w:val="single" w:sz="4" w:space="0" w:color="auto"/>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(4)</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eastAsia="Times New Roman" w:cs="Times New Roman"/>
                <w:sz w:val="20"/>
                <w:szCs w:val="20"/>
              </w:rPr>
            </w:pPr>
          </w:p>
        </w:tc>
        <w:tc>
          <w:tcPr>
            <w:tcW w:w="122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eastAsia="Times New Roman" w:cs="Times New Roman"/>
                <w:sz w:val="20"/>
                <w:szCs w:val="20"/>
              </w:rPr>
            </w:pP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eastAsia="Times New Roman" w:cs="Times New Roman"/>
                <w:sz w:val="20"/>
                <w:szCs w:val="20"/>
              </w:rPr>
            </w:pP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eastAsia="Times New Roman" w:cs="Times New Roman"/>
                <w:sz w:val="20"/>
                <w:szCs w:val="20"/>
              </w:rPr>
            </w:pP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Post-1918 x</w:t>
            </w: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ascii="Arial" w:eastAsia="Times New Roman" w:hAnsi="Arial" w:cs="Arial"/>
                <w:sz w:val="18"/>
                <w:szCs w:val="18"/>
              </w:rPr>
            </w:pP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eastAsia="Times New Roman" w:cs="Times New Roman"/>
                <w:sz w:val="20"/>
                <w:szCs w:val="20"/>
              </w:rPr>
            </w:pP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eastAsia="Times New Roman" w:cs="Times New Roman"/>
                <w:sz w:val="20"/>
                <w:szCs w:val="20"/>
              </w:rPr>
            </w:pP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eastAsia="Times New Roman" w:cs="Times New Roman"/>
                <w:sz w:val="20"/>
                <w:szCs w:val="20"/>
              </w:rPr>
            </w:pP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 xml:space="preserve">   Participation in 4th Liberty Loan</w:t>
            </w: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-29.870*</w:t>
            </w: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-44.466**</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-44.600**</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-39.603+</w:t>
            </w:r>
          </w:p>
        </w:tc>
      </w:tr>
      <w:tr w:rsidR="006D14F5" w:rsidRPr="006D14F5" w:rsidTr="006D14F5">
        <w:trPr>
          <w:trHeight w:val="255"/>
        </w:trPr>
        <w:tc>
          <w:tcPr>
            <w:tcW w:w="304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(14.790)</w:t>
            </w: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(16.521)</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(17.037)</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(21.461)</w:t>
            </w:r>
          </w:p>
        </w:tc>
      </w:tr>
      <w:tr w:rsidR="006D14F5" w:rsidRPr="006D14F5" w:rsidTr="006D14F5">
        <w:trPr>
          <w:trHeight w:val="255"/>
        </w:trPr>
        <w:tc>
          <w:tcPr>
            <w:tcW w:w="304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 </w:t>
            </w:r>
          </w:p>
        </w:tc>
        <w:tc>
          <w:tcPr>
            <w:tcW w:w="96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c>
          <w:tcPr>
            <w:tcW w:w="122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Observations</w:t>
            </w: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9,854</w:t>
            </w: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7,367</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5,867</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4,625</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R-squared</w:t>
            </w: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0.847</w:t>
            </w: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0.829</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0.835</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0.840</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County FE</w:t>
            </w:r>
          </w:p>
        </w:tc>
        <w:tc>
          <w:tcPr>
            <w:tcW w:w="96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22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State x Year FE</w:t>
            </w:r>
          </w:p>
        </w:tc>
        <w:tc>
          <w:tcPr>
            <w:tcW w:w="96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22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r>
      <w:tr w:rsidR="006D14F5" w:rsidRPr="006D14F5" w:rsidTr="006D14F5">
        <w:trPr>
          <w:trHeight w:val="255"/>
        </w:trPr>
        <w:tc>
          <w:tcPr>
            <w:tcW w:w="304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Number of counties</w:t>
            </w:r>
          </w:p>
        </w:tc>
        <w:tc>
          <w:tcPr>
            <w:tcW w:w="96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1,426 </w:t>
            </w:r>
          </w:p>
        </w:tc>
        <w:tc>
          <w:tcPr>
            <w:tcW w:w="122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1,056</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841</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663</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eastAsia="Times New Roman" w:cs="Times New Roman"/>
                <w:sz w:val="20"/>
                <w:szCs w:val="20"/>
              </w:rPr>
            </w:pPr>
          </w:p>
        </w:tc>
        <w:tc>
          <w:tcPr>
            <w:tcW w:w="122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eastAsia="Times New Roman" w:cs="Times New Roman"/>
                <w:sz w:val="20"/>
                <w:szCs w:val="20"/>
              </w:rPr>
            </w:pP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eastAsia="Times New Roman" w:cs="Times New Roman"/>
                <w:sz w:val="20"/>
                <w:szCs w:val="20"/>
              </w:rPr>
            </w:pP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eastAsia="Times New Roman" w:cs="Times New Roman"/>
                <w:sz w:val="20"/>
                <w:szCs w:val="20"/>
              </w:rPr>
            </w:pPr>
          </w:p>
        </w:tc>
      </w:tr>
      <w:tr w:rsidR="006D14F5" w:rsidRPr="006D14F5" w:rsidTr="006D14F5">
        <w:trPr>
          <w:trHeight w:val="255"/>
        </w:trPr>
        <w:tc>
          <w:tcPr>
            <w:tcW w:w="304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 </w:t>
            </w:r>
          </w:p>
        </w:tc>
        <w:tc>
          <w:tcPr>
            <w:tcW w:w="4540" w:type="dxa"/>
            <w:gridSpan w:val="4"/>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First-Stage Regressions:</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Post-1918 x</w:t>
            </w: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ascii="Arial" w:eastAsia="Times New Roman" w:hAnsi="Arial" w:cs="Arial"/>
                <w:sz w:val="18"/>
                <w:szCs w:val="18"/>
              </w:rPr>
            </w:pP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eastAsia="Times New Roman" w:cs="Times New Roman"/>
                <w:sz w:val="20"/>
                <w:szCs w:val="20"/>
              </w:rPr>
            </w:pP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eastAsia="Times New Roman" w:cs="Times New Roman"/>
                <w:sz w:val="20"/>
                <w:szCs w:val="20"/>
              </w:rPr>
            </w:pP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rPr>
                <w:rFonts w:eastAsia="Times New Roman" w:cs="Times New Roman"/>
                <w:sz w:val="20"/>
                <w:szCs w:val="20"/>
              </w:rPr>
            </w:pP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 xml:space="preserve">   Mean Distance to Military Camps</w:t>
            </w: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0.016**</w:t>
            </w: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0.021**</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0.020**</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0.017**</w:t>
            </w:r>
          </w:p>
        </w:tc>
      </w:tr>
      <w:tr w:rsidR="006D14F5" w:rsidRPr="006D14F5" w:rsidTr="006D14F5">
        <w:trPr>
          <w:trHeight w:val="255"/>
        </w:trPr>
        <w:tc>
          <w:tcPr>
            <w:tcW w:w="304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(0.003)</w:t>
            </w:r>
          </w:p>
        </w:tc>
        <w:tc>
          <w:tcPr>
            <w:tcW w:w="122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(0.004)</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(0.004)</w:t>
            </w:r>
          </w:p>
        </w:tc>
        <w:tc>
          <w:tcPr>
            <w:tcW w:w="1180" w:type="dxa"/>
            <w:tcBorders>
              <w:top w:val="nil"/>
              <w:left w:val="nil"/>
              <w:bottom w:val="nil"/>
              <w:right w:val="nil"/>
            </w:tcBorders>
            <w:shd w:val="clear" w:color="auto" w:fill="auto"/>
            <w:noWrap/>
            <w:vAlign w:val="bottom"/>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(0.004)</w:t>
            </w:r>
          </w:p>
        </w:tc>
      </w:tr>
      <w:tr w:rsidR="006D14F5" w:rsidRPr="006D14F5" w:rsidTr="006D14F5">
        <w:trPr>
          <w:trHeight w:val="255"/>
        </w:trPr>
        <w:tc>
          <w:tcPr>
            <w:tcW w:w="304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 </w:t>
            </w:r>
          </w:p>
        </w:tc>
        <w:tc>
          <w:tcPr>
            <w:tcW w:w="96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c>
          <w:tcPr>
            <w:tcW w:w="122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 </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Kleibergen-Paap F statistic</w:t>
            </w:r>
          </w:p>
        </w:tc>
        <w:tc>
          <w:tcPr>
            <w:tcW w:w="96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26.6</w:t>
            </w:r>
          </w:p>
        </w:tc>
        <w:tc>
          <w:tcPr>
            <w:tcW w:w="122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26.2</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22.8</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15.9</w:t>
            </w:r>
          </w:p>
        </w:tc>
      </w:tr>
      <w:tr w:rsidR="006D14F5" w:rsidRPr="006D14F5" w:rsidTr="006D14F5">
        <w:trPr>
          <w:trHeight w:val="255"/>
        </w:trPr>
        <w:tc>
          <w:tcPr>
            <w:tcW w:w="304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County FE</w:t>
            </w:r>
          </w:p>
        </w:tc>
        <w:tc>
          <w:tcPr>
            <w:tcW w:w="96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22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nil"/>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r>
      <w:tr w:rsidR="006D14F5" w:rsidRPr="006D14F5" w:rsidTr="006D14F5">
        <w:trPr>
          <w:trHeight w:val="255"/>
        </w:trPr>
        <w:tc>
          <w:tcPr>
            <w:tcW w:w="304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rPr>
                <w:rFonts w:ascii="Arial" w:eastAsia="Times New Roman" w:hAnsi="Arial" w:cs="Arial"/>
                <w:sz w:val="18"/>
                <w:szCs w:val="18"/>
              </w:rPr>
            </w:pPr>
            <w:r w:rsidRPr="006D14F5">
              <w:rPr>
                <w:rFonts w:ascii="Arial" w:eastAsia="Times New Roman" w:hAnsi="Arial" w:cs="Arial"/>
                <w:sz w:val="18"/>
                <w:szCs w:val="18"/>
              </w:rPr>
              <w:t>State x Year FE</w:t>
            </w:r>
          </w:p>
        </w:tc>
        <w:tc>
          <w:tcPr>
            <w:tcW w:w="96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22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c>
          <w:tcPr>
            <w:tcW w:w="1180" w:type="dxa"/>
            <w:tcBorders>
              <w:top w:val="nil"/>
              <w:left w:val="nil"/>
              <w:bottom w:val="single" w:sz="4" w:space="0" w:color="auto"/>
              <w:right w:val="nil"/>
            </w:tcBorders>
            <w:shd w:val="clear" w:color="auto" w:fill="auto"/>
            <w:noWrap/>
            <w:vAlign w:val="center"/>
            <w:hideMark/>
          </w:tcPr>
          <w:p w:rsidR="006D14F5" w:rsidRPr="006D14F5" w:rsidRDefault="006D14F5" w:rsidP="006D14F5">
            <w:pPr>
              <w:spacing w:after="0" w:line="240" w:lineRule="auto"/>
              <w:jc w:val="center"/>
              <w:rPr>
                <w:rFonts w:ascii="Arial" w:eastAsia="Times New Roman" w:hAnsi="Arial" w:cs="Arial"/>
                <w:sz w:val="18"/>
                <w:szCs w:val="18"/>
              </w:rPr>
            </w:pPr>
            <w:r w:rsidRPr="006D14F5">
              <w:rPr>
                <w:rFonts w:ascii="Arial" w:eastAsia="Times New Roman" w:hAnsi="Arial" w:cs="Arial"/>
                <w:sz w:val="18"/>
                <w:szCs w:val="18"/>
              </w:rPr>
              <w:t>YES</w:t>
            </w:r>
          </w:p>
        </w:tc>
      </w:tr>
    </w:tbl>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A27E6D" w:rsidRPr="00A27E6D" w:rsidRDefault="00A27E6D" w:rsidP="00A27E6D">
      <w:pPr>
        <w:spacing w:after="0" w:line="240" w:lineRule="auto"/>
        <w:rPr>
          <w:rFonts w:eastAsia="Times New Roman" w:cs="Times New Roman"/>
          <w:shd w:val="clear" w:color="auto" w:fill="FFFFFF"/>
        </w:rPr>
      </w:pPr>
      <w:r w:rsidRPr="00A27E6D">
        <w:rPr>
          <w:rFonts w:eastAsia="Times New Roman" w:cs="Times New Roman"/>
          <w:shd w:val="clear" w:color="auto" w:fill="FFFFFF"/>
        </w:rPr>
        <w:t xml:space="preserve">Interestingly, when the most distant counties are eliminated from the sample, the IV parameter estimate increases in size, and also becomes more precisely estimated.  </w:t>
      </w:r>
      <w:r>
        <w:rPr>
          <w:rFonts w:eastAsia="Times New Roman" w:cs="Times New Roman"/>
          <w:shd w:val="clear" w:color="auto" w:fill="FFFFFF"/>
        </w:rPr>
        <w:t>This would be</w:t>
      </w:r>
      <w:r w:rsidRPr="00A27E6D">
        <w:rPr>
          <w:rFonts w:eastAsia="Times New Roman" w:cs="Times New Roman"/>
          <w:shd w:val="clear" w:color="auto" w:fill="FFFFFF"/>
        </w:rPr>
        <w:t xml:space="preserve"> consistent the IV </w:t>
      </w:r>
      <w:r>
        <w:rPr>
          <w:rFonts w:eastAsia="Times New Roman" w:cs="Times New Roman"/>
          <w:shd w:val="clear" w:color="auto" w:fill="FFFFFF"/>
        </w:rPr>
        <w:t>not working</w:t>
      </w:r>
      <w:r w:rsidRPr="00A27E6D">
        <w:rPr>
          <w:rFonts w:eastAsia="Times New Roman" w:cs="Times New Roman"/>
          <w:shd w:val="clear" w:color="auto" w:fill="FFFFFF"/>
        </w:rPr>
        <w:t xml:space="preserve"> very well among counties that are a great distance from any military </w:t>
      </w:r>
      <w:r>
        <w:rPr>
          <w:rFonts w:eastAsia="Times New Roman" w:cs="Times New Roman"/>
          <w:shd w:val="clear" w:color="auto" w:fill="FFFFFF"/>
        </w:rPr>
        <w:t>camps</w:t>
      </w:r>
      <w:r w:rsidRPr="00A27E6D">
        <w:rPr>
          <w:rFonts w:eastAsia="Times New Roman" w:cs="Times New Roman"/>
          <w:shd w:val="clear" w:color="auto" w:fill="FFFFFF"/>
        </w:rPr>
        <w:t xml:space="preserve">. </w:t>
      </w:r>
      <w:r>
        <w:rPr>
          <w:rFonts w:eastAsia="Times New Roman" w:cs="Times New Roman"/>
          <w:shd w:val="clear" w:color="auto" w:fill="FFFFFF"/>
        </w:rPr>
        <w:t xml:space="preserve"> In any case, the results are quite robust to the deletion of distant counties.</w:t>
      </w:r>
    </w:p>
    <w:p w:rsidR="00BF5E94" w:rsidRDefault="00BF5E94" w:rsidP="00BF5E94">
      <w:pPr>
        <w:spacing w:after="0" w:line="240" w:lineRule="auto"/>
        <w:jc w:val="both"/>
        <w:rPr>
          <w:rFonts w:cs="Times New Roman"/>
          <w:b/>
        </w:rPr>
      </w:pPr>
    </w:p>
    <w:p w:rsidR="00BF5E94" w:rsidRDefault="00BF5E94" w:rsidP="00BF5E94">
      <w:pPr>
        <w:spacing w:after="0" w:line="240" w:lineRule="auto"/>
        <w:jc w:val="both"/>
        <w:rPr>
          <w:rFonts w:cs="Times New Roman"/>
          <w:b/>
        </w:rPr>
      </w:pPr>
    </w:p>
    <w:p w:rsidR="006575B9" w:rsidRDefault="006575B9" w:rsidP="00A27E6D">
      <w:pPr>
        <w:spacing w:after="0" w:line="240" w:lineRule="auto"/>
        <w:jc w:val="both"/>
        <w:rPr>
          <w:rFonts w:cs="Times New Roman"/>
          <w:b/>
        </w:rPr>
      </w:pPr>
    </w:p>
    <w:p w:rsidR="006575B9" w:rsidRDefault="006575B9" w:rsidP="00A27E6D">
      <w:pPr>
        <w:spacing w:after="0" w:line="240" w:lineRule="auto"/>
        <w:jc w:val="both"/>
        <w:rPr>
          <w:rFonts w:cs="Times New Roman"/>
          <w:b/>
        </w:rPr>
      </w:pPr>
    </w:p>
    <w:p w:rsidR="006575B9" w:rsidRDefault="006575B9" w:rsidP="00A27E6D">
      <w:pPr>
        <w:spacing w:after="0" w:line="240" w:lineRule="auto"/>
        <w:jc w:val="both"/>
        <w:rPr>
          <w:rFonts w:cs="Times New Roman"/>
          <w:b/>
        </w:rPr>
      </w:pPr>
    </w:p>
    <w:p w:rsidR="006575B9" w:rsidRDefault="006575B9" w:rsidP="00A27E6D">
      <w:pPr>
        <w:spacing w:after="0" w:line="240" w:lineRule="auto"/>
        <w:jc w:val="both"/>
        <w:rPr>
          <w:rFonts w:cs="Times New Roman"/>
          <w:b/>
        </w:rPr>
      </w:pPr>
    </w:p>
    <w:p w:rsidR="00BF5E94" w:rsidRDefault="00BF5E94" w:rsidP="00A27E6D">
      <w:pPr>
        <w:spacing w:after="0" w:line="240" w:lineRule="auto"/>
        <w:jc w:val="both"/>
        <w:rPr>
          <w:rFonts w:cs="Times New Roman"/>
          <w:b/>
        </w:rPr>
      </w:pPr>
      <w:r>
        <w:rPr>
          <w:rFonts w:cs="Times New Roman"/>
          <w:b/>
        </w:rPr>
        <w:lastRenderedPageBreak/>
        <w:t>4.</w:t>
      </w:r>
      <w:r w:rsidR="0078345C">
        <w:rPr>
          <w:rFonts w:cs="Times New Roman"/>
          <w:b/>
        </w:rPr>
        <w:t>5</w:t>
      </w:r>
      <w:r>
        <w:rPr>
          <w:rFonts w:cs="Times New Roman"/>
          <w:b/>
        </w:rPr>
        <w:t xml:space="preserve"> </w:t>
      </w:r>
      <w:r w:rsidR="009D4139">
        <w:rPr>
          <w:rFonts w:cs="Times New Roman"/>
          <w:b/>
        </w:rPr>
        <w:t>Alternative Instruments</w:t>
      </w:r>
    </w:p>
    <w:p w:rsidR="00212630" w:rsidRDefault="00212630" w:rsidP="00A27E6D">
      <w:pPr>
        <w:spacing w:after="0" w:line="240" w:lineRule="auto"/>
        <w:jc w:val="both"/>
        <w:rPr>
          <w:rFonts w:cs="Times New Roman"/>
          <w:b/>
        </w:rPr>
      </w:pPr>
    </w:p>
    <w:p w:rsidR="00BF5E94" w:rsidRDefault="002767BE" w:rsidP="00A27E6D">
      <w:pPr>
        <w:spacing w:after="0" w:line="240" w:lineRule="auto"/>
        <w:rPr>
          <w:rFonts w:eastAsia="Times New Roman" w:cs="Times New Roman"/>
        </w:rPr>
      </w:pPr>
      <w:r>
        <w:rPr>
          <w:rFonts w:eastAsia="Times New Roman" w:cs="Times New Roman"/>
        </w:rPr>
        <w:t xml:space="preserve">An important concern regarding the instrument is that it has a strong correlation with longitude—counties in the </w:t>
      </w:r>
      <w:r w:rsidR="005029DD">
        <w:rPr>
          <w:rFonts w:eastAsia="Times New Roman" w:cs="Times New Roman"/>
        </w:rPr>
        <w:t>far w</w:t>
      </w:r>
      <w:r>
        <w:rPr>
          <w:rFonts w:eastAsia="Times New Roman" w:cs="Times New Roman"/>
        </w:rPr>
        <w:t xml:space="preserve">est are treated as being quite far removed from military bases, since they are </w:t>
      </w:r>
      <w:r w:rsidRPr="002767BE">
        <w:rPr>
          <w:rFonts w:eastAsia="Times New Roman" w:cs="Times New Roman"/>
          <w:i/>
          <w:iCs/>
        </w:rPr>
        <w:t>on average</w:t>
      </w:r>
      <w:r>
        <w:rPr>
          <w:rFonts w:eastAsia="Times New Roman" w:cs="Times New Roman"/>
        </w:rPr>
        <w:t>.  But th</w:t>
      </w:r>
      <w:r w:rsidR="005029DD">
        <w:rPr>
          <w:rFonts w:eastAsia="Times New Roman" w:cs="Times New Roman"/>
        </w:rPr>
        <w:t>ere were military bases in the w</w:t>
      </w:r>
      <w:r>
        <w:rPr>
          <w:rFonts w:eastAsia="Times New Roman" w:cs="Times New Roman"/>
        </w:rPr>
        <w:t>est, and some counties that were reasonably close to them should have been more likely to have been exposed to influenza,</w:t>
      </w:r>
      <w:r w:rsidR="005029DD">
        <w:rPr>
          <w:rFonts w:eastAsia="Times New Roman" w:cs="Times New Roman"/>
        </w:rPr>
        <w:t xml:space="preserve"> relative to other w</w:t>
      </w:r>
      <w:bookmarkStart w:id="1" w:name="_GoBack"/>
      <w:bookmarkEnd w:id="1"/>
      <w:r>
        <w:rPr>
          <w:rFonts w:eastAsia="Times New Roman" w:cs="Times New Roman"/>
        </w:rPr>
        <w:t>estern counties that were farther away from those military bases.</w:t>
      </w:r>
    </w:p>
    <w:p w:rsidR="002767BE" w:rsidRDefault="002767BE" w:rsidP="00A27E6D">
      <w:pPr>
        <w:spacing w:after="0" w:line="240" w:lineRule="auto"/>
        <w:rPr>
          <w:rFonts w:eastAsia="Times New Roman" w:cs="Times New Roman"/>
        </w:rPr>
      </w:pPr>
    </w:p>
    <w:p w:rsidR="002767BE" w:rsidRDefault="002767BE" w:rsidP="00A27E6D">
      <w:pPr>
        <w:spacing w:after="0" w:line="240" w:lineRule="auto"/>
        <w:rPr>
          <w:rFonts w:eastAsia="Times New Roman" w:cs="Times New Roman"/>
        </w:rPr>
      </w:pPr>
      <w:r>
        <w:rPr>
          <w:rFonts w:eastAsia="Times New Roman" w:cs="Times New Roman"/>
        </w:rPr>
        <w:t>In this section, we construct alternative versions of the instrument that are less vulnerable to this critique, and show that they produce 2SLS estimates that are substantially similar.</w:t>
      </w:r>
    </w:p>
    <w:p w:rsidR="002767BE" w:rsidRDefault="002767BE" w:rsidP="00A27E6D">
      <w:pPr>
        <w:spacing w:after="0" w:line="240" w:lineRule="auto"/>
        <w:rPr>
          <w:rFonts w:eastAsia="Times New Roman" w:cs="Times New Roman"/>
        </w:rPr>
      </w:pPr>
    </w:p>
    <w:p w:rsidR="002767BE" w:rsidRDefault="002767BE" w:rsidP="00A27E6D">
      <w:pPr>
        <w:spacing w:after="0" w:line="240" w:lineRule="auto"/>
        <w:rPr>
          <w:rFonts w:eastAsia="Times New Roman" w:cs="Times New Roman"/>
        </w:rPr>
      </w:pPr>
      <w:r>
        <w:rPr>
          <w:rFonts w:eastAsia="Times New Roman" w:cs="Times New Roman"/>
        </w:rPr>
        <w:t xml:space="preserve">First, we create a new instrument based on a weighted average of a county’s distance to military </w:t>
      </w:r>
      <w:r w:rsidR="00017DB8">
        <w:rPr>
          <w:rFonts w:eastAsia="Times New Roman" w:cs="Times New Roman"/>
        </w:rPr>
        <w:t>camp</w:t>
      </w:r>
      <w:r>
        <w:rPr>
          <w:rFonts w:eastAsia="Times New Roman" w:cs="Times New Roman"/>
        </w:rPr>
        <w:t>.  Whereas the original instrument was an equal-weighted average</w:t>
      </w:r>
      <w:r w:rsidR="00017DB8">
        <w:rPr>
          <w:rFonts w:eastAsia="Times New Roman" w:cs="Times New Roman"/>
        </w:rPr>
        <w:t xml:space="preserve"> of the distance to every camp</w:t>
      </w:r>
      <w:r>
        <w:rPr>
          <w:rFonts w:eastAsia="Times New Roman" w:cs="Times New Roman"/>
        </w:rPr>
        <w:t xml:space="preserve">, </w:t>
      </w:r>
      <w:r w:rsidR="00302296">
        <w:rPr>
          <w:rFonts w:eastAsia="Times New Roman" w:cs="Times New Roman"/>
        </w:rPr>
        <w:t xml:space="preserve">in the new instrument we apply a much greater weight to the distance to the nearest </w:t>
      </w:r>
      <w:r w:rsidR="00017DB8">
        <w:rPr>
          <w:rFonts w:eastAsia="Times New Roman" w:cs="Times New Roman"/>
        </w:rPr>
        <w:t>camp, and then weight all the rest equally</w:t>
      </w:r>
      <w:r w:rsidR="00302296">
        <w:rPr>
          <w:rFonts w:eastAsia="Times New Roman" w:cs="Times New Roman"/>
        </w:rPr>
        <w:t xml:space="preserve">.  This causes the instrument to take on much lower values for counties located near to one military base, even if they were far from many others.  </w:t>
      </w:r>
    </w:p>
    <w:p w:rsidR="00302296" w:rsidRDefault="00302296" w:rsidP="00A27E6D">
      <w:pPr>
        <w:spacing w:after="0" w:line="240" w:lineRule="auto"/>
        <w:rPr>
          <w:rFonts w:eastAsia="Times New Roman" w:cs="Times New Roman"/>
        </w:rPr>
      </w:pPr>
    </w:p>
    <w:p w:rsidR="007A1835" w:rsidRDefault="00017DB8" w:rsidP="00A27E6D">
      <w:pPr>
        <w:spacing w:after="0" w:line="240" w:lineRule="auto"/>
        <w:rPr>
          <w:rFonts w:eastAsia="Times New Roman" w:cs="Times New Roman"/>
        </w:rPr>
      </w:pPr>
      <w:r>
        <w:rPr>
          <w:rFonts w:eastAsia="Times New Roman" w:cs="Times New Roman"/>
        </w:rPr>
        <w:t>In the first version of this new instrument, we apply five times the weight to the nearest camp than to the other camps.</w:t>
      </w:r>
      <w:r>
        <w:rPr>
          <w:rStyle w:val="FootnoteReference"/>
          <w:rFonts w:eastAsia="Times New Roman" w:cs="Times New Roman"/>
        </w:rPr>
        <w:footnoteReference w:id="1"/>
      </w:r>
      <w:r>
        <w:rPr>
          <w:rFonts w:eastAsia="Times New Roman" w:cs="Times New Roman"/>
        </w:rPr>
        <w:t xml:space="preserve">  We then </w:t>
      </w:r>
      <w:r w:rsidR="007A1835">
        <w:rPr>
          <w:rFonts w:eastAsia="Times New Roman" w:cs="Times New Roman"/>
        </w:rPr>
        <w:t>apply a weight to the nearest camp that is seven times greater than the weight applied to the other camps, and then one that is 10 times greater. The r</w:t>
      </w:r>
      <w:r w:rsidR="002B0303">
        <w:rPr>
          <w:rFonts w:eastAsia="Times New Roman" w:cs="Times New Roman"/>
        </w:rPr>
        <w:t>esults are presented in Table A10</w:t>
      </w:r>
      <w:r w:rsidR="007A1835">
        <w:rPr>
          <w:rFonts w:eastAsia="Times New Roman" w:cs="Times New Roman"/>
        </w:rPr>
        <w:t xml:space="preserve"> below.</w:t>
      </w:r>
    </w:p>
    <w:p w:rsidR="007A1835" w:rsidRPr="00E1139A" w:rsidRDefault="007A1835" w:rsidP="007A1835">
      <w:pPr>
        <w:spacing w:after="0" w:line="240" w:lineRule="auto"/>
        <w:jc w:val="center"/>
        <w:rPr>
          <w:rFonts w:eastAsia="Calibri" w:cs="Times New Roman"/>
          <w:b/>
        </w:rPr>
      </w:pPr>
      <w:r w:rsidRPr="00E1139A">
        <w:rPr>
          <w:rFonts w:eastAsia="Calibri" w:cs="Times New Roman"/>
          <w:b/>
        </w:rPr>
        <w:t xml:space="preserve">Table </w:t>
      </w:r>
      <w:r>
        <w:rPr>
          <w:rFonts w:eastAsia="Calibri" w:cs="Times New Roman"/>
          <w:b/>
        </w:rPr>
        <w:t>A</w:t>
      </w:r>
      <w:r w:rsidR="002B0303">
        <w:rPr>
          <w:rFonts w:eastAsia="Calibri" w:cs="Times New Roman"/>
          <w:b/>
        </w:rPr>
        <w:t>10</w:t>
      </w:r>
      <w:r w:rsidRPr="00E1139A">
        <w:rPr>
          <w:rFonts w:eastAsia="Calibri" w:cs="Times New Roman"/>
          <w:b/>
        </w:rPr>
        <w:t>:</w:t>
      </w:r>
    </w:p>
    <w:p w:rsidR="007A1835" w:rsidRPr="00E1139A" w:rsidRDefault="007A1835" w:rsidP="007A1835">
      <w:pPr>
        <w:spacing w:after="0" w:line="240" w:lineRule="auto"/>
        <w:jc w:val="center"/>
        <w:rPr>
          <w:rFonts w:eastAsia="Calibri" w:cs="Times New Roman"/>
          <w:b/>
        </w:rPr>
      </w:pPr>
      <w:r>
        <w:rPr>
          <w:rFonts w:eastAsia="Calibri" w:cs="Times New Roman"/>
          <w:b/>
        </w:rPr>
        <w:t>IV Results Using Weighted Average Distance to Camp Instrument</w:t>
      </w:r>
    </w:p>
    <w:p w:rsidR="009D4139" w:rsidRDefault="009D4139" w:rsidP="00A27E6D">
      <w:pPr>
        <w:spacing w:after="0" w:line="240" w:lineRule="auto"/>
        <w:rPr>
          <w:rFonts w:eastAsia="Times New Roman" w:cs="Times New Roman"/>
        </w:rPr>
      </w:pPr>
    </w:p>
    <w:tbl>
      <w:tblPr>
        <w:tblW w:w="7560" w:type="dxa"/>
        <w:tblInd w:w="902" w:type="dxa"/>
        <w:tblLook w:val="04A0" w:firstRow="1" w:lastRow="0" w:firstColumn="1" w:lastColumn="0" w:noHBand="0" w:noVBand="1"/>
      </w:tblPr>
      <w:tblGrid>
        <w:gridCol w:w="3420"/>
        <w:gridCol w:w="1067"/>
        <w:gridCol w:w="993"/>
        <w:gridCol w:w="990"/>
        <w:gridCol w:w="1090"/>
      </w:tblGrid>
      <w:tr w:rsidR="009D4139" w:rsidRPr="009D4139" w:rsidTr="009D4139">
        <w:trPr>
          <w:trHeight w:val="20"/>
        </w:trPr>
        <w:tc>
          <w:tcPr>
            <w:tcW w:w="3420" w:type="dxa"/>
            <w:tcBorders>
              <w:top w:val="double" w:sz="6" w:space="0" w:color="auto"/>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1067" w:type="dxa"/>
            <w:tcBorders>
              <w:top w:val="double" w:sz="6" w:space="0" w:color="auto"/>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3073" w:type="dxa"/>
            <w:gridSpan w:val="3"/>
            <w:tcBorders>
              <w:top w:val="double" w:sz="6" w:space="0" w:color="auto"/>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Alternative Instrument:</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3073" w:type="dxa"/>
            <w:gridSpan w:val="3"/>
            <w:tcBorders>
              <w:top w:val="nil"/>
              <w:left w:val="nil"/>
              <w:bottom w:val="single" w:sz="4"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Weight on Nearest Camp is:</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5 x Other</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7 x Other</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10 x Other</w:t>
            </w:r>
          </w:p>
        </w:tc>
      </w:tr>
      <w:tr w:rsidR="009D4139" w:rsidRPr="009D4139" w:rsidTr="009D4139">
        <w:trPr>
          <w:trHeight w:val="20"/>
        </w:trPr>
        <w:tc>
          <w:tcPr>
            <w:tcW w:w="342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Original</w:t>
            </w:r>
          </w:p>
        </w:tc>
        <w:tc>
          <w:tcPr>
            <w:tcW w:w="993"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Camps'</w:t>
            </w:r>
          </w:p>
        </w:tc>
        <w:tc>
          <w:tcPr>
            <w:tcW w:w="99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Camps'</w:t>
            </w:r>
          </w:p>
        </w:tc>
        <w:tc>
          <w:tcPr>
            <w:tcW w:w="109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Camps'</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Instrument</w:t>
            </w:r>
          </w:p>
        </w:tc>
        <w:tc>
          <w:tcPr>
            <w:tcW w:w="993"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Weights</w:t>
            </w:r>
          </w:p>
        </w:tc>
        <w:tc>
          <w:tcPr>
            <w:tcW w:w="9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Weights</w:t>
            </w:r>
          </w:p>
        </w:tc>
        <w:tc>
          <w:tcPr>
            <w:tcW w:w="10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Weights</w:t>
            </w:r>
          </w:p>
        </w:tc>
      </w:tr>
      <w:tr w:rsidR="009D4139" w:rsidRPr="009D4139" w:rsidTr="009D4139">
        <w:trPr>
          <w:trHeight w:val="20"/>
        </w:trPr>
        <w:tc>
          <w:tcPr>
            <w:tcW w:w="342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1067"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w:t>
            </w:r>
          </w:p>
        </w:tc>
        <w:tc>
          <w:tcPr>
            <w:tcW w:w="993"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w:t>
            </w:r>
          </w:p>
        </w:tc>
        <w:tc>
          <w:tcPr>
            <w:tcW w:w="9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(3)</w:t>
            </w:r>
          </w:p>
        </w:tc>
        <w:tc>
          <w:tcPr>
            <w:tcW w:w="10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(4)</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Post-1918 x</w:t>
            </w:r>
          </w:p>
        </w:tc>
        <w:tc>
          <w:tcPr>
            <w:tcW w:w="1067"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color w:val="000000"/>
                <w:sz w:val="18"/>
                <w:szCs w:val="18"/>
              </w:rPr>
            </w:pPr>
          </w:p>
        </w:tc>
        <w:tc>
          <w:tcPr>
            <w:tcW w:w="993"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sz w:val="18"/>
                <w:szCs w:val="18"/>
              </w:rPr>
            </w:pPr>
          </w:p>
        </w:tc>
        <w:tc>
          <w:tcPr>
            <w:tcW w:w="99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sz w:val="18"/>
                <w:szCs w:val="18"/>
              </w:rPr>
            </w:pPr>
          </w:p>
        </w:tc>
        <w:tc>
          <w:tcPr>
            <w:tcW w:w="109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sz w:val="18"/>
                <w:szCs w:val="18"/>
              </w:rPr>
            </w:pP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 xml:space="preserve">   Participation in 4th Liberty Loan</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-29.870*</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-26.107+</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-24.295+</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-21.832</w:t>
            </w:r>
          </w:p>
        </w:tc>
      </w:tr>
      <w:tr w:rsidR="009D4139" w:rsidRPr="009D4139" w:rsidTr="009D4139">
        <w:trPr>
          <w:trHeight w:val="20"/>
        </w:trPr>
        <w:tc>
          <w:tcPr>
            <w:tcW w:w="342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(14.790)</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(14.424)</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(14.306)</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(14.206)</w:t>
            </w:r>
          </w:p>
        </w:tc>
      </w:tr>
      <w:tr w:rsidR="009D4139" w:rsidRPr="009D4139" w:rsidTr="009D4139">
        <w:trPr>
          <w:trHeight w:val="20"/>
        </w:trPr>
        <w:tc>
          <w:tcPr>
            <w:tcW w:w="342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1067"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993"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9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10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Observations</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9,854</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9,854</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9,854</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9,854</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R-squared</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0.847</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0.849</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0.849</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0.849</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County FE</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State x Year FE</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r>
      <w:tr w:rsidR="009D4139" w:rsidRPr="009D4139" w:rsidTr="009D4139">
        <w:trPr>
          <w:trHeight w:val="20"/>
        </w:trPr>
        <w:tc>
          <w:tcPr>
            <w:tcW w:w="342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Number of counties</w:t>
            </w:r>
          </w:p>
        </w:tc>
        <w:tc>
          <w:tcPr>
            <w:tcW w:w="1067"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1,426 </w:t>
            </w:r>
          </w:p>
        </w:tc>
        <w:tc>
          <w:tcPr>
            <w:tcW w:w="993" w:type="dxa"/>
            <w:tcBorders>
              <w:top w:val="nil"/>
              <w:left w:val="nil"/>
              <w:bottom w:val="single" w:sz="8" w:space="0" w:color="auto"/>
              <w:right w:val="nil"/>
            </w:tcBorders>
            <w:shd w:val="clear" w:color="auto" w:fill="auto"/>
            <w:noWrap/>
            <w:vAlign w:val="center"/>
            <w:hideMark/>
          </w:tcPr>
          <w:p w:rsidR="009D4139" w:rsidRPr="009D4139" w:rsidRDefault="009D4139" w:rsidP="00D33642">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1,</w:t>
            </w:r>
            <w:r w:rsidR="00D33642">
              <w:rPr>
                <w:rFonts w:ascii="Arial" w:eastAsia="Times New Roman" w:hAnsi="Arial" w:cs="Arial"/>
                <w:color w:val="000000"/>
                <w:sz w:val="18"/>
                <w:szCs w:val="18"/>
              </w:rPr>
              <w:t>426</w:t>
            </w:r>
          </w:p>
        </w:tc>
        <w:tc>
          <w:tcPr>
            <w:tcW w:w="990" w:type="dxa"/>
            <w:tcBorders>
              <w:top w:val="nil"/>
              <w:left w:val="nil"/>
              <w:bottom w:val="single" w:sz="8" w:space="0" w:color="auto"/>
              <w:right w:val="nil"/>
            </w:tcBorders>
            <w:shd w:val="clear" w:color="auto" w:fill="auto"/>
            <w:noWrap/>
            <w:vAlign w:val="center"/>
            <w:hideMark/>
          </w:tcPr>
          <w:p w:rsidR="009D4139" w:rsidRPr="009D4139" w:rsidRDefault="00D33642" w:rsidP="00D3364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1,426</w:t>
            </w:r>
          </w:p>
        </w:tc>
        <w:tc>
          <w:tcPr>
            <w:tcW w:w="1090" w:type="dxa"/>
            <w:tcBorders>
              <w:top w:val="nil"/>
              <w:left w:val="nil"/>
              <w:bottom w:val="single" w:sz="8" w:space="0" w:color="auto"/>
              <w:right w:val="nil"/>
            </w:tcBorders>
            <w:shd w:val="clear" w:color="auto" w:fill="auto"/>
            <w:noWrap/>
            <w:vAlign w:val="center"/>
            <w:hideMark/>
          </w:tcPr>
          <w:p w:rsidR="009D4139" w:rsidRPr="009D4139" w:rsidRDefault="00D33642" w:rsidP="009D4139">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1,426</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sz w:val="18"/>
                <w:szCs w:val="18"/>
              </w:rPr>
            </w:pPr>
          </w:p>
        </w:tc>
      </w:tr>
      <w:tr w:rsidR="009D4139" w:rsidRPr="009D4139" w:rsidTr="009D4139">
        <w:trPr>
          <w:trHeight w:val="20"/>
        </w:trPr>
        <w:tc>
          <w:tcPr>
            <w:tcW w:w="342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4140" w:type="dxa"/>
            <w:gridSpan w:val="4"/>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First-Stage Regressions:</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Post-1918 x</w:t>
            </w:r>
          </w:p>
        </w:tc>
        <w:tc>
          <w:tcPr>
            <w:tcW w:w="1067"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color w:val="000000"/>
                <w:sz w:val="18"/>
                <w:szCs w:val="18"/>
              </w:rPr>
            </w:pPr>
          </w:p>
        </w:tc>
        <w:tc>
          <w:tcPr>
            <w:tcW w:w="993"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sz w:val="18"/>
                <w:szCs w:val="18"/>
              </w:rPr>
            </w:pPr>
          </w:p>
        </w:tc>
        <w:tc>
          <w:tcPr>
            <w:tcW w:w="99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sz w:val="18"/>
                <w:szCs w:val="18"/>
              </w:rPr>
            </w:pPr>
          </w:p>
        </w:tc>
        <w:tc>
          <w:tcPr>
            <w:tcW w:w="109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rPr>
                <w:rFonts w:ascii="Arial" w:eastAsia="Times New Roman" w:hAnsi="Arial" w:cs="Arial"/>
                <w:sz w:val="18"/>
                <w:szCs w:val="18"/>
              </w:rPr>
            </w:pP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 xml:space="preserve">   Weighted Distance to Military Camps</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0.016**</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0.018**</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0.018**</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0.019**</w:t>
            </w:r>
          </w:p>
        </w:tc>
      </w:tr>
      <w:tr w:rsidR="009D4139" w:rsidRPr="009D4139" w:rsidTr="009D4139">
        <w:trPr>
          <w:trHeight w:val="20"/>
        </w:trPr>
        <w:tc>
          <w:tcPr>
            <w:tcW w:w="3420" w:type="dxa"/>
            <w:tcBorders>
              <w:top w:val="nil"/>
              <w:left w:val="nil"/>
              <w:bottom w:val="nil"/>
              <w:right w:val="nil"/>
            </w:tcBorders>
            <w:shd w:val="clear" w:color="auto" w:fill="auto"/>
            <w:noWrap/>
            <w:vAlign w:val="bottom"/>
            <w:hideMark/>
          </w:tcPr>
          <w:p w:rsidR="009D4139" w:rsidRPr="009D4139" w:rsidRDefault="009D4139" w:rsidP="009D4139">
            <w:pPr>
              <w:spacing w:after="0" w:line="240" w:lineRule="auto"/>
              <w:jc w:val="center"/>
              <w:rPr>
                <w:rFonts w:ascii="Arial" w:eastAsia="Times New Roman" w:hAnsi="Arial" w:cs="Arial"/>
                <w:color w:val="000000"/>
                <w:sz w:val="18"/>
                <w:szCs w:val="18"/>
              </w:rPr>
            </w:pP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(0.003)</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(0.003)</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(0.004)</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(0.004)</w:t>
            </w:r>
          </w:p>
        </w:tc>
      </w:tr>
      <w:tr w:rsidR="009D4139" w:rsidRPr="009D4139" w:rsidTr="009D4139">
        <w:trPr>
          <w:trHeight w:val="20"/>
        </w:trPr>
        <w:tc>
          <w:tcPr>
            <w:tcW w:w="342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1067"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993"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9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c>
          <w:tcPr>
            <w:tcW w:w="10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 </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Kleibergen-Paap F statistic</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26.6</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27.1</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27.1</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26.7</w:t>
            </w:r>
          </w:p>
        </w:tc>
      </w:tr>
      <w:tr w:rsidR="009D4139" w:rsidRPr="009D4139" w:rsidTr="009D4139">
        <w:trPr>
          <w:trHeight w:val="20"/>
        </w:trPr>
        <w:tc>
          <w:tcPr>
            <w:tcW w:w="342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County FE</w:t>
            </w:r>
          </w:p>
        </w:tc>
        <w:tc>
          <w:tcPr>
            <w:tcW w:w="1067"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3"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1090" w:type="dxa"/>
            <w:tcBorders>
              <w:top w:val="nil"/>
              <w:left w:val="nil"/>
              <w:bottom w:val="nil"/>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r>
      <w:tr w:rsidR="009D4139" w:rsidRPr="009D4139" w:rsidTr="009D4139">
        <w:trPr>
          <w:trHeight w:val="20"/>
        </w:trPr>
        <w:tc>
          <w:tcPr>
            <w:tcW w:w="342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rPr>
                <w:rFonts w:ascii="Arial" w:eastAsia="Times New Roman" w:hAnsi="Arial" w:cs="Arial"/>
                <w:color w:val="000000"/>
                <w:sz w:val="18"/>
                <w:szCs w:val="18"/>
              </w:rPr>
            </w:pPr>
            <w:r w:rsidRPr="009D4139">
              <w:rPr>
                <w:rFonts w:ascii="Arial" w:eastAsia="Times New Roman" w:hAnsi="Arial" w:cs="Arial"/>
                <w:color w:val="000000"/>
                <w:sz w:val="18"/>
                <w:szCs w:val="18"/>
              </w:rPr>
              <w:t>State x Year FE</w:t>
            </w:r>
          </w:p>
        </w:tc>
        <w:tc>
          <w:tcPr>
            <w:tcW w:w="1067"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3"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9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c>
          <w:tcPr>
            <w:tcW w:w="1090" w:type="dxa"/>
            <w:tcBorders>
              <w:top w:val="nil"/>
              <w:left w:val="nil"/>
              <w:bottom w:val="single" w:sz="8" w:space="0" w:color="auto"/>
              <w:right w:val="nil"/>
            </w:tcBorders>
            <w:shd w:val="clear" w:color="auto" w:fill="auto"/>
            <w:noWrap/>
            <w:vAlign w:val="center"/>
            <w:hideMark/>
          </w:tcPr>
          <w:p w:rsidR="009D4139" w:rsidRPr="009D4139" w:rsidRDefault="009D4139" w:rsidP="009D4139">
            <w:pPr>
              <w:spacing w:after="0" w:line="240" w:lineRule="auto"/>
              <w:jc w:val="center"/>
              <w:rPr>
                <w:rFonts w:ascii="Arial" w:eastAsia="Times New Roman" w:hAnsi="Arial" w:cs="Arial"/>
                <w:color w:val="000000"/>
                <w:sz w:val="18"/>
                <w:szCs w:val="18"/>
              </w:rPr>
            </w:pPr>
            <w:r w:rsidRPr="009D4139">
              <w:rPr>
                <w:rFonts w:ascii="Arial" w:eastAsia="Times New Roman" w:hAnsi="Arial" w:cs="Arial"/>
                <w:color w:val="000000"/>
                <w:sz w:val="18"/>
                <w:szCs w:val="18"/>
              </w:rPr>
              <w:t>YES</w:t>
            </w:r>
          </w:p>
        </w:tc>
      </w:tr>
    </w:tbl>
    <w:p w:rsidR="009D4139" w:rsidRDefault="009D4139" w:rsidP="00A27E6D">
      <w:pPr>
        <w:spacing w:after="0" w:line="240" w:lineRule="auto"/>
        <w:rPr>
          <w:rFonts w:eastAsia="Times New Roman" w:cs="Times New Roman"/>
        </w:rPr>
      </w:pPr>
    </w:p>
    <w:p w:rsidR="009D4139" w:rsidRDefault="009D4139" w:rsidP="00A27E6D">
      <w:pPr>
        <w:spacing w:after="0" w:line="240" w:lineRule="auto"/>
        <w:rPr>
          <w:rFonts w:eastAsia="Times New Roman" w:cs="Times New Roman"/>
        </w:rPr>
      </w:pPr>
    </w:p>
    <w:p w:rsidR="009D4139" w:rsidRDefault="007A1835" w:rsidP="00A27E6D">
      <w:pPr>
        <w:spacing w:after="0" w:line="240" w:lineRule="auto"/>
        <w:rPr>
          <w:rFonts w:eastAsia="Times New Roman" w:cs="Times New Roman"/>
        </w:rPr>
      </w:pPr>
      <w:r>
        <w:rPr>
          <w:rFonts w:eastAsia="Times New Roman" w:cs="Times New Roman"/>
        </w:rPr>
        <w:lastRenderedPageBreak/>
        <w:t xml:space="preserve">The results are quite consistent with those obtained using the original instrument.  Applying greater weight to the nearest camp in the instrument reduces the magnitude of the 2SLS estimate of the effect of liberty bonds on the Democratic vote share, but not to an extent that is economically or statistically significant. </w:t>
      </w:r>
    </w:p>
    <w:p w:rsidR="009D4139" w:rsidRDefault="009D4139" w:rsidP="00A27E6D">
      <w:pPr>
        <w:spacing w:after="0" w:line="240" w:lineRule="auto"/>
        <w:rPr>
          <w:rFonts w:eastAsia="Times New Roman" w:cs="Times New Roman"/>
        </w:rPr>
      </w:pPr>
    </w:p>
    <w:p w:rsidR="009D4139" w:rsidRDefault="007A1835" w:rsidP="00A27E6D">
      <w:pPr>
        <w:spacing w:after="0" w:line="240" w:lineRule="auto"/>
        <w:rPr>
          <w:rFonts w:eastAsia="Times New Roman" w:cs="Times New Roman"/>
        </w:rPr>
      </w:pPr>
      <w:r>
        <w:rPr>
          <w:rFonts w:eastAsia="Times New Roman" w:cs="Times New Roman"/>
        </w:rPr>
        <w:t>A second approach incorporates the variation in the timing of the onset of the influenza epidemic.  As the data in Figure 5 in the main paper make clear, there was significant variation not only in the severity of the epidemic across cities, but also in its timing.  Its peak (as measured in weekly deaths) was somewhat later in Portland Oregon than in Minneapolis</w:t>
      </w:r>
      <w:r w:rsidR="003E33FB">
        <w:rPr>
          <w:rFonts w:eastAsia="Times New Roman" w:cs="Times New Roman"/>
        </w:rPr>
        <w:t xml:space="preserve">, and both of those city’s peaks occurred well after Philadelphia’s.  The data in the Figure seem to suggest that the campaign for the fourth loan was likely disrupted to a greater extent in cities where the outbreak peaked earlier, as those cities experienced a higher death toll during the campaign itself.  In contrast, in cities where the peak deaths occurred much later, the loan campaigns were likely disrupted to a lesser extent.  </w:t>
      </w:r>
    </w:p>
    <w:p w:rsidR="009D4139" w:rsidRDefault="009D4139" w:rsidP="00A27E6D">
      <w:pPr>
        <w:spacing w:after="0" w:line="240" w:lineRule="auto"/>
        <w:rPr>
          <w:rFonts w:eastAsia="Times New Roman" w:cs="Times New Roman"/>
        </w:rPr>
      </w:pPr>
    </w:p>
    <w:p w:rsidR="003E33FB" w:rsidRDefault="003E33FB" w:rsidP="00A27E6D">
      <w:pPr>
        <w:spacing w:after="0" w:line="240" w:lineRule="auto"/>
        <w:rPr>
          <w:rFonts w:eastAsia="Times New Roman" w:cs="Times New Roman"/>
        </w:rPr>
      </w:pPr>
      <w:r>
        <w:rPr>
          <w:rFonts w:eastAsia="Times New Roman" w:cs="Times New Roman"/>
        </w:rPr>
        <w:t>Unfortunately, high-frequency influenza death data are available only for a handful of American cities during this period, and in some cases only become available once the outbreak was well underway—the epidemic itself caused local officials to begin compiling the data.</w:t>
      </w:r>
    </w:p>
    <w:p w:rsidR="003E33FB" w:rsidRDefault="003E33FB" w:rsidP="00A27E6D">
      <w:pPr>
        <w:spacing w:after="0" w:line="240" w:lineRule="auto"/>
        <w:rPr>
          <w:rFonts w:eastAsia="Times New Roman" w:cs="Times New Roman"/>
        </w:rPr>
      </w:pPr>
    </w:p>
    <w:p w:rsidR="003E33FB" w:rsidRDefault="003E33FB" w:rsidP="00A27E6D">
      <w:pPr>
        <w:spacing w:after="0" w:line="240" w:lineRule="auto"/>
        <w:rPr>
          <w:rFonts w:eastAsia="Times New Roman" w:cs="Times New Roman"/>
        </w:rPr>
      </w:pPr>
      <w:r>
        <w:rPr>
          <w:rFonts w:eastAsia="Times New Roman" w:cs="Times New Roman"/>
        </w:rPr>
        <w:t xml:space="preserve">However, some (relatively rough) data has been compiled for the timing of the first appearance of influenza around the country.  If these data provide a reliable indication of the </w:t>
      </w:r>
      <w:r w:rsidR="00BF3294">
        <w:rPr>
          <w:rFonts w:eastAsia="Times New Roman" w:cs="Times New Roman"/>
        </w:rPr>
        <w:t>timing of the occurrence of significant numbers of illnesses and deaths (and public health efforts to contain the epidemic), then these data could be used to create an instrument that would provide a plausibly exogenous source of variation in the participation rates for the fourth loan.</w:t>
      </w:r>
    </w:p>
    <w:p w:rsidR="00EA3A8B" w:rsidRDefault="00EA3A8B" w:rsidP="00A27E6D">
      <w:pPr>
        <w:spacing w:after="0" w:line="240" w:lineRule="auto"/>
        <w:ind w:left="720" w:hanging="720"/>
        <w:rPr>
          <w:rFonts w:eastAsia="Times New Roman" w:cs="Times New Roman"/>
        </w:rPr>
      </w:pPr>
    </w:p>
    <w:p w:rsidR="00A27E6D" w:rsidRDefault="00EA3A8B" w:rsidP="00A27E6D">
      <w:pPr>
        <w:spacing w:after="0" w:line="240" w:lineRule="auto"/>
        <w:rPr>
          <w:rFonts w:eastAsia="Times New Roman" w:cs="Times New Roman"/>
        </w:rPr>
      </w:pPr>
      <w:r>
        <w:rPr>
          <w:rFonts w:eastAsia="Times New Roman" w:cs="Times New Roman"/>
        </w:rPr>
        <w:t>Crosby (2003</w:t>
      </w:r>
      <w:r w:rsidR="00A27E6D">
        <w:rPr>
          <w:rFonts w:eastAsia="Times New Roman" w:cs="Times New Roman"/>
        </w:rPr>
        <w:t xml:space="preserve">: p. 65) presents a figure that shows the timing of the arrival of influenza across the different regions of the U.S.  </w:t>
      </w:r>
      <w:r w:rsidR="00D63825">
        <w:rPr>
          <w:rFonts w:eastAsia="Times New Roman" w:cs="Times New Roman"/>
        </w:rPr>
        <w:t>Consistent with our arguments regarding the instrument used in the paper, the figure, reproduced below</w:t>
      </w:r>
      <w:r w:rsidR="0078345C">
        <w:rPr>
          <w:rFonts w:eastAsia="Times New Roman" w:cs="Times New Roman"/>
        </w:rPr>
        <w:t xml:space="preserve"> as Figure A11</w:t>
      </w:r>
      <w:r w:rsidR="00D63825">
        <w:rPr>
          <w:rFonts w:eastAsia="Times New Roman" w:cs="Times New Roman"/>
        </w:rPr>
        <w:t>, shows a clear correlation between the timing of the arrival of the epidemic, and the location of military camps.  But we can use the data on the timing of the arrival of influenza to construct a new instrument that does not have as strong a correlation with longitude as the original instrument.</w:t>
      </w:r>
    </w:p>
    <w:p w:rsidR="00A27E6D" w:rsidRDefault="00A27E6D" w:rsidP="00A27E6D">
      <w:pPr>
        <w:spacing w:after="0" w:line="240" w:lineRule="auto"/>
        <w:rPr>
          <w:rFonts w:eastAsia="Times New Roman" w:cs="Times New Roman"/>
        </w:rPr>
      </w:pPr>
    </w:p>
    <w:p w:rsidR="00BF3294" w:rsidRDefault="00BF3294" w:rsidP="00BF3294">
      <w:pPr>
        <w:spacing w:after="0" w:line="480" w:lineRule="auto"/>
        <w:ind w:left="720" w:hanging="720"/>
        <w:jc w:val="center"/>
        <w:rPr>
          <w:rFonts w:eastAsia="Times New Roman" w:cs="Times New Roman"/>
        </w:rPr>
      </w:pPr>
      <w:r>
        <w:rPr>
          <w:noProof/>
        </w:rPr>
        <w:drawing>
          <wp:inline distT="0" distB="0" distL="0" distR="0" wp14:anchorId="784437F2" wp14:editId="6C2324F7">
            <wp:extent cx="3103808" cy="21965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6" b="5721"/>
                    <a:stretch/>
                  </pic:blipFill>
                  <pic:spPr bwMode="auto">
                    <a:xfrm rot="10800000">
                      <a:off x="0" y="0"/>
                      <a:ext cx="3146032" cy="2226421"/>
                    </a:xfrm>
                    <a:prstGeom prst="rect">
                      <a:avLst/>
                    </a:prstGeom>
                    <a:noFill/>
                    <a:ln>
                      <a:noFill/>
                    </a:ln>
                    <a:extLst>
                      <a:ext uri="{53640926-AAD7-44D8-BBD7-CCE9431645EC}">
                        <a14:shadowObscured xmlns:a14="http://schemas.microsoft.com/office/drawing/2010/main"/>
                      </a:ext>
                    </a:extLst>
                  </pic:spPr>
                </pic:pic>
              </a:graphicData>
            </a:graphic>
          </wp:inline>
        </w:drawing>
      </w:r>
    </w:p>
    <w:p w:rsidR="00BF3294" w:rsidRDefault="00BF3294" w:rsidP="00BF3294">
      <w:pPr>
        <w:spacing w:after="0" w:line="240" w:lineRule="auto"/>
        <w:jc w:val="center"/>
        <w:rPr>
          <w:rFonts w:eastAsia="Times New Roman" w:cs="Times New Roman"/>
          <w:b/>
        </w:rPr>
      </w:pPr>
      <w:r w:rsidRPr="0040196A">
        <w:rPr>
          <w:rFonts w:eastAsia="Times New Roman" w:cs="Times New Roman"/>
          <w:b/>
        </w:rPr>
        <w:t>Figure A</w:t>
      </w:r>
      <w:r>
        <w:rPr>
          <w:rFonts w:eastAsia="Times New Roman" w:cs="Times New Roman"/>
          <w:b/>
        </w:rPr>
        <w:t>11</w:t>
      </w:r>
      <w:r w:rsidRPr="0040196A">
        <w:rPr>
          <w:rFonts w:eastAsia="Times New Roman" w:cs="Times New Roman"/>
          <w:b/>
        </w:rPr>
        <w:t>:</w:t>
      </w:r>
    </w:p>
    <w:p w:rsidR="00BF3294" w:rsidRDefault="00BF3294" w:rsidP="00BF3294">
      <w:pPr>
        <w:spacing w:after="0" w:line="240" w:lineRule="auto"/>
        <w:jc w:val="center"/>
        <w:rPr>
          <w:rFonts w:eastAsia="Times New Roman" w:cs="Times New Roman"/>
          <w:b/>
        </w:rPr>
      </w:pPr>
      <w:r>
        <w:rPr>
          <w:rFonts w:eastAsia="Times New Roman" w:cs="Times New Roman"/>
          <w:b/>
        </w:rPr>
        <w:t>Date of First Appearance of Influenza, From Crosby (2003)</w:t>
      </w:r>
    </w:p>
    <w:p w:rsidR="00500990" w:rsidRDefault="00500990" w:rsidP="00A27E6D">
      <w:pPr>
        <w:spacing w:after="0" w:line="240" w:lineRule="auto"/>
        <w:rPr>
          <w:rFonts w:eastAsia="Times New Roman" w:cs="Times New Roman"/>
        </w:rPr>
      </w:pPr>
    </w:p>
    <w:p w:rsidR="00500990" w:rsidRDefault="00500990" w:rsidP="00A27E6D">
      <w:pPr>
        <w:spacing w:after="0" w:line="240" w:lineRule="auto"/>
        <w:rPr>
          <w:rFonts w:eastAsia="Times New Roman" w:cs="Times New Roman"/>
        </w:rPr>
      </w:pPr>
    </w:p>
    <w:p w:rsidR="00BF3294" w:rsidRDefault="00BF3294" w:rsidP="00BF3294">
      <w:pPr>
        <w:spacing w:after="0" w:line="240" w:lineRule="auto"/>
        <w:rPr>
          <w:rFonts w:eastAsia="Times New Roman" w:cs="Times New Roman"/>
        </w:rPr>
      </w:pPr>
      <w:r>
        <w:rPr>
          <w:rFonts w:eastAsia="Times New Roman" w:cs="Times New Roman"/>
        </w:rPr>
        <w:lastRenderedPageBreak/>
        <w:t xml:space="preserve">The fourth liberty loan campaign was conducted from September 28 to October 18, 1918.  The figure shows that the arrival of influenza ranged from “before Sept. 14” to “after Oct. 5.”  Although in principle the arrival of influenza at any of those times could have disrupted the liberty loan campaign, we argue that the arrival of influenza late in the loan campaign, after October 5, would have meant that it disrupted the loan campaign the least.  This would have meant, for example, that the large rallies and parades conducted at the beginning of the campaign to kick it off would have been conducted at a time when influenza had not yet appeared at all in the area.  </w:t>
      </w:r>
      <w:r w:rsidR="00733CBB">
        <w:rPr>
          <w:rFonts w:eastAsia="Times New Roman" w:cs="Times New Roman"/>
        </w:rPr>
        <w:t>It</w:t>
      </w:r>
      <w:r>
        <w:rPr>
          <w:rFonts w:eastAsia="Times New Roman" w:cs="Times New Roman"/>
        </w:rPr>
        <w:t xml:space="preserve"> is unlikely that there would have been any efforts to </w:t>
      </w:r>
      <w:r w:rsidR="00733CBB">
        <w:rPr>
          <w:rFonts w:eastAsia="Times New Roman" w:cs="Times New Roman"/>
        </w:rPr>
        <w:t>restrict public gatherings or close businesses at that time, and people in the area would not have had much reason to fear attending a large public event.</w:t>
      </w:r>
    </w:p>
    <w:p w:rsidR="00BF3294" w:rsidRDefault="00BF3294" w:rsidP="00BF3294">
      <w:pPr>
        <w:spacing w:after="0" w:line="240" w:lineRule="auto"/>
        <w:rPr>
          <w:rFonts w:eastAsia="Times New Roman" w:cs="Times New Roman"/>
        </w:rPr>
      </w:pPr>
    </w:p>
    <w:p w:rsidR="00BF3294" w:rsidRDefault="00BF3294" w:rsidP="00BF3294">
      <w:pPr>
        <w:spacing w:after="0" w:line="240" w:lineRule="auto"/>
        <w:rPr>
          <w:rFonts w:eastAsia="Times New Roman" w:cs="Times New Roman"/>
        </w:rPr>
      </w:pPr>
      <w:r>
        <w:rPr>
          <w:rFonts w:eastAsia="Times New Roman" w:cs="Times New Roman"/>
        </w:rPr>
        <w:t xml:space="preserve">We scanned the figure from Crosby and superimposed it over a map of the U.S. counties of 1920.  The figure from Crosby is imprecise and difficult to work with, </w:t>
      </w:r>
      <w:r w:rsidR="00733CBB">
        <w:rPr>
          <w:rFonts w:eastAsia="Times New Roman" w:cs="Times New Roman"/>
        </w:rPr>
        <w:t>but our scan of the map is presented</w:t>
      </w:r>
      <w:r>
        <w:rPr>
          <w:rFonts w:eastAsia="Times New Roman" w:cs="Times New Roman"/>
        </w:rPr>
        <w:t xml:space="preserve"> in Figure A12 below</w:t>
      </w:r>
      <w:r w:rsidR="00733CBB">
        <w:rPr>
          <w:rFonts w:eastAsia="Times New Roman" w:cs="Times New Roman"/>
        </w:rPr>
        <w:t>.</w:t>
      </w:r>
    </w:p>
    <w:p w:rsidR="00500990" w:rsidRDefault="00500990" w:rsidP="00A27E6D">
      <w:pPr>
        <w:spacing w:after="0" w:line="240" w:lineRule="auto"/>
        <w:rPr>
          <w:rFonts w:eastAsia="Times New Roman" w:cs="Times New Roman"/>
        </w:rPr>
      </w:pPr>
    </w:p>
    <w:p w:rsidR="00733CBB" w:rsidRDefault="00733CBB" w:rsidP="00733CBB">
      <w:pPr>
        <w:spacing w:after="0" w:line="240" w:lineRule="auto"/>
        <w:ind w:left="720" w:hanging="720"/>
        <w:jc w:val="center"/>
        <w:rPr>
          <w:rFonts w:eastAsia="Times New Roman" w:cs="Times New Roman"/>
        </w:rPr>
      </w:pPr>
      <w:r w:rsidRPr="00500990">
        <w:rPr>
          <w:rFonts w:eastAsia="Times New Roman" w:cs="Times New Roman"/>
          <w:noProof/>
        </w:rPr>
        <w:drawing>
          <wp:inline distT="0" distB="0" distL="0" distR="0" wp14:anchorId="6D386173" wp14:editId="26FF6CEB">
            <wp:extent cx="4017195" cy="2755475"/>
            <wp:effectExtent l="0" t="0" r="2540" b="6985"/>
            <wp:docPr id="9" name="Picture 9" descr="C:\Users\ehilt\Downloads\FluStartDate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ilt\Downloads\FluStartDateMap (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545"/>
                    <a:stretch/>
                  </pic:blipFill>
                  <pic:spPr bwMode="auto">
                    <a:xfrm>
                      <a:off x="0" y="0"/>
                      <a:ext cx="4081764" cy="2799764"/>
                    </a:xfrm>
                    <a:prstGeom prst="rect">
                      <a:avLst/>
                    </a:prstGeom>
                    <a:noFill/>
                    <a:ln>
                      <a:noFill/>
                    </a:ln>
                    <a:extLst>
                      <a:ext uri="{53640926-AAD7-44D8-BBD7-CCE9431645EC}">
                        <a14:shadowObscured xmlns:a14="http://schemas.microsoft.com/office/drawing/2010/main"/>
                      </a:ext>
                    </a:extLst>
                  </pic:spPr>
                </pic:pic>
              </a:graphicData>
            </a:graphic>
          </wp:inline>
        </w:drawing>
      </w:r>
    </w:p>
    <w:p w:rsidR="00733CBB" w:rsidRDefault="00733CBB" w:rsidP="00733CBB">
      <w:pPr>
        <w:spacing w:after="0" w:line="480" w:lineRule="auto"/>
        <w:ind w:left="720" w:hanging="720"/>
        <w:jc w:val="center"/>
        <w:rPr>
          <w:rFonts w:eastAsia="Times New Roman" w:cs="Times New Roman"/>
        </w:rPr>
      </w:pPr>
    </w:p>
    <w:p w:rsidR="00733CBB" w:rsidRDefault="00733CBB" w:rsidP="00733CBB">
      <w:pPr>
        <w:spacing w:after="0" w:line="240" w:lineRule="auto"/>
        <w:jc w:val="center"/>
        <w:rPr>
          <w:rFonts w:eastAsia="Times New Roman" w:cs="Times New Roman"/>
          <w:b/>
        </w:rPr>
      </w:pPr>
      <w:r w:rsidRPr="0040196A">
        <w:rPr>
          <w:rFonts w:eastAsia="Times New Roman" w:cs="Times New Roman"/>
          <w:b/>
        </w:rPr>
        <w:t>Figure A</w:t>
      </w:r>
      <w:r>
        <w:rPr>
          <w:rFonts w:eastAsia="Times New Roman" w:cs="Times New Roman"/>
          <w:b/>
        </w:rPr>
        <w:t>12</w:t>
      </w:r>
      <w:r w:rsidRPr="0040196A">
        <w:rPr>
          <w:rFonts w:eastAsia="Times New Roman" w:cs="Times New Roman"/>
          <w:b/>
        </w:rPr>
        <w:t>:</w:t>
      </w:r>
    </w:p>
    <w:p w:rsidR="00733CBB" w:rsidRDefault="00733CBB" w:rsidP="00733CBB">
      <w:pPr>
        <w:spacing w:after="0" w:line="240" w:lineRule="auto"/>
        <w:jc w:val="center"/>
        <w:rPr>
          <w:rFonts w:eastAsia="Times New Roman" w:cs="Times New Roman"/>
          <w:b/>
        </w:rPr>
      </w:pPr>
      <w:r>
        <w:rPr>
          <w:rFonts w:eastAsia="Times New Roman" w:cs="Times New Roman"/>
          <w:b/>
        </w:rPr>
        <w:t>Dates of First Appearance of the 1919 Influenza Epidemic</w:t>
      </w:r>
    </w:p>
    <w:p w:rsidR="00500990" w:rsidRDefault="00500990" w:rsidP="00A27E6D">
      <w:pPr>
        <w:spacing w:after="0" w:line="240" w:lineRule="auto"/>
        <w:rPr>
          <w:rFonts w:eastAsia="Times New Roman" w:cs="Times New Roman"/>
        </w:rPr>
      </w:pPr>
    </w:p>
    <w:p w:rsidR="00500990" w:rsidRDefault="00733CBB" w:rsidP="00A27E6D">
      <w:pPr>
        <w:spacing w:after="0" w:line="240" w:lineRule="auto"/>
        <w:rPr>
          <w:rFonts w:eastAsia="Times New Roman" w:cs="Times New Roman"/>
        </w:rPr>
      </w:pPr>
      <w:r>
        <w:rPr>
          <w:rFonts w:eastAsia="Times New Roman" w:cs="Times New Roman"/>
        </w:rPr>
        <w:t xml:space="preserve">The counties where the epidemic occurred the latest are shaded in the lightest color in the figure.  Consistent with our expectations, in the counties where the epidemic </w:t>
      </w:r>
      <w:r w:rsidR="00073ABF">
        <w:rPr>
          <w:rFonts w:eastAsia="Times New Roman" w:cs="Times New Roman"/>
        </w:rPr>
        <w:t>appeared</w:t>
      </w:r>
      <w:r>
        <w:rPr>
          <w:rFonts w:eastAsia="Times New Roman" w:cs="Times New Roman"/>
        </w:rPr>
        <w:t xml:space="preserve"> in late September, participation rates in the loan drive were lower.  And in the counties where it appeared much later, participation rates were higher.</w:t>
      </w:r>
    </w:p>
    <w:p w:rsidR="00733CBB" w:rsidRDefault="00733CBB" w:rsidP="00A27E6D">
      <w:pPr>
        <w:spacing w:after="0" w:line="240" w:lineRule="auto"/>
        <w:rPr>
          <w:rFonts w:eastAsia="Times New Roman" w:cs="Times New Roman"/>
        </w:rPr>
      </w:pPr>
    </w:p>
    <w:p w:rsidR="00733CBB" w:rsidRDefault="00733CBB" w:rsidP="00A27E6D">
      <w:pPr>
        <w:spacing w:after="0" w:line="240" w:lineRule="auto"/>
        <w:rPr>
          <w:rFonts w:eastAsia="Times New Roman" w:cs="Times New Roman"/>
        </w:rPr>
      </w:pPr>
      <w:r>
        <w:rPr>
          <w:rFonts w:eastAsia="Times New Roman" w:cs="Times New Roman"/>
        </w:rPr>
        <w:t>To create an instrument, we interact an indicator for late arrival of influenza with the distance to the nearest military camp.</w:t>
      </w:r>
      <w:r w:rsidR="001633BE">
        <w:rPr>
          <w:rStyle w:val="FootnoteReference"/>
          <w:rFonts w:eastAsia="Times New Roman" w:cs="Times New Roman"/>
        </w:rPr>
        <w:footnoteReference w:id="2"/>
      </w:r>
      <w:r>
        <w:rPr>
          <w:rFonts w:eastAsia="Times New Roman" w:cs="Times New Roman"/>
        </w:rPr>
        <w:t xml:space="preserve">  The combination of the late arrival of the epidemic with a greater distance </w:t>
      </w:r>
      <w:r w:rsidR="00073ABF">
        <w:rPr>
          <w:rFonts w:eastAsia="Times New Roman" w:cs="Times New Roman"/>
        </w:rPr>
        <w:t>to</w:t>
      </w:r>
      <w:r>
        <w:rPr>
          <w:rFonts w:eastAsia="Times New Roman" w:cs="Times New Roman"/>
        </w:rPr>
        <w:t xml:space="preserve"> the nearest camp together meant that a county was quite unlikely to have been severely impacted from the epidemic during the loan campaign.</w:t>
      </w:r>
      <w:r w:rsidR="00073ABF">
        <w:rPr>
          <w:rFonts w:eastAsia="Times New Roman" w:cs="Times New Roman"/>
        </w:rPr>
        <w:t xml:space="preserve">  </w:t>
      </w:r>
    </w:p>
    <w:p w:rsidR="00500990" w:rsidRDefault="00500990" w:rsidP="00A27E6D">
      <w:pPr>
        <w:spacing w:after="0" w:line="240" w:lineRule="auto"/>
        <w:rPr>
          <w:rFonts w:eastAsia="Times New Roman" w:cs="Times New Roman"/>
        </w:rPr>
      </w:pPr>
    </w:p>
    <w:p w:rsidR="001633BE" w:rsidRDefault="001633BE" w:rsidP="00A27E6D">
      <w:pPr>
        <w:spacing w:after="0" w:line="240" w:lineRule="auto"/>
        <w:rPr>
          <w:rFonts w:eastAsia="Times New Roman" w:cs="Times New Roman"/>
        </w:rPr>
      </w:pPr>
    </w:p>
    <w:p w:rsidR="00500990" w:rsidRDefault="002B0303" w:rsidP="00A27E6D">
      <w:pPr>
        <w:spacing w:after="0" w:line="240" w:lineRule="auto"/>
        <w:rPr>
          <w:rFonts w:eastAsia="Times New Roman" w:cs="Times New Roman"/>
        </w:rPr>
      </w:pPr>
      <w:r>
        <w:rPr>
          <w:rFonts w:eastAsia="Times New Roman" w:cs="Times New Roman"/>
        </w:rPr>
        <w:lastRenderedPageBreak/>
        <w:t>Table A11</w:t>
      </w:r>
      <w:r w:rsidR="001633BE">
        <w:rPr>
          <w:rFonts w:eastAsia="Times New Roman" w:cs="Times New Roman"/>
        </w:rPr>
        <w:t xml:space="preserve"> presents the results of 2SLS estimation using this alternative instrument in </w:t>
      </w:r>
      <w:r w:rsidR="003A76E6">
        <w:rPr>
          <w:rFonts w:eastAsia="Times New Roman" w:cs="Times New Roman"/>
        </w:rPr>
        <w:t>specifications similar to those of</w:t>
      </w:r>
      <w:r w:rsidR="001633BE">
        <w:rPr>
          <w:rFonts w:eastAsia="Times New Roman" w:cs="Times New Roman"/>
        </w:rPr>
        <w:t xml:space="preserve"> in Table 5 in the paper.  In each case the F-statistic is above 10.  The 2SLS estimates are substantially higher than those with the original instrument, but the effect is reasonably robust to the inclusion of different controls.</w:t>
      </w:r>
    </w:p>
    <w:p w:rsidR="00500990" w:rsidRDefault="00500990" w:rsidP="00A27E6D">
      <w:pPr>
        <w:spacing w:after="0" w:line="240" w:lineRule="auto"/>
        <w:rPr>
          <w:rFonts w:eastAsia="Times New Roman" w:cs="Times New Roman"/>
        </w:rPr>
      </w:pPr>
    </w:p>
    <w:tbl>
      <w:tblPr>
        <w:tblpPr w:leftFromText="180" w:rightFromText="180" w:vertAnchor="page" w:horzAnchor="margin" w:tblpXSpec="center" w:tblpY="3559"/>
        <w:tblW w:w="8460" w:type="dxa"/>
        <w:tblLook w:val="04A0" w:firstRow="1" w:lastRow="0" w:firstColumn="1" w:lastColumn="0" w:noHBand="0" w:noVBand="1"/>
      </w:tblPr>
      <w:tblGrid>
        <w:gridCol w:w="3900"/>
        <w:gridCol w:w="1267"/>
        <w:gridCol w:w="1043"/>
        <w:gridCol w:w="1080"/>
        <w:gridCol w:w="1170"/>
      </w:tblGrid>
      <w:tr w:rsidR="00500990" w:rsidRPr="00500990" w:rsidTr="001633BE">
        <w:trPr>
          <w:trHeight w:val="20"/>
        </w:trPr>
        <w:tc>
          <w:tcPr>
            <w:tcW w:w="3900" w:type="dxa"/>
            <w:tcBorders>
              <w:top w:val="double" w:sz="6" w:space="0" w:color="auto"/>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267" w:type="dxa"/>
            <w:tcBorders>
              <w:top w:val="double" w:sz="6" w:space="0" w:color="auto"/>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w:t>
            </w:r>
          </w:p>
        </w:tc>
        <w:tc>
          <w:tcPr>
            <w:tcW w:w="1043" w:type="dxa"/>
            <w:tcBorders>
              <w:top w:val="double" w:sz="6" w:space="0" w:color="auto"/>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(2)</w:t>
            </w:r>
          </w:p>
        </w:tc>
        <w:tc>
          <w:tcPr>
            <w:tcW w:w="1080" w:type="dxa"/>
            <w:tcBorders>
              <w:top w:val="double" w:sz="6" w:space="0" w:color="auto"/>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(3)</w:t>
            </w:r>
          </w:p>
        </w:tc>
        <w:tc>
          <w:tcPr>
            <w:tcW w:w="1170" w:type="dxa"/>
            <w:tcBorders>
              <w:top w:val="double" w:sz="6" w:space="0" w:color="auto"/>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(4)</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Post-1918 x</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Participation in 4th Liberty Loan</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-76.488+</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-71.999+</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-71.596+</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-68.168+</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(41.442)</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(41.963)</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(41.662)</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(40.992)</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Fraction in Cities of 25,000</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-0.077</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-0.074</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0.277</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-0.211</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(3.637)</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(3.401)</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(3.424)</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(3.285)</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Home Ownership Rate</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-17.098**</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-17.668**</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-17.408**</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-17.299**</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(6.161)</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(5.618)</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(5.413)</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(5.447)</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Change in Crop Income </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0.003</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(0.003)</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Suspended Bank Deposits (1920)</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-23.521</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(18.209)</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Fraction Acres Devoted to Wheat</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-6.650</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(5.725)</w:t>
            </w:r>
          </w:p>
        </w:tc>
      </w:tr>
      <w:tr w:rsidR="00500990" w:rsidRPr="00500990" w:rsidTr="001633BE">
        <w:trPr>
          <w:trHeight w:val="20"/>
        </w:trPr>
        <w:tc>
          <w:tcPr>
            <w:tcW w:w="3900"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267"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043"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080"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170"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Observations</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9,854</w:t>
            </w: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9,837</w:t>
            </w: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9,697</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9,837</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R-squared</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0.827</w:t>
            </w: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0.832</w:t>
            </w: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0.832</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0.834</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County FE</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r>
      <w:tr w:rsidR="00500990" w:rsidRPr="00500990" w:rsidTr="001633BE">
        <w:trPr>
          <w:trHeight w:val="20"/>
        </w:trPr>
        <w:tc>
          <w:tcPr>
            <w:tcW w:w="3900"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State x Year FE</w:t>
            </w:r>
          </w:p>
        </w:tc>
        <w:tc>
          <w:tcPr>
            <w:tcW w:w="1267"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43"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80"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170"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r>
      <w:tr w:rsidR="00073ABF" w:rsidRPr="00500990" w:rsidTr="001633BE">
        <w:trPr>
          <w:trHeight w:val="20"/>
        </w:trPr>
        <w:tc>
          <w:tcPr>
            <w:tcW w:w="3900" w:type="dxa"/>
            <w:tcBorders>
              <w:top w:val="nil"/>
              <w:left w:val="nil"/>
              <w:bottom w:val="single" w:sz="8" w:space="0" w:color="auto"/>
              <w:right w:val="nil"/>
            </w:tcBorders>
            <w:shd w:val="clear" w:color="auto" w:fill="auto"/>
            <w:noWrap/>
            <w:vAlign w:val="center"/>
            <w:hideMark/>
          </w:tcPr>
          <w:p w:rsidR="00073ABF" w:rsidRPr="00500990" w:rsidRDefault="00073ABF"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267" w:type="dxa"/>
            <w:tcBorders>
              <w:top w:val="nil"/>
              <w:left w:val="nil"/>
              <w:bottom w:val="single" w:sz="8" w:space="0" w:color="auto"/>
              <w:right w:val="nil"/>
            </w:tcBorders>
            <w:shd w:val="clear" w:color="auto" w:fill="auto"/>
            <w:noWrap/>
            <w:vAlign w:val="center"/>
            <w:hideMark/>
          </w:tcPr>
          <w:p w:rsidR="00073ABF" w:rsidRPr="00500990" w:rsidRDefault="00073ABF" w:rsidP="001633BE">
            <w:pPr>
              <w:spacing w:after="0" w:line="240" w:lineRule="auto"/>
              <w:jc w:val="center"/>
              <w:rPr>
                <w:rFonts w:ascii="Arial" w:eastAsia="Times New Roman" w:hAnsi="Arial" w:cs="Arial"/>
                <w:color w:val="000000"/>
                <w:sz w:val="18"/>
                <w:szCs w:val="18"/>
              </w:rPr>
            </w:pPr>
          </w:p>
        </w:tc>
        <w:tc>
          <w:tcPr>
            <w:tcW w:w="2123" w:type="dxa"/>
            <w:gridSpan w:val="2"/>
            <w:tcBorders>
              <w:top w:val="nil"/>
              <w:left w:val="nil"/>
              <w:bottom w:val="single" w:sz="8" w:space="0" w:color="auto"/>
              <w:right w:val="nil"/>
            </w:tcBorders>
            <w:shd w:val="clear" w:color="auto" w:fill="auto"/>
            <w:noWrap/>
            <w:vAlign w:val="center"/>
            <w:hideMark/>
          </w:tcPr>
          <w:p w:rsidR="00073ABF" w:rsidRDefault="00073ABF"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p w:rsidR="00073ABF" w:rsidRPr="00500990" w:rsidRDefault="00073ABF" w:rsidP="001633BE">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First-Stage:</w:t>
            </w:r>
          </w:p>
          <w:p w:rsidR="00073ABF" w:rsidRPr="00500990" w:rsidRDefault="00073ABF"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170" w:type="dxa"/>
            <w:tcBorders>
              <w:top w:val="nil"/>
              <w:left w:val="nil"/>
              <w:bottom w:val="single" w:sz="8" w:space="0" w:color="auto"/>
              <w:right w:val="nil"/>
            </w:tcBorders>
            <w:shd w:val="clear" w:color="auto" w:fill="auto"/>
            <w:noWrap/>
            <w:vAlign w:val="center"/>
            <w:hideMark/>
          </w:tcPr>
          <w:p w:rsidR="00073ABF" w:rsidRPr="00500990" w:rsidRDefault="00073ABF"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Post-1918 x</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Late Flu x Distance to Nearest Camp</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0.020**</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0.019**</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0.019**</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0.019**</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(0.006)</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(0.006)</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(0.006)</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(0.006)</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Fraction in Cities of 25,000</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0.083**</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0.075**</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0.076**</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0.074**</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(0.019)</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(0.017)</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(0.017)</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(0.017)</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Home Ownership Rate</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-0.121**</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-0.106**</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-0.101**</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-0.106**</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(0.035)</w:t>
            </w: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(0.031)</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(0.031)</w:t>
            </w: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(0.031)</w:t>
            </w: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Change in Crop Income </w:t>
            </w: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-0.000</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c>
          <w:tcPr>
            <w:tcW w:w="1267"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eastAsia="Times New Roman" w:cs="Times New Roman"/>
                <w:sz w:val="20"/>
                <w:szCs w:val="20"/>
              </w:rPr>
            </w:pPr>
          </w:p>
        </w:tc>
        <w:tc>
          <w:tcPr>
            <w:tcW w:w="1043"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(0.000)</w:t>
            </w: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Suspended Bank Deposits (1920)</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0.283</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eastAsia="Times New Roman" w:cs="Times New Roman"/>
                <w:sz w:val="20"/>
                <w:szCs w:val="20"/>
              </w:rPr>
            </w:pP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eastAsia="Times New Roman" w:cs="Times New Roman"/>
                <w:sz w:val="20"/>
                <w:szCs w:val="20"/>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(0.202)</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p>
        </w:tc>
      </w:tr>
      <w:tr w:rsidR="00500990" w:rsidRPr="00500990" w:rsidTr="001633BE">
        <w:trPr>
          <w:trHeight w:val="20"/>
        </w:trPr>
        <w:tc>
          <w:tcPr>
            <w:tcW w:w="390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xml:space="preserve">   Fraction Acres Devoted to Wheat</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0.004</w:t>
            </w:r>
          </w:p>
        </w:tc>
      </w:tr>
      <w:tr w:rsidR="00500990" w:rsidRPr="00500990" w:rsidTr="001633BE">
        <w:trPr>
          <w:trHeight w:val="20"/>
        </w:trPr>
        <w:tc>
          <w:tcPr>
            <w:tcW w:w="3900" w:type="dxa"/>
            <w:tcBorders>
              <w:top w:val="nil"/>
              <w:left w:val="nil"/>
              <w:bottom w:val="single" w:sz="4" w:space="0" w:color="auto"/>
              <w:right w:val="nil"/>
            </w:tcBorders>
            <w:shd w:val="clear" w:color="auto" w:fill="auto"/>
            <w:noWrap/>
            <w:vAlign w:val="bottom"/>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267"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043"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080" w:type="dxa"/>
            <w:tcBorders>
              <w:top w:val="nil"/>
              <w:left w:val="nil"/>
              <w:bottom w:val="single" w:sz="4"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 </w:t>
            </w:r>
          </w:p>
        </w:tc>
        <w:tc>
          <w:tcPr>
            <w:tcW w:w="1170" w:type="dxa"/>
            <w:tcBorders>
              <w:top w:val="nil"/>
              <w:left w:val="nil"/>
              <w:bottom w:val="single" w:sz="4" w:space="0" w:color="auto"/>
              <w:right w:val="nil"/>
            </w:tcBorders>
            <w:shd w:val="clear" w:color="auto" w:fill="auto"/>
            <w:noWrap/>
            <w:vAlign w:val="bottom"/>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(0.061)</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Kleibergen-Paap F statistic</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10.7</w:t>
            </w: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10.4</w:t>
            </w: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10.2</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10.2</w:t>
            </w:r>
          </w:p>
        </w:tc>
      </w:tr>
      <w:tr w:rsidR="00500990" w:rsidRPr="00500990" w:rsidTr="001633BE">
        <w:trPr>
          <w:trHeight w:val="20"/>
        </w:trPr>
        <w:tc>
          <w:tcPr>
            <w:tcW w:w="390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County FE</w:t>
            </w:r>
          </w:p>
        </w:tc>
        <w:tc>
          <w:tcPr>
            <w:tcW w:w="1267"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43"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8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170" w:type="dxa"/>
            <w:tcBorders>
              <w:top w:val="nil"/>
              <w:left w:val="nil"/>
              <w:bottom w:val="nil"/>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r>
      <w:tr w:rsidR="00500990" w:rsidRPr="00500990" w:rsidTr="001633BE">
        <w:trPr>
          <w:trHeight w:val="20"/>
        </w:trPr>
        <w:tc>
          <w:tcPr>
            <w:tcW w:w="3900"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rPr>
                <w:rFonts w:ascii="Arial" w:eastAsia="Times New Roman" w:hAnsi="Arial" w:cs="Arial"/>
                <w:color w:val="000000"/>
                <w:sz w:val="18"/>
                <w:szCs w:val="18"/>
              </w:rPr>
            </w:pPr>
            <w:r w:rsidRPr="00500990">
              <w:rPr>
                <w:rFonts w:ascii="Arial" w:eastAsia="Times New Roman" w:hAnsi="Arial" w:cs="Arial"/>
                <w:color w:val="000000"/>
                <w:sz w:val="18"/>
                <w:szCs w:val="18"/>
              </w:rPr>
              <w:t>State x Year FE</w:t>
            </w:r>
          </w:p>
        </w:tc>
        <w:tc>
          <w:tcPr>
            <w:tcW w:w="1267"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43"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080"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c>
          <w:tcPr>
            <w:tcW w:w="1170" w:type="dxa"/>
            <w:tcBorders>
              <w:top w:val="nil"/>
              <w:left w:val="nil"/>
              <w:bottom w:val="single" w:sz="8" w:space="0" w:color="auto"/>
              <w:right w:val="nil"/>
            </w:tcBorders>
            <w:shd w:val="clear" w:color="auto" w:fill="auto"/>
            <w:noWrap/>
            <w:vAlign w:val="center"/>
            <w:hideMark/>
          </w:tcPr>
          <w:p w:rsidR="00500990" w:rsidRPr="00500990" w:rsidRDefault="00500990" w:rsidP="001633BE">
            <w:pPr>
              <w:spacing w:after="0" w:line="240" w:lineRule="auto"/>
              <w:jc w:val="center"/>
              <w:rPr>
                <w:rFonts w:ascii="Arial" w:eastAsia="Times New Roman" w:hAnsi="Arial" w:cs="Arial"/>
                <w:color w:val="000000"/>
                <w:sz w:val="18"/>
                <w:szCs w:val="18"/>
              </w:rPr>
            </w:pPr>
            <w:r w:rsidRPr="00500990">
              <w:rPr>
                <w:rFonts w:ascii="Arial" w:eastAsia="Times New Roman" w:hAnsi="Arial" w:cs="Arial"/>
                <w:color w:val="000000"/>
                <w:sz w:val="18"/>
                <w:szCs w:val="18"/>
              </w:rPr>
              <w:t>YES</w:t>
            </w:r>
          </w:p>
        </w:tc>
      </w:tr>
    </w:tbl>
    <w:p w:rsidR="00500990" w:rsidRDefault="00500990" w:rsidP="00A27E6D">
      <w:pPr>
        <w:spacing w:after="0" w:line="240" w:lineRule="auto"/>
        <w:rPr>
          <w:rFonts w:eastAsia="Times New Roman" w:cs="Times New Roman"/>
        </w:rPr>
      </w:pPr>
    </w:p>
    <w:p w:rsidR="00073ABF" w:rsidRPr="00E1139A" w:rsidRDefault="00073ABF" w:rsidP="00073ABF">
      <w:pPr>
        <w:spacing w:after="0" w:line="240" w:lineRule="auto"/>
        <w:jc w:val="center"/>
        <w:rPr>
          <w:rFonts w:eastAsia="Calibri" w:cs="Times New Roman"/>
          <w:b/>
        </w:rPr>
      </w:pPr>
      <w:r w:rsidRPr="00E1139A">
        <w:rPr>
          <w:rFonts w:eastAsia="Calibri" w:cs="Times New Roman"/>
          <w:b/>
        </w:rPr>
        <w:t xml:space="preserve">Table </w:t>
      </w:r>
      <w:r w:rsidR="002B0303">
        <w:rPr>
          <w:rFonts w:eastAsia="Calibri" w:cs="Times New Roman"/>
          <w:b/>
        </w:rPr>
        <w:t>A11</w:t>
      </w:r>
      <w:r w:rsidRPr="00E1139A">
        <w:rPr>
          <w:rFonts w:eastAsia="Calibri" w:cs="Times New Roman"/>
          <w:b/>
        </w:rPr>
        <w:t>:</w:t>
      </w:r>
    </w:p>
    <w:p w:rsidR="00073ABF" w:rsidRDefault="00073ABF" w:rsidP="00073ABF">
      <w:pPr>
        <w:spacing w:after="0" w:line="240" w:lineRule="auto"/>
        <w:jc w:val="center"/>
        <w:rPr>
          <w:rFonts w:eastAsia="Calibri" w:cs="Times New Roman"/>
          <w:b/>
        </w:rPr>
      </w:pPr>
      <w:r>
        <w:rPr>
          <w:rFonts w:eastAsia="Calibri" w:cs="Times New Roman"/>
          <w:b/>
        </w:rPr>
        <w:t>IV Results Using Alternative Instrument</w:t>
      </w:r>
    </w:p>
    <w:p w:rsidR="00073ABF" w:rsidRPr="00E1139A" w:rsidRDefault="00073ABF" w:rsidP="00073ABF">
      <w:pPr>
        <w:spacing w:after="0" w:line="240" w:lineRule="auto"/>
        <w:rPr>
          <w:rFonts w:eastAsia="Calibri" w:cs="Times New Roman"/>
          <w:b/>
        </w:rPr>
      </w:pPr>
    </w:p>
    <w:p w:rsidR="00500990" w:rsidRDefault="00500990" w:rsidP="00A27E6D">
      <w:pPr>
        <w:spacing w:after="0" w:line="240" w:lineRule="auto"/>
        <w:rPr>
          <w:rFonts w:eastAsia="Times New Roman" w:cs="Times New Roman"/>
        </w:rPr>
      </w:pPr>
    </w:p>
    <w:p w:rsidR="00500990" w:rsidRDefault="00500990" w:rsidP="00A27E6D">
      <w:pPr>
        <w:spacing w:after="0" w:line="240" w:lineRule="auto"/>
        <w:rPr>
          <w:rFonts w:eastAsia="Times New Roman" w:cs="Times New Roman"/>
        </w:rPr>
      </w:pPr>
    </w:p>
    <w:p w:rsidR="00500990" w:rsidRDefault="00500990" w:rsidP="00A27E6D">
      <w:pPr>
        <w:spacing w:after="0" w:line="240" w:lineRule="auto"/>
        <w:rPr>
          <w:rFonts w:eastAsia="Times New Roman" w:cs="Times New Roman"/>
        </w:rPr>
      </w:pPr>
    </w:p>
    <w:p w:rsidR="00500990" w:rsidRDefault="00500990" w:rsidP="00A27E6D">
      <w:pPr>
        <w:spacing w:after="0" w:line="240" w:lineRule="auto"/>
        <w:rPr>
          <w:rFonts w:eastAsia="Times New Roman" w:cs="Times New Roman"/>
        </w:rPr>
      </w:pPr>
    </w:p>
    <w:p w:rsidR="006575B9" w:rsidRDefault="006575B9" w:rsidP="00BF5E94">
      <w:pPr>
        <w:spacing w:after="0" w:line="240" w:lineRule="auto"/>
        <w:rPr>
          <w:b/>
          <w:sz w:val="24"/>
          <w:szCs w:val="24"/>
        </w:rPr>
      </w:pPr>
    </w:p>
    <w:p w:rsidR="00073ABF" w:rsidRDefault="00073ABF" w:rsidP="00BF5E94">
      <w:pPr>
        <w:spacing w:after="0" w:line="240" w:lineRule="auto"/>
        <w:rPr>
          <w:b/>
          <w:sz w:val="24"/>
          <w:szCs w:val="24"/>
        </w:rPr>
      </w:pPr>
    </w:p>
    <w:p w:rsidR="00BF5E94" w:rsidRDefault="00BF5E94" w:rsidP="00BF5E94">
      <w:pPr>
        <w:spacing w:after="0" w:line="240" w:lineRule="auto"/>
        <w:rPr>
          <w:b/>
          <w:sz w:val="24"/>
          <w:szCs w:val="24"/>
        </w:rPr>
      </w:pPr>
      <w:r>
        <w:rPr>
          <w:b/>
          <w:sz w:val="24"/>
          <w:szCs w:val="24"/>
        </w:rPr>
        <w:lastRenderedPageBreak/>
        <w:t>5</w:t>
      </w:r>
      <w:r w:rsidRPr="00841F39">
        <w:rPr>
          <w:b/>
          <w:sz w:val="24"/>
          <w:szCs w:val="24"/>
        </w:rPr>
        <w:t xml:space="preserve">. </w:t>
      </w:r>
      <w:r>
        <w:rPr>
          <w:b/>
          <w:sz w:val="24"/>
          <w:szCs w:val="24"/>
        </w:rPr>
        <w:t>State-level analysis</w:t>
      </w:r>
    </w:p>
    <w:p w:rsidR="00270BB2" w:rsidRPr="00841F39" w:rsidRDefault="00270BB2" w:rsidP="00BF5E94">
      <w:pPr>
        <w:spacing w:after="0" w:line="240" w:lineRule="auto"/>
        <w:rPr>
          <w:b/>
          <w:sz w:val="24"/>
          <w:szCs w:val="24"/>
        </w:rPr>
      </w:pPr>
    </w:p>
    <w:p w:rsidR="009F18C6" w:rsidRDefault="009F18C6" w:rsidP="009F18C6">
      <w:pPr>
        <w:spacing w:after="0" w:line="240" w:lineRule="auto"/>
        <w:rPr>
          <w:rFonts w:cs="Times New Roman"/>
        </w:rPr>
      </w:pPr>
      <w:r>
        <w:rPr>
          <w:rFonts w:cs="Times New Roman"/>
          <w:b/>
        </w:rPr>
        <w:tab/>
      </w:r>
      <w:r w:rsidR="002B0303">
        <w:rPr>
          <w:rFonts w:cs="Times New Roman"/>
        </w:rPr>
        <w:t>Table 7</w:t>
      </w:r>
      <w:r>
        <w:rPr>
          <w:rFonts w:cs="Times New Roman"/>
        </w:rPr>
        <w:t xml:space="preserve"> in the paper presents estimates of the effect of liberty bond subscriptions on election outcomes, which the paper then uses to compute counterfactual Democratic vote shares.  Here we show the actual and counterfactual Democratic vote shares for each state.</w:t>
      </w:r>
    </w:p>
    <w:p w:rsidR="009F18C6" w:rsidRDefault="009F18C6" w:rsidP="009F18C6">
      <w:pPr>
        <w:spacing w:after="0" w:line="240" w:lineRule="auto"/>
        <w:rPr>
          <w:rFonts w:cs="Times New Roman"/>
        </w:rPr>
      </w:pPr>
      <w:r>
        <w:rPr>
          <w:rFonts w:cs="Times New Roman"/>
        </w:rPr>
        <w:tab/>
        <w:t>These are presented in Figure A1</w:t>
      </w:r>
      <w:r w:rsidR="00212630">
        <w:rPr>
          <w:rFonts w:cs="Times New Roman"/>
        </w:rPr>
        <w:t>3</w:t>
      </w:r>
      <w:r>
        <w:rPr>
          <w:rFonts w:cs="Times New Roman"/>
        </w:rPr>
        <w:t xml:space="preserve"> below.  The actual Democratic Party vote share in the 1920 presidential election in each state is shown as the solid bar; the outlined bar extending to the right shows the additional vote share that would have been received had there been no liberty bond subscriptions.</w:t>
      </w:r>
    </w:p>
    <w:p w:rsidR="009F18C6" w:rsidRDefault="009F18C6" w:rsidP="009F18C6">
      <w:pPr>
        <w:spacing w:after="0" w:line="240" w:lineRule="auto"/>
        <w:rPr>
          <w:rFonts w:cs="Times New Roman"/>
        </w:rPr>
      </w:pPr>
      <w:r>
        <w:rPr>
          <w:rFonts w:cs="Times New Roman"/>
        </w:rPr>
        <w:tab/>
      </w:r>
      <w:r w:rsidRPr="00A25605">
        <w:rPr>
          <w:rFonts w:cs="Times New Roman"/>
        </w:rPr>
        <w:t xml:space="preserve">As the figure makes clear, the effects of the liberty loans were substantial; setting the subscription rates to zero increases the estimated Democratic Party share significantly in many states.  </w:t>
      </w:r>
    </w:p>
    <w:p w:rsidR="009F18C6" w:rsidRPr="001F2FC0" w:rsidRDefault="009F18C6" w:rsidP="009F18C6">
      <w:pPr>
        <w:spacing w:after="0" w:line="240" w:lineRule="auto"/>
        <w:rPr>
          <w:rFonts w:eastAsia="Times New Roman" w:cs="Times New Roman"/>
        </w:rPr>
      </w:pPr>
    </w:p>
    <w:p w:rsidR="009F18C6" w:rsidRDefault="009F18C6" w:rsidP="009F18C6">
      <w:pPr>
        <w:spacing w:after="0" w:line="240" w:lineRule="auto"/>
        <w:rPr>
          <w:rFonts w:eastAsia="Times New Roman" w:cs="Times New Roman"/>
        </w:rPr>
      </w:pPr>
      <w:r>
        <w:rPr>
          <w:noProof/>
        </w:rPr>
        <w:drawing>
          <wp:inline distT="0" distB="0" distL="0" distR="0" wp14:anchorId="60267EFD" wp14:editId="32A354EC">
            <wp:extent cx="6066430" cy="583232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18C6" w:rsidRDefault="009F18C6" w:rsidP="009F18C6"/>
    <w:p w:rsidR="009B4FBD" w:rsidRPr="00270BB2" w:rsidRDefault="009F18C6" w:rsidP="00270BB2">
      <w:pPr>
        <w:jc w:val="center"/>
        <w:rPr>
          <w:rFonts w:cs="Times New Roman"/>
          <w:b/>
        </w:rPr>
      </w:pPr>
      <w:r w:rsidRPr="00E1139A">
        <w:rPr>
          <w:rFonts w:cs="Times New Roman"/>
          <w:b/>
        </w:rPr>
        <w:t xml:space="preserve">Figure </w:t>
      </w:r>
      <w:r>
        <w:rPr>
          <w:rFonts w:cs="Times New Roman"/>
          <w:b/>
        </w:rPr>
        <w:t>A1</w:t>
      </w:r>
      <w:r w:rsidR="0078345C">
        <w:rPr>
          <w:rFonts w:cs="Times New Roman"/>
          <w:b/>
        </w:rPr>
        <w:t>3</w:t>
      </w:r>
      <w:r w:rsidRPr="00E1139A">
        <w:rPr>
          <w:rFonts w:cs="Times New Roman"/>
          <w:b/>
        </w:rPr>
        <w:t>: Actual and Counterfactual Democratic Party Vote Shares, 1920</w:t>
      </w:r>
    </w:p>
    <w:sectPr w:rsidR="009B4FBD" w:rsidRPr="00270BB2" w:rsidSect="00206038">
      <w:footerReference w:type="defaul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970" w:rsidRDefault="009A2970" w:rsidP="009F18C6">
      <w:pPr>
        <w:spacing w:after="0" w:line="240" w:lineRule="auto"/>
      </w:pPr>
      <w:r>
        <w:separator/>
      </w:r>
    </w:p>
  </w:endnote>
  <w:endnote w:type="continuationSeparator" w:id="0">
    <w:p w:rsidR="009A2970" w:rsidRDefault="009A2970" w:rsidP="009F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150618"/>
      <w:docPartObj>
        <w:docPartGallery w:val="Page Numbers (Bottom of Page)"/>
        <w:docPartUnique/>
      </w:docPartObj>
    </w:sdtPr>
    <w:sdtEndPr>
      <w:rPr>
        <w:rFonts w:cs="Times New Roman"/>
        <w:noProof/>
        <w:sz w:val="20"/>
        <w:szCs w:val="20"/>
      </w:rPr>
    </w:sdtEndPr>
    <w:sdtContent>
      <w:p w:rsidR="00504AC5" w:rsidRPr="009A4B76" w:rsidRDefault="00504AC5">
        <w:pPr>
          <w:pStyle w:val="Footer"/>
          <w:jc w:val="center"/>
          <w:rPr>
            <w:rFonts w:cs="Times New Roman"/>
            <w:sz w:val="20"/>
            <w:szCs w:val="20"/>
          </w:rPr>
        </w:pPr>
        <w:r>
          <w:t>A</w:t>
        </w:r>
        <w:r w:rsidRPr="009A4B76">
          <w:rPr>
            <w:rFonts w:cs="Times New Roman"/>
            <w:sz w:val="20"/>
            <w:szCs w:val="20"/>
          </w:rPr>
          <w:fldChar w:fldCharType="begin"/>
        </w:r>
        <w:r w:rsidRPr="009A4B76">
          <w:rPr>
            <w:rFonts w:cs="Times New Roman"/>
            <w:sz w:val="20"/>
            <w:szCs w:val="20"/>
          </w:rPr>
          <w:instrText xml:space="preserve"> PAGE   \* MERGEFORMAT </w:instrText>
        </w:r>
        <w:r w:rsidRPr="009A4B76">
          <w:rPr>
            <w:rFonts w:cs="Times New Roman"/>
            <w:sz w:val="20"/>
            <w:szCs w:val="20"/>
          </w:rPr>
          <w:fldChar w:fldCharType="separate"/>
        </w:r>
        <w:r w:rsidR="005029DD">
          <w:rPr>
            <w:rFonts w:cs="Times New Roman"/>
            <w:noProof/>
            <w:sz w:val="20"/>
            <w:szCs w:val="20"/>
          </w:rPr>
          <w:t>5</w:t>
        </w:r>
        <w:r w:rsidRPr="009A4B76">
          <w:rPr>
            <w:rFonts w:cs="Times New Roman"/>
            <w:noProof/>
            <w:sz w:val="20"/>
            <w:szCs w:val="20"/>
          </w:rPr>
          <w:fldChar w:fldCharType="end"/>
        </w:r>
      </w:p>
    </w:sdtContent>
  </w:sdt>
  <w:p w:rsidR="00504AC5" w:rsidRDefault="00504AC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4AC5" w:rsidRDefault="00504AC5">
    <w:pPr>
      <w:pStyle w:val="Footer"/>
      <w:jc w:val="center"/>
    </w:pPr>
  </w:p>
  <w:p w:rsidR="00504AC5" w:rsidRDefault="00504AC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970" w:rsidRDefault="009A2970" w:rsidP="009F18C6">
      <w:pPr>
        <w:spacing w:after="0" w:line="240" w:lineRule="auto"/>
      </w:pPr>
      <w:r>
        <w:separator/>
      </w:r>
    </w:p>
  </w:footnote>
  <w:footnote w:type="continuationSeparator" w:id="0">
    <w:p w:rsidR="009A2970" w:rsidRDefault="009A2970" w:rsidP="009F18C6">
      <w:pPr>
        <w:spacing w:after="0" w:line="240" w:lineRule="auto"/>
      </w:pPr>
      <w:r>
        <w:continuationSeparator/>
      </w:r>
    </w:p>
  </w:footnote>
  <w:footnote w:id="1">
    <w:p w:rsidR="00504AC5" w:rsidRDefault="00504AC5">
      <w:pPr>
        <w:pStyle w:val="FootnoteText"/>
      </w:pPr>
      <w:r>
        <w:rPr>
          <w:rStyle w:val="FootnoteReference"/>
        </w:rPr>
        <w:footnoteRef/>
      </w:r>
      <w:r>
        <w:t xml:space="preserve"> Formally, we </w:t>
      </w:r>
      <w:r>
        <w:rPr>
          <w:rFonts w:eastAsia="Times New Roman" w:cs="Times New Roman"/>
        </w:rPr>
        <w:t>assign a weight π to all but the nearest camp, and then 5π to the nearest one.</w:t>
      </w:r>
      <w:r>
        <w:t xml:space="preserve"> As there were 36 military bases, and as the weights must sum to one, this means that the value of </w:t>
      </w:r>
      <w:r>
        <w:rPr>
          <w:rFonts w:eastAsia="Times New Roman" w:cs="Times New Roman"/>
        </w:rPr>
        <w:t>π is fixed by the equation 5π +35π=1.</w:t>
      </w:r>
    </w:p>
  </w:footnote>
  <w:footnote w:id="2">
    <w:p w:rsidR="00504AC5" w:rsidRDefault="00504AC5">
      <w:pPr>
        <w:pStyle w:val="FootnoteText"/>
      </w:pPr>
      <w:r>
        <w:rPr>
          <w:rStyle w:val="FootnoteReference"/>
        </w:rPr>
        <w:footnoteRef/>
      </w:r>
      <w:r>
        <w:t xml:space="preserve"> The distance to the nearest camp, and the indicator for the late arrival of the epidemic, both have the expected signs in the first stage when used individually as instruments, but they are too weak.  The interaction between the two creates an instrument that of sufficient strength by the usual criteria.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D26"/>
    <w:multiLevelType w:val="hybridMultilevel"/>
    <w:tmpl w:val="5956C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E1D35"/>
    <w:multiLevelType w:val="hybridMultilevel"/>
    <w:tmpl w:val="139C9A22"/>
    <w:lvl w:ilvl="0" w:tplc="45FAE5EC">
      <w:start w:val="1"/>
      <w:numFmt w:val="decimal"/>
      <w:lvlText w:val="%1."/>
      <w:lvlJc w:val="left"/>
      <w:pPr>
        <w:ind w:left="720" w:hanging="360"/>
      </w:pPr>
      <w:rPr>
        <w:rFonts w:eastAsia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56493"/>
    <w:multiLevelType w:val="hybridMultilevel"/>
    <w:tmpl w:val="3074580C"/>
    <w:lvl w:ilvl="0" w:tplc="352EB21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02C9C"/>
    <w:multiLevelType w:val="hybridMultilevel"/>
    <w:tmpl w:val="FCBA0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D95BA9"/>
    <w:multiLevelType w:val="hybridMultilevel"/>
    <w:tmpl w:val="F2A672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B6D28"/>
    <w:multiLevelType w:val="hybridMultilevel"/>
    <w:tmpl w:val="70DC2D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742623"/>
    <w:multiLevelType w:val="hybridMultilevel"/>
    <w:tmpl w:val="F5428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112D36"/>
    <w:multiLevelType w:val="hybridMultilevel"/>
    <w:tmpl w:val="4FE20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D5B7AA5"/>
    <w:multiLevelType w:val="hybridMultilevel"/>
    <w:tmpl w:val="74485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31409"/>
    <w:multiLevelType w:val="hybridMultilevel"/>
    <w:tmpl w:val="5942C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5F2009"/>
    <w:multiLevelType w:val="hybridMultilevel"/>
    <w:tmpl w:val="5D72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0"/>
  </w:num>
  <w:num w:numId="4">
    <w:abstractNumId w:val="7"/>
  </w:num>
  <w:num w:numId="5">
    <w:abstractNumId w:val="6"/>
  </w:num>
  <w:num w:numId="6">
    <w:abstractNumId w:val="4"/>
  </w:num>
  <w:num w:numId="7">
    <w:abstractNumId w:val="5"/>
  </w:num>
  <w:num w:numId="8">
    <w:abstractNumId w:val="2"/>
  </w:num>
  <w:num w:numId="9">
    <w:abstractNumId w:val="8"/>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8C6"/>
    <w:rsid w:val="00010D4C"/>
    <w:rsid w:val="00013C10"/>
    <w:rsid w:val="00017DB8"/>
    <w:rsid w:val="00050A18"/>
    <w:rsid w:val="00073ABF"/>
    <w:rsid w:val="0011407A"/>
    <w:rsid w:val="00117D42"/>
    <w:rsid w:val="001633BE"/>
    <w:rsid w:val="001B4745"/>
    <w:rsid w:val="001D40E3"/>
    <w:rsid w:val="00206038"/>
    <w:rsid w:val="00212630"/>
    <w:rsid w:val="00232C37"/>
    <w:rsid w:val="00270BB2"/>
    <w:rsid w:val="002767BE"/>
    <w:rsid w:val="00277B33"/>
    <w:rsid w:val="00296865"/>
    <w:rsid w:val="002B0303"/>
    <w:rsid w:val="002B1AF9"/>
    <w:rsid w:val="002F754C"/>
    <w:rsid w:val="00301B4A"/>
    <w:rsid w:val="00302296"/>
    <w:rsid w:val="00331B82"/>
    <w:rsid w:val="00342608"/>
    <w:rsid w:val="003A0DAF"/>
    <w:rsid w:val="003A3A47"/>
    <w:rsid w:val="003A5604"/>
    <w:rsid w:val="003A76E6"/>
    <w:rsid w:val="003E33FB"/>
    <w:rsid w:val="00403C7E"/>
    <w:rsid w:val="004343B3"/>
    <w:rsid w:val="004372CA"/>
    <w:rsid w:val="004721CF"/>
    <w:rsid w:val="004D2FE8"/>
    <w:rsid w:val="004D61B6"/>
    <w:rsid w:val="00500990"/>
    <w:rsid w:val="005029DD"/>
    <w:rsid w:val="00504AC5"/>
    <w:rsid w:val="00525892"/>
    <w:rsid w:val="00540FD1"/>
    <w:rsid w:val="0055335C"/>
    <w:rsid w:val="005E749F"/>
    <w:rsid w:val="00630FF4"/>
    <w:rsid w:val="006575B9"/>
    <w:rsid w:val="00663148"/>
    <w:rsid w:val="006D14F5"/>
    <w:rsid w:val="006E709B"/>
    <w:rsid w:val="00733CBB"/>
    <w:rsid w:val="0078345C"/>
    <w:rsid w:val="007A1835"/>
    <w:rsid w:val="008224F9"/>
    <w:rsid w:val="008A5A42"/>
    <w:rsid w:val="008D3117"/>
    <w:rsid w:val="008D52E1"/>
    <w:rsid w:val="008E16BB"/>
    <w:rsid w:val="008F5569"/>
    <w:rsid w:val="008F7559"/>
    <w:rsid w:val="009444D9"/>
    <w:rsid w:val="009A2970"/>
    <w:rsid w:val="009A7AAA"/>
    <w:rsid w:val="009B4FBD"/>
    <w:rsid w:val="009C44E1"/>
    <w:rsid w:val="009D4139"/>
    <w:rsid w:val="009F18C6"/>
    <w:rsid w:val="00A27E6D"/>
    <w:rsid w:val="00A83293"/>
    <w:rsid w:val="00AA084D"/>
    <w:rsid w:val="00AC21E8"/>
    <w:rsid w:val="00AD3178"/>
    <w:rsid w:val="00B17778"/>
    <w:rsid w:val="00B33978"/>
    <w:rsid w:val="00BC62CC"/>
    <w:rsid w:val="00BE5700"/>
    <w:rsid w:val="00BF3294"/>
    <w:rsid w:val="00BF5E94"/>
    <w:rsid w:val="00C853E9"/>
    <w:rsid w:val="00C879D5"/>
    <w:rsid w:val="00CA7F5B"/>
    <w:rsid w:val="00CE02E8"/>
    <w:rsid w:val="00CE3E0A"/>
    <w:rsid w:val="00CF15BC"/>
    <w:rsid w:val="00D24CBE"/>
    <w:rsid w:val="00D33642"/>
    <w:rsid w:val="00D63825"/>
    <w:rsid w:val="00D63AF0"/>
    <w:rsid w:val="00D644ED"/>
    <w:rsid w:val="00D81741"/>
    <w:rsid w:val="00D9144D"/>
    <w:rsid w:val="00DA1A96"/>
    <w:rsid w:val="00DA5D53"/>
    <w:rsid w:val="00E10C1A"/>
    <w:rsid w:val="00E50242"/>
    <w:rsid w:val="00E51F38"/>
    <w:rsid w:val="00E64DFB"/>
    <w:rsid w:val="00E64F2E"/>
    <w:rsid w:val="00E765B8"/>
    <w:rsid w:val="00E77EAC"/>
    <w:rsid w:val="00EA3A8B"/>
    <w:rsid w:val="00ED18AB"/>
    <w:rsid w:val="00ED7A56"/>
    <w:rsid w:val="00EE6B5C"/>
    <w:rsid w:val="00F21181"/>
    <w:rsid w:val="00F25CB9"/>
    <w:rsid w:val="00F75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C0F45"/>
  <w15:chartTrackingRefBased/>
  <w15:docId w15:val="{08875F0F-AA2A-49AB-8D0C-8E206972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C6"/>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F18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18C6"/>
    <w:rPr>
      <w:rFonts w:ascii="Times New Roman" w:hAnsi="Times New Roman"/>
      <w:sz w:val="20"/>
      <w:szCs w:val="20"/>
    </w:rPr>
  </w:style>
  <w:style w:type="character" w:styleId="FootnoteReference">
    <w:name w:val="footnote reference"/>
    <w:basedOn w:val="DefaultParagraphFont"/>
    <w:uiPriority w:val="99"/>
    <w:semiHidden/>
    <w:unhideWhenUsed/>
    <w:rsid w:val="009F18C6"/>
    <w:rPr>
      <w:vertAlign w:val="superscript"/>
    </w:rPr>
  </w:style>
  <w:style w:type="table" w:styleId="TableGrid">
    <w:name w:val="Table Grid"/>
    <w:basedOn w:val="TableNormal"/>
    <w:uiPriority w:val="39"/>
    <w:rsid w:val="009F1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8C6"/>
    <w:pPr>
      <w:ind w:left="720"/>
      <w:contextualSpacing/>
    </w:pPr>
  </w:style>
  <w:style w:type="character" w:styleId="Hyperlink">
    <w:name w:val="Hyperlink"/>
    <w:basedOn w:val="DefaultParagraphFont"/>
    <w:uiPriority w:val="99"/>
    <w:unhideWhenUsed/>
    <w:rsid w:val="009F18C6"/>
    <w:rPr>
      <w:color w:val="0563C1" w:themeColor="hyperlink"/>
      <w:u w:val="single"/>
    </w:rPr>
  </w:style>
  <w:style w:type="character" w:styleId="PlaceholderText">
    <w:name w:val="Placeholder Text"/>
    <w:basedOn w:val="DefaultParagraphFont"/>
    <w:uiPriority w:val="99"/>
    <w:semiHidden/>
    <w:rsid w:val="009F18C6"/>
    <w:rPr>
      <w:color w:val="808080"/>
    </w:rPr>
  </w:style>
  <w:style w:type="paragraph" w:styleId="BalloonText">
    <w:name w:val="Balloon Text"/>
    <w:basedOn w:val="Normal"/>
    <w:link w:val="BalloonTextChar"/>
    <w:uiPriority w:val="99"/>
    <w:semiHidden/>
    <w:unhideWhenUsed/>
    <w:rsid w:val="009F18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8C6"/>
    <w:rPr>
      <w:rFonts w:ascii="Tahoma" w:hAnsi="Tahoma" w:cs="Tahoma"/>
      <w:sz w:val="16"/>
      <w:szCs w:val="16"/>
    </w:rPr>
  </w:style>
  <w:style w:type="paragraph" w:styleId="Header">
    <w:name w:val="header"/>
    <w:basedOn w:val="Normal"/>
    <w:link w:val="HeaderChar"/>
    <w:uiPriority w:val="99"/>
    <w:unhideWhenUsed/>
    <w:rsid w:val="009F1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8C6"/>
    <w:rPr>
      <w:rFonts w:ascii="Times New Roman" w:hAnsi="Times New Roman"/>
    </w:rPr>
  </w:style>
  <w:style w:type="paragraph" w:styleId="Footer">
    <w:name w:val="footer"/>
    <w:basedOn w:val="Normal"/>
    <w:link w:val="FooterChar"/>
    <w:uiPriority w:val="99"/>
    <w:unhideWhenUsed/>
    <w:rsid w:val="009F1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8C6"/>
    <w:rPr>
      <w:rFonts w:ascii="Times New Roman" w:hAnsi="Times New Roman"/>
    </w:rPr>
  </w:style>
  <w:style w:type="table" w:customStyle="1" w:styleId="PlainTable41">
    <w:name w:val="Plain Table 41"/>
    <w:basedOn w:val="TableNormal"/>
    <w:uiPriority w:val="44"/>
    <w:rsid w:val="009F18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F18C6"/>
    <w:rPr>
      <w:sz w:val="16"/>
      <w:szCs w:val="16"/>
    </w:rPr>
  </w:style>
  <w:style w:type="paragraph" w:styleId="CommentText">
    <w:name w:val="annotation text"/>
    <w:basedOn w:val="Normal"/>
    <w:link w:val="CommentTextChar"/>
    <w:uiPriority w:val="99"/>
    <w:semiHidden/>
    <w:unhideWhenUsed/>
    <w:rsid w:val="009F18C6"/>
    <w:pPr>
      <w:spacing w:line="240" w:lineRule="auto"/>
    </w:pPr>
    <w:rPr>
      <w:sz w:val="20"/>
      <w:szCs w:val="20"/>
    </w:rPr>
  </w:style>
  <w:style w:type="character" w:customStyle="1" w:styleId="CommentTextChar">
    <w:name w:val="Comment Text Char"/>
    <w:basedOn w:val="DefaultParagraphFont"/>
    <w:link w:val="CommentText"/>
    <w:uiPriority w:val="99"/>
    <w:semiHidden/>
    <w:rsid w:val="009F18C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F18C6"/>
    <w:rPr>
      <w:b/>
      <w:bCs/>
    </w:rPr>
  </w:style>
  <w:style w:type="character" w:customStyle="1" w:styleId="CommentSubjectChar">
    <w:name w:val="Comment Subject Char"/>
    <w:basedOn w:val="CommentTextChar"/>
    <w:link w:val="CommentSubject"/>
    <w:uiPriority w:val="99"/>
    <w:semiHidden/>
    <w:rsid w:val="009F18C6"/>
    <w:rPr>
      <w:rFonts w:ascii="Times New Roman" w:hAnsi="Times New Roman"/>
      <w:b/>
      <w:bCs/>
      <w:sz w:val="20"/>
      <w:szCs w:val="20"/>
    </w:rPr>
  </w:style>
  <w:style w:type="character" w:customStyle="1" w:styleId="nlmstring-name">
    <w:name w:val="nlm_string-name"/>
    <w:basedOn w:val="DefaultParagraphFont"/>
    <w:rsid w:val="009F18C6"/>
  </w:style>
  <w:style w:type="paragraph" w:styleId="NormalWeb">
    <w:name w:val="Normal (Web)"/>
    <w:basedOn w:val="Normal"/>
    <w:uiPriority w:val="99"/>
    <w:unhideWhenUsed/>
    <w:rsid w:val="009F18C6"/>
    <w:pPr>
      <w:spacing w:before="100" w:beforeAutospacing="1" w:after="100" w:afterAutospacing="1" w:line="240" w:lineRule="auto"/>
    </w:pPr>
    <w:rPr>
      <w:rFonts w:eastAsiaTheme="minorEastAs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5042">
      <w:bodyDiv w:val="1"/>
      <w:marLeft w:val="0"/>
      <w:marRight w:val="0"/>
      <w:marTop w:val="0"/>
      <w:marBottom w:val="0"/>
      <w:divBdr>
        <w:top w:val="none" w:sz="0" w:space="0" w:color="auto"/>
        <w:left w:val="none" w:sz="0" w:space="0" w:color="auto"/>
        <w:bottom w:val="none" w:sz="0" w:space="0" w:color="auto"/>
        <w:right w:val="none" w:sz="0" w:space="0" w:color="auto"/>
      </w:divBdr>
    </w:div>
    <w:div w:id="298732732">
      <w:bodyDiv w:val="1"/>
      <w:marLeft w:val="0"/>
      <w:marRight w:val="0"/>
      <w:marTop w:val="0"/>
      <w:marBottom w:val="0"/>
      <w:divBdr>
        <w:top w:val="none" w:sz="0" w:space="0" w:color="auto"/>
        <w:left w:val="none" w:sz="0" w:space="0" w:color="auto"/>
        <w:bottom w:val="none" w:sz="0" w:space="0" w:color="auto"/>
        <w:right w:val="none" w:sz="0" w:space="0" w:color="auto"/>
      </w:divBdr>
    </w:div>
    <w:div w:id="331301709">
      <w:bodyDiv w:val="1"/>
      <w:marLeft w:val="0"/>
      <w:marRight w:val="0"/>
      <w:marTop w:val="0"/>
      <w:marBottom w:val="0"/>
      <w:divBdr>
        <w:top w:val="none" w:sz="0" w:space="0" w:color="auto"/>
        <w:left w:val="none" w:sz="0" w:space="0" w:color="auto"/>
        <w:bottom w:val="none" w:sz="0" w:space="0" w:color="auto"/>
        <w:right w:val="none" w:sz="0" w:space="0" w:color="auto"/>
      </w:divBdr>
    </w:div>
    <w:div w:id="681667309">
      <w:bodyDiv w:val="1"/>
      <w:marLeft w:val="0"/>
      <w:marRight w:val="0"/>
      <w:marTop w:val="0"/>
      <w:marBottom w:val="0"/>
      <w:divBdr>
        <w:top w:val="none" w:sz="0" w:space="0" w:color="auto"/>
        <w:left w:val="none" w:sz="0" w:space="0" w:color="auto"/>
        <w:bottom w:val="none" w:sz="0" w:space="0" w:color="auto"/>
        <w:right w:val="none" w:sz="0" w:space="0" w:color="auto"/>
      </w:divBdr>
    </w:div>
    <w:div w:id="862400541">
      <w:bodyDiv w:val="1"/>
      <w:marLeft w:val="0"/>
      <w:marRight w:val="0"/>
      <w:marTop w:val="0"/>
      <w:marBottom w:val="0"/>
      <w:divBdr>
        <w:top w:val="none" w:sz="0" w:space="0" w:color="auto"/>
        <w:left w:val="none" w:sz="0" w:space="0" w:color="auto"/>
        <w:bottom w:val="none" w:sz="0" w:space="0" w:color="auto"/>
        <w:right w:val="none" w:sz="0" w:space="0" w:color="auto"/>
      </w:divBdr>
    </w:div>
    <w:div w:id="913781065">
      <w:bodyDiv w:val="1"/>
      <w:marLeft w:val="0"/>
      <w:marRight w:val="0"/>
      <w:marTop w:val="0"/>
      <w:marBottom w:val="0"/>
      <w:divBdr>
        <w:top w:val="none" w:sz="0" w:space="0" w:color="auto"/>
        <w:left w:val="none" w:sz="0" w:space="0" w:color="auto"/>
        <w:bottom w:val="none" w:sz="0" w:space="0" w:color="auto"/>
        <w:right w:val="none" w:sz="0" w:space="0" w:color="auto"/>
      </w:divBdr>
    </w:div>
    <w:div w:id="1535381242">
      <w:bodyDiv w:val="1"/>
      <w:marLeft w:val="0"/>
      <w:marRight w:val="0"/>
      <w:marTop w:val="0"/>
      <w:marBottom w:val="0"/>
      <w:divBdr>
        <w:top w:val="none" w:sz="0" w:space="0" w:color="auto"/>
        <w:left w:val="none" w:sz="0" w:space="0" w:color="auto"/>
        <w:bottom w:val="none" w:sz="0" w:space="0" w:color="auto"/>
        <w:right w:val="none" w:sz="0" w:space="0" w:color="auto"/>
      </w:divBdr>
    </w:div>
    <w:div w:id="2019307180">
      <w:bodyDiv w:val="1"/>
      <w:marLeft w:val="0"/>
      <w:marRight w:val="0"/>
      <w:marTop w:val="0"/>
      <w:marBottom w:val="0"/>
      <w:divBdr>
        <w:top w:val="none" w:sz="0" w:space="0" w:color="auto"/>
        <w:left w:val="none" w:sz="0" w:space="0" w:color="auto"/>
        <w:bottom w:val="none" w:sz="0" w:space="0" w:color="auto"/>
        <w:right w:val="none" w:sz="0" w:space="0" w:color="auto"/>
      </w:divBdr>
    </w:div>
    <w:div w:id="2033845463">
      <w:bodyDiv w:val="1"/>
      <w:marLeft w:val="0"/>
      <w:marRight w:val="0"/>
      <w:marTop w:val="0"/>
      <w:marBottom w:val="0"/>
      <w:divBdr>
        <w:top w:val="none" w:sz="0" w:space="0" w:color="auto"/>
        <w:left w:val="none" w:sz="0" w:space="0" w:color="auto"/>
        <w:bottom w:val="none" w:sz="0" w:space="0" w:color="auto"/>
        <w:right w:val="none" w:sz="0" w:space="0" w:color="auto"/>
      </w:divBdr>
    </w:div>
    <w:div w:id="208753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spPr>
            <a:solidFill>
              <a:srgbClr val="C00000"/>
            </a:solidFill>
            <a:ln>
              <a:solidFill>
                <a:srgbClr val="C00000"/>
              </a:solidFill>
            </a:ln>
          </c:spPr>
          <c:invertIfNegative val="0"/>
          <c:cat>
            <c:strRef>
              <c:f>Sheet1!$A$2:$A$49</c:f>
              <c:strCache>
                <c:ptCount val="48"/>
                <c:pt idx="0">
                  <c:v>Wisconsin</c:v>
                </c:pt>
                <c:pt idx="1">
                  <c:v>North Dakota</c:v>
                </c:pt>
                <c:pt idx="2">
                  <c:v>Minnesota</c:v>
                </c:pt>
                <c:pt idx="3">
                  <c:v>South Dakota</c:v>
                </c:pt>
                <c:pt idx="4">
                  <c:v>Washington</c:v>
                </c:pt>
                <c:pt idx="5">
                  <c:v>Michigan</c:v>
                </c:pt>
                <c:pt idx="6">
                  <c:v>Vermont</c:v>
                </c:pt>
                <c:pt idx="7">
                  <c:v>California</c:v>
                </c:pt>
                <c:pt idx="8">
                  <c:v>Iowa</c:v>
                </c:pt>
                <c:pt idx="9">
                  <c:v>Illinois</c:v>
                </c:pt>
                <c:pt idx="10">
                  <c:v>New York</c:v>
                </c:pt>
                <c:pt idx="11">
                  <c:v>Pennsylvania</c:v>
                </c:pt>
                <c:pt idx="12">
                  <c:v>Massachusetts</c:v>
                </c:pt>
                <c:pt idx="13">
                  <c:v>New Jersey</c:v>
                </c:pt>
                <c:pt idx="14">
                  <c:v>Maine</c:v>
                </c:pt>
                <c:pt idx="15">
                  <c:v>Nebraska</c:v>
                </c:pt>
                <c:pt idx="16">
                  <c:v>Wyoming</c:v>
                </c:pt>
                <c:pt idx="17">
                  <c:v>Montana</c:v>
                </c:pt>
                <c:pt idx="18">
                  <c:v>Kansas</c:v>
                </c:pt>
                <c:pt idx="19">
                  <c:v>Rhode Island</c:v>
                </c:pt>
                <c:pt idx="20">
                  <c:v>Connecticut</c:v>
                </c:pt>
                <c:pt idx="21">
                  <c:v>Oregon</c:v>
                </c:pt>
                <c:pt idx="22">
                  <c:v>Idaho</c:v>
                </c:pt>
                <c:pt idx="23">
                  <c:v>Colorado</c:v>
                </c:pt>
                <c:pt idx="24">
                  <c:v>Nevada</c:v>
                </c:pt>
                <c:pt idx="25">
                  <c:v>Ohio</c:v>
                </c:pt>
                <c:pt idx="26">
                  <c:v>Utah</c:v>
                </c:pt>
                <c:pt idx="27">
                  <c:v>New Hampshire</c:v>
                </c:pt>
                <c:pt idx="28">
                  <c:v>Indiana</c:v>
                </c:pt>
                <c:pt idx="29">
                  <c:v>Delaware</c:v>
                </c:pt>
                <c:pt idx="30">
                  <c:v>Maryland</c:v>
                </c:pt>
                <c:pt idx="31">
                  <c:v>Missouri</c:v>
                </c:pt>
                <c:pt idx="32">
                  <c:v>West Virginia</c:v>
                </c:pt>
                <c:pt idx="33">
                  <c:v>New Mexico</c:v>
                </c:pt>
                <c:pt idx="34">
                  <c:v>Arizona</c:v>
                </c:pt>
                <c:pt idx="35">
                  <c:v>Oklahoma</c:v>
                </c:pt>
                <c:pt idx="36">
                  <c:v>Tennessee</c:v>
                </c:pt>
                <c:pt idx="37">
                  <c:v>Kentucky</c:v>
                </c:pt>
                <c:pt idx="38">
                  <c:v>North Carolina</c:v>
                </c:pt>
                <c:pt idx="39">
                  <c:v>Arkansas</c:v>
                </c:pt>
                <c:pt idx="40">
                  <c:v>Texas</c:v>
                </c:pt>
                <c:pt idx="41">
                  <c:v>Virginia</c:v>
                </c:pt>
                <c:pt idx="42">
                  <c:v>Alabama</c:v>
                </c:pt>
                <c:pt idx="43">
                  <c:v>Florida</c:v>
                </c:pt>
                <c:pt idx="44">
                  <c:v>Louisiana</c:v>
                </c:pt>
                <c:pt idx="45">
                  <c:v>Georgia</c:v>
                </c:pt>
                <c:pt idx="46">
                  <c:v>Mississippi</c:v>
                </c:pt>
                <c:pt idx="47">
                  <c:v>South Carolina</c:v>
                </c:pt>
              </c:strCache>
            </c:strRef>
          </c:cat>
          <c:val>
            <c:numRef>
              <c:f>Sheet1!$B$2:$B$49</c:f>
              <c:numCache>
                <c:formatCode>General</c:formatCode>
                <c:ptCount val="48"/>
                <c:pt idx="0">
                  <c:v>0.16173599999999999</c:v>
                </c:pt>
                <c:pt idx="1">
                  <c:v>0.18185799999999999</c:v>
                </c:pt>
                <c:pt idx="2">
                  <c:v>0.194328</c:v>
                </c:pt>
                <c:pt idx="3">
                  <c:v>0.19720499999999999</c:v>
                </c:pt>
                <c:pt idx="4">
                  <c:v>0.211424</c:v>
                </c:pt>
                <c:pt idx="5">
                  <c:v>0.22267000000000001</c:v>
                </c:pt>
                <c:pt idx="6">
                  <c:v>0.23253399999999999</c:v>
                </c:pt>
                <c:pt idx="7">
                  <c:v>0.24277399999999999</c:v>
                </c:pt>
                <c:pt idx="8">
                  <c:v>0.254637</c:v>
                </c:pt>
                <c:pt idx="9">
                  <c:v>0.25511600000000001</c:v>
                </c:pt>
                <c:pt idx="10">
                  <c:v>0.26953100000000002</c:v>
                </c:pt>
                <c:pt idx="11">
                  <c:v>0.27196300000000001</c:v>
                </c:pt>
                <c:pt idx="12">
                  <c:v>0.27844000000000002</c:v>
                </c:pt>
                <c:pt idx="13">
                  <c:v>0.28418500000000002</c:v>
                </c:pt>
                <c:pt idx="14">
                  <c:v>0.29802400000000001</c:v>
                </c:pt>
                <c:pt idx="15">
                  <c:v>0.312502</c:v>
                </c:pt>
                <c:pt idx="16">
                  <c:v>0.318629</c:v>
                </c:pt>
                <c:pt idx="17">
                  <c:v>0.32050299999999998</c:v>
                </c:pt>
                <c:pt idx="18">
                  <c:v>0.32519399999999998</c:v>
                </c:pt>
                <c:pt idx="19">
                  <c:v>0.327787</c:v>
                </c:pt>
                <c:pt idx="20">
                  <c:v>0.33027400000000001</c:v>
                </c:pt>
                <c:pt idx="21">
                  <c:v>0.335478</c:v>
                </c:pt>
                <c:pt idx="22">
                  <c:v>0.34344200000000003</c:v>
                </c:pt>
                <c:pt idx="23">
                  <c:v>0.35930499999999999</c:v>
                </c:pt>
                <c:pt idx="24">
                  <c:v>0.36224899999999999</c:v>
                </c:pt>
                <c:pt idx="25">
                  <c:v>0.38584099999999999</c:v>
                </c:pt>
                <c:pt idx="26">
                  <c:v>0.38839600000000002</c:v>
                </c:pt>
                <c:pt idx="27">
                  <c:v>0.39387299999999997</c:v>
                </c:pt>
                <c:pt idx="28">
                  <c:v>0.40489199999999997</c:v>
                </c:pt>
                <c:pt idx="29">
                  <c:v>0.42066900000000002</c:v>
                </c:pt>
                <c:pt idx="30">
                  <c:v>0.42158699999999999</c:v>
                </c:pt>
                <c:pt idx="31">
                  <c:v>0.43127199999999999</c:v>
                </c:pt>
                <c:pt idx="32">
                  <c:v>0.43296899999999999</c:v>
                </c:pt>
                <c:pt idx="33">
                  <c:v>0.442745</c:v>
                </c:pt>
                <c:pt idx="34">
                  <c:v>0.44388699999999998</c:v>
                </c:pt>
                <c:pt idx="35">
                  <c:v>0.44605099999999998</c:v>
                </c:pt>
                <c:pt idx="36">
                  <c:v>0.48190699999999997</c:v>
                </c:pt>
                <c:pt idx="37">
                  <c:v>0.49692900000000001</c:v>
                </c:pt>
                <c:pt idx="38">
                  <c:v>0.56696400000000002</c:v>
                </c:pt>
                <c:pt idx="39">
                  <c:v>0.57886700000000002</c:v>
                </c:pt>
                <c:pt idx="40">
                  <c:v>0.59253299999999998</c:v>
                </c:pt>
                <c:pt idx="41">
                  <c:v>0.61320200000000002</c:v>
                </c:pt>
                <c:pt idx="42">
                  <c:v>0.61680999999999997</c:v>
                </c:pt>
                <c:pt idx="43">
                  <c:v>0.62132299999999996</c:v>
                </c:pt>
                <c:pt idx="44">
                  <c:v>0.69241900000000001</c:v>
                </c:pt>
                <c:pt idx="45">
                  <c:v>0.72058199999999994</c:v>
                </c:pt>
                <c:pt idx="46">
                  <c:v>0.83980299999999997</c:v>
                </c:pt>
                <c:pt idx="47">
                  <c:v>0.96051399999999998</c:v>
                </c:pt>
              </c:numCache>
            </c:numRef>
          </c:val>
          <c:extLst>
            <c:ext xmlns:c16="http://schemas.microsoft.com/office/drawing/2014/chart" uri="{C3380CC4-5D6E-409C-BE32-E72D297353CC}">
              <c16:uniqueId val="{00000000-B6D0-49F0-9236-607BC7B194C5}"/>
            </c:ext>
          </c:extLst>
        </c:ser>
        <c:ser>
          <c:idx val="1"/>
          <c:order val="1"/>
          <c:spPr>
            <a:noFill/>
            <a:ln>
              <a:solidFill>
                <a:srgbClr val="C00000"/>
              </a:solidFill>
            </a:ln>
          </c:spPr>
          <c:invertIfNegative val="0"/>
          <c:cat>
            <c:strRef>
              <c:f>Sheet1!$A$2:$A$49</c:f>
              <c:strCache>
                <c:ptCount val="48"/>
                <c:pt idx="0">
                  <c:v>Wisconsin</c:v>
                </c:pt>
                <c:pt idx="1">
                  <c:v>North Dakota</c:v>
                </c:pt>
                <c:pt idx="2">
                  <c:v>Minnesota</c:v>
                </c:pt>
                <c:pt idx="3">
                  <c:v>South Dakota</c:v>
                </c:pt>
                <c:pt idx="4">
                  <c:v>Washington</c:v>
                </c:pt>
                <c:pt idx="5">
                  <c:v>Michigan</c:v>
                </c:pt>
                <c:pt idx="6">
                  <c:v>Vermont</c:v>
                </c:pt>
                <c:pt idx="7">
                  <c:v>California</c:v>
                </c:pt>
                <c:pt idx="8">
                  <c:v>Iowa</c:v>
                </c:pt>
                <c:pt idx="9">
                  <c:v>Illinois</c:v>
                </c:pt>
                <c:pt idx="10">
                  <c:v>New York</c:v>
                </c:pt>
                <c:pt idx="11">
                  <c:v>Pennsylvania</c:v>
                </c:pt>
                <c:pt idx="12">
                  <c:v>Massachusetts</c:v>
                </c:pt>
                <c:pt idx="13">
                  <c:v>New Jersey</c:v>
                </c:pt>
                <c:pt idx="14">
                  <c:v>Maine</c:v>
                </c:pt>
                <c:pt idx="15">
                  <c:v>Nebraska</c:v>
                </c:pt>
                <c:pt idx="16">
                  <c:v>Wyoming</c:v>
                </c:pt>
                <c:pt idx="17">
                  <c:v>Montana</c:v>
                </c:pt>
                <c:pt idx="18">
                  <c:v>Kansas</c:v>
                </c:pt>
                <c:pt idx="19">
                  <c:v>Rhode Island</c:v>
                </c:pt>
                <c:pt idx="20">
                  <c:v>Connecticut</c:v>
                </c:pt>
                <c:pt idx="21">
                  <c:v>Oregon</c:v>
                </c:pt>
                <c:pt idx="22">
                  <c:v>Idaho</c:v>
                </c:pt>
                <c:pt idx="23">
                  <c:v>Colorado</c:v>
                </c:pt>
                <c:pt idx="24">
                  <c:v>Nevada</c:v>
                </c:pt>
                <c:pt idx="25">
                  <c:v>Ohio</c:v>
                </c:pt>
                <c:pt idx="26">
                  <c:v>Utah</c:v>
                </c:pt>
                <c:pt idx="27">
                  <c:v>New Hampshire</c:v>
                </c:pt>
                <c:pt idx="28">
                  <c:v>Indiana</c:v>
                </c:pt>
                <c:pt idx="29">
                  <c:v>Delaware</c:v>
                </c:pt>
                <c:pt idx="30">
                  <c:v>Maryland</c:v>
                </c:pt>
                <c:pt idx="31">
                  <c:v>Missouri</c:v>
                </c:pt>
                <c:pt idx="32">
                  <c:v>West Virginia</c:v>
                </c:pt>
                <c:pt idx="33">
                  <c:v>New Mexico</c:v>
                </c:pt>
                <c:pt idx="34">
                  <c:v>Arizona</c:v>
                </c:pt>
                <c:pt idx="35">
                  <c:v>Oklahoma</c:v>
                </c:pt>
                <c:pt idx="36">
                  <c:v>Tennessee</c:v>
                </c:pt>
                <c:pt idx="37">
                  <c:v>Kentucky</c:v>
                </c:pt>
                <c:pt idx="38">
                  <c:v>North Carolina</c:v>
                </c:pt>
                <c:pt idx="39">
                  <c:v>Arkansas</c:v>
                </c:pt>
                <c:pt idx="40">
                  <c:v>Texas</c:v>
                </c:pt>
                <c:pt idx="41">
                  <c:v>Virginia</c:v>
                </c:pt>
                <c:pt idx="42">
                  <c:v>Alabama</c:v>
                </c:pt>
                <c:pt idx="43">
                  <c:v>Florida</c:v>
                </c:pt>
                <c:pt idx="44">
                  <c:v>Louisiana</c:v>
                </c:pt>
                <c:pt idx="45">
                  <c:v>Georgia</c:v>
                </c:pt>
                <c:pt idx="46">
                  <c:v>Mississippi</c:v>
                </c:pt>
                <c:pt idx="47">
                  <c:v>South Carolina</c:v>
                </c:pt>
              </c:strCache>
            </c:strRef>
          </c:cat>
          <c:val>
            <c:numRef>
              <c:f>Sheet1!$F$2:$F$49</c:f>
              <c:numCache>
                <c:formatCode>General</c:formatCode>
                <c:ptCount val="48"/>
                <c:pt idx="0">
                  <c:v>9.1433E-2</c:v>
                </c:pt>
                <c:pt idx="1">
                  <c:v>0.11696810000000001</c:v>
                </c:pt>
                <c:pt idx="2">
                  <c:v>0.1205219</c:v>
                </c:pt>
                <c:pt idx="3">
                  <c:v>0.13284180000000001</c:v>
                </c:pt>
                <c:pt idx="4">
                  <c:v>0.13441449999999999</c:v>
                </c:pt>
                <c:pt idx="5">
                  <c:v>0.10883130000000001</c:v>
                </c:pt>
                <c:pt idx="6">
                  <c:v>7.8768599999999994E-2</c:v>
                </c:pt>
                <c:pt idx="7">
                  <c:v>0.15023810000000001</c:v>
                </c:pt>
                <c:pt idx="8">
                  <c:v>0.1094049</c:v>
                </c:pt>
                <c:pt idx="9">
                  <c:v>0.1465757</c:v>
                </c:pt>
                <c:pt idx="10">
                  <c:v>0.12418949999999999</c:v>
                </c:pt>
                <c:pt idx="11">
                  <c:v>0.12055</c:v>
                </c:pt>
                <c:pt idx="12">
                  <c:v>0.1057278</c:v>
                </c:pt>
                <c:pt idx="13">
                  <c:v>0.1153602</c:v>
                </c:pt>
                <c:pt idx="14">
                  <c:v>6.8908200000000003E-2</c:v>
                </c:pt>
                <c:pt idx="15">
                  <c:v>9.3725299999999998E-2</c:v>
                </c:pt>
                <c:pt idx="16">
                  <c:v>0.14649709999999999</c:v>
                </c:pt>
                <c:pt idx="17">
                  <c:v>0.10524559999999999</c:v>
                </c:pt>
                <c:pt idx="18">
                  <c:v>8.3923300000000006E-2</c:v>
                </c:pt>
                <c:pt idx="19">
                  <c:v>9.4840900000000006E-2</c:v>
                </c:pt>
                <c:pt idx="20">
                  <c:v>0.14255180000000001</c:v>
                </c:pt>
                <c:pt idx="21">
                  <c:v>0.12215330000000001</c:v>
                </c:pt>
                <c:pt idx="22">
                  <c:v>0.11549280000000001</c:v>
                </c:pt>
                <c:pt idx="23">
                  <c:v>9.2370300000000002E-2</c:v>
                </c:pt>
                <c:pt idx="24">
                  <c:v>0.16927229999999999</c:v>
                </c:pt>
                <c:pt idx="25">
                  <c:v>0.11069180000000001</c:v>
                </c:pt>
                <c:pt idx="26">
                  <c:v>0.12522839999999999</c:v>
                </c:pt>
                <c:pt idx="27">
                  <c:v>0.1049341</c:v>
                </c:pt>
                <c:pt idx="28">
                  <c:v>0.1048502</c:v>
                </c:pt>
                <c:pt idx="29">
                  <c:v>0.1176794</c:v>
                </c:pt>
                <c:pt idx="30">
                  <c:v>7.9568600000000003E-2</c:v>
                </c:pt>
                <c:pt idx="31">
                  <c:v>0.1000741</c:v>
                </c:pt>
                <c:pt idx="32">
                  <c:v>6.3144599999999995E-2</c:v>
                </c:pt>
                <c:pt idx="33">
                  <c:v>4.3557499999999999E-2</c:v>
                </c:pt>
                <c:pt idx="34">
                  <c:v>0.10977290000000001</c:v>
                </c:pt>
                <c:pt idx="35">
                  <c:v>6.2878000000000003E-2</c:v>
                </c:pt>
                <c:pt idx="36">
                  <c:v>4.4177500000000001E-2</c:v>
                </c:pt>
                <c:pt idx="37">
                  <c:v>4.9639200000000001E-2</c:v>
                </c:pt>
                <c:pt idx="38">
                  <c:v>2.6499200000000001E-2</c:v>
                </c:pt>
                <c:pt idx="39">
                  <c:v>3.8845600000000001E-2</c:v>
                </c:pt>
                <c:pt idx="40">
                  <c:v>6.0647600000000003E-2</c:v>
                </c:pt>
                <c:pt idx="41">
                  <c:v>4.9187700000000001E-2</c:v>
                </c:pt>
                <c:pt idx="42">
                  <c:v>3.87278E-2</c:v>
                </c:pt>
                <c:pt idx="43">
                  <c:v>5.2234099999999999E-2</c:v>
                </c:pt>
                <c:pt idx="44">
                  <c:v>3.5182999999999999E-2</c:v>
                </c:pt>
                <c:pt idx="45">
                  <c:v>3.8932099999999997E-2</c:v>
                </c:pt>
                <c:pt idx="46">
                  <c:v>4.4760500000000002E-2</c:v>
                </c:pt>
                <c:pt idx="47">
                  <c:v>4.0298399999999998E-2</c:v>
                </c:pt>
              </c:numCache>
            </c:numRef>
          </c:val>
          <c:extLst>
            <c:ext xmlns:c16="http://schemas.microsoft.com/office/drawing/2014/chart" uri="{C3380CC4-5D6E-409C-BE32-E72D297353CC}">
              <c16:uniqueId val="{00000001-B6D0-49F0-9236-607BC7B194C5}"/>
            </c:ext>
          </c:extLst>
        </c:ser>
        <c:dLbls>
          <c:showLegendKey val="0"/>
          <c:showVal val="0"/>
          <c:showCatName val="0"/>
          <c:showSerName val="0"/>
          <c:showPercent val="0"/>
          <c:showBubbleSize val="0"/>
        </c:dLbls>
        <c:gapWidth val="150"/>
        <c:overlap val="100"/>
        <c:axId val="35109888"/>
        <c:axId val="36561664"/>
      </c:barChart>
      <c:catAx>
        <c:axId val="35109888"/>
        <c:scaling>
          <c:orientation val="maxMin"/>
        </c:scaling>
        <c:delete val="0"/>
        <c:axPos val="l"/>
        <c:numFmt formatCode="General" sourceLinked="0"/>
        <c:majorTickMark val="out"/>
        <c:minorTickMark val="none"/>
        <c:tickLblPos val="nextTo"/>
        <c:txPr>
          <a:bodyPr/>
          <a:lstStyle/>
          <a:p>
            <a:pPr>
              <a:defRPr sz="700" baseline="0">
                <a:latin typeface="Arial" panose="020B0604020202020204" pitchFamily="34" charset="0"/>
                <a:cs typeface="Arial" panose="020B0604020202020204" pitchFamily="34" charset="0"/>
              </a:defRPr>
            </a:pPr>
            <a:endParaRPr lang="en-US"/>
          </a:p>
        </c:txPr>
        <c:crossAx val="36561664"/>
        <c:crosses val="autoZero"/>
        <c:auto val="1"/>
        <c:lblAlgn val="ctr"/>
        <c:lblOffset val="100"/>
        <c:tickLblSkip val="1"/>
        <c:noMultiLvlLbl val="0"/>
      </c:catAx>
      <c:valAx>
        <c:axId val="36561664"/>
        <c:scaling>
          <c:orientation val="minMax"/>
          <c:max val="1"/>
          <c:min val="0"/>
        </c:scaling>
        <c:delete val="0"/>
        <c:axPos val="t"/>
        <c:majorGridlines>
          <c:spPr>
            <a:ln>
              <a:solidFill>
                <a:schemeClr val="tx1"/>
              </a:solidFill>
              <a:prstDash val="dash"/>
            </a:ln>
          </c:spPr>
        </c:majorGridlines>
        <c:minorGridlines>
          <c:spPr>
            <a:ln>
              <a:solidFill>
                <a:schemeClr val="tx1"/>
              </a:solidFill>
              <a:prstDash val="dash"/>
            </a:ln>
          </c:spPr>
        </c:minorGridlines>
        <c:numFmt formatCode="General" sourceLinked="1"/>
        <c:majorTickMark val="out"/>
        <c:minorTickMark val="in"/>
        <c:tickLblPos val="nextTo"/>
        <c:txPr>
          <a:bodyPr/>
          <a:lstStyle/>
          <a:p>
            <a:pPr>
              <a:defRPr sz="900">
                <a:latin typeface="Arial" panose="020B0604020202020204" pitchFamily="34" charset="0"/>
                <a:cs typeface="Arial" panose="020B0604020202020204" pitchFamily="34" charset="0"/>
              </a:defRPr>
            </a:pPr>
            <a:endParaRPr lang="en-US"/>
          </a:p>
        </c:txPr>
        <c:crossAx val="35109888"/>
        <c:crosses val="autoZero"/>
        <c:crossBetween val="between"/>
        <c:majorUnit val="0.25"/>
        <c:minorUnit val="0.2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83E88-1D06-43C3-9AF3-B810FF22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23</Pages>
  <Words>7001</Words>
  <Characters>39912</Characters>
  <Application>Microsoft Office Word</Application>
  <DocSecurity>0</DocSecurity>
  <Lines>332</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Wellesley College</Company>
  <LinksUpToDate>false</LinksUpToDate>
  <CharactersWithSpaces>46820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 Hilt</dc:creator>
  <cp:keywords/>
  <dc:description/>
  <cp:lastModifiedBy>Eric D. Hilt</cp:lastModifiedBy>
  <cp:revision>19</cp:revision>
  <cp:lastPrinted>2019-11-07T19:19:00Z</cp:lastPrinted>
  <dcterms:created xsi:type="dcterms:W3CDTF">2018-09-12T22:07:00Z</dcterms:created>
  <dcterms:modified xsi:type="dcterms:W3CDTF">2019-11-07T19:47:00Z</dcterms:modified>
</cp:coreProperties>
</file>