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3E4EAC" w14:textId="0940A98A" w:rsidR="00C25346" w:rsidRPr="006C3294" w:rsidRDefault="006C3294" w:rsidP="00C25346">
      <w:pPr>
        <w:jc w:val="center"/>
        <w:rPr>
          <w:rFonts w:ascii="Times New Roman" w:hAnsi="Times New Roman"/>
          <w:i/>
          <w:sz w:val="36"/>
          <w:szCs w:val="36"/>
        </w:rPr>
      </w:pPr>
      <w:r w:rsidRPr="006C3294">
        <w:rPr>
          <w:rFonts w:ascii="Times New Roman" w:hAnsi="Times New Roman"/>
          <w:i/>
          <w:sz w:val="36"/>
          <w:szCs w:val="36"/>
        </w:rPr>
        <w:t>Online Appendix</w:t>
      </w:r>
    </w:p>
    <w:p w14:paraId="545CEAEF" w14:textId="77777777" w:rsidR="00C25346" w:rsidRPr="0051165C" w:rsidRDefault="00C25346" w:rsidP="00C25346">
      <w:pPr>
        <w:jc w:val="center"/>
        <w:rPr>
          <w:rFonts w:ascii="Times New Roman" w:hAnsi="Times New Roman"/>
        </w:rPr>
      </w:pPr>
    </w:p>
    <w:p w14:paraId="0BADB37C" w14:textId="77777777" w:rsidR="00C25346" w:rsidRPr="00B9735A" w:rsidRDefault="00C25346" w:rsidP="00B9735A">
      <w:pPr>
        <w:pStyle w:val="ListParagraph"/>
        <w:numPr>
          <w:ilvl w:val="0"/>
          <w:numId w:val="1"/>
        </w:numPr>
        <w:ind w:left="450" w:firstLine="0"/>
        <w:rPr>
          <w:rFonts w:ascii="Times New Roman" w:hAnsi="Times New Roman"/>
          <w:i/>
          <w:sz w:val="20"/>
          <w:szCs w:val="20"/>
        </w:rPr>
      </w:pPr>
      <w:r w:rsidRPr="00B9735A">
        <w:rPr>
          <w:rFonts w:ascii="Times New Roman" w:hAnsi="Times New Roman"/>
          <w:i/>
          <w:sz w:val="20"/>
          <w:szCs w:val="20"/>
        </w:rPr>
        <w:t>Figures and Tables</w:t>
      </w:r>
    </w:p>
    <w:p w14:paraId="21CB5BAA" w14:textId="77777777" w:rsidR="00C25346" w:rsidRDefault="00C25346" w:rsidP="00C25346">
      <w:pPr>
        <w:jc w:val="center"/>
        <w:rPr>
          <w:rFonts w:ascii="Times New Roman" w:hAnsi="Times New Roman"/>
        </w:rPr>
      </w:pPr>
      <w:commentRangeStart w:id="0"/>
      <w:commentRangeEnd w:id="0"/>
    </w:p>
    <w:p w14:paraId="4973F90C" w14:textId="3C65C189" w:rsidR="00177534" w:rsidRDefault="00177534" w:rsidP="00C25346">
      <w:pPr>
        <w:jc w:val="center"/>
        <w:rPr>
          <w:rFonts w:ascii="Times New Roman" w:hAnsi="Times New Roman"/>
        </w:rPr>
      </w:pPr>
      <w:r>
        <w:rPr>
          <w:rFonts w:ascii="Times New Roman" w:hAnsi="Times New Roman"/>
          <w:noProof/>
        </w:rPr>
        <w:drawing>
          <wp:inline distT="0" distB="0" distL="0" distR="0" wp14:anchorId="342BCA32" wp14:editId="158ECD63">
            <wp:extent cx="4425950" cy="380680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5950" cy="3806802"/>
                    </a:xfrm>
                    <a:prstGeom prst="rect">
                      <a:avLst/>
                    </a:prstGeom>
                    <a:noFill/>
                    <a:ln>
                      <a:noFill/>
                    </a:ln>
                  </pic:spPr>
                </pic:pic>
              </a:graphicData>
            </a:graphic>
          </wp:inline>
        </w:drawing>
      </w:r>
    </w:p>
    <w:p w14:paraId="40E822A9" w14:textId="77777777" w:rsidR="00EA3F62" w:rsidRDefault="00EA3F62" w:rsidP="00C25346">
      <w:pPr>
        <w:jc w:val="center"/>
        <w:rPr>
          <w:rFonts w:ascii="Times New Roman" w:hAnsi="Times New Roman"/>
        </w:rPr>
      </w:pPr>
    </w:p>
    <w:p w14:paraId="248692C6" w14:textId="4EB24164" w:rsidR="00EA3F62" w:rsidRDefault="00EA3F62" w:rsidP="00C25346">
      <w:pPr>
        <w:jc w:val="center"/>
        <w:rPr>
          <w:rFonts w:ascii="Times New Roman" w:hAnsi="Times New Roman"/>
        </w:rPr>
      </w:pPr>
      <w:r>
        <w:rPr>
          <w:rFonts w:ascii="Times New Roman" w:hAnsi="Times New Roman"/>
          <w:noProof/>
        </w:rPr>
        <w:drawing>
          <wp:inline distT="0" distB="0" distL="0" distR="0" wp14:anchorId="34D36982" wp14:editId="15C9E070">
            <wp:extent cx="4425950" cy="2391373"/>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5950" cy="2391373"/>
                    </a:xfrm>
                    <a:prstGeom prst="rect">
                      <a:avLst/>
                    </a:prstGeom>
                    <a:noFill/>
                    <a:ln>
                      <a:noFill/>
                    </a:ln>
                  </pic:spPr>
                </pic:pic>
              </a:graphicData>
            </a:graphic>
          </wp:inline>
        </w:drawing>
      </w:r>
    </w:p>
    <w:p w14:paraId="7CB3EF91" w14:textId="77777777" w:rsidR="00EA3F62" w:rsidRDefault="00EA3F62" w:rsidP="00C25346">
      <w:pPr>
        <w:jc w:val="center"/>
        <w:rPr>
          <w:rFonts w:ascii="Times New Roman" w:hAnsi="Times New Roman"/>
        </w:rPr>
      </w:pPr>
    </w:p>
    <w:p w14:paraId="1DFA8770" w14:textId="21B55241" w:rsidR="00EA3F62" w:rsidRDefault="00EA3F62" w:rsidP="00C25346">
      <w:pPr>
        <w:jc w:val="center"/>
        <w:rPr>
          <w:rFonts w:ascii="Times New Roman" w:hAnsi="Times New Roman"/>
        </w:rPr>
      </w:pPr>
      <w:r>
        <w:rPr>
          <w:rFonts w:ascii="Times New Roman" w:hAnsi="Times New Roman"/>
          <w:noProof/>
        </w:rPr>
        <w:lastRenderedPageBreak/>
        <w:drawing>
          <wp:inline distT="0" distB="0" distL="0" distR="0" wp14:anchorId="76DBA0DB" wp14:editId="440987AC">
            <wp:extent cx="4425950" cy="275104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5950" cy="2751040"/>
                    </a:xfrm>
                    <a:prstGeom prst="rect">
                      <a:avLst/>
                    </a:prstGeom>
                    <a:noFill/>
                    <a:ln>
                      <a:noFill/>
                    </a:ln>
                  </pic:spPr>
                </pic:pic>
              </a:graphicData>
            </a:graphic>
          </wp:inline>
        </w:drawing>
      </w:r>
    </w:p>
    <w:p w14:paraId="5F52747B" w14:textId="77777777" w:rsidR="00EA3F62" w:rsidRDefault="00EA3F62" w:rsidP="00C25346">
      <w:pPr>
        <w:jc w:val="center"/>
        <w:rPr>
          <w:rFonts w:ascii="Times New Roman" w:hAnsi="Times New Roman"/>
        </w:rPr>
      </w:pPr>
    </w:p>
    <w:p w14:paraId="794B78A8" w14:textId="4C5C1E7E" w:rsidR="00EA3F62" w:rsidRDefault="00EA3F62" w:rsidP="00C25346">
      <w:pPr>
        <w:jc w:val="center"/>
        <w:rPr>
          <w:rFonts w:ascii="Times New Roman" w:hAnsi="Times New Roman"/>
        </w:rPr>
      </w:pPr>
      <w:r>
        <w:rPr>
          <w:rFonts w:ascii="Times New Roman" w:hAnsi="Times New Roman"/>
          <w:noProof/>
        </w:rPr>
        <w:drawing>
          <wp:inline distT="0" distB="0" distL="0" distR="0" wp14:anchorId="722BCB10" wp14:editId="41A63B6E">
            <wp:extent cx="4425950" cy="3424614"/>
            <wp:effectExtent l="0" t="0" r="0" b="444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5950" cy="3424614"/>
                    </a:xfrm>
                    <a:prstGeom prst="rect">
                      <a:avLst/>
                    </a:prstGeom>
                    <a:noFill/>
                    <a:ln>
                      <a:noFill/>
                    </a:ln>
                  </pic:spPr>
                </pic:pic>
              </a:graphicData>
            </a:graphic>
          </wp:inline>
        </w:drawing>
      </w:r>
    </w:p>
    <w:p w14:paraId="2142BE35" w14:textId="77777777" w:rsidR="00EA3F62" w:rsidRDefault="00EA3F62" w:rsidP="00C25346">
      <w:pPr>
        <w:jc w:val="center"/>
        <w:rPr>
          <w:rFonts w:ascii="Times New Roman" w:hAnsi="Times New Roman"/>
        </w:rPr>
      </w:pPr>
    </w:p>
    <w:p w14:paraId="1887C987" w14:textId="2ECFB823" w:rsidR="00EA3F62" w:rsidRDefault="00EA3F62" w:rsidP="00C25346">
      <w:pPr>
        <w:jc w:val="center"/>
        <w:rPr>
          <w:rFonts w:ascii="Times New Roman" w:hAnsi="Times New Roman"/>
        </w:rPr>
      </w:pPr>
      <w:r>
        <w:rPr>
          <w:rFonts w:ascii="Times New Roman" w:hAnsi="Times New Roman"/>
          <w:noProof/>
        </w:rPr>
        <w:lastRenderedPageBreak/>
        <w:drawing>
          <wp:inline distT="0" distB="0" distL="0" distR="0" wp14:anchorId="1DE1B307" wp14:editId="712E6692">
            <wp:extent cx="4425950" cy="4902238"/>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5950" cy="4902238"/>
                    </a:xfrm>
                    <a:prstGeom prst="rect">
                      <a:avLst/>
                    </a:prstGeom>
                    <a:noFill/>
                    <a:ln>
                      <a:noFill/>
                    </a:ln>
                  </pic:spPr>
                </pic:pic>
              </a:graphicData>
            </a:graphic>
          </wp:inline>
        </w:drawing>
      </w:r>
    </w:p>
    <w:p w14:paraId="1C21DDC9" w14:textId="77777777" w:rsidR="00EA3F62" w:rsidRDefault="00EA3F62" w:rsidP="00C25346">
      <w:pPr>
        <w:jc w:val="center"/>
        <w:rPr>
          <w:rFonts w:ascii="Times New Roman" w:hAnsi="Times New Roman"/>
        </w:rPr>
      </w:pPr>
    </w:p>
    <w:p w14:paraId="3772C2C9" w14:textId="48A75ACE" w:rsidR="0002466B" w:rsidRDefault="0002466B" w:rsidP="00C25346">
      <w:pPr>
        <w:jc w:val="center"/>
        <w:rPr>
          <w:rFonts w:ascii="Times New Roman" w:hAnsi="Times New Roman"/>
        </w:rPr>
      </w:pPr>
      <w:r>
        <w:rPr>
          <w:rFonts w:ascii="Times New Roman" w:hAnsi="Times New Roman"/>
          <w:noProof/>
        </w:rPr>
        <w:lastRenderedPageBreak/>
        <w:drawing>
          <wp:inline distT="0" distB="0" distL="0" distR="0" wp14:anchorId="57537D1B" wp14:editId="3E08F5DC">
            <wp:extent cx="4425950" cy="4999355"/>
            <wp:effectExtent l="0" t="0" r="0" b="444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5950" cy="4999355"/>
                    </a:xfrm>
                    <a:prstGeom prst="rect">
                      <a:avLst/>
                    </a:prstGeom>
                    <a:noFill/>
                    <a:ln>
                      <a:noFill/>
                    </a:ln>
                  </pic:spPr>
                </pic:pic>
              </a:graphicData>
            </a:graphic>
          </wp:inline>
        </w:drawing>
      </w:r>
    </w:p>
    <w:p w14:paraId="431CC64C" w14:textId="2DC36A10" w:rsidR="00EA3F62" w:rsidRDefault="00EA3F62" w:rsidP="00C25346">
      <w:pPr>
        <w:jc w:val="center"/>
        <w:rPr>
          <w:rFonts w:ascii="Times New Roman" w:hAnsi="Times New Roman"/>
        </w:rPr>
      </w:pPr>
      <w:r>
        <w:rPr>
          <w:rFonts w:ascii="Times New Roman" w:hAnsi="Times New Roman"/>
          <w:noProof/>
        </w:rPr>
        <w:lastRenderedPageBreak/>
        <w:drawing>
          <wp:inline distT="0" distB="0" distL="0" distR="0" wp14:anchorId="56EEBB78" wp14:editId="6047653F">
            <wp:extent cx="4425950" cy="2711817"/>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5950" cy="2711817"/>
                    </a:xfrm>
                    <a:prstGeom prst="rect">
                      <a:avLst/>
                    </a:prstGeom>
                    <a:noFill/>
                    <a:ln>
                      <a:noFill/>
                    </a:ln>
                  </pic:spPr>
                </pic:pic>
              </a:graphicData>
            </a:graphic>
          </wp:inline>
        </w:drawing>
      </w:r>
    </w:p>
    <w:p w14:paraId="6AFC534F" w14:textId="77777777" w:rsidR="00EA3F62" w:rsidRDefault="00EA3F62" w:rsidP="00C25346">
      <w:pPr>
        <w:jc w:val="center"/>
        <w:rPr>
          <w:rFonts w:ascii="Times New Roman" w:hAnsi="Times New Roman"/>
        </w:rPr>
      </w:pPr>
    </w:p>
    <w:p w14:paraId="6D14E0FA" w14:textId="093BE142" w:rsidR="00EA3F62" w:rsidRDefault="00EA3F62" w:rsidP="00C25346">
      <w:pPr>
        <w:jc w:val="center"/>
        <w:rPr>
          <w:rFonts w:ascii="Times New Roman" w:hAnsi="Times New Roman"/>
        </w:rPr>
      </w:pPr>
      <w:r>
        <w:rPr>
          <w:rFonts w:ascii="Times New Roman" w:hAnsi="Times New Roman"/>
          <w:noProof/>
        </w:rPr>
        <w:drawing>
          <wp:inline distT="0" distB="0" distL="0" distR="0" wp14:anchorId="6C90049A" wp14:editId="0B622A59">
            <wp:extent cx="4425950" cy="1757962"/>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5950" cy="1757962"/>
                    </a:xfrm>
                    <a:prstGeom prst="rect">
                      <a:avLst/>
                    </a:prstGeom>
                    <a:noFill/>
                    <a:ln>
                      <a:noFill/>
                    </a:ln>
                  </pic:spPr>
                </pic:pic>
              </a:graphicData>
            </a:graphic>
          </wp:inline>
        </w:drawing>
      </w:r>
    </w:p>
    <w:p w14:paraId="11AA0340" w14:textId="77777777" w:rsidR="00EA3F62" w:rsidRDefault="00EA3F62" w:rsidP="00C25346">
      <w:pPr>
        <w:jc w:val="center"/>
        <w:rPr>
          <w:rFonts w:ascii="Times New Roman" w:hAnsi="Times New Roman"/>
        </w:rPr>
      </w:pPr>
    </w:p>
    <w:p w14:paraId="424B75A8" w14:textId="681A5CD8" w:rsidR="00EA3F62" w:rsidRDefault="00EA3F62" w:rsidP="00C25346">
      <w:pPr>
        <w:jc w:val="center"/>
        <w:rPr>
          <w:rFonts w:ascii="Times New Roman" w:hAnsi="Times New Roman"/>
        </w:rPr>
      </w:pPr>
      <w:r>
        <w:rPr>
          <w:rFonts w:ascii="Times New Roman" w:hAnsi="Times New Roman"/>
          <w:noProof/>
        </w:rPr>
        <w:lastRenderedPageBreak/>
        <w:drawing>
          <wp:inline distT="0" distB="0" distL="0" distR="0" wp14:anchorId="3798CA2B" wp14:editId="20D9B3BF">
            <wp:extent cx="4425950" cy="4649107"/>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5950" cy="4649107"/>
                    </a:xfrm>
                    <a:prstGeom prst="rect">
                      <a:avLst/>
                    </a:prstGeom>
                    <a:noFill/>
                    <a:ln>
                      <a:noFill/>
                    </a:ln>
                  </pic:spPr>
                </pic:pic>
              </a:graphicData>
            </a:graphic>
          </wp:inline>
        </w:drawing>
      </w:r>
    </w:p>
    <w:p w14:paraId="68FE626C" w14:textId="51B941FD" w:rsidR="00C25346" w:rsidRPr="0051165C" w:rsidRDefault="00C25346" w:rsidP="00C25346">
      <w:pPr>
        <w:rPr>
          <w:rFonts w:ascii="Times New Roman" w:hAnsi="Times New Roman"/>
        </w:rPr>
      </w:pPr>
      <w:bookmarkStart w:id="1" w:name="_GoBack"/>
      <w:bookmarkEnd w:id="1"/>
      <w:commentRangeStart w:id="2"/>
      <w:commentRangeStart w:id="3"/>
      <w:commentRangeStart w:id="4"/>
      <w:commentRangeStart w:id="5"/>
      <w:commentRangeEnd w:id="2"/>
      <w:commentRangeEnd w:id="3"/>
      <w:commentRangeEnd w:id="4"/>
      <w:commentRangeEnd w:id="5"/>
    </w:p>
    <w:p w14:paraId="0212AACC" w14:textId="77777777" w:rsidR="00C25346" w:rsidRPr="0051165C" w:rsidRDefault="00C25346" w:rsidP="00C25346">
      <w:pPr>
        <w:rPr>
          <w:rFonts w:ascii="Times New Roman" w:hAnsi="Times New Roman"/>
        </w:rPr>
      </w:pPr>
    </w:p>
    <w:p w14:paraId="212EF441" w14:textId="77777777" w:rsidR="00C25346" w:rsidRPr="00B9735A" w:rsidRDefault="00C25346" w:rsidP="00B9735A">
      <w:pPr>
        <w:pStyle w:val="ListParagraph"/>
        <w:numPr>
          <w:ilvl w:val="0"/>
          <w:numId w:val="1"/>
        </w:numPr>
        <w:ind w:left="0" w:hanging="270"/>
        <w:jc w:val="center"/>
        <w:rPr>
          <w:rFonts w:ascii="Times New Roman" w:hAnsi="Times New Roman"/>
          <w:i/>
          <w:sz w:val="20"/>
          <w:szCs w:val="20"/>
        </w:rPr>
      </w:pPr>
      <w:r w:rsidRPr="00B9735A">
        <w:rPr>
          <w:rFonts w:ascii="Times New Roman" w:hAnsi="Times New Roman"/>
          <w:i/>
          <w:sz w:val="20"/>
          <w:szCs w:val="20"/>
        </w:rPr>
        <w:t>Calculating Pandemic-Related Deaths Averted by Reducing Coal-Fired Capacity</w:t>
      </w:r>
    </w:p>
    <w:p w14:paraId="215D3889" w14:textId="77777777" w:rsidR="00C25346" w:rsidRPr="00B9735A" w:rsidRDefault="00C25346" w:rsidP="00C25346">
      <w:pPr>
        <w:pStyle w:val="ListParagraph"/>
        <w:rPr>
          <w:rFonts w:ascii="Times New Roman" w:hAnsi="Times New Roman"/>
          <w:i/>
          <w:sz w:val="20"/>
          <w:szCs w:val="20"/>
        </w:rPr>
      </w:pPr>
    </w:p>
    <w:p w14:paraId="104E9EDD" w14:textId="77777777" w:rsidR="00C25346" w:rsidRPr="00B9735A" w:rsidRDefault="00C25346" w:rsidP="00C25346">
      <w:pPr>
        <w:spacing w:line="480" w:lineRule="auto"/>
        <w:ind w:firstLine="360"/>
        <w:rPr>
          <w:rFonts w:ascii="Times New Roman" w:hAnsi="Times New Roman"/>
          <w:sz w:val="20"/>
          <w:szCs w:val="20"/>
        </w:rPr>
      </w:pPr>
      <w:r w:rsidRPr="00B9735A">
        <w:rPr>
          <w:rFonts w:ascii="Times New Roman" w:hAnsi="Times New Roman"/>
          <w:sz w:val="20"/>
          <w:szCs w:val="20"/>
        </w:rPr>
        <w:t xml:space="preserve">This section describes the calculations for the number of pandemic-related deaths averted by reducing coal-fired capacity that are reported in Table 3. Total excess deaths in 1918 are calculated as the difference between observed mortality in 1918 and predicted mortality in 1918 based on a city-specific linear trend regression for the period 1915 to 1925. For example, in high coal cities, all-age mortality exceeded its predicted value in 1918 (138.4 per 10,000 residents) by 40.9 percent. Given a total population of 18.9 million in high coal cities, we estimate that there were </w:t>
      </w:r>
      <w:r w:rsidRPr="00B9735A">
        <w:rPr>
          <w:rFonts w:ascii="Times New Roman" w:hAnsi="Times New Roman"/>
          <w:sz w:val="20"/>
          <w:szCs w:val="20"/>
        </w:rPr>
        <w:lastRenderedPageBreak/>
        <w:t xml:space="preserve">(138.4/10,000)*0.409*18,884,435 = 106,896 excess deaths in 1918 that are attributable to the pandemic. </w:t>
      </w:r>
    </w:p>
    <w:p w14:paraId="33313584" w14:textId="77777777" w:rsidR="00C25346" w:rsidRPr="00B9735A" w:rsidRDefault="00C25346" w:rsidP="00C25346">
      <w:pPr>
        <w:spacing w:line="480" w:lineRule="auto"/>
        <w:ind w:firstLine="720"/>
        <w:rPr>
          <w:rFonts w:ascii="Times New Roman" w:hAnsi="Times New Roman"/>
          <w:sz w:val="20"/>
          <w:szCs w:val="20"/>
        </w:rPr>
      </w:pPr>
      <w:r w:rsidRPr="00B9735A">
        <w:rPr>
          <w:rFonts w:ascii="Times New Roman" w:hAnsi="Times New Roman"/>
          <w:sz w:val="20"/>
          <w:szCs w:val="20"/>
          <w:lang w:val="en-CA"/>
        </w:rPr>
        <w:t>We rely on two different approaches to calculate the number of deaths averted. For the first approach, the estimates are calculated by multiplying the total exposed population by the change in mortality probability implied by the coefficient estimates in Table 2, col. 6. For example, in high coal cities, we calculate the number of deaths averted as follows:</w:t>
      </w:r>
      <m:oMath>
        <m:sSub>
          <m:sSubPr>
            <m:ctrlPr>
              <w:rPr>
                <w:rFonts w:ascii="Cambria Math" w:hAnsi="Cambria Math"/>
                <w:i/>
                <w:sz w:val="20"/>
                <w:szCs w:val="20"/>
                <w:lang w:val="en-CA"/>
              </w:rPr>
            </m:ctrlPr>
          </m:sSubPr>
          <m:e>
            <m:r>
              <m:rPr>
                <m:sty m:val="p"/>
              </m:rPr>
              <w:rPr>
                <w:rFonts w:ascii="Cambria Math" w:hAnsi="Cambria Math"/>
                <w:sz w:val="20"/>
                <w:szCs w:val="20"/>
                <w:lang w:val="en-CA"/>
              </w:rPr>
              <m:t xml:space="preserve"> </m:t>
            </m:r>
            <m:r>
              <w:rPr>
                <w:rFonts w:ascii="Cambria Math" w:hAnsi="Cambria Math"/>
                <w:sz w:val="20"/>
                <w:szCs w:val="20"/>
                <w:lang w:val="en-CA"/>
              </w:rPr>
              <m:t>∆Deaths</m:t>
            </m:r>
          </m:e>
          <m:sub>
            <m:r>
              <w:rPr>
                <w:rFonts w:ascii="Cambria Math" w:hAnsi="Cambria Math"/>
                <w:sz w:val="20"/>
                <w:szCs w:val="20"/>
                <w:lang w:val="en-CA"/>
              </w:rPr>
              <m:t>H</m:t>
            </m:r>
            <w:proofErr w:type="gramStart"/>
            <m:r>
              <w:rPr>
                <w:rFonts w:ascii="Cambria Math" w:hAnsi="Cambria Math"/>
                <w:sz w:val="20"/>
                <w:szCs w:val="20"/>
                <w:lang w:val="en-CA"/>
              </w:rPr>
              <m:t>,1918</m:t>
            </m:r>
            <w:proofErr w:type="gramEnd"/>
          </m:sub>
        </m:sSub>
        <m:r>
          <w:rPr>
            <w:rFonts w:ascii="Cambria Math" w:hAnsi="Cambria Math"/>
            <w:sz w:val="20"/>
            <w:szCs w:val="20"/>
            <w:lang w:val="en-CA"/>
          </w:rPr>
          <m:t xml:space="preserve">= </m:t>
        </m:r>
        <m:sSub>
          <m:sSubPr>
            <m:ctrlPr>
              <w:rPr>
                <w:rFonts w:ascii="Cambria Math" w:hAnsi="Cambria Math"/>
                <w:i/>
                <w:sz w:val="20"/>
                <w:szCs w:val="20"/>
                <w:lang w:val="en-CA"/>
              </w:rPr>
            </m:ctrlPr>
          </m:sSubPr>
          <m:e>
            <m:r>
              <w:rPr>
                <w:rFonts w:ascii="Cambria Math" w:hAnsi="Cambria Math"/>
                <w:sz w:val="20"/>
                <w:szCs w:val="20"/>
                <w:lang w:val="en-CA"/>
              </w:rPr>
              <m:t>β</m:t>
            </m:r>
          </m:e>
          <m:sub>
            <m:r>
              <w:rPr>
                <w:rFonts w:ascii="Cambria Math" w:hAnsi="Cambria Math"/>
                <w:sz w:val="20"/>
                <w:szCs w:val="20"/>
                <w:lang w:val="en-CA"/>
              </w:rPr>
              <m:t>1</m:t>
            </m:r>
          </m:sub>
        </m:sSub>
        <m:r>
          <w:rPr>
            <w:rFonts w:ascii="Cambria Math" w:hAnsi="Cambria Math"/>
            <w:sz w:val="20"/>
            <w:szCs w:val="20"/>
            <w:lang w:val="en-CA"/>
          </w:rPr>
          <m:t>∙</m:t>
        </m:r>
        <m:sSub>
          <m:sSubPr>
            <m:ctrlPr>
              <w:rPr>
                <w:rFonts w:ascii="Cambria Math" w:hAnsi="Cambria Math"/>
                <w:i/>
                <w:sz w:val="20"/>
                <w:szCs w:val="20"/>
                <w:lang w:val="en-CA"/>
              </w:rPr>
            </m:ctrlPr>
          </m:sSubPr>
          <m:e>
            <m:acc>
              <m:accPr>
                <m:chr m:val="̅"/>
                <m:ctrlPr>
                  <w:rPr>
                    <w:rFonts w:ascii="Cambria Math" w:hAnsi="Cambria Math"/>
                    <w:i/>
                    <w:sz w:val="20"/>
                    <w:szCs w:val="20"/>
                    <w:lang w:val="en-CA"/>
                  </w:rPr>
                </m:ctrlPr>
              </m:accPr>
              <m:e>
                <m:r>
                  <w:rPr>
                    <w:rFonts w:ascii="Cambria Math" w:hAnsi="Cambria Math"/>
                    <w:sz w:val="20"/>
                    <w:szCs w:val="20"/>
                    <w:lang w:val="en-CA"/>
                  </w:rPr>
                  <m:t>Mortrate</m:t>
                </m:r>
              </m:e>
            </m:acc>
          </m:e>
          <m:sub>
            <m:r>
              <w:rPr>
                <w:rFonts w:ascii="Cambria Math" w:hAnsi="Cambria Math"/>
                <w:sz w:val="20"/>
                <w:szCs w:val="20"/>
                <w:lang w:val="en-CA"/>
              </w:rPr>
              <m:t>H,1918</m:t>
            </m:r>
          </m:sub>
        </m:sSub>
        <m:r>
          <w:rPr>
            <w:rFonts w:ascii="Cambria Math" w:hAnsi="Cambria Math"/>
            <w:sz w:val="20"/>
            <w:szCs w:val="20"/>
            <w:lang w:val="en-CA"/>
          </w:rPr>
          <m:t>∙</m:t>
        </m:r>
        <m:sSub>
          <m:sSubPr>
            <m:ctrlPr>
              <w:rPr>
                <w:rFonts w:ascii="Cambria Math" w:hAnsi="Cambria Math"/>
                <w:i/>
                <w:sz w:val="20"/>
                <w:szCs w:val="20"/>
                <w:lang w:val="en-CA"/>
              </w:rPr>
            </m:ctrlPr>
          </m:sSubPr>
          <m:e>
            <m:r>
              <w:rPr>
                <w:rFonts w:ascii="Cambria Math" w:hAnsi="Cambria Math"/>
                <w:sz w:val="20"/>
                <w:szCs w:val="20"/>
                <w:lang w:val="en-CA"/>
              </w:rPr>
              <m:t>Population</m:t>
            </m:r>
          </m:e>
          <m:sub>
            <m:r>
              <w:rPr>
                <w:rFonts w:ascii="Cambria Math" w:hAnsi="Cambria Math"/>
                <w:sz w:val="20"/>
                <w:szCs w:val="20"/>
                <w:lang w:val="en-CA"/>
              </w:rPr>
              <m:t>H</m:t>
            </m:r>
          </m:sub>
        </m:sSub>
        <m:r>
          <w:rPr>
            <w:rFonts w:ascii="Cambria Math" w:hAnsi="Cambria Math"/>
            <w:sz w:val="20"/>
            <w:szCs w:val="20"/>
            <w:lang w:val="en-CA"/>
          </w:rPr>
          <m:t>=0.0964∙</m:t>
        </m:r>
        <m:d>
          <m:dPr>
            <m:ctrlPr>
              <w:rPr>
                <w:rFonts w:ascii="Cambria Math" w:hAnsi="Cambria Math"/>
                <w:i/>
                <w:sz w:val="20"/>
                <w:szCs w:val="20"/>
                <w:lang w:val="en-CA"/>
              </w:rPr>
            </m:ctrlPr>
          </m:dPr>
          <m:e>
            <m:f>
              <m:fPr>
                <m:ctrlPr>
                  <w:rPr>
                    <w:rFonts w:ascii="Cambria Math" w:hAnsi="Cambria Math"/>
                    <w:i/>
                    <w:sz w:val="20"/>
                    <w:szCs w:val="20"/>
                    <w:lang w:val="en-CA"/>
                  </w:rPr>
                </m:ctrlPr>
              </m:fPr>
              <m:num>
                <m:r>
                  <w:rPr>
                    <w:rFonts w:ascii="Cambria Math" w:hAnsi="Cambria Math"/>
                    <w:sz w:val="20"/>
                    <w:szCs w:val="20"/>
                    <w:lang w:val="en-CA"/>
                  </w:rPr>
                  <m:t>191.4</m:t>
                </m:r>
              </m:num>
              <m:den>
                <m:r>
                  <w:rPr>
                    <w:rFonts w:ascii="Cambria Math" w:hAnsi="Cambria Math"/>
                    <w:sz w:val="20"/>
                    <w:szCs w:val="20"/>
                    <w:lang w:val="en-CA"/>
                  </w:rPr>
                  <m:t>10,000</m:t>
                </m:r>
              </m:den>
            </m:f>
          </m:e>
        </m:d>
        <m:r>
          <w:rPr>
            <w:rFonts w:ascii="Cambria Math" w:hAnsi="Cambria Math"/>
            <w:sz w:val="20"/>
            <w:szCs w:val="20"/>
            <w:lang w:val="en-CA"/>
          </w:rPr>
          <m:t>∙18,884,435=34,844</m:t>
        </m:r>
      </m:oMath>
      <w:r w:rsidRPr="00B9735A">
        <w:rPr>
          <w:rFonts w:ascii="Times New Roman" w:hAnsi="Times New Roman"/>
          <w:sz w:val="20"/>
          <w:szCs w:val="20"/>
          <w:lang w:val="en-CA"/>
        </w:rPr>
        <w:t xml:space="preserve">. </w:t>
      </w:r>
    </w:p>
    <w:p w14:paraId="01DEC965" w14:textId="77777777" w:rsidR="00C25346" w:rsidRPr="00B9735A" w:rsidRDefault="00C25346" w:rsidP="00C25346">
      <w:pPr>
        <w:spacing w:line="480" w:lineRule="auto"/>
        <w:ind w:firstLine="720"/>
        <w:rPr>
          <w:rFonts w:ascii="Times New Roman" w:hAnsi="Times New Roman"/>
          <w:sz w:val="20"/>
          <w:szCs w:val="20"/>
          <w:lang w:val="en-CA"/>
        </w:rPr>
      </w:pPr>
      <w:r w:rsidRPr="00B9735A">
        <w:rPr>
          <w:rFonts w:ascii="Times New Roman" w:hAnsi="Times New Roman"/>
          <w:sz w:val="20"/>
          <w:szCs w:val="20"/>
          <w:lang w:val="en-CA"/>
        </w:rPr>
        <w:t xml:space="preserve">To derive the counterfactual deaths for approach 2 we subtract the coefficient estimates from Table 2, col. 6 from the observed excess mortality in 1918 and then multiplying by the total population. The counterfactual number of pandemic deaths in high coal cities are given by the following expression: </w:t>
      </w:r>
      <m:oMath>
        <m:sSub>
          <m:sSubPr>
            <m:ctrlPr>
              <w:rPr>
                <w:rFonts w:ascii="Cambria Math" w:hAnsi="Cambria Math"/>
                <w:i/>
                <w:sz w:val="20"/>
                <w:szCs w:val="20"/>
                <w:lang w:val="en-CA"/>
              </w:rPr>
            </m:ctrlPr>
          </m:sSubPr>
          <m:e>
            <m:r>
              <m:rPr>
                <m:sty m:val="p"/>
              </m:rPr>
              <w:rPr>
                <w:rFonts w:ascii="Cambria Math" w:hAnsi="Cambria Math"/>
                <w:sz w:val="20"/>
                <w:szCs w:val="20"/>
                <w:lang w:val="en-CA"/>
              </w:rPr>
              <m:t xml:space="preserve"> </m:t>
            </m:r>
            <m:r>
              <w:rPr>
                <w:rFonts w:ascii="Cambria Math" w:hAnsi="Cambria Math"/>
                <w:sz w:val="20"/>
                <w:szCs w:val="20"/>
                <w:lang w:val="en-CA"/>
              </w:rPr>
              <m:t>Counterfactualdeaths</m:t>
            </m:r>
          </m:e>
          <m:sub>
            <m:r>
              <w:rPr>
                <w:rFonts w:ascii="Cambria Math" w:hAnsi="Cambria Math"/>
                <w:sz w:val="20"/>
                <w:szCs w:val="20"/>
                <w:lang w:val="en-CA"/>
              </w:rPr>
              <m:t>H</m:t>
            </m:r>
            <w:proofErr w:type="gramStart"/>
            <m:r>
              <w:rPr>
                <w:rFonts w:ascii="Cambria Math" w:hAnsi="Cambria Math"/>
                <w:sz w:val="20"/>
                <w:szCs w:val="20"/>
                <w:lang w:val="en-CA"/>
              </w:rPr>
              <m:t>,1918</m:t>
            </m:r>
            <w:proofErr w:type="gramEnd"/>
          </m:sub>
        </m:sSub>
        <m:r>
          <w:rPr>
            <w:rFonts w:ascii="Cambria Math" w:hAnsi="Cambria Math"/>
            <w:sz w:val="20"/>
            <w:szCs w:val="20"/>
            <w:lang w:val="en-CA"/>
          </w:rPr>
          <m:t>=</m:t>
        </m:r>
        <m:sSub>
          <m:sSubPr>
            <m:ctrlPr>
              <w:rPr>
                <w:rFonts w:ascii="Cambria Math" w:hAnsi="Cambria Math"/>
                <w:i/>
                <w:sz w:val="20"/>
                <w:szCs w:val="20"/>
                <w:lang w:val="en-CA"/>
              </w:rPr>
            </m:ctrlPr>
          </m:sSubPr>
          <m:e>
            <m:acc>
              <m:accPr>
                <m:chr m:val="̅"/>
                <m:ctrlPr>
                  <w:rPr>
                    <w:rFonts w:ascii="Cambria Math" w:hAnsi="Cambria Math"/>
                    <w:i/>
                    <w:sz w:val="20"/>
                    <w:szCs w:val="20"/>
                    <w:lang w:val="en-CA"/>
                  </w:rPr>
                </m:ctrlPr>
              </m:accPr>
              <m:e>
                <m:r>
                  <w:rPr>
                    <w:rFonts w:ascii="Cambria Math" w:hAnsi="Cambria Math"/>
                    <w:sz w:val="20"/>
                    <w:szCs w:val="20"/>
                    <w:lang w:val="en-CA"/>
                  </w:rPr>
                  <m:t>PredictedMort</m:t>
                </m:r>
              </m:e>
            </m:acc>
          </m:e>
          <m:sub>
            <m:r>
              <w:rPr>
                <w:rFonts w:ascii="Cambria Math" w:hAnsi="Cambria Math"/>
                <w:sz w:val="20"/>
                <w:szCs w:val="20"/>
                <w:lang w:val="en-CA"/>
              </w:rPr>
              <m:t>H,1918</m:t>
            </m:r>
          </m:sub>
        </m:sSub>
        <m:r>
          <w:rPr>
            <w:rFonts w:ascii="Cambria Math" w:hAnsi="Cambria Math"/>
            <w:sz w:val="20"/>
            <w:szCs w:val="20"/>
            <w:lang w:val="en-CA"/>
          </w:rPr>
          <m:t>∙</m:t>
        </m:r>
        <m:d>
          <m:dPr>
            <m:ctrlPr>
              <w:rPr>
                <w:rFonts w:ascii="Cambria Math" w:hAnsi="Cambria Math"/>
                <w:i/>
                <w:sz w:val="20"/>
                <w:szCs w:val="20"/>
                <w:lang w:val="en-CA"/>
              </w:rPr>
            </m:ctrlPr>
          </m:dPr>
          <m:e>
            <m:sSub>
              <m:sSubPr>
                <m:ctrlPr>
                  <w:rPr>
                    <w:rFonts w:ascii="Cambria Math" w:hAnsi="Cambria Math"/>
                    <w:i/>
                    <w:sz w:val="20"/>
                    <w:szCs w:val="20"/>
                    <w:lang w:val="en-CA"/>
                  </w:rPr>
                </m:ctrlPr>
              </m:sSubPr>
              <m:e>
                <m:r>
                  <w:rPr>
                    <w:rFonts w:ascii="Cambria Math" w:hAnsi="Cambria Math"/>
                    <w:sz w:val="20"/>
                    <w:szCs w:val="20"/>
                    <w:lang w:val="en-CA"/>
                  </w:rPr>
                  <m:t>ExcessMort</m:t>
                </m:r>
              </m:e>
              <m:sub>
                <m:r>
                  <w:rPr>
                    <w:rFonts w:ascii="Cambria Math" w:hAnsi="Cambria Math"/>
                    <w:sz w:val="20"/>
                    <w:szCs w:val="20"/>
                    <w:lang w:val="en-CA"/>
                  </w:rPr>
                  <m:t>H,1918</m:t>
                </m:r>
              </m:sub>
            </m:sSub>
            <m:r>
              <w:rPr>
                <w:rFonts w:ascii="Cambria Math" w:hAnsi="Cambria Math"/>
                <w:sz w:val="20"/>
                <w:szCs w:val="20"/>
                <w:lang w:val="en-CA"/>
              </w:rPr>
              <m:t>-</m:t>
            </m:r>
            <m:sSub>
              <m:sSubPr>
                <m:ctrlPr>
                  <w:rPr>
                    <w:rFonts w:ascii="Cambria Math" w:hAnsi="Cambria Math"/>
                    <w:i/>
                    <w:sz w:val="20"/>
                    <w:szCs w:val="20"/>
                    <w:lang w:val="en-CA"/>
                  </w:rPr>
                </m:ctrlPr>
              </m:sSubPr>
              <m:e>
                <m:r>
                  <w:rPr>
                    <w:rFonts w:ascii="Cambria Math" w:hAnsi="Cambria Math"/>
                    <w:sz w:val="20"/>
                    <w:szCs w:val="20"/>
                    <w:lang w:val="en-CA"/>
                  </w:rPr>
                  <m:t>β</m:t>
                </m:r>
              </m:e>
              <m:sub>
                <m:r>
                  <w:rPr>
                    <w:rFonts w:ascii="Cambria Math" w:hAnsi="Cambria Math"/>
                    <w:sz w:val="20"/>
                    <w:szCs w:val="20"/>
                    <w:lang w:val="en-CA"/>
                  </w:rPr>
                  <m:t>1</m:t>
                </m:r>
              </m:sub>
            </m:sSub>
          </m:e>
        </m:d>
        <m:r>
          <w:rPr>
            <w:rFonts w:ascii="Cambria Math" w:hAnsi="Cambria Math"/>
            <w:sz w:val="20"/>
            <w:szCs w:val="20"/>
            <w:lang w:val="en-CA"/>
          </w:rPr>
          <m:t>∙</m:t>
        </m:r>
        <m:sSub>
          <m:sSubPr>
            <m:ctrlPr>
              <w:rPr>
                <w:rFonts w:ascii="Cambria Math" w:hAnsi="Cambria Math"/>
                <w:i/>
                <w:sz w:val="20"/>
                <w:szCs w:val="20"/>
                <w:lang w:val="en-CA"/>
              </w:rPr>
            </m:ctrlPr>
          </m:sSubPr>
          <m:e>
            <m:r>
              <w:rPr>
                <w:rFonts w:ascii="Cambria Math" w:hAnsi="Cambria Math"/>
                <w:sz w:val="20"/>
                <w:szCs w:val="20"/>
                <w:lang w:val="en-CA"/>
              </w:rPr>
              <m:t>Population</m:t>
            </m:r>
          </m:e>
          <m:sub>
            <m:r>
              <w:rPr>
                <w:rFonts w:ascii="Cambria Math" w:hAnsi="Cambria Math"/>
                <w:sz w:val="20"/>
                <w:szCs w:val="20"/>
                <w:lang w:val="en-CA"/>
              </w:rPr>
              <m:t>H</m:t>
            </m:r>
          </m:sub>
        </m:sSub>
        <m:r>
          <w:rPr>
            <w:rFonts w:ascii="Cambria Math" w:hAnsi="Cambria Math"/>
            <w:sz w:val="20"/>
            <w:szCs w:val="20"/>
            <w:lang w:val="en-CA"/>
          </w:rPr>
          <m:t>=</m:t>
        </m:r>
        <m:d>
          <m:dPr>
            <m:ctrlPr>
              <w:rPr>
                <w:rFonts w:ascii="Cambria Math" w:hAnsi="Cambria Math"/>
                <w:i/>
                <w:sz w:val="20"/>
                <w:szCs w:val="20"/>
                <w:lang w:val="en-CA"/>
              </w:rPr>
            </m:ctrlPr>
          </m:dPr>
          <m:e>
            <m:f>
              <m:fPr>
                <m:ctrlPr>
                  <w:rPr>
                    <w:rFonts w:ascii="Cambria Math" w:hAnsi="Cambria Math"/>
                    <w:i/>
                    <w:sz w:val="20"/>
                    <w:szCs w:val="20"/>
                    <w:lang w:val="en-CA"/>
                  </w:rPr>
                </m:ctrlPr>
              </m:fPr>
              <m:num>
                <m:r>
                  <w:rPr>
                    <w:rFonts w:ascii="Cambria Math" w:hAnsi="Cambria Math"/>
                    <w:sz w:val="20"/>
                    <w:szCs w:val="20"/>
                    <w:lang w:val="en-CA"/>
                  </w:rPr>
                  <m:t>138.4</m:t>
                </m:r>
              </m:num>
              <m:den>
                <m:r>
                  <w:rPr>
                    <w:rFonts w:ascii="Cambria Math" w:hAnsi="Cambria Math"/>
                    <w:sz w:val="20"/>
                    <w:szCs w:val="20"/>
                    <w:lang w:val="en-CA"/>
                  </w:rPr>
                  <m:t>10,000</m:t>
                </m:r>
              </m:den>
            </m:f>
          </m:e>
        </m:d>
        <m:r>
          <w:rPr>
            <w:rFonts w:ascii="Cambria Math" w:hAnsi="Cambria Math"/>
            <w:sz w:val="20"/>
            <w:szCs w:val="20"/>
            <w:lang w:val="en-CA"/>
          </w:rPr>
          <m:t>∙</m:t>
        </m:r>
        <m:d>
          <m:dPr>
            <m:ctrlPr>
              <w:rPr>
                <w:rFonts w:ascii="Cambria Math" w:hAnsi="Cambria Math"/>
                <w:i/>
                <w:sz w:val="20"/>
                <w:szCs w:val="20"/>
                <w:lang w:val="en-CA"/>
              </w:rPr>
            </m:ctrlPr>
          </m:dPr>
          <m:e>
            <m:r>
              <w:rPr>
                <w:rFonts w:ascii="Cambria Math" w:hAnsi="Cambria Math"/>
                <w:sz w:val="20"/>
                <w:szCs w:val="20"/>
                <w:lang w:val="en-CA"/>
              </w:rPr>
              <m:t>0.409-0.0964</m:t>
            </m:r>
          </m:e>
        </m:d>
        <m:r>
          <w:rPr>
            <w:rFonts w:ascii="Cambria Math" w:hAnsi="Cambria Math"/>
            <w:sz w:val="20"/>
            <w:szCs w:val="20"/>
            <w:lang w:val="en-CA"/>
          </w:rPr>
          <m:t xml:space="preserve">∙18,884,435=81,701, </m:t>
        </m:r>
      </m:oMath>
      <w:r w:rsidRPr="00B9735A">
        <w:rPr>
          <w:rFonts w:ascii="Times New Roman" w:hAnsi="Times New Roman"/>
          <w:sz w:val="20"/>
          <w:szCs w:val="20"/>
          <w:lang w:val="en-CA"/>
        </w:rPr>
        <w:t xml:space="preserve">implying that the change in pandemic mortality in high coal cities is </w:t>
      </w:r>
      <m:oMath>
        <m:sSub>
          <m:sSubPr>
            <m:ctrlPr>
              <w:rPr>
                <w:rFonts w:ascii="Cambria Math" w:hAnsi="Cambria Math"/>
                <w:i/>
                <w:sz w:val="20"/>
                <w:szCs w:val="20"/>
                <w:lang w:val="en-CA"/>
              </w:rPr>
            </m:ctrlPr>
          </m:sSubPr>
          <m:e>
            <m:r>
              <m:rPr>
                <m:sty m:val="p"/>
              </m:rPr>
              <w:rPr>
                <w:rFonts w:ascii="Cambria Math" w:hAnsi="Cambria Math"/>
                <w:sz w:val="20"/>
                <w:szCs w:val="20"/>
                <w:lang w:val="en-CA"/>
              </w:rPr>
              <m:t xml:space="preserve"> </m:t>
            </m:r>
            <m:r>
              <w:rPr>
                <w:rFonts w:ascii="Cambria Math" w:hAnsi="Cambria Math"/>
                <w:sz w:val="20"/>
                <w:szCs w:val="20"/>
                <w:lang w:val="en-CA"/>
              </w:rPr>
              <m:t>∆Deaths</m:t>
            </m:r>
          </m:e>
          <m:sub>
            <m:r>
              <w:rPr>
                <w:rFonts w:ascii="Cambria Math" w:hAnsi="Cambria Math"/>
                <w:sz w:val="20"/>
                <w:szCs w:val="20"/>
                <w:lang w:val="en-CA"/>
              </w:rPr>
              <m:t>H,1918</m:t>
            </m:r>
          </m:sub>
        </m:sSub>
        <m:r>
          <w:rPr>
            <w:rFonts w:ascii="Cambria Math" w:hAnsi="Cambria Math"/>
            <w:sz w:val="20"/>
            <w:szCs w:val="20"/>
            <w:lang w:val="en-CA"/>
          </w:rPr>
          <m:t>=106,896-81,701=25,195.</m:t>
        </m:r>
      </m:oMath>
    </w:p>
    <w:p w14:paraId="770AEDD1" w14:textId="77777777" w:rsidR="00A64A80" w:rsidRDefault="0002466B"/>
    <w:p w14:paraId="69E365D2" w14:textId="77777777" w:rsidR="00B9735A" w:rsidRDefault="00B9735A">
      <w:pPr>
        <w:rPr>
          <w:rFonts w:ascii="Times New Roman" w:hAnsi="Times New Roman" w:cs="Times New Roman"/>
          <w:sz w:val="20"/>
          <w:szCs w:val="20"/>
        </w:rPr>
      </w:pPr>
      <w:r>
        <w:rPr>
          <w:rFonts w:ascii="Times New Roman" w:hAnsi="Times New Roman" w:cs="Times New Roman"/>
          <w:sz w:val="20"/>
          <w:szCs w:val="20"/>
        </w:rPr>
        <w:br w:type="page"/>
      </w:r>
    </w:p>
    <w:p w14:paraId="3F75E46D" w14:textId="588E65C7" w:rsidR="006C3294" w:rsidRPr="00B9735A" w:rsidRDefault="006C3294" w:rsidP="006C3294">
      <w:pPr>
        <w:jc w:val="center"/>
        <w:rPr>
          <w:rFonts w:ascii="Times New Roman" w:hAnsi="Times New Roman" w:cs="Times New Roman"/>
          <w:sz w:val="20"/>
          <w:szCs w:val="20"/>
        </w:rPr>
      </w:pPr>
      <w:r w:rsidRPr="00B9735A">
        <w:rPr>
          <w:rFonts w:ascii="Times New Roman" w:hAnsi="Times New Roman" w:cs="Times New Roman"/>
          <w:sz w:val="20"/>
          <w:szCs w:val="20"/>
        </w:rPr>
        <w:lastRenderedPageBreak/>
        <w:t>REFERENCE</w:t>
      </w:r>
      <w:r w:rsidR="00624B17" w:rsidRPr="00B9735A">
        <w:rPr>
          <w:rFonts w:ascii="Times New Roman" w:hAnsi="Times New Roman" w:cs="Times New Roman"/>
          <w:sz w:val="20"/>
          <w:szCs w:val="20"/>
        </w:rPr>
        <w:t>S</w:t>
      </w:r>
    </w:p>
    <w:p w14:paraId="3C31432E" w14:textId="77777777" w:rsidR="006C3294" w:rsidRPr="00B9735A" w:rsidRDefault="006C3294" w:rsidP="006C3294">
      <w:pPr>
        <w:jc w:val="center"/>
        <w:rPr>
          <w:rFonts w:ascii="Times New Roman" w:hAnsi="Times New Roman" w:cs="Times New Roman"/>
          <w:sz w:val="20"/>
          <w:szCs w:val="20"/>
        </w:rPr>
      </w:pPr>
    </w:p>
    <w:p w14:paraId="0E557BC3" w14:textId="77777777" w:rsidR="0069045F" w:rsidRPr="00B9735A" w:rsidRDefault="0069045F" w:rsidP="00B9735A">
      <w:pPr>
        <w:jc w:val="both"/>
        <w:rPr>
          <w:rFonts w:ascii="Times New Roman" w:hAnsi="Times New Roman"/>
          <w:sz w:val="20"/>
          <w:szCs w:val="20"/>
        </w:rPr>
      </w:pPr>
      <w:r w:rsidRPr="00B9735A">
        <w:rPr>
          <w:rFonts w:ascii="Times New Roman" w:hAnsi="Times New Roman"/>
          <w:sz w:val="20"/>
          <w:szCs w:val="20"/>
        </w:rPr>
        <w:t xml:space="preserve">Almond, Douglas, </w:t>
      </w:r>
      <w:proofErr w:type="spellStart"/>
      <w:r w:rsidRPr="00B9735A">
        <w:rPr>
          <w:rFonts w:ascii="Times New Roman" w:hAnsi="Times New Roman"/>
          <w:sz w:val="20"/>
          <w:szCs w:val="20"/>
        </w:rPr>
        <w:t>Yuyu</w:t>
      </w:r>
      <w:proofErr w:type="spellEnd"/>
      <w:r w:rsidRPr="00B9735A">
        <w:rPr>
          <w:rFonts w:ascii="Times New Roman" w:hAnsi="Times New Roman"/>
          <w:sz w:val="20"/>
          <w:szCs w:val="20"/>
        </w:rPr>
        <w:t xml:space="preserve"> Chen, Michael Greenstone, and </w:t>
      </w:r>
      <w:proofErr w:type="spellStart"/>
      <w:r w:rsidRPr="00B9735A">
        <w:rPr>
          <w:rFonts w:ascii="Times New Roman" w:hAnsi="Times New Roman"/>
          <w:sz w:val="20"/>
          <w:szCs w:val="20"/>
        </w:rPr>
        <w:t>Hongbin</w:t>
      </w:r>
      <w:proofErr w:type="spellEnd"/>
      <w:r w:rsidRPr="00B9735A">
        <w:rPr>
          <w:rFonts w:ascii="Times New Roman" w:hAnsi="Times New Roman"/>
          <w:sz w:val="20"/>
          <w:szCs w:val="20"/>
        </w:rPr>
        <w:t xml:space="preserve"> Li. “Unintended Consequences of China's </w:t>
      </w:r>
      <w:proofErr w:type="spellStart"/>
      <w:r w:rsidRPr="00B9735A">
        <w:rPr>
          <w:rFonts w:ascii="Times New Roman" w:hAnsi="Times New Roman"/>
          <w:sz w:val="20"/>
          <w:szCs w:val="20"/>
        </w:rPr>
        <w:t>Huai</w:t>
      </w:r>
      <w:proofErr w:type="spellEnd"/>
      <w:r w:rsidRPr="00B9735A">
        <w:rPr>
          <w:rFonts w:ascii="Times New Roman" w:hAnsi="Times New Roman"/>
          <w:sz w:val="20"/>
          <w:szCs w:val="20"/>
        </w:rPr>
        <w:t xml:space="preserve"> River Policy.” </w:t>
      </w:r>
      <w:r w:rsidRPr="00B9735A">
        <w:rPr>
          <w:rFonts w:ascii="Times New Roman" w:hAnsi="Times New Roman"/>
          <w:i/>
          <w:sz w:val="20"/>
          <w:szCs w:val="20"/>
        </w:rPr>
        <w:t>American Economic Review: Papers and Proceedings</w:t>
      </w:r>
      <w:r w:rsidRPr="00B9735A">
        <w:rPr>
          <w:rFonts w:ascii="Times New Roman" w:hAnsi="Times New Roman"/>
          <w:sz w:val="20"/>
          <w:szCs w:val="20"/>
        </w:rPr>
        <w:t xml:space="preserve"> 99 (2009): 184–190.</w:t>
      </w:r>
    </w:p>
    <w:p w14:paraId="34391E8B" w14:textId="77777777" w:rsidR="0069045F" w:rsidRPr="00B9735A" w:rsidRDefault="0069045F" w:rsidP="00B9735A">
      <w:pPr>
        <w:jc w:val="both"/>
        <w:rPr>
          <w:rFonts w:ascii="Times New Roman" w:hAnsi="Times New Roman"/>
          <w:sz w:val="20"/>
          <w:szCs w:val="20"/>
        </w:rPr>
      </w:pPr>
    </w:p>
    <w:p w14:paraId="594A3C15" w14:textId="77777777" w:rsidR="0069045F" w:rsidRPr="00B9735A" w:rsidRDefault="0069045F" w:rsidP="00B9735A">
      <w:pPr>
        <w:jc w:val="both"/>
        <w:rPr>
          <w:rFonts w:ascii="Times New Roman" w:hAnsi="Times New Roman"/>
          <w:sz w:val="20"/>
          <w:szCs w:val="20"/>
        </w:rPr>
      </w:pPr>
      <w:proofErr w:type="spellStart"/>
      <w:r w:rsidRPr="00B9735A">
        <w:rPr>
          <w:rFonts w:ascii="Times New Roman" w:hAnsi="Times New Roman"/>
          <w:sz w:val="20"/>
          <w:szCs w:val="20"/>
        </w:rPr>
        <w:t>Chay</w:t>
      </w:r>
      <w:proofErr w:type="spellEnd"/>
      <w:r w:rsidRPr="00B9735A">
        <w:rPr>
          <w:rFonts w:ascii="Times New Roman" w:hAnsi="Times New Roman"/>
          <w:sz w:val="20"/>
          <w:szCs w:val="20"/>
        </w:rPr>
        <w:t xml:space="preserve">, Kenneth Y., and Michael Greenstone. “The Impact of Air Pollution on Infant Mortality: Evidence from Geographic Variation in Pollution Shocks Induced by a Recession.” </w:t>
      </w:r>
      <w:r w:rsidRPr="00B9735A">
        <w:rPr>
          <w:rFonts w:ascii="Times New Roman" w:hAnsi="Times New Roman"/>
          <w:i/>
          <w:sz w:val="20"/>
          <w:szCs w:val="20"/>
        </w:rPr>
        <w:t>Quarterly Journal of Economics</w:t>
      </w:r>
      <w:r w:rsidRPr="00B9735A">
        <w:rPr>
          <w:rFonts w:ascii="Times New Roman" w:hAnsi="Times New Roman"/>
          <w:sz w:val="20"/>
          <w:szCs w:val="20"/>
        </w:rPr>
        <w:t xml:space="preserve"> 118, no. 3 (2003a): 1121–67. </w:t>
      </w:r>
    </w:p>
    <w:p w14:paraId="53D97AD6" w14:textId="77777777" w:rsidR="0069045F" w:rsidRPr="00B9735A" w:rsidRDefault="0069045F" w:rsidP="00B9735A">
      <w:pPr>
        <w:jc w:val="both"/>
        <w:rPr>
          <w:rFonts w:ascii="Times New Roman" w:hAnsi="Times New Roman"/>
          <w:sz w:val="20"/>
          <w:szCs w:val="20"/>
        </w:rPr>
      </w:pPr>
    </w:p>
    <w:p w14:paraId="7272C826" w14:textId="387541F5" w:rsidR="00624B17" w:rsidRPr="00B9735A" w:rsidRDefault="00624B17" w:rsidP="00B9735A">
      <w:pPr>
        <w:jc w:val="both"/>
        <w:rPr>
          <w:rFonts w:ascii="Times New Roman" w:hAnsi="Times New Roman"/>
          <w:sz w:val="20"/>
          <w:szCs w:val="20"/>
        </w:rPr>
      </w:pPr>
      <w:r w:rsidRPr="00B9735A">
        <w:rPr>
          <w:rFonts w:ascii="Times New Roman" w:hAnsi="Times New Roman"/>
          <w:sz w:val="20"/>
          <w:szCs w:val="20"/>
        </w:rPr>
        <w:t xml:space="preserve">Cohen, Aaron J., H. Ross Anderson, Bart </w:t>
      </w:r>
      <w:proofErr w:type="spellStart"/>
      <w:r w:rsidRPr="00B9735A">
        <w:rPr>
          <w:rFonts w:ascii="Times New Roman" w:hAnsi="Times New Roman"/>
          <w:sz w:val="20"/>
          <w:szCs w:val="20"/>
        </w:rPr>
        <w:t>Ostro</w:t>
      </w:r>
      <w:proofErr w:type="spellEnd"/>
      <w:r w:rsidRPr="00B9735A">
        <w:rPr>
          <w:rFonts w:ascii="Times New Roman" w:hAnsi="Times New Roman"/>
          <w:sz w:val="20"/>
          <w:szCs w:val="20"/>
        </w:rPr>
        <w:t xml:space="preserve">, </w:t>
      </w:r>
      <w:proofErr w:type="spellStart"/>
      <w:r w:rsidRPr="00B9735A">
        <w:rPr>
          <w:rFonts w:ascii="Times New Roman" w:hAnsi="Times New Roman"/>
          <w:sz w:val="20"/>
          <w:szCs w:val="20"/>
        </w:rPr>
        <w:t>Kiran</w:t>
      </w:r>
      <w:proofErr w:type="spellEnd"/>
      <w:r w:rsidRPr="00B9735A">
        <w:rPr>
          <w:rFonts w:ascii="Times New Roman" w:hAnsi="Times New Roman"/>
          <w:sz w:val="20"/>
          <w:szCs w:val="20"/>
        </w:rPr>
        <w:t xml:space="preserve"> </w:t>
      </w:r>
      <w:proofErr w:type="spellStart"/>
      <w:r w:rsidRPr="00B9735A">
        <w:rPr>
          <w:rFonts w:ascii="Times New Roman" w:hAnsi="Times New Roman"/>
          <w:sz w:val="20"/>
          <w:szCs w:val="20"/>
        </w:rPr>
        <w:t>Dev</w:t>
      </w:r>
      <w:proofErr w:type="spellEnd"/>
      <w:r w:rsidRPr="00B9735A">
        <w:rPr>
          <w:rFonts w:ascii="Times New Roman" w:hAnsi="Times New Roman"/>
          <w:sz w:val="20"/>
          <w:szCs w:val="20"/>
        </w:rPr>
        <w:t xml:space="preserve"> </w:t>
      </w:r>
      <w:proofErr w:type="spellStart"/>
      <w:r w:rsidRPr="00B9735A">
        <w:rPr>
          <w:rFonts w:ascii="Times New Roman" w:hAnsi="Times New Roman"/>
          <w:sz w:val="20"/>
          <w:szCs w:val="20"/>
        </w:rPr>
        <w:t>Pandey</w:t>
      </w:r>
      <w:proofErr w:type="spellEnd"/>
      <w:r w:rsidRPr="00B9735A">
        <w:rPr>
          <w:rFonts w:ascii="Times New Roman" w:hAnsi="Times New Roman"/>
          <w:sz w:val="20"/>
          <w:szCs w:val="20"/>
        </w:rPr>
        <w:t xml:space="preserve">, et al. “Urban Air Pollution.” </w:t>
      </w:r>
      <w:proofErr w:type="gramStart"/>
      <w:r w:rsidRPr="00B9735A">
        <w:rPr>
          <w:rFonts w:ascii="Times New Roman" w:hAnsi="Times New Roman"/>
          <w:sz w:val="20"/>
          <w:szCs w:val="20"/>
        </w:rPr>
        <w:t xml:space="preserve">In </w:t>
      </w:r>
      <w:r w:rsidRPr="00B9735A">
        <w:rPr>
          <w:rFonts w:ascii="Times New Roman" w:hAnsi="Times New Roman"/>
          <w:i/>
          <w:sz w:val="20"/>
          <w:szCs w:val="20"/>
        </w:rPr>
        <w:t>Comparative Quantification of Health Risks, Vol. 2</w:t>
      </w:r>
      <w:r w:rsidRPr="00B9735A">
        <w:rPr>
          <w:rFonts w:ascii="Times New Roman" w:hAnsi="Times New Roman"/>
          <w:sz w:val="20"/>
          <w:szCs w:val="20"/>
        </w:rPr>
        <w:t>., Chapter 17.</w:t>
      </w:r>
      <w:proofErr w:type="gramEnd"/>
      <w:r w:rsidRPr="00B9735A">
        <w:rPr>
          <w:rFonts w:ascii="Times New Roman" w:hAnsi="Times New Roman"/>
          <w:sz w:val="20"/>
          <w:szCs w:val="20"/>
        </w:rPr>
        <w:t xml:space="preserve">  Geneva: World Health Organization, 2004.</w:t>
      </w:r>
    </w:p>
    <w:p w14:paraId="05701A11" w14:textId="6E876806" w:rsidR="00624B17" w:rsidRDefault="00624B17" w:rsidP="00B9735A">
      <w:pPr>
        <w:jc w:val="both"/>
        <w:rPr>
          <w:rFonts w:ascii="Times New Roman" w:hAnsi="Times New Roman"/>
          <w:sz w:val="20"/>
          <w:szCs w:val="20"/>
        </w:rPr>
      </w:pPr>
    </w:p>
    <w:p w14:paraId="563CA498" w14:textId="77777777" w:rsidR="00EC5953" w:rsidRPr="00EC5953" w:rsidRDefault="00EC5953" w:rsidP="00EC5953">
      <w:pPr>
        <w:jc w:val="both"/>
        <w:rPr>
          <w:rFonts w:ascii="Times New Roman" w:hAnsi="Times New Roman"/>
          <w:sz w:val="20"/>
          <w:szCs w:val="20"/>
        </w:rPr>
      </w:pPr>
      <w:r w:rsidRPr="00EC5953">
        <w:rPr>
          <w:rFonts w:ascii="Times New Roman" w:hAnsi="Times New Roman"/>
          <w:sz w:val="20"/>
          <w:szCs w:val="20"/>
        </w:rPr>
        <w:t xml:space="preserve">Collins, Selwyn D. “Age and Sex Incidence of Influenza and Pneumonia Morbidity and Mortality in the Epidemic of 1928–29 with Comparative Data for the Epidemic of 1918–19: Based on Surveys of Families in Certain Localities in the United States following the Epidemics.” </w:t>
      </w:r>
      <w:proofErr w:type="gramStart"/>
      <w:r w:rsidRPr="00EC5953">
        <w:rPr>
          <w:rFonts w:ascii="Times New Roman" w:hAnsi="Times New Roman"/>
          <w:i/>
          <w:sz w:val="20"/>
          <w:szCs w:val="20"/>
        </w:rPr>
        <w:t>Public Health Reports</w:t>
      </w:r>
      <w:r w:rsidRPr="00EC5953">
        <w:rPr>
          <w:rFonts w:ascii="Times New Roman" w:hAnsi="Times New Roman"/>
          <w:sz w:val="20"/>
          <w:szCs w:val="20"/>
        </w:rPr>
        <w:t xml:space="preserve"> 46, no. 33 (1930): 1909–37.</w:t>
      </w:r>
      <w:proofErr w:type="gramEnd"/>
    </w:p>
    <w:p w14:paraId="0C35298B" w14:textId="6F833714" w:rsidR="00EC5953" w:rsidRPr="00B9735A" w:rsidRDefault="00EC5953" w:rsidP="00B9735A">
      <w:pPr>
        <w:jc w:val="both"/>
        <w:rPr>
          <w:rFonts w:ascii="Times New Roman" w:hAnsi="Times New Roman"/>
          <w:sz w:val="20"/>
          <w:szCs w:val="20"/>
        </w:rPr>
      </w:pPr>
    </w:p>
    <w:p w14:paraId="1AD66AF1" w14:textId="2ED159EC" w:rsidR="00B400A0" w:rsidRPr="00B9735A" w:rsidRDefault="00B400A0" w:rsidP="00B9735A">
      <w:pPr>
        <w:jc w:val="both"/>
        <w:rPr>
          <w:rFonts w:ascii="Times New Roman" w:hAnsi="Times New Roman"/>
          <w:sz w:val="20"/>
          <w:szCs w:val="20"/>
        </w:rPr>
      </w:pPr>
      <w:proofErr w:type="spellStart"/>
      <w:r w:rsidRPr="00B9735A">
        <w:rPr>
          <w:rFonts w:ascii="Times New Roman" w:hAnsi="Times New Roman"/>
          <w:sz w:val="20"/>
          <w:szCs w:val="20"/>
        </w:rPr>
        <w:t>Eisenbud</w:t>
      </w:r>
      <w:proofErr w:type="spellEnd"/>
      <w:r w:rsidRPr="00B9735A">
        <w:rPr>
          <w:rFonts w:ascii="Times New Roman" w:hAnsi="Times New Roman"/>
          <w:sz w:val="20"/>
          <w:szCs w:val="20"/>
        </w:rPr>
        <w:t xml:space="preserve">, </w:t>
      </w:r>
      <w:proofErr w:type="spellStart"/>
      <w:r w:rsidRPr="00B9735A">
        <w:rPr>
          <w:rFonts w:ascii="Times New Roman" w:hAnsi="Times New Roman"/>
          <w:sz w:val="20"/>
          <w:szCs w:val="20"/>
        </w:rPr>
        <w:t>Merril</w:t>
      </w:r>
      <w:proofErr w:type="spellEnd"/>
      <w:r w:rsidRPr="00B9735A">
        <w:rPr>
          <w:rFonts w:ascii="Times New Roman" w:hAnsi="Times New Roman"/>
          <w:sz w:val="20"/>
          <w:szCs w:val="20"/>
        </w:rPr>
        <w:t xml:space="preserve">. “Levels of Exposure to Sulfur Oxides and Particulates in New York City and Their Sources.”  </w:t>
      </w:r>
      <w:proofErr w:type="gramStart"/>
      <w:r w:rsidRPr="00B9735A">
        <w:rPr>
          <w:rFonts w:ascii="Times New Roman" w:hAnsi="Times New Roman"/>
          <w:i/>
          <w:sz w:val="20"/>
          <w:szCs w:val="20"/>
        </w:rPr>
        <w:t>Bulletin of the New York Academy of Medicine</w:t>
      </w:r>
      <w:r w:rsidRPr="00B9735A">
        <w:rPr>
          <w:rFonts w:ascii="Times New Roman" w:hAnsi="Times New Roman"/>
          <w:sz w:val="20"/>
          <w:szCs w:val="20"/>
        </w:rPr>
        <w:t xml:space="preserve"> 54 (1978): 991–1011.</w:t>
      </w:r>
      <w:proofErr w:type="gramEnd"/>
    </w:p>
    <w:p w14:paraId="30737951" w14:textId="77777777" w:rsidR="00B400A0" w:rsidRPr="00B9735A" w:rsidRDefault="00B400A0" w:rsidP="00B9735A">
      <w:pPr>
        <w:jc w:val="both"/>
        <w:rPr>
          <w:rFonts w:ascii="Times New Roman" w:hAnsi="Times New Roman"/>
          <w:sz w:val="20"/>
          <w:szCs w:val="20"/>
        </w:rPr>
      </w:pPr>
    </w:p>
    <w:p w14:paraId="3447DC3F" w14:textId="7CED6812" w:rsidR="003B0F63" w:rsidRPr="00B9735A" w:rsidRDefault="003B0F63" w:rsidP="00B9735A">
      <w:pPr>
        <w:jc w:val="both"/>
        <w:rPr>
          <w:rFonts w:ascii="Times New Roman" w:hAnsi="Times New Roman"/>
          <w:sz w:val="20"/>
          <w:szCs w:val="20"/>
        </w:rPr>
      </w:pPr>
      <w:r w:rsidRPr="00B9735A">
        <w:rPr>
          <w:rFonts w:ascii="Times New Roman" w:hAnsi="Times New Roman"/>
          <w:sz w:val="20"/>
          <w:szCs w:val="20"/>
        </w:rPr>
        <w:t xml:space="preserve">Flagg, Samuel B. </w:t>
      </w:r>
      <w:r w:rsidRPr="00B9735A">
        <w:rPr>
          <w:rFonts w:ascii="Times New Roman" w:hAnsi="Times New Roman"/>
          <w:i/>
          <w:sz w:val="20"/>
          <w:szCs w:val="20"/>
        </w:rPr>
        <w:t>City Smoke Ordinances and Smoke Abatement</w:t>
      </w:r>
      <w:r w:rsidRPr="00B9735A">
        <w:rPr>
          <w:rFonts w:ascii="Times New Roman" w:hAnsi="Times New Roman"/>
          <w:sz w:val="20"/>
          <w:szCs w:val="20"/>
        </w:rPr>
        <w:t>. Washington, DC: GPO, 1912.</w:t>
      </w:r>
    </w:p>
    <w:p w14:paraId="43D92857" w14:textId="77777777" w:rsidR="003B0F63" w:rsidRPr="00B9735A" w:rsidRDefault="003B0F63" w:rsidP="00B9735A">
      <w:pPr>
        <w:jc w:val="both"/>
        <w:rPr>
          <w:rFonts w:ascii="Times New Roman" w:hAnsi="Times New Roman"/>
          <w:sz w:val="20"/>
          <w:szCs w:val="20"/>
        </w:rPr>
      </w:pPr>
    </w:p>
    <w:p w14:paraId="036A06D8" w14:textId="77777777" w:rsidR="00B400A0" w:rsidRPr="00B9735A" w:rsidRDefault="00B400A0" w:rsidP="00B9735A">
      <w:pPr>
        <w:jc w:val="both"/>
        <w:rPr>
          <w:rFonts w:ascii="Times New Roman" w:hAnsi="Times New Roman"/>
          <w:sz w:val="20"/>
          <w:szCs w:val="20"/>
        </w:rPr>
      </w:pPr>
      <w:r w:rsidRPr="00B9735A">
        <w:rPr>
          <w:rFonts w:ascii="Times New Roman" w:hAnsi="Times New Roman"/>
          <w:sz w:val="20"/>
          <w:szCs w:val="20"/>
        </w:rPr>
        <w:t xml:space="preserve">Ives, James E., Rollo H. Britten, David W. Armstrong, Wirt A. Gill, et al. </w:t>
      </w:r>
      <w:r w:rsidRPr="00B9735A">
        <w:rPr>
          <w:rFonts w:ascii="Times New Roman" w:hAnsi="Times New Roman"/>
          <w:i/>
          <w:sz w:val="20"/>
          <w:szCs w:val="20"/>
        </w:rPr>
        <w:t>Atmospheric Pollution of American Cities for the Years 1931 to 1933 with Special Reference to the Solid Constituents of the Pollution</w:t>
      </w:r>
      <w:r w:rsidRPr="00B9735A">
        <w:rPr>
          <w:rFonts w:ascii="Times New Roman" w:hAnsi="Times New Roman"/>
          <w:sz w:val="20"/>
          <w:szCs w:val="20"/>
        </w:rPr>
        <w:t>. U.S. Treasury Department, Public Health Bulletin No. 224. Washington, DC: GPO, 1936.</w:t>
      </w:r>
    </w:p>
    <w:p w14:paraId="0DD6C5AC" w14:textId="77777777" w:rsidR="00B400A0" w:rsidRPr="00B9735A" w:rsidRDefault="00B400A0" w:rsidP="00B9735A">
      <w:pPr>
        <w:jc w:val="both"/>
        <w:rPr>
          <w:rFonts w:ascii="Times New Roman" w:hAnsi="Times New Roman"/>
          <w:sz w:val="20"/>
          <w:szCs w:val="20"/>
        </w:rPr>
      </w:pPr>
    </w:p>
    <w:p w14:paraId="47E14DF6" w14:textId="77777777" w:rsidR="0013666C" w:rsidRPr="00B9735A" w:rsidRDefault="0013666C" w:rsidP="00B9735A">
      <w:pPr>
        <w:jc w:val="both"/>
        <w:rPr>
          <w:rFonts w:ascii="Times New Roman" w:hAnsi="Times New Roman"/>
          <w:sz w:val="20"/>
          <w:szCs w:val="20"/>
        </w:rPr>
      </w:pPr>
      <w:r w:rsidRPr="00B9735A">
        <w:rPr>
          <w:rFonts w:ascii="Times New Roman" w:hAnsi="Times New Roman"/>
          <w:sz w:val="20"/>
          <w:szCs w:val="20"/>
        </w:rPr>
        <w:t xml:space="preserve">Stern, Arthur C. “History of Air Pollution Legislation in the United States.” </w:t>
      </w:r>
      <w:proofErr w:type="gramStart"/>
      <w:r w:rsidRPr="00B9735A">
        <w:rPr>
          <w:rFonts w:ascii="Times New Roman" w:hAnsi="Times New Roman"/>
          <w:i/>
          <w:sz w:val="20"/>
          <w:szCs w:val="20"/>
        </w:rPr>
        <w:t>Journal of the Air Pollution Control Association</w:t>
      </w:r>
      <w:r w:rsidRPr="00B9735A">
        <w:rPr>
          <w:rFonts w:ascii="Times New Roman" w:hAnsi="Times New Roman"/>
          <w:sz w:val="20"/>
          <w:szCs w:val="20"/>
        </w:rPr>
        <w:t xml:space="preserve"> 32, no. 1 (1982): 44–61.</w:t>
      </w:r>
      <w:proofErr w:type="gramEnd"/>
    </w:p>
    <w:p w14:paraId="168E0D1C" w14:textId="77777777" w:rsidR="0013666C" w:rsidRPr="00B9735A" w:rsidRDefault="0013666C" w:rsidP="00B9735A">
      <w:pPr>
        <w:jc w:val="both"/>
        <w:rPr>
          <w:rFonts w:ascii="Times New Roman" w:hAnsi="Times New Roman"/>
          <w:sz w:val="20"/>
          <w:szCs w:val="20"/>
        </w:rPr>
      </w:pPr>
    </w:p>
    <w:p w14:paraId="4E69984D" w14:textId="47CCED81" w:rsidR="00E8269D" w:rsidRPr="00E8269D" w:rsidRDefault="00E8269D" w:rsidP="00E8269D">
      <w:pPr>
        <w:jc w:val="both"/>
        <w:rPr>
          <w:rFonts w:ascii="Times New Roman" w:hAnsi="Times New Roman"/>
          <w:sz w:val="20"/>
          <w:szCs w:val="20"/>
        </w:rPr>
      </w:pPr>
      <w:proofErr w:type="gramStart"/>
      <w:r w:rsidRPr="00E8269D">
        <w:rPr>
          <w:rFonts w:ascii="Times New Roman" w:hAnsi="Times New Roman" w:cs="Times New Roman"/>
          <w:sz w:val="20"/>
          <w:szCs w:val="20"/>
        </w:rPr>
        <w:t>U.S. Census Bureau</w:t>
      </w:r>
      <w:r w:rsidRPr="00E8269D">
        <w:rPr>
          <w:rFonts w:ascii="Times New Roman" w:hAnsi="Times New Roman"/>
          <w:sz w:val="20"/>
          <w:szCs w:val="20"/>
        </w:rPr>
        <w:t>.</w:t>
      </w:r>
      <w:proofErr w:type="gramEnd"/>
      <w:r w:rsidRPr="00E8269D">
        <w:rPr>
          <w:rFonts w:ascii="Times New Roman" w:hAnsi="Times New Roman"/>
          <w:sz w:val="20"/>
          <w:szCs w:val="20"/>
        </w:rPr>
        <w:t xml:space="preserve"> </w:t>
      </w:r>
      <w:r w:rsidRPr="00E8269D">
        <w:rPr>
          <w:rFonts w:ascii="Times New Roman" w:hAnsi="Times New Roman"/>
          <w:i/>
          <w:sz w:val="20"/>
          <w:szCs w:val="20"/>
        </w:rPr>
        <w:t>Census of</w:t>
      </w:r>
      <w:r w:rsidR="007B5EB5">
        <w:rPr>
          <w:rFonts w:ascii="Times New Roman" w:hAnsi="Times New Roman"/>
          <w:i/>
          <w:sz w:val="20"/>
          <w:szCs w:val="20"/>
        </w:rPr>
        <w:t xml:space="preserve"> Electrical Industries: 1917. Central Electric Light and Power Stations with Summary of the Electrical Industries</w:t>
      </w:r>
      <w:r w:rsidRPr="00E8269D">
        <w:rPr>
          <w:rFonts w:ascii="Times New Roman" w:hAnsi="Times New Roman"/>
          <w:sz w:val="20"/>
          <w:szCs w:val="20"/>
        </w:rPr>
        <w:t>. Washington, DC</w:t>
      </w:r>
      <w:r w:rsidR="007B5EB5">
        <w:rPr>
          <w:rFonts w:ascii="Times New Roman" w:hAnsi="Times New Roman"/>
          <w:sz w:val="20"/>
          <w:szCs w:val="20"/>
        </w:rPr>
        <w:t>: U.S. Census Bureau, 1920</w:t>
      </w:r>
      <w:r w:rsidRPr="00E8269D">
        <w:rPr>
          <w:rFonts w:ascii="Times New Roman" w:hAnsi="Times New Roman"/>
          <w:sz w:val="20"/>
          <w:szCs w:val="20"/>
        </w:rPr>
        <w:t xml:space="preserve">. </w:t>
      </w:r>
    </w:p>
    <w:p w14:paraId="6F5942EE" w14:textId="77777777" w:rsidR="00E8269D" w:rsidRDefault="00E8269D" w:rsidP="00B9735A">
      <w:pPr>
        <w:jc w:val="both"/>
        <w:rPr>
          <w:rFonts w:ascii="Times New Roman" w:hAnsi="Times New Roman"/>
          <w:sz w:val="20"/>
          <w:szCs w:val="20"/>
        </w:rPr>
      </w:pPr>
    </w:p>
    <w:p w14:paraId="4D0302C1" w14:textId="18C597B2" w:rsidR="00F222AF" w:rsidRPr="00B9735A" w:rsidRDefault="00F222AF" w:rsidP="00B9735A">
      <w:pPr>
        <w:jc w:val="both"/>
        <w:rPr>
          <w:rFonts w:ascii="Times New Roman" w:hAnsi="Times New Roman"/>
          <w:sz w:val="20"/>
          <w:szCs w:val="20"/>
        </w:rPr>
      </w:pPr>
      <w:proofErr w:type="gramStart"/>
      <w:r w:rsidRPr="00B9735A">
        <w:rPr>
          <w:rFonts w:ascii="Times New Roman" w:hAnsi="Times New Roman"/>
          <w:sz w:val="20"/>
          <w:szCs w:val="20"/>
        </w:rPr>
        <w:t>U.S. Department of Agriculture.</w:t>
      </w:r>
      <w:proofErr w:type="gramEnd"/>
      <w:r w:rsidRPr="00B9735A">
        <w:rPr>
          <w:rFonts w:ascii="Times New Roman" w:hAnsi="Times New Roman"/>
          <w:sz w:val="20"/>
          <w:szCs w:val="20"/>
        </w:rPr>
        <w:t xml:space="preserve"> </w:t>
      </w:r>
      <w:proofErr w:type="gramStart"/>
      <w:r w:rsidRPr="00B9735A">
        <w:rPr>
          <w:rFonts w:ascii="Times New Roman" w:hAnsi="Times New Roman"/>
          <w:i/>
          <w:sz w:val="20"/>
          <w:szCs w:val="20"/>
        </w:rPr>
        <w:t>Electric Power Development in the United States</w:t>
      </w:r>
      <w:r w:rsidRPr="00B9735A">
        <w:rPr>
          <w:rFonts w:ascii="Times New Roman" w:hAnsi="Times New Roman"/>
          <w:sz w:val="20"/>
          <w:szCs w:val="20"/>
        </w:rPr>
        <w:t>.</w:t>
      </w:r>
      <w:proofErr w:type="gramEnd"/>
      <w:r w:rsidRPr="00B9735A">
        <w:rPr>
          <w:rFonts w:ascii="Times New Roman" w:hAnsi="Times New Roman"/>
          <w:sz w:val="20"/>
          <w:szCs w:val="20"/>
        </w:rPr>
        <w:t xml:space="preserve"> Washington, DC: GPO, 1916.</w:t>
      </w:r>
    </w:p>
    <w:p w14:paraId="5677CD12" w14:textId="77777777" w:rsidR="00F222AF" w:rsidRPr="00B9735A" w:rsidRDefault="00F222AF" w:rsidP="00B9735A">
      <w:pPr>
        <w:jc w:val="both"/>
        <w:rPr>
          <w:rFonts w:ascii="Times New Roman" w:hAnsi="Times New Roman"/>
          <w:sz w:val="20"/>
          <w:szCs w:val="20"/>
        </w:rPr>
      </w:pPr>
    </w:p>
    <w:p w14:paraId="48EB02D1" w14:textId="53C62405" w:rsidR="006C3294" w:rsidRPr="00B9735A" w:rsidRDefault="003B0F63" w:rsidP="00B9735A">
      <w:pPr>
        <w:jc w:val="both"/>
        <w:rPr>
          <w:rFonts w:ascii="Times New Roman" w:hAnsi="Times New Roman"/>
          <w:sz w:val="20"/>
          <w:szCs w:val="20"/>
        </w:rPr>
      </w:pPr>
      <w:proofErr w:type="gramStart"/>
      <w:r w:rsidRPr="00B9735A">
        <w:rPr>
          <w:rFonts w:ascii="Times New Roman" w:hAnsi="Times New Roman"/>
          <w:sz w:val="20"/>
          <w:szCs w:val="20"/>
        </w:rPr>
        <w:t>U</w:t>
      </w:r>
      <w:r w:rsidR="006C3294" w:rsidRPr="00B9735A">
        <w:rPr>
          <w:rFonts w:ascii="Times New Roman" w:hAnsi="Times New Roman"/>
          <w:sz w:val="20"/>
          <w:szCs w:val="20"/>
        </w:rPr>
        <w:t>.S. Geological Survey.</w:t>
      </w:r>
      <w:proofErr w:type="gramEnd"/>
      <w:r w:rsidR="006C3294" w:rsidRPr="00B9735A">
        <w:rPr>
          <w:rFonts w:ascii="Times New Roman" w:hAnsi="Times New Roman"/>
          <w:sz w:val="20"/>
          <w:szCs w:val="20"/>
        </w:rPr>
        <w:t xml:space="preserve"> </w:t>
      </w:r>
      <w:proofErr w:type="gramStart"/>
      <w:r w:rsidR="006C3294" w:rsidRPr="00B9735A">
        <w:rPr>
          <w:rFonts w:ascii="Times New Roman" w:hAnsi="Times New Roman"/>
          <w:i/>
          <w:sz w:val="20"/>
          <w:szCs w:val="20"/>
        </w:rPr>
        <w:t>Mineral Resources of the United States.</w:t>
      </w:r>
      <w:proofErr w:type="gramEnd"/>
      <w:r w:rsidR="006C3294" w:rsidRPr="00B9735A">
        <w:rPr>
          <w:rFonts w:ascii="Times New Roman" w:hAnsi="Times New Roman"/>
          <w:i/>
          <w:sz w:val="20"/>
          <w:szCs w:val="20"/>
        </w:rPr>
        <w:t xml:space="preserve"> Part II — Nonmetals</w:t>
      </w:r>
      <w:r w:rsidR="006C3294" w:rsidRPr="00B9735A">
        <w:rPr>
          <w:rFonts w:ascii="Times New Roman" w:hAnsi="Times New Roman"/>
          <w:sz w:val="20"/>
          <w:szCs w:val="20"/>
        </w:rPr>
        <w:t xml:space="preserve">. Washington, DC: GPO, 1917.  </w:t>
      </w:r>
    </w:p>
    <w:sectPr w:rsidR="006C3294" w:rsidRPr="00B9735A" w:rsidSect="00B9735A">
      <w:headerReference w:type="even" r:id="rId17"/>
      <w:headerReference w:type="default" r:id="rId18"/>
      <w:footerReference w:type="even" r:id="rId19"/>
      <w:footerReference w:type="default" r:id="rId20"/>
      <w:footerReference w:type="first" r:id="rId21"/>
      <w:pgSz w:w="12240" w:h="15840"/>
      <w:pgMar w:top="1786" w:right="2635" w:bottom="1555" w:left="2635" w:header="1786" w:footer="1195" w:gutter="0"/>
      <w:pgNumType w:start="1"/>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0206F44" w15:done="0"/>
  <w15:commentEx w15:paraId="788B0ADF" w15:done="0"/>
  <w15:commentEx w15:paraId="0C9DD126" w15:done="0"/>
  <w15:commentEx w15:paraId="121BA29F" w15:done="0"/>
  <w15:commentEx w15:paraId="37E75D0E" w15:done="0"/>
  <w15:commentEx w15:paraId="25628C1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206F44" w16cid:durableId="1F2567B8"/>
  <w16cid:commentId w16cid:paraId="788B0ADF" w16cid:durableId="1F256902"/>
  <w16cid:commentId w16cid:paraId="0C9DD126" w16cid:durableId="1F256995"/>
  <w16cid:commentId w16cid:paraId="121BA29F" w16cid:durableId="1F256A42"/>
  <w16cid:commentId w16cid:paraId="37E75D0E" w16cid:durableId="1F256A71"/>
  <w16cid:commentId w16cid:paraId="25628C16" w16cid:durableId="1F256CE4"/>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7FA26E" w14:textId="77777777" w:rsidR="002A54F6" w:rsidRDefault="002A54F6">
      <w:r>
        <w:separator/>
      </w:r>
    </w:p>
  </w:endnote>
  <w:endnote w:type="continuationSeparator" w:id="0">
    <w:p w14:paraId="0B9E470D" w14:textId="77777777" w:rsidR="002A54F6" w:rsidRDefault="002A5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游明朝">
    <w:panose1 w:val="00000000000000000000"/>
    <w:charset w:val="80"/>
    <w:family w:val="roman"/>
    <w:notTrueType/>
    <w:pitch w:val="default"/>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822BC" w14:textId="77777777" w:rsidR="008E731F" w:rsidRDefault="0002466B" w:rsidP="009C27F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209AA8" w14:textId="77777777" w:rsidR="008E731F" w:rsidRDefault="0002466B" w:rsidP="009C27F4">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713507398"/>
      <w:docPartObj>
        <w:docPartGallery w:val="Page Numbers (Bottom of Page)"/>
        <w:docPartUnique/>
      </w:docPartObj>
    </w:sdtPr>
    <w:sdtEndPr>
      <w:rPr>
        <w:rStyle w:val="PageNumber"/>
      </w:rPr>
    </w:sdtEndPr>
    <w:sdtContent>
      <w:p w14:paraId="2B9D4D9D" w14:textId="6F6C7121" w:rsidR="00B9735A" w:rsidRDefault="00B9735A" w:rsidP="0016433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02466B">
          <w:rPr>
            <w:rStyle w:val="PageNumber"/>
            <w:noProof/>
          </w:rPr>
          <w:t>1</w:t>
        </w:r>
        <w:r>
          <w:rPr>
            <w:rStyle w:val="PageNumber"/>
          </w:rPr>
          <w:fldChar w:fldCharType="end"/>
        </w:r>
      </w:p>
    </w:sdtContent>
  </w:sdt>
  <w:p w14:paraId="0C49BC73" w14:textId="77777777" w:rsidR="008E731F" w:rsidRDefault="0002466B" w:rsidP="00F00A9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B34998" w14:textId="77777777" w:rsidR="002A54F6" w:rsidRDefault="002A54F6">
      <w:r>
        <w:separator/>
      </w:r>
    </w:p>
  </w:footnote>
  <w:footnote w:type="continuationSeparator" w:id="0">
    <w:p w14:paraId="160C279A" w14:textId="77777777" w:rsidR="002A54F6" w:rsidRDefault="002A54F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994552185"/>
      <w:docPartObj>
        <w:docPartGallery w:val="Page Numbers (Top of Page)"/>
        <w:docPartUnique/>
      </w:docPartObj>
    </w:sdtPr>
    <w:sdtEndPr>
      <w:rPr>
        <w:rStyle w:val="PageNumber"/>
      </w:rPr>
    </w:sdtEndPr>
    <w:sdtContent>
      <w:p w14:paraId="68F58D64" w14:textId="606BD9A9" w:rsidR="00B9735A" w:rsidRDefault="00B9735A" w:rsidP="00164336">
        <w:pPr>
          <w:pStyle w:val="Head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02466B">
          <w:rPr>
            <w:rStyle w:val="PageNumber"/>
            <w:noProof/>
          </w:rPr>
          <w:t>6</w:t>
        </w:r>
        <w:r>
          <w:rPr>
            <w:rStyle w:val="PageNumber"/>
          </w:rPr>
          <w:fldChar w:fldCharType="end"/>
        </w:r>
      </w:p>
    </w:sdtContent>
  </w:sdt>
  <w:p w14:paraId="5867FBD9" w14:textId="2733D0CF" w:rsidR="00B9735A" w:rsidRDefault="00B9735A" w:rsidP="00B9735A">
    <w:pPr>
      <w:pStyle w:val="Header"/>
      <w:ind w:right="360" w:firstLine="360"/>
      <w:jc w:val="center"/>
      <w:rPr>
        <w:rFonts w:ascii="Times New Roman" w:hAnsi="Times New Roman" w:cs="Times New Roman"/>
        <w:i/>
      </w:rPr>
    </w:pPr>
    <w:r w:rsidRPr="00B9735A">
      <w:rPr>
        <w:rFonts w:ascii="Times New Roman" w:hAnsi="Times New Roman" w:cs="Times New Roman"/>
        <w:i/>
      </w:rPr>
      <w:t>Clay,</w:t>
    </w:r>
    <w:r w:rsidR="0002466B" w:rsidRPr="0002466B">
      <w:rPr>
        <w:rFonts w:ascii="Times New Roman" w:hAnsi="Times New Roman" w:cs="Times New Roman"/>
        <w:i/>
      </w:rPr>
      <w:t xml:space="preserve"> </w:t>
    </w:r>
    <w:r w:rsidR="0002466B">
      <w:rPr>
        <w:rFonts w:ascii="Times New Roman" w:hAnsi="Times New Roman" w:cs="Times New Roman"/>
        <w:i/>
      </w:rPr>
      <w:t>Lewis,</w:t>
    </w:r>
    <w:r w:rsidRPr="00B9735A">
      <w:rPr>
        <w:rFonts w:ascii="Times New Roman" w:hAnsi="Times New Roman" w:cs="Times New Roman"/>
        <w:i/>
      </w:rPr>
      <w:t xml:space="preserve"> and </w:t>
    </w:r>
    <w:proofErr w:type="spellStart"/>
    <w:r w:rsidRPr="00B9735A">
      <w:rPr>
        <w:rFonts w:ascii="Times New Roman" w:hAnsi="Times New Roman" w:cs="Times New Roman"/>
        <w:i/>
      </w:rPr>
      <w:t>Severnini</w:t>
    </w:r>
    <w:proofErr w:type="spellEnd"/>
  </w:p>
  <w:p w14:paraId="148B28CB" w14:textId="77777777" w:rsidR="00B9735A" w:rsidRPr="00B9735A" w:rsidRDefault="00B9735A" w:rsidP="00B9735A">
    <w:pPr>
      <w:pStyle w:val="Header"/>
      <w:ind w:right="360" w:firstLine="360"/>
      <w:jc w:val="center"/>
      <w:rPr>
        <w:rFonts w:ascii="Times New Roman" w:hAnsi="Times New Roman" w:cs="Times New Roman"/>
        <w:i/>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110012379"/>
      <w:docPartObj>
        <w:docPartGallery w:val="Page Numbers (Top of Page)"/>
        <w:docPartUnique/>
      </w:docPartObj>
    </w:sdtPr>
    <w:sdtEndPr>
      <w:rPr>
        <w:rStyle w:val="PageNumber"/>
      </w:rPr>
    </w:sdtEndPr>
    <w:sdtContent>
      <w:p w14:paraId="248A05C2" w14:textId="5F5FB141" w:rsidR="00B9735A" w:rsidRDefault="00B9735A" w:rsidP="00164336">
        <w:pPr>
          <w:pStyle w:val="Head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02466B">
          <w:rPr>
            <w:rStyle w:val="PageNumber"/>
            <w:noProof/>
          </w:rPr>
          <w:t>5</w:t>
        </w:r>
        <w:r>
          <w:rPr>
            <w:rStyle w:val="PageNumber"/>
          </w:rPr>
          <w:fldChar w:fldCharType="end"/>
        </w:r>
      </w:p>
    </w:sdtContent>
  </w:sdt>
  <w:p w14:paraId="2932950A" w14:textId="26F5D4BE" w:rsidR="00B9735A" w:rsidRDefault="00B9735A" w:rsidP="00B9735A">
    <w:pPr>
      <w:pStyle w:val="Header"/>
      <w:ind w:right="360" w:firstLine="360"/>
      <w:jc w:val="center"/>
      <w:rPr>
        <w:rFonts w:ascii="Times New Roman" w:hAnsi="Times New Roman" w:cs="Times New Roman"/>
        <w:i/>
      </w:rPr>
    </w:pPr>
    <w:r w:rsidRPr="00B9735A">
      <w:rPr>
        <w:rFonts w:ascii="Times New Roman" w:hAnsi="Times New Roman" w:cs="Times New Roman"/>
        <w:i/>
      </w:rPr>
      <w:t>Pollution, Infectious Disease, and Mortality</w:t>
    </w:r>
  </w:p>
  <w:p w14:paraId="3C68A570" w14:textId="77777777" w:rsidR="00B9735A" w:rsidRPr="00B9735A" w:rsidRDefault="00B9735A" w:rsidP="00B9735A">
    <w:pPr>
      <w:pStyle w:val="Header"/>
      <w:ind w:right="360" w:firstLine="360"/>
      <w:jc w:val="center"/>
      <w:rPr>
        <w:rFonts w:ascii="Times New Roman" w:hAnsi="Times New Roman" w:cs="Times New Roman"/>
        <w:i/>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981DCB"/>
    <w:multiLevelType w:val="hybridMultilevel"/>
    <w:tmpl w:val="1194CA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346"/>
    <w:rsid w:val="0002466B"/>
    <w:rsid w:val="0013666C"/>
    <w:rsid w:val="00177534"/>
    <w:rsid w:val="002A54F6"/>
    <w:rsid w:val="003B0F63"/>
    <w:rsid w:val="00624B17"/>
    <w:rsid w:val="0069045F"/>
    <w:rsid w:val="006C3294"/>
    <w:rsid w:val="006C7EEF"/>
    <w:rsid w:val="007415E7"/>
    <w:rsid w:val="00787E98"/>
    <w:rsid w:val="007B5EB5"/>
    <w:rsid w:val="008D1EB6"/>
    <w:rsid w:val="00B400A0"/>
    <w:rsid w:val="00B9735A"/>
    <w:rsid w:val="00C25346"/>
    <w:rsid w:val="00E8269D"/>
    <w:rsid w:val="00EA3F62"/>
    <w:rsid w:val="00EC5953"/>
    <w:rsid w:val="00F222AF"/>
    <w:rsid w:val="00F71C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A437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346"/>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5346"/>
    <w:pPr>
      <w:ind w:left="720"/>
      <w:contextualSpacing/>
    </w:pPr>
  </w:style>
  <w:style w:type="paragraph" w:styleId="Footer">
    <w:name w:val="footer"/>
    <w:basedOn w:val="Normal"/>
    <w:link w:val="FooterChar"/>
    <w:uiPriority w:val="99"/>
    <w:unhideWhenUsed/>
    <w:rsid w:val="00C25346"/>
    <w:pPr>
      <w:tabs>
        <w:tab w:val="center" w:pos="4680"/>
        <w:tab w:val="right" w:pos="9360"/>
      </w:tabs>
    </w:pPr>
  </w:style>
  <w:style w:type="character" w:customStyle="1" w:styleId="FooterChar">
    <w:name w:val="Footer Char"/>
    <w:basedOn w:val="DefaultParagraphFont"/>
    <w:link w:val="Footer"/>
    <w:uiPriority w:val="99"/>
    <w:rsid w:val="00C25346"/>
    <w:rPr>
      <w:rFonts w:eastAsiaTheme="minorEastAsia"/>
    </w:rPr>
  </w:style>
  <w:style w:type="character" w:styleId="PageNumber">
    <w:name w:val="page number"/>
    <w:basedOn w:val="DefaultParagraphFont"/>
    <w:uiPriority w:val="99"/>
    <w:semiHidden/>
    <w:unhideWhenUsed/>
    <w:rsid w:val="00C25346"/>
  </w:style>
  <w:style w:type="character" w:styleId="CommentReference">
    <w:name w:val="annotation reference"/>
    <w:basedOn w:val="DefaultParagraphFont"/>
    <w:uiPriority w:val="99"/>
    <w:semiHidden/>
    <w:unhideWhenUsed/>
    <w:rsid w:val="006C3294"/>
    <w:rPr>
      <w:sz w:val="16"/>
      <w:szCs w:val="16"/>
    </w:rPr>
  </w:style>
  <w:style w:type="paragraph" w:styleId="CommentText">
    <w:name w:val="annotation text"/>
    <w:basedOn w:val="Normal"/>
    <w:link w:val="CommentTextChar"/>
    <w:uiPriority w:val="99"/>
    <w:semiHidden/>
    <w:unhideWhenUsed/>
    <w:rsid w:val="006C3294"/>
    <w:rPr>
      <w:sz w:val="20"/>
      <w:szCs w:val="20"/>
    </w:rPr>
  </w:style>
  <w:style w:type="character" w:customStyle="1" w:styleId="CommentTextChar">
    <w:name w:val="Comment Text Char"/>
    <w:basedOn w:val="DefaultParagraphFont"/>
    <w:link w:val="CommentText"/>
    <w:uiPriority w:val="99"/>
    <w:semiHidden/>
    <w:rsid w:val="006C3294"/>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6C3294"/>
    <w:rPr>
      <w:b/>
      <w:bCs/>
    </w:rPr>
  </w:style>
  <w:style w:type="character" w:customStyle="1" w:styleId="CommentSubjectChar">
    <w:name w:val="Comment Subject Char"/>
    <w:basedOn w:val="CommentTextChar"/>
    <w:link w:val="CommentSubject"/>
    <w:uiPriority w:val="99"/>
    <w:semiHidden/>
    <w:rsid w:val="006C3294"/>
    <w:rPr>
      <w:rFonts w:eastAsiaTheme="minorEastAsia"/>
      <w:b/>
      <w:bCs/>
      <w:sz w:val="20"/>
      <w:szCs w:val="20"/>
    </w:rPr>
  </w:style>
  <w:style w:type="paragraph" w:styleId="BalloonText">
    <w:name w:val="Balloon Text"/>
    <w:basedOn w:val="Normal"/>
    <w:link w:val="BalloonTextChar"/>
    <w:uiPriority w:val="99"/>
    <w:semiHidden/>
    <w:unhideWhenUsed/>
    <w:rsid w:val="006C329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C3294"/>
    <w:rPr>
      <w:rFonts w:ascii="Times New Roman" w:eastAsiaTheme="minorEastAsia" w:hAnsi="Times New Roman" w:cs="Times New Roman"/>
      <w:sz w:val="18"/>
      <w:szCs w:val="18"/>
    </w:rPr>
  </w:style>
  <w:style w:type="paragraph" w:styleId="Header">
    <w:name w:val="header"/>
    <w:basedOn w:val="Normal"/>
    <w:link w:val="HeaderChar"/>
    <w:uiPriority w:val="99"/>
    <w:unhideWhenUsed/>
    <w:rsid w:val="00B9735A"/>
    <w:pPr>
      <w:tabs>
        <w:tab w:val="center" w:pos="4680"/>
        <w:tab w:val="right" w:pos="9360"/>
      </w:tabs>
    </w:pPr>
  </w:style>
  <w:style w:type="character" w:customStyle="1" w:styleId="HeaderChar">
    <w:name w:val="Header Char"/>
    <w:basedOn w:val="DefaultParagraphFont"/>
    <w:link w:val="Header"/>
    <w:uiPriority w:val="99"/>
    <w:rsid w:val="00B9735A"/>
    <w:rPr>
      <w:rFonts w:eastAsiaTheme="minorEastAsi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346"/>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5346"/>
    <w:pPr>
      <w:ind w:left="720"/>
      <w:contextualSpacing/>
    </w:pPr>
  </w:style>
  <w:style w:type="paragraph" w:styleId="Footer">
    <w:name w:val="footer"/>
    <w:basedOn w:val="Normal"/>
    <w:link w:val="FooterChar"/>
    <w:uiPriority w:val="99"/>
    <w:unhideWhenUsed/>
    <w:rsid w:val="00C25346"/>
    <w:pPr>
      <w:tabs>
        <w:tab w:val="center" w:pos="4680"/>
        <w:tab w:val="right" w:pos="9360"/>
      </w:tabs>
    </w:pPr>
  </w:style>
  <w:style w:type="character" w:customStyle="1" w:styleId="FooterChar">
    <w:name w:val="Footer Char"/>
    <w:basedOn w:val="DefaultParagraphFont"/>
    <w:link w:val="Footer"/>
    <w:uiPriority w:val="99"/>
    <w:rsid w:val="00C25346"/>
    <w:rPr>
      <w:rFonts w:eastAsiaTheme="minorEastAsia"/>
    </w:rPr>
  </w:style>
  <w:style w:type="character" w:styleId="PageNumber">
    <w:name w:val="page number"/>
    <w:basedOn w:val="DefaultParagraphFont"/>
    <w:uiPriority w:val="99"/>
    <w:semiHidden/>
    <w:unhideWhenUsed/>
    <w:rsid w:val="00C25346"/>
  </w:style>
  <w:style w:type="character" w:styleId="CommentReference">
    <w:name w:val="annotation reference"/>
    <w:basedOn w:val="DefaultParagraphFont"/>
    <w:uiPriority w:val="99"/>
    <w:semiHidden/>
    <w:unhideWhenUsed/>
    <w:rsid w:val="006C3294"/>
    <w:rPr>
      <w:sz w:val="16"/>
      <w:szCs w:val="16"/>
    </w:rPr>
  </w:style>
  <w:style w:type="paragraph" w:styleId="CommentText">
    <w:name w:val="annotation text"/>
    <w:basedOn w:val="Normal"/>
    <w:link w:val="CommentTextChar"/>
    <w:uiPriority w:val="99"/>
    <w:semiHidden/>
    <w:unhideWhenUsed/>
    <w:rsid w:val="006C3294"/>
    <w:rPr>
      <w:sz w:val="20"/>
      <w:szCs w:val="20"/>
    </w:rPr>
  </w:style>
  <w:style w:type="character" w:customStyle="1" w:styleId="CommentTextChar">
    <w:name w:val="Comment Text Char"/>
    <w:basedOn w:val="DefaultParagraphFont"/>
    <w:link w:val="CommentText"/>
    <w:uiPriority w:val="99"/>
    <w:semiHidden/>
    <w:rsid w:val="006C3294"/>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6C3294"/>
    <w:rPr>
      <w:b/>
      <w:bCs/>
    </w:rPr>
  </w:style>
  <w:style w:type="character" w:customStyle="1" w:styleId="CommentSubjectChar">
    <w:name w:val="Comment Subject Char"/>
    <w:basedOn w:val="CommentTextChar"/>
    <w:link w:val="CommentSubject"/>
    <w:uiPriority w:val="99"/>
    <w:semiHidden/>
    <w:rsid w:val="006C3294"/>
    <w:rPr>
      <w:rFonts w:eastAsiaTheme="minorEastAsia"/>
      <w:b/>
      <w:bCs/>
      <w:sz w:val="20"/>
      <w:szCs w:val="20"/>
    </w:rPr>
  </w:style>
  <w:style w:type="paragraph" w:styleId="BalloonText">
    <w:name w:val="Balloon Text"/>
    <w:basedOn w:val="Normal"/>
    <w:link w:val="BalloonTextChar"/>
    <w:uiPriority w:val="99"/>
    <w:semiHidden/>
    <w:unhideWhenUsed/>
    <w:rsid w:val="006C329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C3294"/>
    <w:rPr>
      <w:rFonts w:ascii="Times New Roman" w:eastAsiaTheme="minorEastAsia" w:hAnsi="Times New Roman" w:cs="Times New Roman"/>
      <w:sz w:val="18"/>
      <w:szCs w:val="18"/>
    </w:rPr>
  </w:style>
  <w:style w:type="paragraph" w:styleId="Header">
    <w:name w:val="header"/>
    <w:basedOn w:val="Normal"/>
    <w:link w:val="HeaderChar"/>
    <w:uiPriority w:val="99"/>
    <w:unhideWhenUsed/>
    <w:rsid w:val="00B9735A"/>
    <w:pPr>
      <w:tabs>
        <w:tab w:val="center" w:pos="4680"/>
        <w:tab w:val="right" w:pos="9360"/>
      </w:tabs>
    </w:pPr>
  </w:style>
  <w:style w:type="character" w:customStyle="1" w:styleId="HeaderChar">
    <w:name w:val="Header Char"/>
    <w:basedOn w:val="DefaultParagraphFont"/>
    <w:link w:val="Header"/>
    <w:uiPriority w:val="99"/>
    <w:rsid w:val="00B9735A"/>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footer" Target="footer2.xml"/><Relationship Id="rId21" Type="http://schemas.openxmlformats.org/officeDocument/2006/relationships/footer" Target="footer3.xml"/><Relationship Id="rId22" Type="http://schemas.openxmlformats.org/officeDocument/2006/relationships/fontTable" Target="fontTable.xml"/><Relationship Id="rId23" Type="http://schemas.openxmlformats.org/officeDocument/2006/relationships/theme" Target="theme/theme1.xml"/><Relationship Id="rId24" Type="http://schemas.microsoft.com/office/2016/09/relationships/commentsIds" Target="commentsIds.xml"/><Relationship Id="rId25" Type="http://schemas.microsoft.com/office/2011/relationships/commentsExtended" Target="commentsExtended.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8</Pages>
  <Words>602</Words>
  <Characters>3433</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dc:creator>
  <cp:keywords/>
  <dc:description/>
  <cp:lastModifiedBy>Joshua Lewis</cp:lastModifiedBy>
  <cp:revision>15</cp:revision>
  <dcterms:created xsi:type="dcterms:W3CDTF">2018-08-15T14:56:00Z</dcterms:created>
  <dcterms:modified xsi:type="dcterms:W3CDTF">2018-08-31T18:07:00Z</dcterms:modified>
</cp:coreProperties>
</file>