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E34A4" w14:textId="77777777" w:rsidR="008B1C93" w:rsidRPr="001A1E89" w:rsidRDefault="001A1E89" w:rsidP="001A1E89">
      <w:pPr>
        <w:spacing w:line="240" w:lineRule="auto"/>
        <w:rPr>
          <w:rFonts w:ascii="Times New Roman" w:hAnsi="Times New Roman" w:cs="Times New Roman"/>
          <w:i/>
          <w:sz w:val="36"/>
          <w:szCs w:val="36"/>
          <w:lang w:val="en-US"/>
        </w:rPr>
      </w:pPr>
      <w:r w:rsidRPr="001A1E89">
        <w:rPr>
          <w:rFonts w:ascii="Times New Roman" w:hAnsi="Times New Roman" w:cs="Times New Roman"/>
          <w:i/>
          <w:sz w:val="36"/>
          <w:szCs w:val="36"/>
          <w:lang w:val="en-US"/>
        </w:rPr>
        <w:t>Online Appendix: Import Prices</w:t>
      </w:r>
    </w:p>
    <w:p w14:paraId="78865D2E" w14:textId="77777777" w:rsidR="008B1C93" w:rsidRPr="001A1E89" w:rsidRDefault="008B1C93" w:rsidP="001A1E89">
      <w:pPr>
        <w:spacing w:line="240" w:lineRule="auto"/>
        <w:jc w:val="left"/>
        <w:rPr>
          <w:rFonts w:ascii="Times New Roman" w:hAnsi="Times New Roman" w:cs="Times New Roman"/>
          <w:sz w:val="24"/>
          <w:szCs w:val="24"/>
          <w:lang w:val="en-US"/>
        </w:rPr>
      </w:pPr>
    </w:p>
    <w:p w14:paraId="55B1933D" w14:textId="77777777" w:rsidR="00826E5D" w:rsidRPr="00700C89" w:rsidRDefault="008B1C93" w:rsidP="00700C89">
      <w:pPr>
        <w:spacing w:line="240" w:lineRule="auto"/>
        <w:ind w:firstLine="720"/>
        <w:jc w:val="both"/>
        <w:rPr>
          <w:rFonts w:ascii="Times New Roman" w:hAnsi="Times New Roman" w:cs="Times New Roman"/>
          <w:sz w:val="24"/>
          <w:szCs w:val="24"/>
          <w:lang w:val="en-US"/>
        </w:rPr>
      </w:pPr>
      <w:r w:rsidRPr="00700C89">
        <w:rPr>
          <w:rFonts w:ascii="Times New Roman" w:hAnsi="Times New Roman" w:cs="Times New Roman"/>
          <w:sz w:val="24"/>
          <w:szCs w:val="24"/>
          <w:lang w:val="en-US"/>
        </w:rPr>
        <w:t xml:space="preserve">In this </w:t>
      </w:r>
      <w:r w:rsidR="001A1E89" w:rsidRPr="00700C89">
        <w:rPr>
          <w:rFonts w:ascii="Times New Roman" w:hAnsi="Times New Roman" w:cs="Times New Roman"/>
          <w:sz w:val="24"/>
          <w:szCs w:val="24"/>
          <w:lang w:val="en-US"/>
        </w:rPr>
        <w:t>article</w:t>
      </w:r>
      <w:r w:rsidRPr="00700C89">
        <w:rPr>
          <w:rFonts w:ascii="Times New Roman" w:hAnsi="Times New Roman" w:cs="Times New Roman"/>
          <w:sz w:val="24"/>
          <w:szCs w:val="24"/>
          <w:lang w:val="en-US"/>
        </w:rPr>
        <w:t xml:space="preserve"> we rely on a single import price index to derive the terms of trade for all African countries and regions in our sample. This import price index from </w:t>
      </w:r>
      <w:r w:rsidR="001A1E89" w:rsidRPr="00700C89">
        <w:rPr>
          <w:rFonts w:ascii="Times New Roman" w:hAnsi="Times New Roman" w:cs="Times New Roman"/>
          <w:sz w:val="24"/>
          <w:szCs w:val="24"/>
          <w:lang w:val="en-US"/>
        </w:rPr>
        <w:t xml:space="preserve">Brian R. </w:t>
      </w:r>
      <w:r w:rsidRPr="00700C89">
        <w:rPr>
          <w:rFonts w:ascii="Times New Roman" w:hAnsi="Times New Roman" w:cs="Times New Roman"/>
          <w:sz w:val="24"/>
          <w:szCs w:val="24"/>
          <w:lang w:val="en-US"/>
        </w:rPr>
        <w:t xml:space="preserve">Mitchell </w:t>
      </w:r>
      <w:r w:rsidR="001A1E89" w:rsidRPr="00700C89">
        <w:rPr>
          <w:rFonts w:ascii="Times New Roman" w:hAnsi="Times New Roman" w:cs="Times New Roman"/>
          <w:sz w:val="24"/>
          <w:szCs w:val="24"/>
          <w:lang w:val="en-US"/>
        </w:rPr>
        <w:t>(1988, pp. 526–</w:t>
      </w:r>
      <w:r w:rsidR="003824D4" w:rsidRPr="00700C89">
        <w:rPr>
          <w:rFonts w:ascii="Times New Roman" w:hAnsi="Times New Roman" w:cs="Times New Roman"/>
          <w:sz w:val="24"/>
          <w:szCs w:val="24"/>
          <w:lang w:val="en-US"/>
        </w:rPr>
        <w:t xml:space="preserve">28) </w:t>
      </w:r>
      <w:r w:rsidR="0068255A" w:rsidRPr="00700C89">
        <w:rPr>
          <w:rFonts w:ascii="Times New Roman" w:hAnsi="Times New Roman" w:cs="Times New Roman"/>
          <w:sz w:val="24"/>
          <w:szCs w:val="24"/>
          <w:lang w:val="en-US"/>
        </w:rPr>
        <w:t>is based</w:t>
      </w:r>
      <w:r w:rsidRPr="00700C89">
        <w:rPr>
          <w:rFonts w:ascii="Times New Roman" w:hAnsi="Times New Roman" w:cs="Times New Roman"/>
          <w:sz w:val="24"/>
          <w:szCs w:val="24"/>
          <w:lang w:val="en-US"/>
        </w:rPr>
        <w:t xml:space="preserve"> on a comprehensive set of products</w:t>
      </w:r>
      <w:r w:rsidR="001A1E89" w:rsidRPr="00700C89">
        <w:rPr>
          <w:rFonts w:ascii="Times New Roman" w:hAnsi="Times New Roman" w:cs="Times New Roman"/>
          <w:sz w:val="24"/>
          <w:szCs w:val="24"/>
          <w:lang w:val="en-US"/>
        </w:rPr>
        <w:t>—</w:t>
      </w:r>
      <w:r w:rsidRPr="00700C89">
        <w:rPr>
          <w:rFonts w:ascii="Times New Roman" w:hAnsi="Times New Roman" w:cs="Times New Roman"/>
          <w:sz w:val="24"/>
          <w:szCs w:val="24"/>
          <w:lang w:val="en-US"/>
        </w:rPr>
        <w:t>the</w:t>
      </w:r>
      <w:r w:rsidR="00384BCC" w:rsidRPr="00700C89">
        <w:rPr>
          <w:rFonts w:ascii="Times New Roman" w:hAnsi="Times New Roman" w:cs="Times New Roman"/>
          <w:sz w:val="24"/>
          <w:szCs w:val="24"/>
          <w:lang w:val="en-US"/>
        </w:rPr>
        <w:t xml:space="preserve"> </w:t>
      </w:r>
      <w:r w:rsidRPr="00700C89">
        <w:rPr>
          <w:rFonts w:ascii="Times New Roman" w:hAnsi="Times New Roman" w:cs="Times New Roman"/>
          <w:sz w:val="24"/>
          <w:szCs w:val="24"/>
          <w:lang w:val="en-US"/>
        </w:rPr>
        <w:t>prices of which are observed in the United Kingdom</w:t>
      </w:r>
      <w:r w:rsidR="001A1E89" w:rsidRPr="00700C89">
        <w:rPr>
          <w:rFonts w:ascii="Times New Roman" w:hAnsi="Times New Roman" w:cs="Times New Roman"/>
          <w:sz w:val="24"/>
          <w:szCs w:val="24"/>
          <w:lang w:val="en-US"/>
        </w:rPr>
        <w:t>—</w:t>
      </w:r>
      <w:r w:rsidRPr="00700C89">
        <w:rPr>
          <w:rFonts w:ascii="Times New Roman" w:hAnsi="Times New Roman" w:cs="Times New Roman"/>
          <w:sz w:val="24"/>
          <w:szCs w:val="24"/>
          <w:lang w:val="en-US"/>
        </w:rPr>
        <w:t>that</w:t>
      </w:r>
      <w:r w:rsidR="00384BCC" w:rsidRPr="00700C89">
        <w:rPr>
          <w:rFonts w:ascii="Times New Roman" w:hAnsi="Times New Roman" w:cs="Times New Roman"/>
          <w:sz w:val="24"/>
          <w:szCs w:val="24"/>
          <w:lang w:val="en-US"/>
        </w:rPr>
        <w:t xml:space="preserve"> </w:t>
      </w:r>
      <w:r w:rsidRPr="00700C89">
        <w:rPr>
          <w:rFonts w:ascii="Times New Roman" w:hAnsi="Times New Roman" w:cs="Times New Roman"/>
          <w:sz w:val="24"/>
          <w:szCs w:val="24"/>
          <w:lang w:val="en-US"/>
        </w:rPr>
        <w:t xml:space="preserve">are shipped to the British colonies and possessions as well as its other trading partners. The main benefit of relying on this common import price index is that the resulting terms of trade series are consistent with the earlier work of </w:t>
      </w:r>
      <w:r w:rsidR="001A1E89" w:rsidRPr="00700C89">
        <w:rPr>
          <w:rFonts w:ascii="Times New Roman" w:hAnsi="Times New Roman" w:cs="Times New Roman"/>
          <w:sz w:val="24"/>
          <w:szCs w:val="24"/>
          <w:lang w:val="en-US"/>
        </w:rPr>
        <w:t xml:space="preserve">Jeffrey G. </w:t>
      </w:r>
      <w:r w:rsidRPr="00700C89">
        <w:rPr>
          <w:rFonts w:ascii="Times New Roman" w:hAnsi="Times New Roman" w:cs="Times New Roman"/>
          <w:sz w:val="24"/>
          <w:szCs w:val="24"/>
          <w:lang w:val="en-US"/>
        </w:rPr>
        <w:t>Williamson</w:t>
      </w:r>
      <w:r w:rsidR="003824D4" w:rsidRPr="00700C89">
        <w:rPr>
          <w:rFonts w:ascii="Times New Roman" w:hAnsi="Times New Roman" w:cs="Times New Roman"/>
          <w:sz w:val="24"/>
          <w:szCs w:val="24"/>
          <w:lang w:val="en-US"/>
        </w:rPr>
        <w:t xml:space="preserve"> (2011)</w:t>
      </w:r>
      <w:r w:rsidRPr="00700C89">
        <w:rPr>
          <w:rFonts w:ascii="Times New Roman" w:hAnsi="Times New Roman" w:cs="Times New Roman"/>
          <w:sz w:val="24"/>
          <w:szCs w:val="24"/>
          <w:lang w:val="en-US"/>
        </w:rPr>
        <w:t>, mak</w:t>
      </w:r>
      <w:r w:rsidR="00384BCC" w:rsidRPr="00700C89">
        <w:rPr>
          <w:rFonts w:ascii="Times New Roman" w:hAnsi="Times New Roman" w:cs="Times New Roman"/>
          <w:sz w:val="24"/>
          <w:szCs w:val="24"/>
          <w:lang w:val="en-US"/>
        </w:rPr>
        <w:t>ing</w:t>
      </w:r>
      <w:r w:rsidRPr="00700C89">
        <w:rPr>
          <w:rFonts w:ascii="Times New Roman" w:hAnsi="Times New Roman" w:cs="Times New Roman"/>
          <w:sz w:val="24"/>
          <w:szCs w:val="24"/>
          <w:lang w:val="en-US"/>
        </w:rPr>
        <w:t xml:space="preserve"> a direct comparison of the relative size and duration of the terms of trade boo</w:t>
      </w:r>
      <w:r w:rsidR="001A1E89" w:rsidRPr="00700C89">
        <w:rPr>
          <w:rFonts w:ascii="Times New Roman" w:hAnsi="Times New Roman" w:cs="Times New Roman"/>
          <w:sz w:val="24"/>
          <w:szCs w:val="24"/>
          <w:lang w:val="en-US"/>
        </w:rPr>
        <w:t>m between Africa and the other “peripheral”</w:t>
      </w:r>
      <w:r w:rsidRPr="00700C89">
        <w:rPr>
          <w:rFonts w:ascii="Times New Roman" w:hAnsi="Times New Roman" w:cs="Times New Roman"/>
          <w:sz w:val="24"/>
          <w:szCs w:val="24"/>
          <w:lang w:val="en-US"/>
        </w:rPr>
        <w:t xml:space="preserve"> countries </w:t>
      </w:r>
      <w:r w:rsidR="00384BCC" w:rsidRPr="00700C89">
        <w:rPr>
          <w:rFonts w:ascii="Times New Roman" w:hAnsi="Times New Roman" w:cs="Times New Roman"/>
          <w:sz w:val="24"/>
          <w:szCs w:val="24"/>
          <w:lang w:val="en-US"/>
        </w:rPr>
        <w:t xml:space="preserve">possible </w:t>
      </w:r>
      <w:r w:rsidR="001A1E89" w:rsidRPr="00700C89">
        <w:rPr>
          <w:rFonts w:ascii="Times New Roman" w:hAnsi="Times New Roman" w:cs="Times New Roman"/>
          <w:sz w:val="24"/>
          <w:szCs w:val="24"/>
          <w:lang w:val="en-US"/>
        </w:rPr>
        <w:t>(see F</w:t>
      </w:r>
      <w:r w:rsidRPr="00700C89">
        <w:rPr>
          <w:rFonts w:ascii="Times New Roman" w:hAnsi="Times New Roman" w:cs="Times New Roman"/>
          <w:sz w:val="24"/>
          <w:szCs w:val="24"/>
          <w:lang w:val="en-US"/>
        </w:rPr>
        <w:t>igure 6).</w:t>
      </w:r>
    </w:p>
    <w:p w14:paraId="186A69CC" w14:textId="77777777" w:rsidR="008B1C93" w:rsidRPr="00700C89" w:rsidRDefault="00384BCC" w:rsidP="001A1E89">
      <w:pPr>
        <w:spacing w:line="240" w:lineRule="auto"/>
        <w:ind w:firstLine="720"/>
        <w:jc w:val="both"/>
        <w:rPr>
          <w:rFonts w:ascii="Times New Roman" w:hAnsi="Times New Roman" w:cs="Times New Roman"/>
          <w:sz w:val="24"/>
          <w:szCs w:val="24"/>
          <w:lang w:val="en-US"/>
        </w:rPr>
      </w:pPr>
      <w:r w:rsidRPr="00700C89">
        <w:rPr>
          <w:rFonts w:ascii="Times New Roman" w:hAnsi="Times New Roman" w:cs="Times New Roman"/>
          <w:sz w:val="24"/>
          <w:szCs w:val="24"/>
          <w:lang w:val="en-US"/>
        </w:rPr>
        <w:t>Potential</w:t>
      </w:r>
      <w:r w:rsidR="00826E5D" w:rsidRPr="00700C89">
        <w:rPr>
          <w:rFonts w:ascii="Times New Roman" w:hAnsi="Times New Roman" w:cs="Times New Roman"/>
          <w:sz w:val="24"/>
          <w:szCs w:val="24"/>
          <w:lang w:val="en-US"/>
        </w:rPr>
        <w:t xml:space="preserve"> concerns</w:t>
      </w:r>
      <w:r w:rsidRPr="00700C89">
        <w:rPr>
          <w:rFonts w:ascii="Times New Roman" w:hAnsi="Times New Roman" w:cs="Times New Roman"/>
          <w:sz w:val="24"/>
          <w:szCs w:val="24"/>
          <w:lang w:val="en-US"/>
        </w:rPr>
        <w:t xml:space="preserve"> with the use of Mitchell’s import price index are that: (1) the mix of goods shipped to </w:t>
      </w:r>
      <w:r w:rsidR="00983091" w:rsidRPr="00700C89">
        <w:rPr>
          <w:rFonts w:ascii="Times New Roman" w:hAnsi="Times New Roman" w:cs="Times New Roman"/>
          <w:sz w:val="24"/>
          <w:szCs w:val="24"/>
          <w:lang w:val="en-US"/>
        </w:rPr>
        <w:t xml:space="preserve">the full range of </w:t>
      </w:r>
      <w:r w:rsidRPr="00700C89">
        <w:rPr>
          <w:rFonts w:ascii="Times New Roman" w:hAnsi="Times New Roman" w:cs="Times New Roman"/>
          <w:sz w:val="24"/>
          <w:szCs w:val="24"/>
          <w:lang w:val="en-US"/>
        </w:rPr>
        <w:t xml:space="preserve">Britain’s trading partners (including developed countries) may not be representative for the flow of goods sent from the United Kingdom to Africa; (2) the prices of imported goods as observed in Africa may deviate from the prices observed in the United Kingdom; (3) the import price index based on British prices and goods may not be representative for the goods shipped from France to its colonies and possessions. As we will illustrate </w:t>
      </w:r>
      <w:r w:rsidR="001A1E89" w:rsidRPr="00700C89">
        <w:rPr>
          <w:rFonts w:ascii="Times New Roman" w:hAnsi="Times New Roman" w:cs="Times New Roman"/>
          <w:sz w:val="24"/>
          <w:szCs w:val="24"/>
          <w:lang w:val="en-US"/>
        </w:rPr>
        <w:t>later</w:t>
      </w:r>
      <w:r w:rsidRPr="00700C89">
        <w:rPr>
          <w:rFonts w:ascii="Times New Roman" w:hAnsi="Times New Roman" w:cs="Times New Roman"/>
          <w:sz w:val="24"/>
          <w:szCs w:val="24"/>
          <w:lang w:val="en-US"/>
        </w:rPr>
        <w:t xml:space="preserve">, none of these </w:t>
      </w:r>
      <w:r w:rsidR="00826E5D" w:rsidRPr="00700C89">
        <w:rPr>
          <w:rFonts w:ascii="Times New Roman" w:hAnsi="Times New Roman" w:cs="Times New Roman"/>
          <w:sz w:val="24"/>
          <w:szCs w:val="24"/>
          <w:lang w:val="en-US"/>
        </w:rPr>
        <w:t>issues appear to have a structural or pronounced effect on the resulting import price index.</w:t>
      </w:r>
    </w:p>
    <w:p w14:paraId="45697A65" w14:textId="0CC65D0D" w:rsidR="00826E5D" w:rsidRPr="00700C89" w:rsidRDefault="00983091" w:rsidP="001A1E89">
      <w:pPr>
        <w:spacing w:line="240" w:lineRule="auto"/>
        <w:ind w:firstLine="720"/>
        <w:jc w:val="both"/>
        <w:rPr>
          <w:rFonts w:ascii="Times New Roman" w:hAnsi="Times New Roman" w:cs="Times New Roman"/>
          <w:sz w:val="24"/>
          <w:szCs w:val="24"/>
          <w:lang w:val="en-US"/>
        </w:rPr>
      </w:pPr>
      <w:r w:rsidRPr="00700C89">
        <w:rPr>
          <w:rFonts w:ascii="Times New Roman" w:hAnsi="Times New Roman" w:cs="Times New Roman"/>
          <w:sz w:val="24"/>
          <w:szCs w:val="24"/>
          <w:lang w:val="en-US"/>
        </w:rPr>
        <w:t>To test the representativeness of the import price index by Mitchell</w:t>
      </w:r>
      <w:r w:rsidR="0088720C" w:rsidRPr="00700C89">
        <w:rPr>
          <w:rFonts w:ascii="Times New Roman" w:hAnsi="Times New Roman" w:cs="Times New Roman"/>
          <w:sz w:val="24"/>
          <w:szCs w:val="24"/>
          <w:lang w:val="en-US"/>
        </w:rPr>
        <w:t>,</w:t>
      </w:r>
      <w:r w:rsidRPr="00700C89">
        <w:rPr>
          <w:rFonts w:ascii="Times New Roman" w:hAnsi="Times New Roman" w:cs="Times New Roman"/>
          <w:sz w:val="24"/>
          <w:szCs w:val="24"/>
          <w:lang w:val="en-US"/>
        </w:rPr>
        <w:t xml:space="preserve"> we reconstructed a </w:t>
      </w:r>
      <w:r w:rsidR="009D1D3A" w:rsidRPr="00700C89">
        <w:rPr>
          <w:rFonts w:ascii="Times New Roman" w:hAnsi="Times New Roman" w:cs="Times New Roman"/>
          <w:sz w:val="24"/>
          <w:szCs w:val="24"/>
          <w:lang w:val="en-US"/>
        </w:rPr>
        <w:t>new price index for the Gambia, Gold Coast and Sierra Leone. For these three British colonies we have reliable data, from 1853 onwards, of the flow and composition of goods shipped from the United Kingdom as well as</w:t>
      </w:r>
      <w:r w:rsidR="00694AF9" w:rsidRPr="00700C89">
        <w:rPr>
          <w:rFonts w:ascii="Times New Roman" w:hAnsi="Times New Roman" w:cs="Times New Roman"/>
          <w:sz w:val="24"/>
          <w:szCs w:val="24"/>
          <w:lang w:val="en-US"/>
        </w:rPr>
        <w:t xml:space="preserve"> African price series for the key import</w:t>
      </w:r>
      <w:r w:rsidR="00082C8A" w:rsidRPr="00700C89">
        <w:rPr>
          <w:rFonts w:ascii="Times New Roman" w:hAnsi="Times New Roman" w:cs="Times New Roman"/>
          <w:sz w:val="24"/>
          <w:szCs w:val="24"/>
          <w:lang w:val="en-US"/>
        </w:rPr>
        <w:t xml:space="preserve"> </w:t>
      </w:r>
      <w:r w:rsidR="008D4B18" w:rsidRPr="00700C89">
        <w:rPr>
          <w:rFonts w:ascii="Times New Roman" w:hAnsi="Times New Roman" w:cs="Times New Roman"/>
          <w:sz w:val="24"/>
          <w:szCs w:val="24"/>
          <w:lang w:val="en-US"/>
        </w:rPr>
        <w:t>items</w:t>
      </w:r>
      <w:r w:rsidR="00694AF9" w:rsidRPr="00700C89">
        <w:rPr>
          <w:rFonts w:ascii="Times New Roman" w:hAnsi="Times New Roman" w:cs="Times New Roman"/>
          <w:sz w:val="24"/>
          <w:szCs w:val="24"/>
          <w:lang w:val="en-US"/>
        </w:rPr>
        <w:t xml:space="preserve">. We derived the value shares of imports from the Annual Statement of Trade and Navigation of the United Kingdom, the prices observed at the African coast </w:t>
      </w:r>
      <w:r w:rsidR="00387726" w:rsidRPr="00700C89">
        <w:rPr>
          <w:rFonts w:ascii="Times New Roman" w:hAnsi="Times New Roman" w:cs="Times New Roman"/>
          <w:sz w:val="24"/>
          <w:szCs w:val="24"/>
          <w:lang w:val="en-US"/>
        </w:rPr>
        <w:t xml:space="preserve">are </w:t>
      </w:r>
      <w:r w:rsidR="00694AF9" w:rsidRPr="00700C89">
        <w:rPr>
          <w:rFonts w:ascii="Times New Roman" w:hAnsi="Times New Roman" w:cs="Times New Roman"/>
          <w:sz w:val="24"/>
          <w:szCs w:val="24"/>
          <w:lang w:val="en-US"/>
        </w:rPr>
        <w:t xml:space="preserve">from the Blue Books and the Statistical Abstract for the </w:t>
      </w:r>
      <w:r w:rsidR="00500760" w:rsidRPr="00700C89">
        <w:rPr>
          <w:rFonts w:ascii="Times New Roman" w:hAnsi="Times New Roman" w:cs="Times New Roman"/>
          <w:sz w:val="24"/>
          <w:szCs w:val="24"/>
          <w:lang w:val="en-US"/>
        </w:rPr>
        <w:t>Several Colonial and Other Possessions</w:t>
      </w:r>
      <w:r w:rsidR="00082C8A" w:rsidRPr="00700C89">
        <w:rPr>
          <w:rFonts w:ascii="Times New Roman" w:hAnsi="Times New Roman" w:cs="Times New Roman"/>
          <w:sz w:val="24"/>
          <w:szCs w:val="24"/>
          <w:lang w:val="en-US"/>
        </w:rPr>
        <w:t>,</w:t>
      </w:r>
      <w:r w:rsidR="00500760" w:rsidRPr="00700C89">
        <w:rPr>
          <w:rFonts w:ascii="Times New Roman" w:hAnsi="Times New Roman" w:cs="Times New Roman"/>
          <w:sz w:val="24"/>
          <w:szCs w:val="24"/>
          <w:lang w:val="en-US"/>
        </w:rPr>
        <w:t xml:space="preserve"> and</w:t>
      </w:r>
      <w:r w:rsidR="008C3051" w:rsidRPr="00700C89">
        <w:rPr>
          <w:rFonts w:ascii="Times New Roman" w:hAnsi="Times New Roman" w:cs="Times New Roman"/>
          <w:sz w:val="24"/>
          <w:szCs w:val="24"/>
          <w:lang w:val="en-US"/>
        </w:rPr>
        <w:t>—</w:t>
      </w:r>
      <w:r w:rsidR="00500760" w:rsidRPr="00700C89">
        <w:rPr>
          <w:rFonts w:ascii="Times New Roman" w:hAnsi="Times New Roman" w:cs="Times New Roman"/>
          <w:sz w:val="24"/>
          <w:szCs w:val="24"/>
          <w:lang w:val="en-US"/>
        </w:rPr>
        <w:t>for</w:t>
      </w:r>
      <w:r w:rsidR="00082C8A" w:rsidRPr="00700C89">
        <w:rPr>
          <w:rFonts w:ascii="Times New Roman" w:hAnsi="Times New Roman" w:cs="Times New Roman"/>
          <w:sz w:val="24"/>
          <w:szCs w:val="24"/>
          <w:lang w:val="en-US"/>
        </w:rPr>
        <w:t xml:space="preserve"> </w:t>
      </w:r>
      <w:r w:rsidR="00500760" w:rsidRPr="00700C89">
        <w:rPr>
          <w:rFonts w:ascii="Times New Roman" w:hAnsi="Times New Roman" w:cs="Times New Roman"/>
          <w:sz w:val="24"/>
          <w:szCs w:val="24"/>
          <w:lang w:val="en-US"/>
        </w:rPr>
        <w:t xml:space="preserve">those products where no African prices </w:t>
      </w:r>
      <w:r w:rsidR="008D4B18" w:rsidRPr="00700C89">
        <w:rPr>
          <w:rFonts w:ascii="Times New Roman" w:hAnsi="Times New Roman" w:cs="Times New Roman"/>
          <w:sz w:val="24"/>
          <w:szCs w:val="24"/>
          <w:lang w:val="en-US"/>
        </w:rPr>
        <w:t>a</w:t>
      </w:r>
      <w:r w:rsidR="00500760" w:rsidRPr="00700C89">
        <w:rPr>
          <w:rFonts w:ascii="Times New Roman" w:hAnsi="Times New Roman" w:cs="Times New Roman"/>
          <w:sz w:val="24"/>
          <w:szCs w:val="24"/>
          <w:lang w:val="en-US"/>
        </w:rPr>
        <w:t>re available</w:t>
      </w:r>
      <w:r w:rsidR="00DA11BC">
        <w:rPr>
          <w:rFonts w:ascii="Times New Roman" w:hAnsi="Times New Roman" w:cs="Times New Roman"/>
          <w:sz w:val="24"/>
          <w:szCs w:val="24"/>
          <w:lang w:val="en-US"/>
        </w:rPr>
        <w:t>—</w:t>
      </w:r>
      <w:r w:rsidR="00387726" w:rsidRPr="00700C89">
        <w:rPr>
          <w:rFonts w:ascii="Times New Roman" w:hAnsi="Times New Roman" w:cs="Times New Roman"/>
          <w:sz w:val="24"/>
          <w:szCs w:val="24"/>
          <w:lang w:val="en-US"/>
        </w:rPr>
        <w:t xml:space="preserve">we used </w:t>
      </w:r>
      <w:r w:rsidR="00500760" w:rsidRPr="00700C89">
        <w:rPr>
          <w:rFonts w:ascii="Times New Roman" w:hAnsi="Times New Roman" w:cs="Times New Roman"/>
          <w:sz w:val="24"/>
          <w:szCs w:val="24"/>
          <w:lang w:val="en-US"/>
        </w:rPr>
        <w:t>the</w:t>
      </w:r>
      <w:r w:rsidR="00082C8A" w:rsidRPr="00700C89">
        <w:rPr>
          <w:rFonts w:ascii="Times New Roman" w:hAnsi="Times New Roman" w:cs="Times New Roman"/>
          <w:sz w:val="24"/>
          <w:szCs w:val="24"/>
          <w:lang w:val="en-US"/>
        </w:rPr>
        <w:t xml:space="preserve"> </w:t>
      </w:r>
      <w:r w:rsidR="00500760" w:rsidRPr="00700C89">
        <w:rPr>
          <w:rFonts w:ascii="Times New Roman" w:hAnsi="Times New Roman" w:cs="Times New Roman"/>
          <w:sz w:val="24"/>
          <w:szCs w:val="24"/>
          <w:lang w:val="en-US"/>
        </w:rPr>
        <w:t xml:space="preserve">British </w:t>
      </w:r>
      <w:r w:rsidR="00082C8A" w:rsidRPr="00700C89">
        <w:rPr>
          <w:rFonts w:ascii="Times New Roman" w:hAnsi="Times New Roman" w:cs="Times New Roman"/>
          <w:sz w:val="24"/>
          <w:szCs w:val="24"/>
          <w:lang w:val="en-US"/>
        </w:rPr>
        <w:t>export</w:t>
      </w:r>
      <w:r w:rsidR="00500760" w:rsidRPr="00700C89">
        <w:rPr>
          <w:rFonts w:ascii="Times New Roman" w:hAnsi="Times New Roman" w:cs="Times New Roman"/>
          <w:sz w:val="24"/>
          <w:szCs w:val="24"/>
          <w:lang w:val="en-US"/>
        </w:rPr>
        <w:t xml:space="preserve"> prices from the Statistical Abstract for the United Kingdom</w:t>
      </w:r>
      <w:r w:rsidR="00A5536C" w:rsidRPr="00700C89">
        <w:rPr>
          <w:rFonts w:ascii="Times New Roman" w:hAnsi="Times New Roman" w:cs="Times New Roman"/>
          <w:sz w:val="24"/>
          <w:szCs w:val="24"/>
          <w:lang w:val="en-US"/>
        </w:rPr>
        <w:t>.</w:t>
      </w:r>
      <w:r w:rsidR="00387726" w:rsidRPr="00700C89">
        <w:rPr>
          <w:rFonts w:ascii="Times New Roman" w:hAnsi="Times New Roman" w:cs="Times New Roman"/>
          <w:sz w:val="24"/>
          <w:szCs w:val="24"/>
          <w:lang w:val="en-US"/>
        </w:rPr>
        <w:t xml:space="preserve"> </w:t>
      </w:r>
      <w:r w:rsidR="008D4B18" w:rsidRPr="00700C89">
        <w:rPr>
          <w:rFonts w:ascii="Times New Roman" w:hAnsi="Times New Roman" w:cs="Times New Roman"/>
          <w:sz w:val="24"/>
          <w:szCs w:val="24"/>
          <w:lang w:val="en-US"/>
        </w:rPr>
        <w:t xml:space="preserve">Table A.1 summarizes the value shares of </w:t>
      </w:r>
      <w:r w:rsidR="008C3051" w:rsidRPr="00700C89">
        <w:rPr>
          <w:rFonts w:ascii="Times New Roman" w:hAnsi="Times New Roman" w:cs="Times New Roman"/>
          <w:sz w:val="24"/>
          <w:szCs w:val="24"/>
          <w:lang w:val="en-US"/>
        </w:rPr>
        <w:t>13</w:t>
      </w:r>
      <w:r w:rsidR="008D4B18" w:rsidRPr="00700C89">
        <w:rPr>
          <w:rFonts w:ascii="Times New Roman" w:hAnsi="Times New Roman" w:cs="Times New Roman"/>
          <w:sz w:val="24"/>
          <w:szCs w:val="24"/>
          <w:lang w:val="en-US"/>
        </w:rPr>
        <w:t xml:space="preserve"> key imported goods which together cover </w:t>
      </w:r>
      <w:r w:rsidR="00DA11BC">
        <w:rPr>
          <w:rFonts w:ascii="Times New Roman" w:hAnsi="Times New Roman" w:cs="Times New Roman"/>
          <w:sz w:val="24"/>
          <w:szCs w:val="24"/>
          <w:lang w:val="en-US"/>
        </w:rPr>
        <w:t>more than</w:t>
      </w:r>
      <w:r w:rsidR="008D4B18" w:rsidRPr="00700C89">
        <w:rPr>
          <w:rFonts w:ascii="Times New Roman" w:hAnsi="Times New Roman" w:cs="Times New Roman"/>
          <w:sz w:val="24"/>
          <w:szCs w:val="24"/>
          <w:lang w:val="en-US"/>
        </w:rPr>
        <w:t xml:space="preserve"> 75 percent of the total value of imports into the Gold Coast, Gambia</w:t>
      </w:r>
      <w:r w:rsidR="008C3051" w:rsidRPr="00700C89">
        <w:rPr>
          <w:rFonts w:ascii="Times New Roman" w:hAnsi="Times New Roman" w:cs="Times New Roman"/>
          <w:sz w:val="24"/>
          <w:szCs w:val="24"/>
          <w:lang w:val="en-US"/>
        </w:rPr>
        <w:t>,</w:t>
      </w:r>
      <w:r w:rsidR="008D4B18" w:rsidRPr="00700C89">
        <w:rPr>
          <w:rFonts w:ascii="Times New Roman" w:hAnsi="Times New Roman" w:cs="Times New Roman"/>
          <w:sz w:val="24"/>
          <w:szCs w:val="24"/>
          <w:lang w:val="en-US"/>
        </w:rPr>
        <w:t xml:space="preserve"> and Sierra Leone</w:t>
      </w:r>
      <w:r w:rsidR="008C3051" w:rsidRPr="00700C89">
        <w:rPr>
          <w:rFonts w:ascii="Times New Roman" w:hAnsi="Times New Roman" w:cs="Times New Roman"/>
          <w:sz w:val="24"/>
          <w:szCs w:val="24"/>
          <w:lang w:val="en-US"/>
        </w:rPr>
        <w:t xml:space="preserve"> over the period 1853–</w:t>
      </w:r>
      <w:r w:rsidR="008D4B18" w:rsidRPr="00700C89">
        <w:rPr>
          <w:rFonts w:ascii="Times New Roman" w:hAnsi="Times New Roman" w:cs="Times New Roman"/>
          <w:sz w:val="24"/>
          <w:szCs w:val="24"/>
          <w:lang w:val="en-US"/>
        </w:rPr>
        <w:t>1902.</w:t>
      </w:r>
    </w:p>
    <w:p w14:paraId="7A8952DF" w14:textId="3A2F0E1C" w:rsidR="00A5536C" w:rsidRPr="00700C89" w:rsidRDefault="00C9069D" w:rsidP="00C9069D">
      <w:pPr>
        <w:spacing w:line="240" w:lineRule="auto"/>
        <w:ind w:firstLine="720"/>
        <w:jc w:val="both"/>
        <w:rPr>
          <w:rFonts w:ascii="Times New Roman" w:hAnsi="Times New Roman" w:cs="Times New Roman"/>
          <w:sz w:val="20"/>
          <w:szCs w:val="20"/>
          <w:lang w:val="en-US"/>
        </w:rPr>
      </w:pPr>
      <w:r w:rsidRPr="00700C89">
        <w:rPr>
          <w:rFonts w:ascii="Times New Roman" w:hAnsi="Times New Roman" w:cs="Times New Roman"/>
          <w:sz w:val="24"/>
          <w:szCs w:val="24"/>
          <w:lang w:val="en-US"/>
        </w:rPr>
        <w:t>Table A.1 shows that the import shares for British West Africa did indeed deviate from the overall export mix of the United Kingdom.</w:t>
      </w:r>
    </w:p>
    <w:tbl>
      <w:tblPr>
        <w:tblW w:w="6999" w:type="dxa"/>
        <w:tblLayout w:type="fixed"/>
        <w:tblLook w:val="04A0" w:firstRow="1" w:lastRow="0" w:firstColumn="1" w:lastColumn="0" w:noHBand="0" w:noVBand="1"/>
      </w:tblPr>
      <w:tblGrid>
        <w:gridCol w:w="1812"/>
        <w:gridCol w:w="1806"/>
        <w:gridCol w:w="1568"/>
        <w:gridCol w:w="1800"/>
        <w:gridCol w:w="13"/>
      </w:tblGrid>
      <w:tr w:rsidR="00237A21" w:rsidRPr="001A1E89" w14:paraId="59983004" w14:textId="77777777" w:rsidTr="00DA11BC">
        <w:trPr>
          <w:trHeight w:val="300"/>
        </w:trPr>
        <w:tc>
          <w:tcPr>
            <w:tcW w:w="6999" w:type="dxa"/>
            <w:gridSpan w:val="5"/>
            <w:tcBorders>
              <w:top w:val="nil"/>
              <w:left w:val="nil"/>
              <w:bottom w:val="double" w:sz="4" w:space="0" w:color="auto"/>
              <w:right w:val="nil"/>
            </w:tcBorders>
            <w:shd w:val="clear" w:color="auto" w:fill="auto"/>
            <w:noWrap/>
            <w:vAlign w:val="bottom"/>
            <w:hideMark/>
          </w:tcPr>
          <w:p w14:paraId="013D4195" w14:textId="77777777" w:rsidR="008C3051" w:rsidRDefault="00237A21" w:rsidP="008C3051">
            <w:pPr>
              <w:keepNext/>
              <w:spacing w:line="240" w:lineRule="auto"/>
              <w:rPr>
                <w:rFonts w:ascii="Times New Roman" w:eastAsia="Times New Roman" w:hAnsi="Times New Roman" w:cs="Times New Roman"/>
                <w:bCs/>
                <w:color w:val="000000"/>
                <w:sz w:val="20"/>
                <w:szCs w:val="20"/>
                <w:lang w:val="en-US"/>
              </w:rPr>
            </w:pPr>
            <w:r w:rsidRPr="008C3051">
              <w:rPr>
                <w:rFonts w:ascii="Times New Roman" w:eastAsia="Times New Roman" w:hAnsi="Times New Roman" w:cs="Times New Roman"/>
                <w:bCs/>
                <w:color w:val="000000"/>
                <w:sz w:val="20"/>
                <w:szCs w:val="20"/>
                <w:lang w:val="en-US"/>
              </w:rPr>
              <w:lastRenderedPageBreak/>
              <w:t>T</w:t>
            </w:r>
            <w:r w:rsidRPr="008C3051">
              <w:rPr>
                <w:rFonts w:ascii="Times New Roman" w:eastAsia="Times New Roman" w:hAnsi="Times New Roman" w:cs="Times New Roman"/>
                <w:bCs/>
                <w:smallCaps/>
                <w:color w:val="000000"/>
                <w:sz w:val="20"/>
                <w:szCs w:val="20"/>
                <w:lang w:val="en-US"/>
              </w:rPr>
              <w:t>able</w:t>
            </w:r>
            <w:r w:rsidR="008C3051">
              <w:rPr>
                <w:rFonts w:ascii="Times New Roman" w:eastAsia="Times New Roman" w:hAnsi="Times New Roman" w:cs="Times New Roman"/>
                <w:bCs/>
                <w:color w:val="000000"/>
                <w:sz w:val="20"/>
                <w:szCs w:val="20"/>
                <w:lang w:val="en-US"/>
              </w:rPr>
              <w:t xml:space="preserve"> A.1</w:t>
            </w:r>
            <w:r w:rsidRPr="008C3051">
              <w:rPr>
                <w:rFonts w:ascii="Times New Roman" w:eastAsia="Times New Roman" w:hAnsi="Times New Roman" w:cs="Times New Roman"/>
                <w:bCs/>
                <w:color w:val="000000"/>
                <w:sz w:val="20"/>
                <w:szCs w:val="20"/>
                <w:lang w:val="en-US"/>
              </w:rPr>
              <w:t xml:space="preserve"> </w:t>
            </w:r>
          </w:p>
          <w:p w14:paraId="26099B51" w14:textId="6A811FF1" w:rsidR="00237A21" w:rsidRPr="008C3051" w:rsidRDefault="008C3051" w:rsidP="00DA11BC">
            <w:pPr>
              <w:keepNext/>
              <w:spacing w:line="240" w:lineRule="auto"/>
              <w:rPr>
                <w:rFonts w:ascii="Times New Roman" w:eastAsia="Times New Roman" w:hAnsi="Times New Roman" w:cs="Times New Roman"/>
                <w:bCs/>
                <w:color w:val="000000"/>
                <w:sz w:val="20"/>
                <w:szCs w:val="20"/>
                <w:lang w:val="en-US"/>
              </w:rPr>
            </w:pPr>
            <w:r w:rsidRPr="008C3051">
              <w:rPr>
                <w:rFonts w:ascii="Times New Roman" w:eastAsia="Times New Roman" w:hAnsi="Times New Roman" w:cs="Times New Roman"/>
                <w:bCs/>
                <w:color w:val="000000"/>
                <w:sz w:val="20"/>
                <w:szCs w:val="20"/>
                <w:lang w:val="en-US"/>
              </w:rPr>
              <w:t>VALUE SHARES OF KEY IMPORTS</w:t>
            </w:r>
            <w:r>
              <w:rPr>
                <w:rFonts w:ascii="Times New Roman" w:eastAsia="Times New Roman" w:hAnsi="Times New Roman" w:cs="Times New Roman"/>
                <w:bCs/>
                <w:color w:val="000000"/>
                <w:sz w:val="20"/>
                <w:szCs w:val="20"/>
                <w:lang w:val="en-US"/>
              </w:rPr>
              <w:t xml:space="preserve"> INTO BRITISH WEST AFRICA, </w:t>
            </w:r>
            <w:r w:rsidR="00DA11BC">
              <w:rPr>
                <w:rFonts w:ascii="Times New Roman" w:eastAsia="Times New Roman" w:hAnsi="Times New Roman" w:cs="Times New Roman"/>
                <w:bCs/>
                <w:color w:val="000000"/>
                <w:sz w:val="20"/>
                <w:szCs w:val="20"/>
                <w:lang w:val="en-US"/>
              </w:rPr>
              <w:br/>
            </w:r>
            <w:r>
              <w:rPr>
                <w:rFonts w:ascii="Times New Roman" w:eastAsia="Times New Roman" w:hAnsi="Times New Roman" w:cs="Times New Roman"/>
                <w:bCs/>
                <w:color w:val="000000"/>
                <w:sz w:val="20"/>
                <w:szCs w:val="20"/>
                <w:lang w:val="en-US"/>
              </w:rPr>
              <w:t>1853–</w:t>
            </w:r>
            <w:r w:rsidRPr="008C3051">
              <w:rPr>
                <w:rFonts w:ascii="Times New Roman" w:eastAsia="Times New Roman" w:hAnsi="Times New Roman" w:cs="Times New Roman"/>
                <w:bCs/>
                <w:color w:val="000000"/>
                <w:sz w:val="20"/>
                <w:szCs w:val="20"/>
                <w:lang w:val="en-US"/>
              </w:rPr>
              <w:t>1902 (</w:t>
            </w:r>
            <w:r w:rsidR="00DA11BC">
              <w:rPr>
                <w:rFonts w:ascii="Times New Roman" w:eastAsia="Times New Roman" w:hAnsi="Times New Roman" w:cs="Times New Roman"/>
                <w:bCs/>
                <w:color w:val="000000"/>
                <w:sz w:val="20"/>
                <w:szCs w:val="20"/>
                <w:lang w:val="en-US"/>
              </w:rPr>
              <w:t>Percent</w:t>
            </w:r>
            <w:r w:rsidRPr="008C3051">
              <w:rPr>
                <w:rFonts w:ascii="Times New Roman" w:eastAsia="Times New Roman" w:hAnsi="Times New Roman" w:cs="Times New Roman"/>
                <w:bCs/>
                <w:color w:val="000000"/>
                <w:sz w:val="20"/>
                <w:szCs w:val="20"/>
                <w:lang w:val="en-US"/>
              </w:rPr>
              <w:t>)</w:t>
            </w:r>
          </w:p>
        </w:tc>
      </w:tr>
      <w:tr w:rsidR="00237A21" w:rsidRPr="001A1E89" w14:paraId="4562103F" w14:textId="77777777" w:rsidTr="00DA11BC">
        <w:trPr>
          <w:gridAfter w:val="1"/>
          <w:wAfter w:w="18" w:type="dxa"/>
          <w:trHeight w:val="300"/>
        </w:trPr>
        <w:tc>
          <w:tcPr>
            <w:tcW w:w="1812" w:type="dxa"/>
            <w:vMerge w:val="restart"/>
            <w:tcBorders>
              <w:top w:val="double" w:sz="4" w:space="0" w:color="auto"/>
              <w:left w:val="nil"/>
              <w:bottom w:val="single" w:sz="4" w:space="0" w:color="000000"/>
              <w:right w:val="nil"/>
            </w:tcBorders>
            <w:shd w:val="clear" w:color="auto" w:fill="auto"/>
            <w:noWrap/>
            <w:vAlign w:val="bottom"/>
            <w:hideMark/>
          </w:tcPr>
          <w:p w14:paraId="3E76FAA2" w14:textId="77777777" w:rsidR="00237A21" w:rsidRPr="008C3051" w:rsidRDefault="00237A21" w:rsidP="001A1E89">
            <w:pPr>
              <w:keepNext/>
              <w:spacing w:line="240" w:lineRule="auto"/>
              <w:jc w:val="left"/>
              <w:rPr>
                <w:rFonts w:ascii="Times New Roman" w:eastAsia="Times New Roman" w:hAnsi="Times New Roman" w:cs="Times New Roman"/>
                <w:iCs/>
                <w:color w:val="000000"/>
                <w:sz w:val="20"/>
                <w:szCs w:val="20"/>
                <w:lang w:val="en-US"/>
              </w:rPr>
            </w:pPr>
            <w:r w:rsidRPr="008C3051">
              <w:rPr>
                <w:rFonts w:ascii="Times New Roman" w:eastAsia="Times New Roman" w:hAnsi="Times New Roman" w:cs="Times New Roman"/>
                <w:iCs/>
                <w:color w:val="000000"/>
                <w:sz w:val="20"/>
                <w:szCs w:val="20"/>
                <w:lang w:val="en-US"/>
              </w:rPr>
              <w:t>Product</w:t>
            </w:r>
          </w:p>
        </w:tc>
        <w:tc>
          <w:tcPr>
            <w:tcW w:w="3369" w:type="dxa"/>
            <w:gridSpan w:val="2"/>
            <w:tcBorders>
              <w:top w:val="double" w:sz="4" w:space="0" w:color="auto"/>
              <w:left w:val="nil"/>
              <w:bottom w:val="single" w:sz="4" w:space="0" w:color="auto"/>
              <w:right w:val="nil"/>
            </w:tcBorders>
            <w:shd w:val="clear" w:color="auto" w:fill="auto"/>
            <w:noWrap/>
            <w:vAlign w:val="bottom"/>
            <w:hideMark/>
          </w:tcPr>
          <w:p w14:paraId="7579EDAB" w14:textId="77777777" w:rsidR="00237A21" w:rsidRPr="008C3051" w:rsidRDefault="00237A21" w:rsidP="001A1E89">
            <w:pPr>
              <w:keepNext/>
              <w:spacing w:line="240" w:lineRule="auto"/>
              <w:rPr>
                <w:rFonts w:ascii="Times New Roman" w:eastAsia="Times New Roman" w:hAnsi="Times New Roman" w:cs="Times New Roman"/>
                <w:iCs/>
                <w:color w:val="000000"/>
                <w:sz w:val="20"/>
                <w:szCs w:val="20"/>
                <w:lang w:val="en-US"/>
              </w:rPr>
            </w:pPr>
            <w:r w:rsidRPr="008C3051">
              <w:rPr>
                <w:rFonts w:ascii="Times New Roman" w:eastAsia="Times New Roman" w:hAnsi="Times New Roman" w:cs="Times New Roman"/>
                <w:iCs/>
                <w:color w:val="000000"/>
                <w:sz w:val="20"/>
                <w:szCs w:val="20"/>
                <w:lang w:val="en-US"/>
              </w:rPr>
              <w:t>Imports into</w:t>
            </w:r>
          </w:p>
        </w:tc>
        <w:tc>
          <w:tcPr>
            <w:tcW w:w="1800" w:type="dxa"/>
            <w:tcBorders>
              <w:top w:val="double" w:sz="4" w:space="0" w:color="auto"/>
              <w:left w:val="nil"/>
              <w:bottom w:val="nil"/>
              <w:right w:val="nil"/>
            </w:tcBorders>
            <w:shd w:val="clear" w:color="auto" w:fill="auto"/>
            <w:noWrap/>
            <w:vAlign w:val="bottom"/>
            <w:hideMark/>
          </w:tcPr>
          <w:p w14:paraId="619FAAA3" w14:textId="77777777" w:rsidR="00237A21" w:rsidRPr="008C3051" w:rsidRDefault="00237A21" w:rsidP="001A1E89">
            <w:pPr>
              <w:keepNext/>
              <w:spacing w:line="240" w:lineRule="auto"/>
              <w:rPr>
                <w:rFonts w:ascii="Times New Roman" w:eastAsia="Times New Roman" w:hAnsi="Times New Roman" w:cs="Times New Roman"/>
                <w:iCs/>
                <w:color w:val="000000"/>
                <w:sz w:val="20"/>
                <w:szCs w:val="20"/>
                <w:lang w:val="en-US"/>
              </w:rPr>
            </w:pPr>
            <w:r w:rsidRPr="008C3051">
              <w:rPr>
                <w:rFonts w:ascii="Times New Roman" w:eastAsia="Times New Roman" w:hAnsi="Times New Roman" w:cs="Times New Roman"/>
                <w:iCs/>
                <w:color w:val="000000"/>
                <w:sz w:val="20"/>
                <w:szCs w:val="20"/>
                <w:lang w:val="en-US"/>
              </w:rPr>
              <w:t>Exports from</w:t>
            </w:r>
          </w:p>
        </w:tc>
      </w:tr>
      <w:tr w:rsidR="00237A21" w:rsidRPr="001A1E89" w14:paraId="73A1B5FB" w14:textId="77777777" w:rsidTr="00DA11BC">
        <w:trPr>
          <w:gridAfter w:val="1"/>
          <w:wAfter w:w="13" w:type="dxa"/>
          <w:trHeight w:val="548"/>
        </w:trPr>
        <w:tc>
          <w:tcPr>
            <w:tcW w:w="1812" w:type="dxa"/>
            <w:vMerge/>
            <w:tcBorders>
              <w:top w:val="single" w:sz="4" w:space="0" w:color="auto"/>
              <w:left w:val="nil"/>
              <w:bottom w:val="single" w:sz="4" w:space="0" w:color="000000"/>
              <w:right w:val="nil"/>
            </w:tcBorders>
            <w:vAlign w:val="center"/>
            <w:hideMark/>
          </w:tcPr>
          <w:p w14:paraId="5E162357" w14:textId="77777777" w:rsidR="00237A21" w:rsidRPr="008C3051" w:rsidRDefault="00237A21" w:rsidP="001A1E89">
            <w:pPr>
              <w:keepNext/>
              <w:spacing w:line="240" w:lineRule="auto"/>
              <w:jc w:val="left"/>
              <w:rPr>
                <w:rFonts w:ascii="Times New Roman" w:eastAsia="Times New Roman" w:hAnsi="Times New Roman" w:cs="Times New Roman"/>
                <w:iCs/>
                <w:color w:val="000000"/>
                <w:sz w:val="20"/>
                <w:szCs w:val="20"/>
                <w:lang w:val="en-US"/>
              </w:rPr>
            </w:pPr>
          </w:p>
        </w:tc>
        <w:tc>
          <w:tcPr>
            <w:tcW w:w="1806" w:type="dxa"/>
            <w:tcBorders>
              <w:top w:val="single" w:sz="4" w:space="0" w:color="auto"/>
              <w:left w:val="nil"/>
              <w:bottom w:val="single" w:sz="4" w:space="0" w:color="auto"/>
              <w:right w:val="nil"/>
            </w:tcBorders>
            <w:shd w:val="clear" w:color="auto" w:fill="auto"/>
            <w:vAlign w:val="bottom"/>
            <w:hideMark/>
          </w:tcPr>
          <w:p w14:paraId="1256B45F" w14:textId="77777777" w:rsidR="00237A21" w:rsidRPr="008C3051" w:rsidRDefault="00237A21" w:rsidP="001A1E89">
            <w:pPr>
              <w:keepNext/>
              <w:spacing w:line="240" w:lineRule="auto"/>
              <w:rPr>
                <w:rFonts w:ascii="Times New Roman" w:eastAsia="Times New Roman" w:hAnsi="Times New Roman" w:cs="Times New Roman"/>
                <w:iCs/>
                <w:color w:val="000000"/>
                <w:sz w:val="20"/>
                <w:szCs w:val="20"/>
                <w:lang w:val="en-US"/>
              </w:rPr>
            </w:pPr>
            <w:r w:rsidRPr="008C3051">
              <w:rPr>
                <w:rFonts w:ascii="Times New Roman" w:eastAsia="Times New Roman" w:hAnsi="Times New Roman" w:cs="Times New Roman"/>
                <w:iCs/>
                <w:color w:val="000000"/>
                <w:sz w:val="20"/>
                <w:szCs w:val="20"/>
                <w:lang w:val="en-US"/>
              </w:rPr>
              <w:t>Gold Coast</w:t>
            </w:r>
          </w:p>
        </w:tc>
        <w:tc>
          <w:tcPr>
            <w:tcW w:w="1568" w:type="dxa"/>
            <w:tcBorders>
              <w:top w:val="single" w:sz="4" w:space="0" w:color="auto"/>
              <w:left w:val="nil"/>
              <w:bottom w:val="single" w:sz="4" w:space="0" w:color="auto"/>
              <w:right w:val="nil"/>
            </w:tcBorders>
            <w:shd w:val="clear" w:color="auto" w:fill="auto"/>
            <w:vAlign w:val="bottom"/>
            <w:hideMark/>
          </w:tcPr>
          <w:p w14:paraId="23526C57" w14:textId="77777777" w:rsidR="00237A21" w:rsidRPr="008C3051" w:rsidRDefault="00237A21" w:rsidP="001A1E89">
            <w:pPr>
              <w:keepNext/>
              <w:spacing w:line="240" w:lineRule="auto"/>
              <w:rPr>
                <w:rFonts w:ascii="Times New Roman" w:eastAsia="Times New Roman" w:hAnsi="Times New Roman" w:cs="Times New Roman"/>
                <w:iCs/>
                <w:color w:val="000000"/>
                <w:sz w:val="20"/>
                <w:szCs w:val="20"/>
                <w:lang w:val="en-US"/>
              </w:rPr>
            </w:pPr>
            <w:r w:rsidRPr="008C3051">
              <w:rPr>
                <w:rFonts w:ascii="Times New Roman" w:eastAsia="Times New Roman" w:hAnsi="Times New Roman" w:cs="Times New Roman"/>
                <w:iCs/>
                <w:color w:val="000000"/>
                <w:sz w:val="20"/>
                <w:szCs w:val="20"/>
                <w:lang w:val="en-US"/>
              </w:rPr>
              <w:t>Gambia and Sierra Leone</w:t>
            </w:r>
          </w:p>
        </w:tc>
        <w:tc>
          <w:tcPr>
            <w:tcW w:w="1800" w:type="dxa"/>
            <w:tcBorders>
              <w:top w:val="nil"/>
              <w:left w:val="nil"/>
              <w:bottom w:val="single" w:sz="4" w:space="0" w:color="auto"/>
              <w:right w:val="nil"/>
            </w:tcBorders>
            <w:shd w:val="clear" w:color="auto" w:fill="auto"/>
            <w:vAlign w:val="bottom"/>
            <w:hideMark/>
          </w:tcPr>
          <w:p w14:paraId="2C13188D" w14:textId="77777777" w:rsidR="00237A21" w:rsidRPr="008C3051" w:rsidRDefault="008C3051" w:rsidP="001A1E89">
            <w:pPr>
              <w:keepNext/>
              <w:spacing w:line="240" w:lineRule="auto"/>
              <w:rPr>
                <w:rFonts w:ascii="Times New Roman" w:eastAsia="Times New Roman" w:hAnsi="Times New Roman" w:cs="Times New Roman"/>
                <w:iCs/>
                <w:color w:val="000000"/>
                <w:sz w:val="20"/>
                <w:szCs w:val="20"/>
                <w:lang w:val="en-US"/>
              </w:rPr>
            </w:pPr>
            <w:r w:rsidRPr="008C3051">
              <w:rPr>
                <w:rFonts w:ascii="Times New Roman" w:eastAsia="Times New Roman" w:hAnsi="Times New Roman" w:cs="Times New Roman"/>
                <w:iCs/>
                <w:color w:val="000000"/>
                <w:sz w:val="20"/>
                <w:szCs w:val="20"/>
                <w:lang w:val="en-US"/>
              </w:rPr>
              <w:t>t</w:t>
            </w:r>
            <w:r w:rsidR="00237A21" w:rsidRPr="008C3051">
              <w:rPr>
                <w:rFonts w:ascii="Times New Roman" w:eastAsia="Times New Roman" w:hAnsi="Times New Roman" w:cs="Times New Roman"/>
                <w:iCs/>
                <w:color w:val="000000"/>
                <w:sz w:val="20"/>
                <w:szCs w:val="20"/>
                <w:lang w:val="en-US"/>
              </w:rPr>
              <w:t>he United Kingdom</w:t>
            </w:r>
          </w:p>
        </w:tc>
      </w:tr>
      <w:tr w:rsidR="00237A21" w:rsidRPr="001A1E89" w14:paraId="794EFC5E" w14:textId="77777777" w:rsidTr="00DA11BC">
        <w:trPr>
          <w:gridAfter w:val="1"/>
          <w:wAfter w:w="13" w:type="dxa"/>
          <w:trHeight w:val="300"/>
        </w:trPr>
        <w:tc>
          <w:tcPr>
            <w:tcW w:w="1812" w:type="dxa"/>
            <w:tcBorders>
              <w:top w:val="nil"/>
              <w:left w:val="nil"/>
              <w:bottom w:val="nil"/>
              <w:right w:val="nil"/>
            </w:tcBorders>
            <w:shd w:val="clear" w:color="auto" w:fill="auto"/>
            <w:noWrap/>
            <w:vAlign w:val="bottom"/>
            <w:hideMark/>
          </w:tcPr>
          <w:p w14:paraId="1DCF5971"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Rice</w:t>
            </w:r>
          </w:p>
        </w:tc>
        <w:tc>
          <w:tcPr>
            <w:tcW w:w="1806" w:type="dxa"/>
            <w:tcBorders>
              <w:top w:val="nil"/>
              <w:left w:val="nil"/>
              <w:bottom w:val="nil"/>
              <w:right w:val="nil"/>
            </w:tcBorders>
            <w:shd w:val="clear" w:color="auto" w:fill="auto"/>
            <w:noWrap/>
            <w:vAlign w:val="bottom"/>
            <w:hideMark/>
          </w:tcPr>
          <w:p w14:paraId="36A7163F"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1.0</w:t>
            </w:r>
          </w:p>
        </w:tc>
        <w:tc>
          <w:tcPr>
            <w:tcW w:w="1568" w:type="dxa"/>
            <w:tcBorders>
              <w:top w:val="nil"/>
              <w:left w:val="nil"/>
              <w:bottom w:val="nil"/>
              <w:right w:val="nil"/>
            </w:tcBorders>
            <w:shd w:val="clear" w:color="auto" w:fill="auto"/>
            <w:noWrap/>
            <w:vAlign w:val="bottom"/>
            <w:hideMark/>
          </w:tcPr>
          <w:p w14:paraId="430D52B1"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11.3</w:t>
            </w:r>
          </w:p>
        </w:tc>
        <w:tc>
          <w:tcPr>
            <w:tcW w:w="1800" w:type="dxa"/>
            <w:tcBorders>
              <w:top w:val="nil"/>
              <w:left w:val="nil"/>
              <w:bottom w:val="nil"/>
              <w:right w:val="nil"/>
            </w:tcBorders>
            <w:shd w:val="clear" w:color="auto" w:fill="auto"/>
            <w:noWrap/>
            <w:vAlign w:val="bottom"/>
            <w:hideMark/>
          </w:tcPr>
          <w:p w14:paraId="712A280A"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0.5</w:t>
            </w:r>
          </w:p>
        </w:tc>
      </w:tr>
      <w:tr w:rsidR="00237A21" w:rsidRPr="001A1E89" w14:paraId="2A2B6061" w14:textId="77777777" w:rsidTr="00DA11BC">
        <w:trPr>
          <w:gridAfter w:val="1"/>
          <w:wAfter w:w="13" w:type="dxa"/>
          <w:trHeight w:val="300"/>
        </w:trPr>
        <w:tc>
          <w:tcPr>
            <w:tcW w:w="1812" w:type="dxa"/>
            <w:tcBorders>
              <w:top w:val="nil"/>
              <w:left w:val="nil"/>
              <w:bottom w:val="nil"/>
              <w:right w:val="nil"/>
            </w:tcBorders>
            <w:shd w:val="clear" w:color="auto" w:fill="auto"/>
            <w:noWrap/>
            <w:vAlign w:val="bottom"/>
            <w:hideMark/>
          </w:tcPr>
          <w:p w14:paraId="6634A259"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Beer</w:t>
            </w:r>
          </w:p>
        </w:tc>
        <w:tc>
          <w:tcPr>
            <w:tcW w:w="1806" w:type="dxa"/>
            <w:tcBorders>
              <w:top w:val="nil"/>
              <w:left w:val="nil"/>
              <w:bottom w:val="nil"/>
              <w:right w:val="nil"/>
            </w:tcBorders>
            <w:shd w:val="clear" w:color="auto" w:fill="auto"/>
            <w:noWrap/>
            <w:vAlign w:val="bottom"/>
            <w:hideMark/>
          </w:tcPr>
          <w:p w14:paraId="0C452872"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0.4</w:t>
            </w:r>
          </w:p>
        </w:tc>
        <w:tc>
          <w:tcPr>
            <w:tcW w:w="1568" w:type="dxa"/>
            <w:tcBorders>
              <w:top w:val="nil"/>
              <w:left w:val="nil"/>
              <w:bottom w:val="nil"/>
              <w:right w:val="nil"/>
            </w:tcBorders>
            <w:shd w:val="clear" w:color="auto" w:fill="auto"/>
            <w:noWrap/>
            <w:vAlign w:val="bottom"/>
            <w:hideMark/>
          </w:tcPr>
          <w:p w14:paraId="542D5768"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1.4</w:t>
            </w:r>
          </w:p>
        </w:tc>
        <w:tc>
          <w:tcPr>
            <w:tcW w:w="1800" w:type="dxa"/>
            <w:tcBorders>
              <w:top w:val="nil"/>
              <w:left w:val="nil"/>
              <w:bottom w:val="nil"/>
              <w:right w:val="nil"/>
            </w:tcBorders>
            <w:shd w:val="clear" w:color="auto" w:fill="auto"/>
            <w:noWrap/>
            <w:vAlign w:val="bottom"/>
            <w:hideMark/>
          </w:tcPr>
          <w:p w14:paraId="6A7F213F"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0.7</w:t>
            </w:r>
          </w:p>
        </w:tc>
      </w:tr>
      <w:tr w:rsidR="00237A21" w:rsidRPr="001A1E89" w14:paraId="35F1F06B" w14:textId="77777777" w:rsidTr="00DA11BC">
        <w:trPr>
          <w:gridAfter w:val="1"/>
          <w:wAfter w:w="13" w:type="dxa"/>
          <w:trHeight w:val="300"/>
        </w:trPr>
        <w:tc>
          <w:tcPr>
            <w:tcW w:w="1812" w:type="dxa"/>
            <w:tcBorders>
              <w:top w:val="nil"/>
              <w:left w:val="nil"/>
              <w:bottom w:val="nil"/>
              <w:right w:val="nil"/>
            </w:tcBorders>
            <w:shd w:val="clear" w:color="auto" w:fill="auto"/>
            <w:noWrap/>
            <w:vAlign w:val="bottom"/>
            <w:hideMark/>
          </w:tcPr>
          <w:p w14:paraId="5D1D31B1"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Spirits</w:t>
            </w:r>
          </w:p>
        </w:tc>
        <w:tc>
          <w:tcPr>
            <w:tcW w:w="1806" w:type="dxa"/>
            <w:tcBorders>
              <w:top w:val="nil"/>
              <w:left w:val="nil"/>
              <w:bottom w:val="nil"/>
              <w:right w:val="nil"/>
            </w:tcBorders>
            <w:shd w:val="clear" w:color="auto" w:fill="auto"/>
            <w:noWrap/>
            <w:vAlign w:val="bottom"/>
            <w:hideMark/>
          </w:tcPr>
          <w:p w14:paraId="440845F1"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0.7</w:t>
            </w:r>
          </w:p>
        </w:tc>
        <w:tc>
          <w:tcPr>
            <w:tcW w:w="1568" w:type="dxa"/>
            <w:tcBorders>
              <w:top w:val="nil"/>
              <w:left w:val="nil"/>
              <w:bottom w:val="nil"/>
              <w:right w:val="nil"/>
            </w:tcBorders>
            <w:shd w:val="clear" w:color="auto" w:fill="auto"/>
            <w:noWrap/>
            <w:vAlign w:val="bottom"/>
            <w:hideMark/>
          </w:tcPr>
          <w:p w14:paraId="0C7004F2"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1.4</w:t>
            </w:r>
          </w:p>
        </w:tc>
        <w:tc>
          <w:tcPr>
            <w:tcW w:w="1800" w:type="dxa"/>
            <w:tcBorders>
              <w:top w:val="nil"/>
              <w:left w:val="nil"/>
              <w:bottom w:val="nil"/>
              <w:right w:val="nil"/>
            </w:tcBorders>
            <w:shd w:val="clear" w:color="auto" w:fill="auto"/>
            <w:noWrap/>
            <w:vAlign w:val="bottom"/>
            <w:hideMark/>
          </w:tcPr>
          <w:p w14:paraId="407A7BF3"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0.6</w:t>
            </w:r>
          </w:p>
        </w:tc>
      </w:tr>
      <w:tr w:rsidR="00237A21" w:rsidRPr="001A1E89" w14:paraId="2AE6A726" w14:textId="77777777" w:rsidTr="00DA11BC">
        <w:trPr>
          <w:gridAfter w:val="1"/>
          <w:wAfter w:w="13" w:type="dxa"/>
          <w:trHeight w:val="300"/>
        </w:trPr>
        <w:tc>
          <w:tcPr>
            <w:tcW w:w="1812" w:type="dxa"/>
            <w:tcBorders>
              <w:top w:val="nil"/>
              <w:left w:val="nil"/>
              <w:bottom w:val="nil"/>
              <w:right w:val="nil"/>
            </w:tcBorders>
            <w:shd w:val="clear" w:color="auto" w:fill="auto"/>
            <w:noWrap/>
            <w:vAlign w:val="bottom"/>
            <w:hideMark/>
          </w:tcPr>
          <w:p w14:paraId="1DA11C3A"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Tobacco</w:t>
            </w:r>
          </w:p>
        </w:tc>
        <w:tc>
          <w:tcPr>
            <w:tcW w:w="1806" w:type="dxa"/>
            <w:tcBorders>
              <w:top w:val="nil"/>
              <w:left w:val="nil"/>
              <w:bottom w:val="nil"/>
              <w:right w:val="nil"/>
            </w:tcBorders>
            <w:shd w:val="clear" w:color="auto" w:fill="auto"/>
            <w:noWrap/>
            <w:vAlign w:val="bottom"/>
            <w:hideMark/>
          </w:tcPr>
          <w:p w14:paraId="48C4B15D"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1.0</w:t>
            </w:r>
          </w:p>
        </w:tc>
        <w:tc>
          <w:tcPr>
            <w:tcW w:w="1568" w:type="dxa"/>
            <w:tcBorders>
              <w:top w:val="nil"/>
              <w:left w:val="nil"/>
              <w:bottom w:val="nil"/>
              <w:right w:val="nil"/>
            </w:tcBorders>
            <w:shd w:val="clear" w:color="auto" w:fill="auto"/>
            <w:noWrap/>
            <w:vAlign w:val="bottom"/>
            <w:hideMark/>
          </w:tcPr>
          <w:p w14:paraId="3CD523E3"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3.3</w:t>
            </w:r>
          </w:p>
        </w:tc>
        <w:tc>
          <w:tcPr>
            <w:tcW w:w="1800" w:type="dxa"/>
            <w:tcBorders>
              <w:top w:val="nil"/>
              <w:left w:val="nil"/>
              <w:bottom w:val="nil"/>
              <w:right w:val="nil"/>
            </w:tcBorders>
            <w:shd w:val="clear" w:color="auto" w:fill="auto"/>
            <w:noWrap/>
            <w:vAlign w:val="bottom"/>
            <w:hideMark/>
          </w:tcPr>
          <w:p w14:paraId="57CE92E8"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0.2</w:t>
            </w:r>
          </w:p>
        </w:tc>
      </w:tr>
      <w:tr w:rsidR="00237A21" w:rsidRPr="001A1E89" w14:paraId="6F3CF7EB" w14:textId="77777777" w:rsidTr="00DA11BC">
        <w:trPr>
          <w:gridAfter w:val="1"/>
          <w:wAfter w:w="13" w:type="dxa"/>
          <w:trHeight w:val="300"/>
        </w:trPr>
        <w:tc>
          <w:tcPr>
            <w:tcW w:w="1812" w:type="dxa"/>
            <w:tcBorders>
              <w:top w:val="nil"/>
              <w:left w:val="nil"/>
              <w:bottom w:val="nil"/>
              <w:right w:val="nil"/>
            </w:tcBorders>
            <w:shd w:val="clear" w:color="auto" w:fill="auto"/>
            <w:noWrap/>
            <w:vAlign w:val="bottom"/>
            <w:hideMark/>
          </w:tcPr>
          <w:p w14:paraId="6DA7209D"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Gunpowder</w:t>
            </w:r>
          </w:p>
        </w:tc>
        <w:tc>
          <w:tcPr>
            <w:tcW w:w="1806" w:type="dxa"/>
            <w:tcBorders>
              <w:top w:val="nil"/>
              <w:left w:val="nil"/>
              <w:bottom w:val="nil"/>
              <w:right w:val="nil"/>
            </w:tcBorders>
            <w:shd w:val="clear" w:color="auto" w:fill="auto"/>
            <w:noWrap/>
            <w:vAlign w:val="bottom"/>
            <w:hideMark/>
          </w:tcPr>
          <w:p w14:paraId="3F9B0FA3"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2.8</w:t>
            </w:r>
          </w:p>
        </w:tc>
        <w:tc>
          <w:tcPr>
            <w:tcW w:w="1568" w:type="dxa"/>
            <w:tcBorders>
              <w:top w:val="nil"/>
              <w:left w:val="nil"/>
              <w:bottom w:val="nil"/>
              <w:right w:val="nil"/>
            </w:tcBorders>
            <w:shd w:val="clear" w:color="auto" w:fill="auto"/>
            <w:noWrap/>
            <w:vAlign w:val="bottom"/>
            <w:hideMark/>
          </w:tcPr>
          <w:p w14:paraId="3AB3A992"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4.8</w:t>
            </w:r>
          </w:p>
        </w:tc>
        <w:tc>
          <w:tcPr>
            <w:tcW w:w="1800" w:type="dxa"/>
            <w:tcBorders>
              <w:top w:val="nil"/>
              <w:left w:val="nil"/>
              <w:bottom w:val="nil"/>
              <w:right w:val="nil"/>
            </w:tcBorders>
            <w:shd w:val="clear" w:color="auto" w:fill="auto"/>
            <w:noWrap/>
            <w:vAlign w:val="bottom"/>
            <w:hideMark/>
          </w:tcPr>
          <w:p w14:paraId="197D1936"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0.1</w:t>
            </w:r>
          </w:p>
        </w:tc>
      </w:tr>
      <w:tr w:rsidR="00237A21" w:rsidRPr="001A1E89" w14:paraId="64A0278B" w14:textId="77777777" w:rsidTr="00DA11BC">
        <w:trPr>
          <w:gridAfter w:val="1"/>
          <w:wAfter w:w="13" w:type="dxa"/>
          <w:trHeight w:val="300"/>
        </w:trPr>
        <w:tc>
          <w:tcPr>
            <w:tcW w:w="1812" w:type="dxa"/>
            <w:tcBorders>
              <w:top w:val="nil"/>
              <w:left w:val="nil"/>
              <w:bottom w:val="nil"/>
              <w:right w:val="nil"/>
            </w:tcBorders>
            <w:shd w:val="clear" w:color="auto" w:fill="auto"/>
            <w:noWrap/>
            <w:vAlign w:val="bottom"/>
            <w:hideMark/>
          </w:tcPr>
          <w:p w14:paraId="10FFE145"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Wooden goods</w:t>
            </w:r>
          </w:p>
        </w:tc>
        <w:tc>
          <w:tcPr>
            <w:tcW w:w="1806" w:type="dxa"/>
            <w:tcBorders>
              <w:top w:val="nil"/>
              <w:left w:val="nil"/>
              <w:bottom w:val="nil"/>
              <w:right w:val="nil"/>
            </w:tcBorders>
            <w:shd w:val="clear" w:color="auto" w:fill="auto"/>
            <w:noWrap/>
            <w:vAlign w:val="bottom"/>
            <w:hideMark/>
          </w:tcPr>
          <w:p w14:paraId="4371C0F3"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3.1</w:t>
            </w:r>
          </w:p>
        </w:tc>
        <w:tc>
          <w:tcPr>
            <w:tcW w:w="1568" w:type="dxa"/>
            <w:tcBorders>
              <w:top w:val="nil"/>
              <w:left w:val="nil"/>
              <w:bottom w:val="nil"/>
              <w:right w:val="nil"/>
            </w:tcBorders>
            <w:shd w:val="clear" w:color="auto" w:fill="auto"/>
            <w:noWrap/>
            <w:vAlign w:val="bottom"/>
            <w:hideMark/>
          </w:tcPr>
          <w:p w14:paraId="7E03FC8C"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0.3</w:t>
            </w:r>
          </w:p>
        </w:tc>
        <w:tc>
          <w:tcPr>
            <w:tcW w:w="1800" w:type="dxa"/>
            <w:tcBorders>
              <w:top w:val="nil"/>
              <w:left w:val="nil"/>
              <w:bottom w:val="nil"/>
              <w:right w:val="nil"/>
            </w:tcBorders>
            <w:shd w:val="clear" w:color="auto" w:fill="auto"/>
            <w:noWrap/>
            <w:vAlign w:val="bottom"/>
            <w:hideMark/>
          </w:tcPr>
          <w:p w14:paraId="79FC71A1"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0.1</w:t>
            </w:r>
          </w:p>
        </w:tc>
      </w:tr>
      <w:tr w:rsidR="00237A21" w:rsidRPr="001A1E89" w14:paraId="7C61A6E8" w14:textId="77777777" w:rsidTr="00DA11BC">
        <w:trPr>
          <w:gridAfter w:val="1"/>
          <w:wAfter w:w="13" w:type="dxa"/>
          <w:trHeight w:val="300"/>
        </w:trPr>
        <w:tc>
          <w:tcPr>
            <w:tcW w:w="1812" w:type="dxa"/>
            <w:tcBorders>
              <w:top w:val="nil"/>
              <w:left w:val="nil"/>
              <w:bottom w:val="nil"/>
              <w:right w:val="nil"/>
            </w:tcBorders>
            <w:shd w:val="clear" w:color="auto" w:fill="auto"/>
            <w:noWrap/>
            <w:vAlign w:val="bottom"/>
            <w:hideMark/>
          </w:tcPr>
          <w:p w14:paraId="6F19FBA6"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Silk goods</w:t>
            </w:r>
          </w:p>
        </w:tc>
        <w:tc>
          <w:tcPr>
            <w:tcW w:w="1806" w:type="dxa"/>
            <w:tcBorders>
              <w:top w:val="nil"/>
              <w:left w:val="nil"/>
              <w:bottom w:val="nil"/>
              <w:right w:val="nil"/>
            </w:tcBorders>
            <w:shd w:val="clear" w:color="auto" w:fill="auto"/>
            <w:noWrap/>
            <w:vAlign w:val="bottom"/>
            <w:hideMark/>
          </w:tcPr>
          <w:p w14:paraId="52D80EAF"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1.3</w:t>
            </w:r>
          </w:p>
        </w:tc>
        <w:tc>
          <w:tcPr>
            <w:tcW w:w="1568" w:type="dxa"/>
            <w:tcBorders>
              <w:top w:val="nil"/>
              <w:left w:val="nil"/>
              <w:bottom w:val="nil"/>
              <w:right w:val="nil"/>
            </w:tcBorders>
            <w:shd w:val="clear" w:color="auto" w:fill="auto"/>
            <w:noWrap/>
            <w:vAlign w:val="bottom"/>
            <w:hideMark/>
          </w:tcPr>
          <w:p w14:paraId="45B82152"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w:t>
            </w:r>
          </w:p>
        </w:tc>
        <w:tc>
          <w:tcPr>
            <w:tcW w:w="1800" w:type="dxa"/>
            <w:tcBorders>
              <w:top w:val="nil"/>
              <w:left w:val="nil"/>
              <w:bottom w:val="nil"/>
              <w:right w:val="nil"/>
            </w:tcBorders>
            <w:shd w:val="clear" w:color="auto" w:fill="auto"/>
            <w:noWrap/>
            <w:vAlign w:val="bottom"/>
            <w:hideMark/>
          </w:tcPr>
          <w:p w14:paraId="43E32726"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0.7</w:t>
            </w:r>
          </w:p>
        </w:tc>
      </w:tr>
      <w:tr w:rsidR="00237A21" w:rsidRPr="001A1E89" w14:paraId="6B365567" w14:textId="77777777" w:rsidTr="00DA11BC">
        <w:trPr>
          <w:gridAfter w:val="1"/>
          <w:wAfter w:w="13" w:type="dxa"/>
          <w:trHeight w:val="300"/>
        </w:trPr>
        <w:tc>
          <w:tcPr>
            <w:tcW w:w="1812" w:type="dxa"/>
            <w:tcBorders>
              <w:top w:val="nil"/>
              <w:left w:val="nil"/>
              <w:bottom w:val="nil"/>
              <w:right w:val="nil"/>
            </w:tcBorders>
            <w:shd w:val="clear" w:color="auto" w:fill="auto"/>
            <w:noWrap/>
            <w:vAlign w:val="bottom"/>
            <w:hideMark/>
          </w:tcPr>
          <w:p w14:paraId="494D04C5"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Cotton goods</w:t>
            </w:r>
          </w:p>
        </w:tc>
        <w:tc>
          <w:tcPr>
            <w:tcW w:w="1806" w:type="dxa"/>
            <w:tcBorders>
              <w:top w:val="nil"/>
              <w:left w:val="nil"/>
              <w:bottom w:val="nil"/>
              <w:right w:val="nil"/>
            </w:tcBorders>
            <w:shd w:val="clear" w:color="auto" w:fill="auto"/>
            <w:noWrap/>
            <w:vAlign w:val="bottom"/>
            <w:hideMark/>
          </w:tcPr>
          <w:p w14:paraId="2ABCE863"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54.8</w:t>
            </w:r>
          </w:p>
        </w:tc>
        <w:tc>
          <w:tcPr>
            <w:tcW w:w="1568" w:type="dxa"/>
            <w:tcBorders>
              <w:top w:val="nil"/>
              <w:left w:val="nil"/>
              <w:bottom w:val="nil"/>
              <w:right w:val="nil"/>
            </w:tcBorders>
            <w:shd w:val="clear" w:color="auto" w:fill="auto"/>
            <w:noWrap/>
            <w:vAlign w:val="bottom"/>
            <w:hideMark/>
          </w:tcPr>
          <w:p w14:paraId="2C2BEA3E"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52.1</w:t>
            </w:r>
          </w:p>
        </w:tc>
        <w:tc>
          <w:tcPr>
            <w:tcW w:w="1800" w:type="dxa"/>
            <w:tcBorders>
              <w:top w:val="nil"/>
              <w:left w:val="nil"/>
              <w:bottom w:val="nil"/>
              <w:right w:val="nil"/>
            </w:tcBorders>
            <w:shd w:val="clear" w:color="auto" w:fill="auto"/>
            <w:noWrap/>
            <w:vAlign w:val="bottom"/>
            <w:hideMark/>
          </w:tcPr>
          <w:p w14:paraId="2BC622EB"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22.2</w:t>
            </w:r>
          </w:p>
        </w:tc>
      </w:tr>
      <w:tr w:rsidR="00237A21" w:rsidRPr="001A1E89" w14:paraId="613B206C" w14:textId="77777777" w:rsidTr="00DA11BC">
        <w:trPr>
          <w:gridAfter w:val="1"/>
          <w:wAfter w:w="13" w:type="dxa"/>
          <w:trHeight w:val="300"/>
        </w:trPr>
        <w:tc>
          <w:tcPr>
            <w:tcW w:w="1812" w:type="dxa"/>
            <w:tcBorders>
              <w:top w:val="nil"/>
              <w:left w:val="nil"/>
              <w:bottom w:val="nil"/>
              <w:right w:val="nil"/>
            </w:tcBorders>
            <w:shd w:val="clear" w:color="auto" w:fill="auto"/>
            <w:noWrap/>
            <w:vAlign w:val="bottom"/>
            <w:hideMark/>
          </w:tcPr>
          <w:p w14:paraId="1E774DED"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Apparel and slops</w:t>
            </w:r>
          </w:p>
        </w:tc>
        <w:tc>
          <w:tcPr>
            <w:tcW w:w="1806" w:type="dxa"/>
            <w:tcBorders>
              <w:top w:val="nil"/>
              <w:left w:val="nil"/>
              <w:bottom w:val="nil"/>
              <w:right w:val="nil"/>
            </w:tcBorders>
            <w:shd w:val="clear" w:color="auto" w:fill="auto"/>
            <w:noWrap/>
            <w:vAlign w:val="bottom"/>
            <w:hideMark/>
          </w:tcPr>
          <w:p w14:paraId="61F53A2A"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2.5</w:t>
            </w:r>
          </w:p>
        </w:tc>
        <w:tc>
          <w:tcPr>
            <w:tcW w:w="1568" w:type="dxa"/>
            <w:tcBorders>
              <w:top w:val="nil"/>
              <w:left w:val="nil"/>
              <w:bottom w:val="nil"/>
              <w:right w:val="nil"/>
            </w:tcBorders>
            <w:shd w:val="clear" w:color="auto" w:fill="auto"/>
            <w:noWrap/>
            <w:vAlign w:val="bottom"/>
            <w:hideMark/>
          </w:tcPr>
          <w:p w14:paraId="17C53886"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5.8</w:t>
            </w:r>
          </w:p>
        </w:tc>
        <w:tc>
          <w:tcPr>
            <w:tcW w:w="1800" w:type="dxa"/>
            <w:tcBorders>
              <w:top w:val="nil"/>
              <w:left w:val="nil"/>
              <w:bottom w:val="nil"/>
              <w:right w:val="nil"/>
            </w:tcBorders>
            <w:shd w:val="clear" w:color="auto" w:fill="auto"/>
            <w:noWrap/>
            <w:vAlign w:val="bottom"/>
            <w:hideMark/>
          </w:tcPr>
          <w:p w14:paraId="0416294D"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1.4</w:t>
            </w:r>
          </w:p>
        </w:tc>
      </w:tr>
      <w:tr w:rsidR="00237A21" w:rsidRPr="001A1E89" w14:paraId="48C83EFF" w14:textId="77777777" w:rsidTr="00DA11BC">
        <w:trPr>
          <w:gridAfter w:val="1"/>
          <w:wAfter w:w="13" w:type="dxa"/>
          <w:trHeight w:val="300"/>
        </w:trPr>
        <w:tc>
          <w:tcPr>
            <w:tcW w:w="1812" w:type="dxa"/>
            <w:tcBorders>
              <w:top w:val="nil"/>
              <w:left w:val="nil"/>
              <w:bottom w:val="nil"/>
              <w:right w:val="nil"/>
            </w:tcBorders>
            <w:shd w:val="clear" w:color="auto" w:fill="auto"/>
            <w:noWrap/>
            <w:vAlign w:val="bottom"/>
            <w:hideMark/>
          </w:tcPr>
          <w:p w14:paraId="3457CAF1"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Beads</w:t>
            </w:r>
          </w:p>
        </w:tc>
        <w:tc>
          <w:tcPr>
            <w:tcW w:w="1806" w:type="dxa"/>
            <w:tcBorders>
              <w:top w:val="nil"/>
              <w:left w:val="nil"/>
              <w:bottom w:val="nil"/>
              <w:right w:val="nil"/>
            </w:tcBorders>
            <w:shd w:val="clear" w:color="auto" w:fill="auto"/>
            <w:noWrap/>
            <w:vAlign w:val="bottom"/>
            <w:hideMark/>
          </w:tcPr>
          <w:p w14:paraId="2711551F"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1.6</w:t>
            </w:r>
          </w:p>
        </w:tc>
        <w:tc>
          <w:tcPr>
            <w:tcW w:w="1568" w:type="dxa"/>
            <w:tcBorders>
              <w:top w:val="nil"/>
              <w:left w:val="nil"/>
              <w:bottom w:val="nil"/>
              <w:right w:val="nil"/>
            </w:tcBorders>
            <w:shd w:val="clear" w:color="auto" w:fill="auto"/>
            <w:noWrap/>
            <w:vAlign w:val="bottom"/>
            <w:hideMark/>
          </w:tcPr>
          <w:p w14:paraId="5EFB4A5F"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1.0</w:t>
            </w:r>
          </w:p>
        </w:tc>
        <w:tc>
          <w:tcPr>
            <w:tcW w:w="1800" w:type="dxa"/>
            <w:tcBorders>
              <w:top w:val="nil"/>
              <w:left w:val="nil"/>
              <w:bottom w:val="nil"/>
              <w:right w:val="nil"/>
            </w:tcBorders>
            <w:shd w:val="clear" w:color="auto" w:fill="auto"/>
            <w:noWrap/>
            <w:vAlign w:val="bottom"/>
            <w:hideMark/>
          </w:tcPr>
          <w:p w14:paraId="6960FC9F"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w:t>
            </w:r>
          </w:p>
        </w:tc>
      </w:tr>
      <w:tr w:rsidR="00237A21" w:rsidRPr="001A1E89" w14:paraId="667531D6" w14:textId="77777777" w:rsidTr="00DA11BC">
        <w:trPr>
          <w:gridAfter w:val="1"/>
          <w:wAfter w:w="13" w:type="dxa"/>
          <w:trHeight w:val="300"/>
        </w:trPr>
        <w:tc>
          <w:tcPr>
            <w:tcW w:w="1812" w:type="dxa"/>
            <w:tcBorders>
              <w:top w:val="nil"/>
              <w:left w:val="nil"/>
              <w:bottom w:val="nil"/>
              <w:right w:val="nil"/>
            </w:tcBorders>
            <w:shd w:val="clear" w:color="auto" w:fill="auto"/>
            <w:noWrap/>
            <w:vAlign w:val="bottom"/>
            <w:hideMark/>
          </w:tcPr>
          <w:p w14:paraId="4525914E"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Iron</w:t>
            </w:r>
          </w:p>
        </w:tc>
        <w:tc>
          <w:tcPr>
            <w:tcW w:w="1806" w:type="dxa"/>
            <w:tcBorders>
              <w:top w:val="nil"/>
              <w:left w:val="nil"/>
              <w:bottom w:val="nil"/>
              <w:right w:val="nil"/>
            </w:tcBorders>
            <w:shd w:val="clear" w:color="auto" w:fill="auto"/>
            <w:noWrap/>
            <w:vAlign w:val="bottom"/>
            <w:hideMark/>
          </w:tcPr>
          <w:p w14:paraId="4D4440EA"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1.6</w:t>
            </w:r>
          </w:p>
        </w:tc>
        <w:tc>
          <w:tcPr>
            <w:tcW w:w="1568" w:type="dxa"/>
            <w:tcBorders>
              <w:top w:val="nil"/>
              <w:left w:val="nil"/>
              <w:bottom w:val="nil"/>
              <w:right w:val="nil"/>
            </w:tcBorders>
            <w:shd w:val="clear" w:color="auto" w:fill="auto"/>
            <w:noWrap/>
            <w:vAlign w:val="bottom"/>
            <w:hideMark/>
          </w:tcPr>
          <w:p w14:paraId="4E7B3A35"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4.2</w:t>
            </w:r>
          </w:p>
        </w:tc>
        <w:tc>
          <w:tcPr>
            <w:tcW w:w="1800" w:type="dxa"/>
            <w:tcBorders>
              <w:top w:val="nil"/>
              <w:left w:val="nil"/>
              <w:bottom w:val="nil"/>
              <w:right w:val="nil"/>
            </w:tcBorders>
            <w:shd w:val="clear" w:color="auto" w:fill="auto"/>
            <w:noWrap/>
            <w:vAlign w:val="bottom"/>
            <w:hideMark/>
          </w:tcPr>
          <w:p w14:paraId="6874DDFD"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8.5</w:t>
            </w:r>
          </w:p>
        </w:tc>
      </w:tr>
      <w:tr w:rsidR="00237A21" w:rsidRPr="001A1E89" w14:paraId="15512172" w14:textId="77777777" w:rsidTr="00DA11BC">
        <w:trPr>
          <w:gridAfter w:val="1"/>
          <w:wAfter w:w="13" w:type="dxa"/>
          <w:trHeight w:val="300"/>
        </w:trPr>
        <w:tc>
          <w:tcPr>
            <w:tcW w:w="1812" w:type="dxa"/>
            <w:tcBorders>
              <w:top w:val="nil"/>
              <w:left w:val="nil"/>
              <w:bottom w:val="nil"/>
              <w:right w:val="nil"/>
            </w:tcBorders>
            <w:shd w:val="clear" w:color="auto" w:fill="auto"/>
            <w:noWrap/>
            <w:vAlign w:val="bottom"/>
            <w:hideMark/>
          </w:tcPr>
          <w:p w14:paraId="3905D368"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Brass</w:t>
            </w:r>
          </w:p>
        </w:tc>
        <w:tc>
          <w:tcPr>
            <w:tcW w:w="1806" w:type="dxa"/>
            <w:tcBorders>
              <w:top w:val="nil"/>
              <w:left w:val="nil"/>
              <w:bottom w:val="nil"/>
              <w:right w:val="nil"/>
            </w:tcBorders>
            <w:shd w:val="clear" w:color="auto" w:fill="auto"/>
            <w:noWrap/>
            <w:vAlign w:val="bottom"/>
            <w:hideMark/>
          </w:tcPr>
          <w:p w14:paraId="2F8C0F81"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2.4</w:t>
            </w:r>
          </w:p>
        </w:tc>
        <w:tc>
          <w:tcPr>
            <w:tcW w:w="1568" w:type="dxa"/>
            <w:tcBorders>
              <w:top w:val="nil"/>
              <w:left w:val="nil"/>
              <w:bottom w:val="nil"/>
              <w:right w:val="nil"/>
            </w:tcBorders>
            <w:shd w:val="clear" w:color="auto" w:fill="auto"/>
            <w:noWrap/>
            <w:vAlign w:val="bottom"/>
            <w:hideMark/>
          </w:tcPr>
          <w:p w14:paraId="2B3B8FB9"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w:t>
            </w:r>
          </w:p>
        </w:tc>
        <w:tc>
          <w:tcPr>
            <w:tcW w:w="1800" w:type="dxa"/>
            <w:tcBorders>
              <w:top w:val="nil"/>
              <w:left w:val="nil"/>
              <w:bottom w:val="nil"/>
              <w:right w:val="nil"/>
            </w:tcBorders>
            <w:shd w:val="clear" w:color="auto" w:fill="auto"/>
            <w:noWrap/>
            <w:vAlign w:val="bottom"/>
            <w:hideMark/>
          </w:tcPr>
          <w:p w14:paraId="2705671A"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0.1</w:t>
            </w:r>
          </w:p>
        </w:tc>
      </w:tr>
      <w:tr w:rsidR="00237A21" w:rsidRPr="001A1E89" w14:paraId="1C08DFB4" w14:textId="77777777" w:rsidTr="00DA11BC">
        <w:trPr>
          <w:gridAfter w:val="1"/>
          <w:wAfter w:w="13" w:type="dxa"/>
          <w:trHeight w:val="300"/>
        </w:trPr>
        <w:tc>
          <w:tcPr>
            <w:tcW w:w="1812" w:type="dxa"/>
            <w:tcBorders>
              <w:top w:val="nil"/>
              <w:left w:val="nil"/>
              <w:bottom w:val="nil"/>
              <w:right w:val="nil"/>
            </w:tcBorders>
            <w:shd w:val="clear" w:color="auto" w:fill="auto"/>
            <w:noWrap/>
            <w:vAlign w:val="bottom"/>
            <w:hideMark/>
          </w:tcPr>
          <w:p w14:paraId="647CD373"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Firearms</w:t>
            </w:r>
          </w:p>
        </w:tc>
        <w:tc>
          <w:tcPr>
            <w:tcW w:w="1806" w:type="dxa"/>
            <w:tcBorders>
              <w:top w:val="nil"/>
              <w:left w:val="nil"/>
              <w:bottom w:val="nil"/>
              <w:right w:val="nil"/>
            </w:tcBorders>
            <w:shd w:val="clear" w:color="auto" w:fill="auto"/>
            <w:noWrap/>
            <w:vAlign w:val="bottom"/>
            <w:hideMark/>
          </w:tcPr>
          <w:p w14:paraId="23C8D618"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1.7</w:t>
            </w:r>
          </w:p>
        </w:tc>
        <w:tc>
          <w:tcPr>
            <w:tcW w:w="1568" w:type="dxa"/>
            <w:tcBorders>
              <w:top w:val="nil"/>
              <w:left w:val="nil"/>
              <w:bottom w:val="nil"/>
              <w:right w:val="nil"/>
            </w:tcBorders>
            <w:shd w:val="clear" w:color="auto" w:fill="auto"/>
            <w:noWrap/>
            <w:vAlign w:val="bottom"/>
            <w:hideMark/>
          </w:tcPr>
          <w:p w14:paraId="6ACA1F19"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6.3</w:t>
            </w:r>
          </w:p>
        </w:tc>
        <w:tc>
          <w:tcPr>
            <w:tcW w:w="1800" w:type="dxa"/>
            <w:tcBorders>
              <w:top w:val="nil"/>
              <w:left w:val="nil"/>
              <w:bottom w:val="nil"/>
              <w:right w:val="nil"/>
            </w:tcBorders>
            <w:shd w:val="clear" w:color="auto" w:fill="auto"/>
            <w:noWrap/>
            <w:vAlign w:val="bottom"/>
            <w:hideMark/>
          </w:tcPr>
          <w:p w14:paraId="6717EDC0"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0.2</w:t>
            </w:r>
          </w:p>
        </w:tc>
      </w:tr>
      <w:tr w:rsidR="00237A21" w:rsidRPr="001A1E89" w14:paraId="272429F6" w14:textId="77777777" w:rsidTr="00DA11BC">
        <w:trPr>
          <w:gridAfter w:val="1"/>
          <w:wAfter w:w="13" w:type="dxa"/>
          <w:trHeight w:val="300"/>
        </w:trPr>
        <w:tc>
          <w:tcPr>
            <w:tcW w:w="1812" w:type="dxa"/>
            <w:tcBorders>
              <w:top w:val="nil"/>
              <w:left w:val="nil"/>
              <w:bottom w:val="nil"/>
              <w:right w:val="nil"/>
            </w:tcBorders>
            <w:shd w:val="clear" w:color="auto" w:fill="auto"/>
            <w:noWrap/>
            <w:vAlign w:val="bottom"/>
            <w:hideMark/>
          </w:tcPr>
          <w:p w14:paraId="1B7AC706"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Other</w:t>
            </w:r>
          </w:p>
        </w:tc>
        <w:tc>
          <w:tcPr>
            <w:tcW w:w="1806" w:type="dxa"/>
            <w:tcBorders>
              <w:top w:val="nil"/>
              <w:left w:val="nil"/>
              <w:bottom w:val="single" w:sz="4" w:space="0" w:color="auto"/>
              <w:right w:val="nil"/>
            </w:tcBorders>
            <w:shd w:val="clear" w:color="auto" w:fill="auto"/>
            <w:noWrap/>
            <w:vAlign w:val="bottom"/>
            <w:hideMark/>
          </w:tcPr>
          <w:p w14:paraId="5031E15C"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25.0</w:t>
            </w:r>
          </w:p>
        </w:tc>
        <w:tc>
          <w:tcPr>
            <w:tcW w:w="1568" w:type="dxa"/>
            <w:tcBorders>
              <w:top w:val="nil"/>
              <w:left w:val="nil"/>
              <w:bottom w:val="single" w:sz="4" w:space="0" w:color="auto"/>
              <w:right w:val="nil"/>
            </w:tcBorders>
            <w:shd w:val="clear" w:color="auto" w:fill="auto"/>
            <w:noWrap/>
            <w:vAlign w:val="bottom"/>
            <w:hideMark/>
          </w:tcPr>
          <w:p w14:paraId="249F5865"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8.0</w:t>
            </w:r>
          </w:p>
        </w:tc>
        <w:tc>
          <w:tcPr>
            <w:tcW w:w="1800" w:type="dxa"/>
            <w:tcBorders>
              <w:top w:val="nil"/>
              <w:left w:val="nil"/>
              <w:bottom w:val="single" w:sz="4" w:space="0" w:color="auto"/>
              <w:right w:val="nil"/>
            </w:tcBorders>
            <w:shd w:val="clear" w:color="auto" w:fill="auto"/>
            <w:noWrap/>
            <w:vAlign w:val="bottom"/>
            <w:hideMark/>
          </w:tcPr>
          <w:p w14:paraId="100EE998"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64.6</w:t>
            </w:r>
          </w:p>
        </w:tc>
      </w:tr>
      <w:tr w:rsidR="00237A21" w:rsidRPr="001A1E89" w14:paraId="1CC9D2FB" w14:textId="77777777" w:rsidTr="00DA11BC">
        <w:trPr>
          <w:gridAfter w:val="1"/>
          <w:wAfter w:w="13" w:type="dxa"/>
          <w:trHeight w:val="300"/>
        </w:trPr>
        <w:tc>
          <w:tcPr>
            <w:tcW w:w="1812" w:type="dxa"/>
            <w:tcBorders>
              <w:top w:val="nil"/>
              <w:left w:val="nil"/>
              <w:right w:val="nil"/>
            </w:tcBorders>
            <w:shd w:val="clear" w:color="auto" w:fill="auto"/>
            <w:noWrap/>
            <w:vAlign w:val="bottom"/>
            <w:hideMark/>
          </w:tcPr>
          <w:p w14:paraId="316A8F9F" w14:textId="77777777" w:rsidR="00237A21" w:rsidRPr="008C3051" w:rsidRDefault="00237A21" w:rsidP="001A1E89">
            <w:pPr>
              <w:keepNext/>
              <w:spacing w:line="240" w:lineRule="auto"/>
              <w:jc w:val="left"/>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TOTAL</w:t>
            </w:r>
          </w:p>
        </w:tc>
        <w:tc>
          <w:tcPr>
            <w:tcW w:w="1806" w:type="dxa"/>
            <w:tcBorders>
              <w:top w:val="nil"/>
              <w:left w:val="nil"/>
              <w:right w:val="nil"/>
            </w:tcBorders>
            <w:shd w:val="clear" w:color="auto" w:fill="auto"/>
            <w:noWrap/>
            <w:vAlign w:val="bottom"/>
            <w:hideMark/>
          </w:tcPr>
          <w:p w14:paraId="601484A7"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100.0</w:t>
            </w:r>
          </w:p>
        </w:tc>
        <w:tc>
          <w:tcPr>
            <w:tcW w:w="1568" w:type="dxa"/>
            <w:tcBorders>
              <w:top w:val="nil"/>
              <w:left w:val="nil"/>
              <w:right w:val="nil"/>
            </w:tcBorders>
            <w:shd w:val="clear" w:color="auto" w:fill="auto"/>
            <w:noWrap/>
            <w:vAlign w:val="bottom"/>
            <w:hideMark/>
          </w:tcPr>
          <w:p w14:paraId="0E31D5DC"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100.0</w:t>
            </w:r>
          </w:p>
        </w:tc>
        <w:tc>
          <w:tcPr>
            <w:tcW w:w="1800" w:type="dxa"/>
            <w:tcBorders>
              <w:top w:val="nil"/>
              <w:left w:val="nil"/>
              <w:right w:val="nil"/>
            </w:tcBorders>
            <w:shd w:val="clear" w:color="auto" w:fill="auto"/>
            <w:noWrap/>
            <w:vAlign w:val="bottom"/>
            <w:hideMark/>
          </w:tcPr>
          <w:p w14:paraId="28E60E93" w14:textId="77777777" w:rsidR="00237A21" w:rsidRPr="008C3051" w:rsidRDefault="00237A21" w:rsidP="001A1E89">
            <w:pPr>
              <w:keepNext/>
              <w:spacing w:line="240" w:lineRule="auto"/>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color w:val="000000"/>
                <w:sz w:val="20"/>
                <w:szCs w:val="20"/>
                <w:lang w:val="en-US"/>
              </w:rPr>
              <w:t>100.0</w:t>
            </w:r>
          </w:p>
        </w:tc>
      </w:tr>
      <w:tr w:rsidR="00237A21" w:rsidRPr="001A1E89" w14:paraId="2319DDAD" w14:textId="77777777" w:rsidTr="00DA11BC">
        <w:trPr>
          <w:trHeight w:val="300"/>
        </w:trPr>
        <w:tc>
          <w:tcPr>
            <w:tcW w:w="6999" w:type="dxa"/>
            <w:gridSpan w:val="5"/>
            <w:tcBorders>
              <w:top w:val="single" w:sz="4" w:space="0" w:color="auto"/>
              <w:left w:val="nil"/>
              <w:bottom w:val="nil"/>
              <w:right w:val="nil"/>
            </w:tcBorders>
            <w:shd w:val="clear" w:color="auto" w:fill="auto"/>
            <w:noWrap/>
            <w:vAlign w:val="bottom"/>
            <w:hideMark/>
          </w:tcPr>
          <w:p w14:paraId="05AF95CB" w14:textId="77777777" w:rsidR="008D4B18" w:rsidRPr="008C3051" w:rsidRDefault="008D4B18" w:rsidP="001A1E89">
            <w:pPr>
              <w:keepNext/>
              <w:spacing w:line="240" w:lineRule="auto"/>
              <w:jc w:val="both"/>
              <w:rPr>
                <w:rFonts w:ascii="Times New Roman" w:eastAsia="Times New Roman" w:hAnsi="Times New Roman" w:cs="Times New Roman"/>
                <w:iCs/>
                <w:color w:val="000000"/>
                <w:sz w:val="20"/>
                <w:szCs w:val="20"/>
                <w:lang w:val="en-US"/>
              </w:rPr>
            </w:pPr>
            <w:r w:rsidRPr="008C3051">
              <w:rPr>
                <w:rFonts w:ascii="Times New Roman" w:eastAsia="Times New Roman" w:hAnsi="Times New Roman" w:cs="Times New Roman"/>
                <w:i/>
                <w:iCs/>
                <w:color w:val="000000"/>
                <w:sz w:val="20"/>
                <w:szCs w:val="20"/>
                <w:lang w:val="en-US"/>
              </w:rPr>
              <w:t>Notes</w:t>
            </w:r>
            <w:r w:rsidRPr="00DA11BC">
              <w:rPr>
                <w:rFonts w:ascii="Times New Roman" w:eastAsia="Times New Roman" w:hAnsi="Times New Roman" w:cs="Times New Roman"/>
                <w:iCs/>
                <w:color w:val="000000"/>
                <w:sz w:val="20"/>
                <w:szCs w:val="20"/>
                <w:lang w:val="en-US"/>
              </w:rPr>
              <w:t>:</w:t>
            </w:r>
            <w:r w:rsidRPr="008C3051">
              <w:rPr>
                <w:rFonts w:ascii="Times New Roman" w:eastAsia="Times New Roman" w:hAnsi="Times New Roman" w:cs="Times New Roman"/>
                <w:iCs/>
                <w:color w:val="000000"/>
                <w:sz w:val="20"/>
                <w:szCs w:val="20"/>
                <w:lang w:val="en-US"/>
              </w:rPr>
              <w:t xml:space="preserve"> </w:t>
            </w:r>
            <w:r w:rsidR="008C3051">
              <w:rPr>
                <w:rFonts w:ascii="Times New Roman" w:eastAsia="Times New Roman" w:hAnsi="Times New Roman" w:cs="Times New Roman"/>
                <w:iCs/>
                <w:color w:val="000000"/>
                <w:sz w:val="20"/>
                <w:szCs w:val="20"/>
                <w:lang w:val="en-US"/>
              </w:rPr>
              <w:t>I</w:t>
            </w:r>
            <w:r w:rsidRPr="008C3051">
              <w:rPr>
                <w:rFonts w:ascii="Times New Roman" w:eastAsia="Times New Roman" w:hAnsi="Times New Roman" w:cs="Times New Roman"/>
                <w:iCs/>
                <w:color w:val="000000"/>
                <w:sz w:val="20"/>
                <w:szCs w:val="20"/>
                <w:lang w:val="en-US"/>
              </w:rPr>
              <w:t>tems listed as “…” are not mentioned in the primary source.</w:t>
            </w:r>
          </w:p>
          <w:p w14:paraId="3C123F79" w14:textId="77777777" w:rsidR="008D4B18" w:rsidRPr="008C3051" w:rsidRDefault="00237A21" w:rsidP="008C3051">
            <w:pPr>
              <w:keepNext/>
              <w:spacing w:line="240" w:lineRule="auto"/>
              <w:jc w:val="both"/>
              <w:rPr>
                <w:rFonts w:ascii="Times New Roman" w:eastAsia="Times New Roman" w:hAnsi="Times New Roman" w:cs="Times New Roman"/>
                <w:color w:val="000000"/>
                <w:sz w:val="20"/>
                <w:szCs w:val="20"/>
                <w:lang w:val="en-US"/>
              </w:rPr>
            </w:pPr>
            <w:r w:rsidRPr="008C3051">
              <w:rPr>
                <w:rFonts w:ascii="Times New Roman" w:eastAsia="Times New Roman" w:hAnsi="Times New Roman" w:cs="Times New Roman"/>
                <w:i/>
                <w:color w:val="000000"/>
                <w:sz w:val="20"/>
                <w:szCs w:val="20"/>
                <w:lang w:val="en-US"/>
              </w:rPr>
              <w:t>Sources</w:t>
            </w:r>
            <w:r w:rsidRPr="00DA11BC">
              <w:rPr>
                <w:rFonts w:ascii="Times New Roman" w:eastAsia="Times New Roman" w:hAnsi="Times New Roman" w:cs="Times New Roman"/>
                <w:color w:val="000000"/>
                <w:sz w:val="20"/>
                <w:szCs w:val="20"/>
                <w:lang w:val="en-US"/>
              </w:rPr>
              <w:t>:</w:t>
            </w:r>
            <w:r w:rsidR="008C3051">
              <w:rPr>
                <w:rFonts w:ascii="Times New Roman" w:eastAsia="Times New Roman" w:hAnsi="Times New Roman" w:cs="Times New Roman"/>
                <w:color w:val="000000"/>
                <w:sz w:val="20"/>
                <w:szCs w:val="20"/>
                <w:lang w:val="en-US"/>
              </w:rPr>
              <w:t xml:space="preserve"> F</w:t>
            </w:r>
            <w:r w:rsidRPr="008C3051">
              <w:rPr>
                <w:rFonts w:ascii="Times New Roman" w:eastAsia="Times New Roman" w:hAnsi="Times New Roman" w:cs="Times New Roman"/>
                <w:color w:val="000000"/>
                <w:sz w:val="20"/>
                <w:szCs w:val="20"/>
                <w:lang w:val="en-US"/>
              </w:rPr>
              <w:t>or Gold Coast, Gambia</w:t>
            </w:r>
            <w:r w:rsidR="008C3051">
              <w:rPr>
                <w:rFonts w:ascii="Times New Roman" w:eastAsia="Times New Roman" w:hAnsi="Times New Roman" w:cs="Times New Roman"/>
                <w:color w:val="000000"/>
                <w:sz w:val="20"/>
                <w:szCs w:val="20"/>
                <w:lang w:val="en-US"/>
              </w:rPr>
              <w:t>,</w:t>
            </w:r>
            <w:r w:rsidRPr="008C3051">
              <w:rPr>
                <w:rFonts w:ascii="Times New Roman" w:eastAsia="Times New Roman" w:hAnsi="Times New Roman" w:cs="Times New Roman"/>
                <w:color w:val="000000"/>
                <w:sz w:val="20"/>
                <w:szCs w:val="20"/>
                <w:lang w:val="en-US"/>
              </w:rPr>
              <w:t xml:space="preserve"> and Sierra Leone: </w:t>
            </w:r>
            <w:r w:rsidRPr="008C3051">
              <w:rPr>
                <w:rFonts w:ascii="Times New Roman" w:eastAsia="Times New Roman" w:hAnsi="Times New Roman" w:cs="Times New Roman"/>
                <w:iCs/>
                <w:color w:val="000000"/>
                <w:sz w:val="20"/>
                <w:szCs w:val="20"/>
                <w:lang w:val="en-US"/>
              </w:rPr>
              <w:t>Annual Statement of Trade and Navigation of the United Kingdom (1856, 1861, 1866, 1871, 1876, 1881, 188</w:t>
            </w:r>
            <w:r w:rsidR="008C3051">
              <w:rPr>
                <w:rFonts w:ascii="Times New Roman" w:eastAsia="Times New Roman" w:hAnsi="Times New Roman" w:cs="Times New Roman"/>
                <w:iCs/>
                <w:color w:val="000000"/>
                <w:sz w:val="20"/>
                <w:szCs w:val="20"/>
                <w:lang w:val="en-US"/>
              </w:rPr>
              <w:t>7, 1892, 1897, 1902); for the United Kingdom</w:t>
            </w:r>
            <w:r w:rsidRPr="008C3051">
              <w:rPr>
                <w:rFonts w:ascii="Times New Roman" w:eastAsia="Times New Roman" w:hAnsi="Times New Roman" w:cs="Times New Roman"/>
                <w:iCs/>
                <w:color w:val="000000"/>
                <w:sz w:val="20"/>
                <w:szCs w:val="20"/>
                <w:lang w:val="en-US"/>
              </w:rPr>
              <w:t xml:space="preserve">: </w:t>
            </w:r>
            <w:r w:rsidRPr="008C3051">
              <w:rPr>
                <w:rFonts w:ascii="Times New Roman" w:eastAsia="Times New Roman" w:hAnsi="Times New Roman" w:cs="Times New Roman"/>
                <w:color w:val="000000"/>
                <w:sz w:val="20"/>
                <w:szCs w:val="20"/>
                <w:lang w:val="en-US"/>
              </w:rPr>
              <w:t xml:space="preserve">Statistical Abstract for the United Kingdom in each of the last </w:t>
            </w:r>
            <w:r w:rsidR="008C3051">
              <w:rPr>
                <w:rFonts w:ascii="Times New Roman" w:eastAsia="Times New Roman" w:hAnsi="Times New Roman" w:cs="Times New Roman"/>
                <w:color w:val="000000"/>
                <w:sz w:val="20"/>
                <w:szCs w:val="20"/>
                <w:lang w:val="en-US"/>
              </w:rPr>
              <w:t>15</w:t>
            </w:r>
            <w:r w:rsidRPr="008C3051">
              <w:rPr>
                <w:rFonts w:ascii="Times New Roman" w:eastAsia="Times New Roman" w:hAnsi="Times New Roman" w:cs="Times New Roman"/>
                <w:color w:val="000000"/>
                <w:sz w:val="20"/>
                <w:szCs w:val="20"/>
                <w:lang w:val="en-US"/>
              </w:rPr>
              <w:t xml:space="preserve"> years </w:t>
            </w:r>
            <w:r w:rsidRPr="008C3051">
              <w:rPr>
                <w:rFonts w:ascii="Times New Roman" w:eastAsia="Times New Roman" w:hAnsi="Times New Roman" w:cs="Times New Roman"/>
                <w:iCs/>
                <w:color w:val="000000"/>
                <w:sz w:val="20"/>
                <w:szCs w:val="20"/>
                <w:lang w:val="en-US"/>
              </w:rPr>
              <w:t>(1868, 1874, 1887, 1898, 1903).</w:t>
            </w:r>
          </w:p>
        </w:tc>
      </w:tr>
    </w:tbl>
    <w:p w14:paraId="3259EBB9" w14:textId="77777777" w:rsidR="008D4B18" w:rsidRPr="001A1E89" w:rsidRDefault="008D4B18" w:rsidP="001A1E89">
      <w:pPr>
        <w:spacing w:line="240" w:lineRule="auto"/>
        <w:jc w:val="both"/>
        <w:rPr>
          <w:rFonts w:ascii="Times New Roman" w:hAnsi="Times New Roman" w:cs="Times New Roman"/>
          <w:sz w:val="24"/>
          <w:szCs w:val="24"/>
          <w:lang w:val="en-US"/>
        </w:rPr>
      </w:pPr>
    </w:p>
    <w:p w14:paraId="3EB4E2B0" w14:textId="0EB4690F" w:rsidR="001A386F" w:rsidRPr="00700C89" w:rsidRDefault="000009C4" w:rsidP="00C9069D">
      <w:pPr>
        <w:spacing w:line="240" w:lineRule="auto"/>
        <w:jc w:val="both"/>
        <w:rPr>
          <w:rFonts w:ascii="Times New Roman" w:hAnsi="Times New Roman" w:cs="Times New Roman"/>
          <w:sz w:val="24"/>
          <w:szCs w:val="24"/>
          <w:lang w:val="en-US"/>
        </w:rPr>
      </w:pPr>
      <w:r w:rsidRPr="00700C89">
        <w:rPr>
          <w:rFonts w:ascii="Times New Roman" w:hAnsi="Times New Roman" w:cs="Times New Roman"/>
          <w:sz w:val="24"/>
          <w:szCs w:val="24"/>
          <w:lang w:val="en-US"/>
        </w:rPr>
        <w:t>All three African countries predominantly import</w:t>
      </w:r>
      <w:r w:rsidR="008C3051" w:rsidRPr="00700C89">
        <w:rPr>
          <w:rFonts w:ascii="Times New Roman" w:hAnsi="Times New Roman" w:cs="Times New Roman"/>
          <w:sz w:val="24"/>
          <w:szCs w:val="24"/>
          <w:lang w:val="en-US"/>
        </w:rPr>
        <w:t>ed</w:t>
      </w:r>
      <w:r w:rsidRPr="00700C89">
        <w:rPr>
          <w:rFonts w:ascii="Times New Roman" w:hAnsi="Times New Roman" w:cs="Times New Roman"/>
          <w:sz w:val="24"/>
          <w:szCs w:val="24"/>
          <w:lang w:val="en-US"/>
        </w:rPr>
        <w:t xml:space="preserve"> cotton goods, but tobacco, gunpowder</w:t>
      </w:r>
      <w:r w:rsidR="008C3051" w:rsidRPr="00700C89">
        <w:rPr>
          <w:rFonts w:ascii="Times New Roman" w:hAnsi="Times New Roman" w:cs="Times New Roman"/>
          <w:sz w:val="24"/>
          <w:szCs w:val="24"/>
          <w:lang w:val="en-US"/>
        </w:rPr>
        <w:t>,</w:t>
      </w:r>
      <w:r w:rsidRPr="00700C89">
        <w:rPr>
          <w:rFonts w:ascii="Times New Roman" w:hAnsi="Times New Roman" w:cs="Times New Roman"/>
          <w:sz w:val="24"/>
          <w:szCs w:val="24"/>
          <w:lang w:val="en-US"/>
        </w:rPr>
        <w:t xml:space="preserve"> and firearms</w:t>
      </w:r>
      <w:r w:rsidR="008C3051" w:rsidRPr="00700C89">
        <w:rPr>
          <w:rFonts w:ascii="Times New Roman" w:hAnsi="Times New Roman" w:cs="Times New Roman"/>
          <w:sz w:val="24"/>
          <w:szCs w:val="24"/>
          <w:lang w:val="en-US"/>
        </w:rPr>
        <w:t xml:space="preserve"> also mad</w:t>
      </w:r>
      <w:r w:rsidRPr="00700C89">
        <w:rPr>
          <w:rFonts w:ascii="Times New Roman" w:hAnsi="Times New Roman" w:cs="Times New Roman"/>
          <w:sz w:val="24"/>
          <w:szCs w:val="24"/>
          <w:lang w:val="en-US"/>
        </w:rPr>
        <w:t xml:space="preserve">e up a </w:t>
      </w:r>
      <w:r w:rsidR="00C352B5" w:rsidRPr="00700C89">
        <w:rPr>
          <w:rFonts w:ascii="Times New Roman" w:hAnsi="Times New Roman" w:cs="Times New Roman"/>
          <w:sz w:val="24"/>
          <w:szCs w:val="24"/>
          <w:lang w:val="en-US"/>
        </w:rPr>
        <w:t>sizable</w:t>
      </w:r>
      <w:r w:rsidRPr="00700C89">
        <w:rPr>
          <w:rFonts w:ascii="Times New Roman" w:hAnsi="Times New Roman" w:cs="Times New Roman"/>
          <w:sz w:val="24"/>
          <w:szCs w:val="24"/>
          <w:lang w:val="en-US"/>
        </w:rPr>
        <w:t xml:space="preserve"> share </w:t>
      </w:r>
      <w:r w:rsidR="00C352B5" w:rsidRPr="00700C89">
        <w:rPr>
          <w:rFonts w:ascii="Times New Roman" w:hAnsi="Times New Roman" w:cs="Times New Roman"/>
          <w:sz w:val="24"/>
          <w:szCs w:val="24"/>
          <w:lang w:val="en-US"/>
        </w:rPr>
        <w:t>of</w:t>
      </w:r>
      <w:r w:rsidRPr="00700C89">
        <w:rPr>
          <w:rFonts w:ascii="Times New Roman" w:hAnsi="Times New Roman" w:cs="Times New Roman"/>
          <w:sz w:val="24"/>
          <w:szCs w:val="24"/>
          <w:lang w:val="en-US"/>
        </w:rPr>
        <w:t xml:space="preserve"> the value of West</w:t>
      </w:r>
      <w:r w:rsidR="008C3051" w:rsidRPr="00700C89">
        <w:rPr>
          <w:rFonts w:ascii="Times New Roman" w:hAnsi="Times New Roman" w:cs="Times New Roman"/>
          <w:sz w:val="24"/>
          <w:szCs w:val="24"/>
          <w:lang w:val="en-US"/>
        </w:rPr>
        <w:t xml:space="preserve"> African imports. Cotton cloth wa</w:t>
      </w:r>
      <w:r w:rsidRPr="00700C89">
        <w:rPr>
          <w:rFonts w:ascii="Times New Roman" w:hAnsi="Times New Roman" w:cs="Times New Roman"/>
          <w:sz w:val="24"/>
          <w:szCs w:val="24"/>
          <w:lang w:val="en-US"/>
        </w:rPr>
        <w:t xml:space="preserve">s a major export item for the United Kingdom, but a substantial share of British exports remains uncovered by these </w:t>
      </w:r>
      <w:r w:rsidR="008C3051" w:rsidRPr="00700C89">
        <w:rPr>
          <w:rFonts w:ascii="Times New Roman" w:hAnsi="Times New Roman" w:cs="Times New Roman"/>
          <w:sz w:val="24"/>
          <w:szCs w:val="24"/>
          <w:lang w:val="en-US"/>
        </w:rPr>
        <w:t>13</w:t>
      </w:r>
      <w:r w:rsidRPr="00700C89">
        <w:rPr>
          <w:rFonts w:ascii="Times New Roman" w:hAnsi="Times New Roman" w:cs="Times New Roman"/>
          <w:sz w:val="24"/>
          <w:szCs w:val="24"/>
          <w:lang w:val="en-US"/>
        </w:rPr>
        <w:t xml:space="preserve"> items. Important items such as </w:t>
      </w:r>
      <w:r w:rsidR="00790164" w:rsidRPr="00700C89">
        <w:rPr>
          <w:rFonts w:ascii="Times New Roman" w:hAnsi="Times New Roman" w:cs="Times New Roman"/>
          <w:sz w:val="24"/>
          <w:szCs w:val="24"/>
          <w:lang w:val="en-US"/>
        </w:rPr>
        <w:t>machinery, woolen goods</w:t>
      </w:r>
      <w:r w:rsidR="008C3051" w:rsidRPr="00700C89">
        <w:rPr>
          <w:rFonts w:ascii="Times New Roman" w:hAnsi="Times New Roman" w:cs="Times New Roman"/>
          <w:sz w:val="24"/>
          <w:szCs w:val="24"/>
          <w:lang w:val="en-US"/>
        </w:rPr>
        <w:t>,</w:t>
      </w:r>
      <w:r w:rsidR="00790164" w:rsidRPr="00700C89">
        <w:rPr>
          <w:rFonts w:ascii="Times New Roman" w:hAnsi="Times New Roman" w:cs="Times New Roman"/>
          <w:sz w:val="24"/>
          <w:szCs w:val="24"/>
          <w:lang w:val="en-US"/>
        </w:rPr>
        <w:t xml:space="preserve"> and processed food were scarcely imported into Africa. </w:t>
      </w:r>
    </w:p>
    <w:p w14:paraId="3C69428B" w14:textId="77777777" w:rsidR="008D4B18" w:rsidRPr="00700C89" w:rsidRDefault="001A386F" w:rsidP="001A1E89">
      <w:pPr>
        <w:spacing w:line="240" w:lineRule="auto"/>
        <w:ind w:firstLine="720"/>
        <w:jc w:val="both"/>
        <w:rPr>
          <w:rFonts w:ascii="Times New Roman" w:hAnsi="Times New Roman" w:cs="Times New Roman"/>
          <w:sz w:val="24"/>
          <w:szCs w:val="24"/>
          <w:lang w:val="en-US"/>
        </w:rPr>
      </w:pPr>
      <w:r w:rsidRPr="00700C89">
        <w:rPr>
          <w:rFonts w:ascii="Times New Roman" w:hAnsi="Times New Roman" w:cs="Times New Roman"/>
          <w:sz w:val="24"/>
          <w:szCs w:val="24"/>
          <w:lang w:val="en-US"/>
        </w:rPr>
        <w:t xml:space="preserve">To see whether the divergent import mix for British West Africa affects the import price index as well, we combine the average value shares for each decade with annual price indices for these </w:t>
      </w:r>
      <w:r w:rsidR="008C3051" w:rsidRPr="00700C89">
        <w:rPr>
          <w:rFonts w:ascii="Times New Roman" w:hAnsi="Times New Roman" w:cs="Times New Roman"/>
          <w:sz w:val="24"/>
          <w:szCs w:val="24"/>
          <w:lang w:val="en-US"/>
        </w:rPr>
        <w:t>13</w:t>
      </w:r>
      <w:r w:rsidRPr="00700C89">
        <w:rPr>
          <w:rFonts w:ascii="Times New Roman" w:hAnsi="Times New Roman" w:cs="Times New Roman"/>
          <w:sz w:val="24"/>
          <w:szCs w:val="24"/>
          <w:lang w:val="en-US"/>
        </w:rPr>
        <w:t xml:space="preserve"> items. </w:t>
      </w:r>
      <w:r w:rsidR="00B44DBB" w:rsidRPr="00700C89">
        <w:rPr>
          <w:rFonts w:ascii="Times New Roman" w:hAnsi="Times New Roman" w:cs="Times New Roman"/>
          <w:sz w:val="24"/>
          <w:szCs w:val="24"/>
          <w:lang w:val="en-US"/>
        </w:rPr>
        <w:t>Unfortunately, no reliable set of African prices was available for cotton goods, wooden goods</w:t>
      </w:r>
      <w:r w:rsidR="008C3051" w:rsidRPr="00700C89">
        <w:rPr>
          <w:rFonts w:ascii="Times New Roman" w:hAnsi="Times New Roman" w:cs="Times New Roman"/>
          <w:sz w:val="24"/>
          <w:szCs w:val="24"/>
          <w:lang w:val="en-US"/>
        </w:rPr>
        <w:t>,</w:t>
      </w:r>
      <w:r w:rsidR="00B44DBB" w:rsidRPr="00700C89">
        <w:rPr>
          <w:rFonts w:ascii="Times New Roman" w:hAnsi="Times New Roman" w:cs="Times New Roman"/>
          <w:sz w:val="24"/>
          <w:szCs w:val="24"/>
          <w:lang w:val="en-US"/>
        </w:rPr>
        <w:t xml:space="preserve"> and brass.</w:t>
      </w:r>
      <w:r w:rsidR="00B44DBB" w:rsidRPr="00700C89">
        <w:rPr>
          <w:rStyle w:val="FootnoteReference"/>
          <w:rFonts w:ascii="Times New Roman" w:hAnsi="Times New Roman" w:cs="Times New Roman"/>
          <w:sz w:val="24"/>
          <w:szCs w:val="24"/>
          <w:lang w:val="en-US"/>
        </w:rPr>
        <w:footnoteReference w:id="1"/>
      </w:r>
      <w:r w:rsidR="004318EA" w:rsidRPr="00700C89">
        <w:rPr>
          <w:rFonts w:ascii="Times New Roman" w:hAnsi="Times New Roman" w:cs="Times New Roman"/>
          <w:sz w:val="24"/>
          <w:szCs w:val="24"/>
          <w:lang w:val="en-US"/>
        </w:rPr>
        <w:t xml:space="preserve"> For these items we relied on British export prices instead. Figure A.1 compares the new, country-specific import price indices to the original index by Mitchell.</w:t>
      </w:r>
    </w:p>
    <w:p w14:paraId="2D2AA8B6" w14:textId="77777777" w:rsidR="004318EA" w:rsidRPr="001A1E89" w:rsidRDefault="004318EA" w:rsidP="001A1E89">
      <w:pPr>
        <w:spacing w:line="240" w:lineRule="auto"/>
        <w:jc w:val="both"/>
        <w:rPr>
          <w:rFonts w:ascii="Times New Roman" w:hAnsi="Times New Roman" w:cs="Times New Roman"/>
          <w:sz w:val="24"/>
          <w:szCs w:val="24"/>
          <w:lang w:val="en-US"/>
        </w:rPr>
      </w:pPr>
    </w:p>
    <w:tbl>
      <w:tblPr>
        <w:tblStyle w:val="TableGrid"/>
        <w:tblW w:w="7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3678"/>
      </w:tblGrid>
      <w:tr w:rsidR="00C9069D" w:rsidRPr="001A1E89" w14:paraId="382447DA" w14:textId="77777777" w:rsidTr="00C9069D">
        <w:tc>
          <w:tcPr>
            <w:tcW w:w="7325" w:type="dxa"/>
            <w:gridSpan w:val="2"/>
          </w:tcPr>
          <w:p w14:paraId="58971C44" w14:textId="77777777" w:rsidR="00387BD4" w:rsidRPr="001A1E89" w:rsidRDefault="00387BD4" w:rsidP="001A1E89">
            <w:pPr>
              <w:spacing w:line="240" w:lineRule="auto"/>
              <w:jc w:val="both"/>
              <w:rPr>
                <w:rFonts w:ascii="Times New Roman" w:hAnsi="Times New Roman" w:cs="Times New Roman"/>
                <w:b/>
                <w:sz w:val="24"/>
                <w:szCs w:val="24"/>
                <w:lang w:val="en-US"/>
              </w:rPr>
            </w:pPr>
          </w:p>
        </w:tc>
      </w:tr>
      <w:tr w:rsidR="00C9069D" w:rsidRPr="001A1E89" w14:paraId="2BEC4328" w14:textId="77777777" w:rsidTr="00C9069D">
        <w:tc>
          <w:tcPr>
            <w:tcW w:w="3737" w:type="dxa"/>
          </w:tcPr>
          <w:p w14:paraId="62E5464B" w14:textId="77777777" w:rsidR="007A6718" w:rsidRPr="001A1E89" w:rsidRDefault="007A6718" w:rsidP="001A1E89">
            <w:pPr>
              <w:spacing w:line="240" w:lineRule="auto"/>
              <w:jc w:val="both"/>
              <w:rPr>
                <w:rFonts w:ascii="Times New Roman" w:hAnsi="Times New Roman" w:cs="Times New Roman"/>
                <w:sz w:val="24"/>
                <w:szCs w:val="24"/>
                <w:lang w:val="en-US"/>
              </w:rPr>
            </w:pPr>
            <w:r w:rsidRPr="001A1E89">
              <w:rPr>
                <w:rFonts w:ascii="Times New Roman" w:hAnsi="Times New Roman" w:cs="Times New Roman"/>
                <w:noProof/>
                <w:sz w:val="24"/>
                <w:szCs w:val="24"/>
                <w:lang w:val="en-US"/>
              </w:rPr>
              <w:drawing>
                <wp:inline distT="0" distB="0" distL="0" distR="0" wp14:anchorId="01F7EC5B" wp14:editId="6730C155">
                  <wp:extent cx="2236054" cy="1937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_WA_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1277" cy="1959774"/>
                          </a:xfrm>
                          <a:prstGeom prst="rect">
                            <a:avLst/>
                          </a:prstGeom>
                        </pic:spPr>
                      </pic:pic>
                    </a:graphicData>
                  </a:graphic>
                </wp:inline>
              </w:drawing>
            </w:r>
          </w:p>
        </w:tc>
        <w:tc>
          <w:tcPr>
            <w:tcW w:w="3588" w:type="dxa"/>
          </w:tcPr>
          <w:p w14:paraId="10C68BC2" w14:textId="77777777" w:rsidR="007A6718" w:rsidRPr="001A1E89" w:rsidRDefault="007A6718" w:rsidP="001A1E89">
            <w:pPr>
              <w:spacing w:line="240" w:lineRule="auto"/>
              <w:jc w:val="both"/>
              <w:rPr>
                <w:rFonts w:ascii="Times New Roman" w:hAnsi="Times New Roman" w:cs="Times New Roman"/>
                <w:sz w:val="24"/>
                <w:szCs w:val="24"/>
                <w:lang w:val="en-US"/>
              </w:rPr>
            </w:pPr>
            <w:r w:rsidRPr="001A1E89">
              <w:rPr>
                <w:rFonts w:ascii="Times New Roman" w:hAnsi="Times New Roman" w:cs="Times New Roman"/>
                <w:noProof/>
                <w:sz w:val="24"/>
                <w:szCs w:val="24"/>
                <w:lang w:val="en-US"/>
              </w:rPr>
              <w:drawing>
                <wp:inline distT="0" distB="0" distL="0" distR="0" wp14:anchorId="0349FB3E" wp14:editId="31B8B5FA">
                  <wp:extent cx="2198817" cy="1905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_WA_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6494" cy="1920960"/>
                          </a:xfrm>
                          <a:prstGeom prst="rect">
                            <a:avLst/>
                          </a:prstGeom>
                        </pic:spPr>
                      </pic:pic>
                    </a:graphicData>
                  </a:graphic>
                </wp:inline>
              </w:drawing>
            </w:r>
          </w:p>
        </w:tc>
      </w:tr>
      <w:tr w:rsidR="00C9069D" w:rsidRPr="001A1E89" w14:paraId="6220EB44" w14:textId="77777777" w:rsidTr="00C9069D">
        <w:tc>
          <w:tcPr>
            <w:tcW w:w="7325" w:type="dxa"/>
            <w:gridSpan w:val="2"/>
          </w:tcPr>
          <w:p w14:paraId="21D9196B" w14:textId="77777777" w:rsidR="00387BD4" w:rsidRPr="008C3051" w:rsidRDefault="00387BD4" w:rsidP="008C3051">
            <w:pPr>
              <w:spacing w:line="240" w:lineRule="auto"/>
              <w:jc w:val="both"/>
              <w:rPr>
                <w:rFonts w:ascii="Times New Roman" w:hAnsi="Times New Roman" w:cs="Times New Roman"/>
                <w:sz w:val="20"/>
                <w:szCs w:val="20"/>
                <w:lang w:val="en-US"/>
              </w:rPr>
            </w:pPr>
          </w:p>
          <w:p w14:paraId="20B0E714" w14:textId="77777777" w:rsidR="008C3051" w:rsidRDefault="008C3051" w:rsidP="008C3051">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w:t>
            </w:r>
            <w:r w:rsidRPr="008C3051">
              <w:rPr>
                <w:rFonts w:ascii="Times New Roman" w:hAnsi="Times New Roman" w:cs="Times New Roman"/>
                <w:smallCaps/>
                <w:sz w:val="20"/>
                <w:szCs w:val="20"/>
                <w:lang w:val="en-US"/>
              </w:rPr>
              <w:t>igure</w:t>
            </w:r>
            <w:r>
              <w:rPr>
                <w:rFonts w:ascii="Times New Roman" w:hAnsi="Times New Roman" w:cs="Times New Roman"/>
                <w:sz w:val="20"/>
                <w:szCs w:val="20"/>
                <w:lang w:val="en-US"/>
              </w:rPr>
              <w:t xml:space="preserve"> A.1</w:t>
            </w:r>
          </w:p>
          <w:p w14:paraId="3D9DAF80" w14:textId="77777777" w:rsidR="008C3051" w:rsidRDefault="008C3051" w:rsidP="008C3051">
            <w:pPr>
              <w:spacing w:line="240" w:lineRule="auto"/>
              <w:rPr>
                <w:rFonts w:ascii="Times New Roman" w:hAnsi="Times New Roman" w:cs="Times New Roman"/>
                <w:sz w:val="20"/>
                <w:szCs w:val="20"/>
                <w:lang w:val="en-US"/>
              </w:rPr>
            </w:pPr>
            <w:r w:rsidRPr="008C3051">
              <w:rPr>
                <w:rFonts w:ascii="Times New Roman" w:hAnsi="Times New Roman" w:cs="Times New Roman"/>
                <w:sz w:val="20"/>
                <w:szCs w:val="20"/>
                <w:lang w:val="en-US"/>
              </w:rPr>
              <w:t>IMPO</w:t>
            </w:r>
            <w:r>
              <w:rPr>
                <w:rFonts w:ascii="Times New Roman" w:hAnsi="Times New Roman" w:cs="Times New Roman"/>
                <w:sz w:val="20"/>
                <w:szCs w:val="20"/>
                <w:lang w:val="en-US"/>
              </w:rPr>
              <w:t>RT PRICE INDICES COMPARED, 1853–</w:t>
            </w:r>
            <w:r w:rsidRPr="008C3051">
              <w:rPr>
                <w:rFonts w:ascii="Times New Roman" w:hAnsi="Times New Roman" w:cs="Times New Roman"/>
                <w:sz w:val="20"/>
                <w:szCs w:val="20"/>
                <w:lang w:val="en-US"/>
              </w:rPr>
              <w:t>1939</w:t>
            </w:r>
          </w:p>
          <w:p w14:paraId="6562950B" w14:textId="77777777" w:rsidR="008C3051" w:rsidRPr="008C3051" w:rsidRDefault="008C3051" w:rsidP="008C3051">
            <w:pPr>
              <w:spacing w:line="240" w:lineRule="auto"/>
              <w:rPr>
                <w:rFonts w:ascii="Times New Roman" w:hAnsi="Times New Roman" w:cs="Times New Roman"/>
                <w:sz w:val="20"/>
                <w:szCs w:val="20"/>
                <w:lang w:val="en-US"/>
              </w:rPr>
            </w:pPr>
          </w:p>
          <w:p w14:paraId="11FCB525" w14:textId="77777777" w:rsidR="0051524B" w:rsidRPr="008C3051" w:rsidRDefault="0051524B" w:rsidP="00C9069D">
            <w:pPr>
              <w:spacing w:line="240" w:lineRule="auto"/>
              <w:ind w:right="270"/>
              <w:jc w:val="both"/>
              <w:rPr>
                <w:rFonts w:ascii="Times New Roman" w:hAnsi="Times New Roman" w:cs="Times New Roman"/>
                <w:sz w:val="20"/>
                <w:szCs w:val="20"/>
                <w:lang w:val="en-US"/>
              </w:rPr>
            </w:pPr>
            <w:r w:rsidRPr="008C3051">
              <w:rPr>
                <w:rFonts w:ascii="Times New Roman" w:hAnsi="Times New Roman" w:cs="Times New Roman"/>
                <w:i/>
                <w:sz w:val="20"/>
                <w:szCs w:val="20"/>
                <w:lang w:val="en-US"/>
              </w:rPr>
              <w:t>Notes</w:t>
            </w:r>
            <w:r w:rsidRPr="00C9069D">
              <w:rPr>
                <w:rFonts w:ascii="Times New Roman" w:hAnsi="Times New Roman" w:cs="Times New Roman"/>
                <w:sz w:val="20"/>
                <w:szCs w:val="20"/>
                <w:lang w:val="en-US"/>
              </w:rPr>
              <w:t>:</w:t>
            </w:r>
            <w:r w:rsidRPr="008C3051">
              <w:rPr>
                <w:rFonts w:ascii="Times New Roman" w:hAnsi="Times New Roman" w:cs="Times New Roman"/>
                <w:sz w:val="20"/>
                <w:szCs w:val="20"/>
                <w:lang w:val="en-US"/>
              </w:rPr>
              <w:t xml:space="preserve"> French import price index converted to pounds </w:t>
            </w:r>
            <w:r w:rsidR="00696542" w:rsidRPr="008C3051">
              <w:rPr>
                <w:rFonts w:ascii="Times New Roman" w:hAnsi="Times New Roman" w:cs="Times New Roman"/>
                <w:sz w:val="20"/>
                <w:szCs w:val="20"/>
                <w:lang w:val="en-US"/>
              </w:rPr>
              <w:t>using quoted exchange rates. Import price indices for United Kingdom and France refer to the price of goods shipped from these respective countries to their trading partners and colonies (so technically export price ind</w:t>
            </w:r>
            <w:r w:rsidR="008C3051">
              <w:rPr>
                <w:rFonts w:ascii="Times New Roman" w:hAnsi="Times New Roman" w:cs="Times New Roman"/>
                <w:sz w:val="20"/>
                <w:szCs w:val="20"/>
                <w:lang w:val="en-US"/>
              </w:rPr>
              <w:t>ices). Maintained reference to “import”</w:t>
            </w:r>
            <w:r w:rsidR="00696542" w:rsidRPr="008C3051">
              <w:rPr>
                <w:rFonts w:ascii="Times New Roman" w:hAnsi="Times New Roman" w:cs="Times New Roman"/>
                <w:sz w:val="20"/>
                <w:szCs w:val="20"/>
                <w:lang w:val="en-US"/>
              </w:rPr>
              <w:t xml:space="preserve"> to retain consistency with main text which views trade from the perspective of African countries.</w:t>
            </w:r>
          </w:p>
          <w:p w14:paraId="26BE005E" w14:textId="77777777" w:rsidR="00387BD4" w:rsidRPr="008C3051" w:rsidRDefault="00387BD4" w:rsidP="00C9069D">
            <w:pPr>
              <w:spacing w:line="240" w:lineRule="auto"/>
              <w:ind w:right="270"/>
              <w:jc w:val="both"/>
              <w:rPr>
                <w:rFonts w:ascii="Times New Roman" w:hAnsi="Times New Roman" w:cs="Times New Roman"/>
                <w:sz w:val="20"/>
                <w:szCs w:val="20"/>
                <w:lang w:val="en-US"/>
              </w:rPr>
            </w:pPr>
            <w:r w:rsidRPr="008C3051">
              <w:rPr>
                <w:rFonts w:ascii="Times New Roman" w:hAnsi="Times New Roman" w:cs="Times New Roman"/>
                <w:i/>
                <w:sz w:val="20"/>
                <w:szCs w:val="20"/>
                <w:lang w:val="en-US"/>
              </w:rPr>
              <w:t>Sources</w:t>
            </w:r>
            <w:r w:rsidRPr="00C9069D">
              <w:rPr>
                <w:rFonts w:ascii="Times New Roman" w:hAnsi="Times New Roman" w:cs="Times New Roman"/>
                <w:sz w:val="20"/>
                <w:szCs w:val="20"/>
                <w:lang w:val="en-US"/>
              </w:rPr>
              <w:t>:</w:t>
            </w:r>
            <w:r w:rsidRPr="008C3051">
              <w:rPr>
                <w:rFonts w:ascii="Times New Roman" w:hAnsi="Times New Roman" w:cs="Times New Roman"/>
                <w:sz w:val="20"/>
                <w:szCs w:val="20"/>
                <w:lang w:val="en-US"/>
              </w:rPr>
              <w:t xml:space="preserve"> </w:t>
            </w:r>
            <w:r w:rsidR="003824D4" w:rsidRPr="008C3051">
              <w:rPr>
                <w:rFonts w:ascii="Times New Roman" w:hAnsi="Times New Roman" w:cs="Times New Roman"/>
                <w:sz w:val="20"/>
                <w:szCs w:val="20"/>
                <w:lang w:val="en-US"/>
              </w:rPr>
              <w:t xml:space="preserve">[left-hand pane] Mitchell </w:t>
            </w:r>
            <w:r w:rsidR="008C3051">
              <w:rPr>
                <w:rFonts w:ascii="Times New Roman" w:hAnsi="Times New Roman" w:cs="Times New Roman"/>
                <w:sz w:val="20"/>
                <w:szCs w:val="20"/>
                <w:lang w:val="en-US"/>
              </w:rPr>
              <w:t>(1988, pp. 526–</w:t>
            </w:r>
            <w:r w:rsidR="00ED1678" w:rsidRPr="008C3051">
              <w:rPr>
                <w:rFonts w:ascii="Times New Roman" w:hAnsi="Times New Roman" w:cs="Times New Roman"/>
                <w:sz w:val="20"/>
                <w:szCs w:val="20"/>
                <w:lang w:val="en-US"/>
              </w:rPr>
              <w:t>2</w:t>
            </w:r>
            <w:r w:rsidR="008C3D11" w:rsidRPr="008C3051">
              <w:rPr>
                <w:rFonts w:ascii="Times New Roman" w:hAnsi="Times New Roman" w:cs="Times New Roman"/>
                <w:sz w:val="20"/>
                <w:szCs w:val="20"/>
                <w:lang w:val="en-US"/>
              </w:rPr>
              <w:t>8</w:t>
            </w:r>
            <w:r w:rsidR="003824D4" w:rsidRPr="008C3051">
              <w:rPr>
                <w:rFonts w:ascii="Times New Roman" w:hAnsi="Times New Roman" w:cs="Times New Roman"/>
                <w:sz w:val="20"/>
                <w:szCs w:val="20"/>
                <w:lang w:val="en-US"/>
              </w:rPr>
              <w:t>)</w:t>
            </w:r>
            <w:r w:rsidR="0044422C" w:rsidRPr="008C3051">
              <w:rPr>
                <w:rFonts w:ascii="Times New Roman" w:hAnsi="Times New Roman" w:cs="Times New Roman"/>
                <w:sz w:val="20"/>
                <w:szCs w:val="20"/>
                <w:lang w:val="en-US"/>
              </w:rPr>
              <w:t>; Gold Coast, Gambia</w:t>
            </w:r>
            <w:r w:rsidR="008C3051">
              <w:rPr>
                <w:rFonts w:ascii="Times New Roman" w:hAnsi="Times New Roman" w:cs="Times New Roman"/>
                <w:sz w:val="20"/>
                <w:szCs w:val="20"/>
                <w:lang w:val="en-US"/>
              </w:rPr>
              <w:t>,</w:t>
            </w:r>
            <w:r w:rsidR="0044422C" w:rsidRPr="008C3051">
              <w:rPr>
                <w:rFonts w:ascii="Times New Roman" w:hAnsi="Times New Roman" w:cs="Times New Roman"/>
                <w:sz w:val="20"/>
                <w:szCs w:val="20"/>
                <w:lang w:val="en-US"/>
              </w:rPr>
              <w:t xml:space="preserve"> and </w:t>
            </w:r>
            <w:r w:rsidR="008C3051">
              <w:rPr>
                <w:rFonts w:ascii="Times New Roman" w:hAnsi="Times New Roman" w:cs="Times New Roman"/>
                <w:sz w:val="20"/>
                <w:szCs w:val="20"/>
                <w:lang w:val="en-US"/>
              </w:rPr>
              <w:t>Sierra Leone, value shares see Table A.1;</w:t>
            </w:r>
            <w:r w:rsidR="0044422C" w:rsidRPr="008C3051">
              <w:rPr>
                <w:rFonts w:ascii="Times New Roman" w:hAnsi="Times New Roman" w:cs="Times New Roman"/>
                <w:sz w:val="20"/>
                <w:szCs w:val="20"/>
                <w:lang w:val="en-US"/>
              </w:rPr>
              <w:t xml:space="preserve"> African prices Blue Books (various issues)</w:t>
            </w:r>
            <w:r w:rsidR="008C3051">
              <w:rPr>
                <w:rFonts w:ascii="Times New Roman" w:hAnsi="Times New Roman" w:cs="Times New Roman"/>
                <w:sz w:val="20"/>
                <w:szCs w:val="20"/>
                <w:lang w:val="en-US"/>
              </w:rPr>
              <w:t>,</w:t>
            </w:r>
            <w:r w:rsidR="0044422C" w:rsidRPr="008C3051">
              <w:rPr>
                <w:rFonts w:ascii="Times New Roman" w:hAnsi="Times New Roman" w:cs="Times New Roman"/>
                <w:sz w:val="20"/>
                <w:szCs w:val="20"/>
                <w:lang w:val="en-US"/>
              </w:rPr>
              <w:t xml:space="preserve"> and Statistical Abstract for the Several Colonial and Other Possessions </w:t>
            </w:r>
            <w:r w:rsidR="00C769DE" w:rsidRPr="008C3051">
              <w:rPr>
                <w:rFonts w:ascii="Times New Roman" w:hAnsi="Times New Roman" w:cs="Times New Roman"/>
                <w:sz w:val="20"/>
                <w:szCs w:val="20"/>
                <w:lang w:val="en-US"/>
              </w:rPr>
              <w:t>(1865, 1874</w:t>
            </w:r>
            <w:r w:rsidR="0044422C" w:rsidRPr="008C3051">
              <w:rPr>
                <w:rFonts w:ascii="Times New Roman" w:hAnsi="Times New Roman" w:cs="Times New Roman"/>
                <w:sz w:val="20"/>
                <w:szCs w:val="20"/>
                <w:lang w:val="en-US"/>
              </w:rPr>
              <w:t>, 188</w:t>
            </w:r>
            <w:r w:rsidR="00C769DE" w:rsidRPr="008C3051">
              <w:rPr>
                <w:rFonts w:ascii="Times New Roman" w:hAnsi="Times New Roman" w:cs="Times New Roman"/>
                <w:sz w:val="20"/>
                <w:szCs w:val="20"/>
                <w:lang w:val="en-US"/>
              </w:rPr>
              <w:t>5</w:t>
            </w:r>
            <w:r w:rsidR="0044422C" w:rsidRPr="008C3051">
              <w:rPr>
                <w:rFonts w:ascii="Times New Roman" w:hAnsi="Times New Roman" w:cs="Times New Roman"/>
                <w:sz w:val="20"/>
                <w:szCs w:val="20"/>
                <w:lang w:val="en-US"/>
              </w:rPr>
              <w:t>, 189</w:t>
            </w:r>
            <w:r w:rsidR="00C769DE" w:rsidRPr="008C3051">
              <w:rPr>
                <w:rFonts w:ascii="Times New Roman" w:hAnsi="Times New Roman" w:cs="Times New Roman"/>
                <w:sz w:val="20"/>
                <w:szCs w:val="20"/>
                <w:lang w:val="en-US"/>
              </w:rPr>
              <w:t>1</w:t>
            </w:r>
            <w:r w:rsidR="0044422C" w:rsidRPr="008C3051">
              <w:rPr>
                <w:rFonts w:ascii="Times New Roman" w:hAnsi="Times New Roman" w:cs="Times New Roman"/>
                <w:sz w:val="20"/>
                <w:szCs w:val="20"/>
                <w:lang w:val="en-US"/>
              </w:rPr>
              <w:t xml:space="preserve">, </w:t>
            </w:r>
            <w:r w:rsidR="00C769DE" w:rsidRPr="008C3051">
              <w:rPr>
                <w:rFonts w:ascii="Times New Roman" w:hAnsi="Times New Roman" w:cs="Times New Roman"/>
                <w:sz w:val="20"/>
                <w:szCs w:val="20"/>
                <w:lang w:val="en-US"/>
              </w:rPr>
              <w:t xml:space="preserve">1895, </w:t>
            </w:r>
            <w:r w:rsidR="008C3051">
              <w:rPr>
                <w:rFonts w:ascii="Times New Roman" w:hAnsi="Times New Roman" w:cs="Times New Roman"/>
                <w:sz w:val="20"/>
                <w:szCs w:val="20"/>
                <w:lang w:val="en-US"/>
              </w:rPr>
              <w:t>1906);</w:t>
            </w:r>
            <w:r w:rsidR="0044422C" w:rsidRPr="008C3051">
              <w:rPr>
                <w:rFonts w:ascii="Times New Roman" w:hAnsi="Times New Roman" w:cs="Times New Roman"/>
                <w:sz w:val="20"/>
                <w:szCs w:val="20"/>
                <w:lang w:val="en-US"/>
              </w:rPr>
              <w:t xml:space="preserve"> British prices </w:t>
            </w:r>
            <w:r w:rsidR="0044422C" w:rsidRPr="008C3051">
              <w:rPr>
                <w:rFonts w:ascii="Times New Roman" w:eastAsia="Times New Roman" w:hAnsi="Times New Roman" w:cs="Times New Roman"/>
                <w:color w:val="000000"/>
                <w:sz w:val="20"/>
                <w:szCs w:val="20"/>
                <w:lang w:val="en-US"/>
              </w:rPr>
              <w:t xml:space="preserve">Statistical Abstract for the United Kingdom in each of the last </w:t>
            </w:r>
            <w:r w:rsidR="008C3051">
              <w:rPr>
                <w:rFonts w:ascii="Times New Roman" w:eastAsia="Times New Roman" w:hAnsi="Times New Roman" w:cs="Times New Roman"/>
                <w:color w:val="000000"/>
                <w:sz w:val="20"/>
                <w:szCs w:val="20"/>
                <w:lang w:val="en-US"/>
              </w:rPr>
              <w:t>15</w:t>
            </w:r>
            <w:r w:rsidR="0044422C" w:rsidRPr="008C3051">
              <w:rPr>
                <w:rFonts w:ascii="Times New Roman" w:eastAsia="Times New Roman" w:hAnsi="Times New Roman" w:cs="Times New Roman"/>
                <w:color w:val="000000"/>
                <w:sz w:val="20"/>
                <w:szCs w:val="20"/>
                <w:lang w:val="en-US"/>
              </w:rPr>
              <w:t xml:space="preserve"> years </w:t>
            </w:r>
            <w:r w:rsidR="0044422C" w:rsidRPr="008C3051">
              <w:rPr>
                <w:rFonts w:ascii="Times New Roman" w:eastAsia="Times New Roman" w:hAnsi="Times New Roman" w:cs="Times New Roman"/>
                <w:iCs/>
                <w:color w:val="000000"/>
                <w:sz w:val="20"/>
                <w:szCs w:val="20"/>
                <w:lang w:val="en-US"/>
              </w:rPr>
              <w:t xml:space="preserve">(1868, 1874, 1887, 1898, 1903). [right-hand pane] United Kingdom from </w:t>
            </w:r>
            <w:r w:rsidR="0044422C" w:rsidRPr="008C3051">
              <w:rPr>
                <w:rFonts w:ascii="Times New Roman" w:hAnsi="Times New Roman" w:cs="Times New Roman"/>
                <w:sz w:val="20"/>
                <w:szCs w:val="20"/>
                <w:lang w:val="en-US"/>
              </w:rPr>
              <w:t>Mitchell</w:t>
            </w:r>
            <w:r w:rsidR="003824D4" w:rsidRPr="008C3051">
              <w:rPr>
                <w:rFonts w:ascii="Times New Roman" w:hAnsi="Times New Roman" w:cs="Times New Roman"/>
                <w:sz w:val="20"/>
                <w:szCs w:val="20"/>
                <w:lang w:val="en-US"/>
              </w:rPr>
              <w:t xml:space="preserve"> (</w:t>
            </w:r>
            <w:r w:rsidR="00D42228">
              <w:rPr>
                <w:rFonts w:ascii="Times New Roman" w:hAnsi="Times New Roman" w:cs="Times New Roman"/>
                <w:sz w:val="20"/>
                <w:szCs w:val="20"/>
                <w:lang w:val="en-US"/>
              </w:rPr>
              <w:t>1988, pp. 526–</w:t>
            </w:r>
            <w:r w:rsidR="00ED1678" w:rsidRPr="008C3051">
              <w:rPr>
                <w:rFonts w:ascii="Times New Roman" w:hAnsi="Times New Roman" w:cs="Times New Roman"/>
                <w:sz w:val="20"/>
                <w:szCs w:val="20"/>
                <w:lang w:val="en-US"/>
              </w:rPr>
              <w:t>2</w:t>
            </w:r>
            <w:r w:rsidR="0044422C" w:rsidRPr="008C3051">
              <w:rPr>
                <w:rFonts w:ascii="Times New Roman" w:hAnsi="Times New Roman" w:cs="Times New Roman"/>
                <w:sz w:val="20"/>
                <w:szCs w:val="20"/>
                <w:lang w:val="en-US"/>
              </w:rPr>
              <w:t>8</w:t>
            </w:r>
            <w:r w:rsidR="003824D4" w:rsidRPr="008C3051">
              <w:rPr>
                <w:rFonts w:ascii="Times New Roman" w:hAnsi="Times New Roman" w:cs="Times New Roman"/>
                <w:sz w:val="20"/>
                <w:szCs w:val="20"/>
                <w:lang w:val="en-US"/>
              </w:rPr>
              <w:t>)</w:t>
            </w:r>
            <w:r w:rsidR="0044422C" w:rsidRPr="008C3051">
              <w:rPr>
                <w:rFonts w:ascii="Times New Roman" w:hAnsi="Times New Roman" w:cs="Times New Roman"/>
                <w:sz w:val="20"/>
                <w:szCs w:val="20"/>
                <w:lang w:val="en-US"/>
              </w:rPr>
              <w:t>; France from Mitchell</w:t>
            </w:r>
            <w:r w:rsidR="003824D4" w:rsidRPr="008C3051">
              <w:rPr>
                <w:rFonts w:ascii="Times New Roman" w:hAnsi="Times New Roman" w:cs="Times New Roman"/>
                <w:sz w:val="20"/>
                <w:szCs w:val="20"/>
                <w:lang w:val="en-US"/>
              </w:rPr>
              <w:t xml:space="preserve"> (</w:t>
            </w:r>
            <w:r w:rsidR="0044422C" w:rsidRPr="008C3051">
              <w:rPr>
                <w:rFonts w:ascii="Times New Roman" w:hAnsi="Times New Roman" w:cs="Times New Roman"/>
                <w:sz w:val="20"/>
                <w:szCs w:val="20"/>
                <w:lang w:val="en-US"/>
              </w:rPr>
              <w:t>2007).</w:t>
            </w:r>
            <w:r w:rsidR="00696542" w:rsidRPr="008C3051">
              <w:rPr>
                <w:rFonts w:ascii="Times New Roman" w:hAnsi="Times New Roman" w:cs="Times New Roman"/>
                <w:sz w:val="20"/>
                <w:szCs w:val="20"/>
                <w:lang w:val="en-US"/>
              </w:rPr>
              <w:t xml:space="preserve"> Exchange rates from Mitchell</w:t>
            </w:r>
            <w:r w:rsidR="003824D4" w:rsidRPr="008C3051">
              <w:rPr>
                <w:rFonts w:ascii="Times New Roman" w:hAnsi="Times New Roman" w:cs="Times New Roman"/>
                <w:sz w:val="20"/>
                <w:szCs w:val="20"/>
                <w:lang w:val="en-US"/>
              </w:rPr>
              <w:t xml:space="preserve"> </w:t>
            </w:r>
            <w:r w:rsidR="00696542" w:rsidRPr="008C3051">
              <w:rPr>
                <w:rFonts w:ascii="Times New Roman" w:hAnsi="Times New Roman" w:cs="Times New Roman"/>
                <w:sz w:val="20"/>
                <w:szCs w:val="20"/>
                <w:lang w:val="en-US"/>
              </w:rPr>
              <w:t xml:space="preserve">(1988, pp. </w:t>
            </w:r>
            <w:r w:rsidR="00D42228">
              <w:rPr>
                <w:rFonts w:ascii="Times New Roman" w:hAnsi="Times New Roman" w:cs="Times New Roman"/>
                <w:sz w:val="20"/>
                <w:szCs w:val="20"/>
                <w:lang w:val="en-US"/>
              </w:rPr>
              <w:t>700–</w:t>
            </w:r>
            <w:r w:rsidR="00ED1678" w:rsidRPr="008C3051">
              <w:rPr>
                <w:rFonts w:ascii="Times New Roman" w:hAnsi="Times New Roman" w:cs="Times New Roman"/>
                <w:sz w:val="20"/>
                <w:szCs w:val="20"/>
                <w:lang w:val="en-US"/>
              </w:rPr>
              <w:t>0</w:t>
            </w:r>
            <w:r w:rsidR="00696542" w:rsidRPr="008C3051">
              <w:rPr>
                <w:rFonts w:ascii="Times New Roman" w:hAnsi="Times New Roman" w:cs="Times New Roman"/>
                <w:sz w:val="20"/>
                <w:szCs w:val="20"/>
                <w:lang w:val="en-US"/>
              </w:rPr>
              <w:t>3</w:t>
            </w:r>
            <w:r w:rsidR="003824D4" w:rsidRPr="008C3051">
              <w:rPr>
                <w:rFonts w:ascii="Times New Roman" w:hAnsi="Times New Roman" w:cs="Times New Roman"/>
                <w:sz w:val="20"/>
                <w:szCs w:val="20"/>
                <w:lang w:val="en-US"/>
              </w:rPr>
              <w:t>)</w:t>
            </w:r>
            <w:r w:rsidR="00696542" w:rsidRPr="008C3051">
              <w:rPr>
                <w:rFonts w:ascii="Times New Roman" w:hAnsi="Times New Roman" w:cs="Times New Roman"/>
                <w:sz w:val="20"/>
                <w:szCs w:val="20"/>
                <w:lang w:val="en-US"/>
              </w:rPr>
              <w:t>.</w:t>
            </w:r>
          </w:p>
        </w:tc>
      </w:tr>
    </w:tbl>
    <w:p w14:paraId="23EE76BB" w14:textId="77777777" w:rsidR="004318EA" w:rsidRPr="001A1E89" w:rsidRDefault="004318EA" w:rsidP="001A1E89">
      <w:pPr>
        <w:spacing w:line="240" w:lineRule="auto"/>
        <w:jc w:val="both"/>
        <w:rPr>
          <w:rFonts w:ascii="Times New Roman" w:hAnsi="Times New Roman" w:cs="Times New Roman"/>
          <w:sz w:val="24"/>
          <w:szCs w:val="24"/>
          <w:lang w:val="en-US"/>
        </w:rPr>
      </w:pPr>
    </w:p>
    <w:p w14:paraId="0E4DB469" w14:textId="77777777" w:rsidR="0032662C" w:rsidRPr="00700C89" w:rsidRDefault="00D42228" w:rsidP="00700C89">
      <w:pPr>
        <w:spacing w:line="240" w:lineRule="auto"/>
        <w:ind w:firstLine="720"/>
        <w:jc w:val="both"/>
        <w:rPr>
          <w:rFonts w:ascii="Times New Roman" w:hAnsi="Times New Roman" w:cs="Times New Roman"/>
          <w:sz w:val="24"/>
          <w:szCs w:val="24"/>
          <w:lang w:val="en-US"/>
        </w:rPr>
      </w:pPr>
      <w:r w:rsidRPr="00700C89">
        <w:rPr>
          <w:rFonts w:ascii="Times New Roman" w:hAnsi="Times New Roman" w:cs="Times New Roman"/>
          <w:sz w:val="24"/>
          <w:szCs w:val="24"/>
          <w:lang w:val="en-US"/>
        </w:rPr>
        <w:t>The left-hand pane of F</w:t>
      </w:r>
      <w:r w:rsidR="0032662C" w:rsidRPr="00700C89">
        <w:rPr>
          <w:rFonts w:ascii="Times New Roman" w:hAnsi="Times New Roman" w:cs="Times New Roman"/>
          <w:sz w:val="24"/>
          <w:szCs w:val="24"/>
          <w:lang w:val="en-US"/>
        </w:rPr>
        <w:t xml:space="preserve">igure A.1 clearly shows that the original index by Mitchell is a good proxy for the price development of imported goods into British West Africa. </w:t>
      </w:r>
      <w:r w:rsidR="00400B61" w:rsidRPr="00700C89">
        <w:rPr>
          <w:rFonts w:ascii="Times New Roman" w:hAnsi="Times New Roman" w:cs="Times New Roman"/>
          <w:sz w:val="24"/>
          <w:szCs w:val="24"/>
          <w:lang w:val="en-US"/>
        </w:rPr>
        <w:t xml:space="preserve">Between 1853 and the peak of the terms-of-trade boom (1884), the country-specific indices show a slightly </w:t>
      </w:r>
      <w:r w:rsidR="00003194" w:rsidRPr="00700C89">
        <w:rPr>
          <w:rFonts w:ascii="Times New Roman" w:hAnsi="Times New Roman" w:cs="Times New Roman"/>
          <w:sz w:val="24"/>
          <w:szCs w:val="24"/>
          <w:lang w:val="en-US"/>
        </w:rPr>
        <w:t>greater</w:t>
      </w:r>
      <w:r w:rsidRPr="00700C89">
        <w:rPr>
          <w:rFonts w:ascii="Times New Roman" w:hAnsi="Times New Roman" w:cs="Times New Roman"/>
          <w:sz w:val="24"/>
          <w:szCs w:val="24"/>
          <w:lang w:val="en-US"/>
        </w:rPr>
        <w:t xml:space="preserve"> decline in import prices: –</w:t>
      </w:r>
      <w:r w:rsidR="00400B61" w:rsidRPr="00700C89">
        <w:rPr>
          <w:rFonts w:ascii="Times New Roman" w:hAnsi="Times New Roman" w:cs="Times New Roman"/>
          <w:sz w:val="24"/>
          <w:szCs w:val="24"/>
          <w:lang w:val="en-US"/>
        </w:rPr>
        <w:t>0.87 and</w:t>
      </w:r>
      <w:r w:rsidRPr="00700C89">
        <w:rPr>
          <w:rFonts w:ascii="Times New Roman" w:hAnsi="Times New Roman" w:cs="Times New Roman"/>
          <w:sz w:val="24"/>
          <w:szCs w:val="24"/>
          <w:lang w:val="en-US"/>
        </w:rPr>
        <w:t>–0.82 versus Mitchell’s –</w:t>
      </w:r>
      <w:r w:rsidR="00400B61" w:rsidRPr="00700C89">
        <w:rPr>
          <w:rFonts w:ascii="Times New Roman" w:hAnsi="Times New Roman" w:cs="Times New Roman"/>
          <w:sz w:val="24"/>
          <w:szCs w:val="24"/>
          <w:lang w:val="en-US"/>
        </w:rPr>
        <w:t xml:space="preserve">0.68 percent per annum. The use of these import prices would thus increase the rate of growth of the terms of trade by between 0.14 and 0.19 percentage points per annum for this period. </w:t>
      </w:r>
      <w:r w:rsidR="00BC631A" w:rsidRPr="00700C89">
        <w:rPr>
          <w:rFonts w:ascii="Times New Roman" w:hAnsi="Times New Roman" w:cs="Times New Roman"/>
          <w:sz w:val="24"/>
          <w:szCs w:val="24"/>
          <w:lang w:val="en-US"/>
        </w:rPr>
        <w:t>The more pronounced peak in import prices during the early 1860s in the result of rising prices for cotton during the American Civil War which weigh heavily in th</w:t>
      </w:r>
      <w:r w:rsidRPr="00700C89">
        <w:rPr>
          <w:rFonts w:ascii="Times New Roman" w:hAnsi="Times New Roman" w:cs="Times New Roman"/>
          <w:sz w:val="24"/>
          <w:szCs w:val="24"/>
          <w:lang w:val="en-US"/>
        </w:rPr>
        <w:t>e West-African import mix (see T</w:t>
      </w:r>
      <w:r w:rsidR="00BC631A" w:rsidRPr="00700C89">
        <w:rPr>
          <w:rFonts w:ascii="Times New Roman" w:hAnsi="Times New Roman" w:cs="Times New Roman"/>
          <w:sz w:val="24"/>
          <w:szCs w:val="24"/>
          <w:lang w:val="en-US"/>
        </w:rPr>
        <w:t>able A.1).</w:t>
      </w:r>
    </w:p>
    <w:p w14:paraId="560ED6C4" w14:textId="0C85312B" w:rsidR="00BC631A" w:rsidRPr="00700C89" w:rsidRDefault="00D42228" w:rsidP="001A1E89">
      <w:pPr>
        <w:spacing w:line="240" w:lineRule="auto"/>
        <w:jc w:val="both"/>
        <w:rPr>
          <w:rFonts w:ascii="Times New Roman" w:hAnsi="Times New Roman" w:cs="Times New Roman"/>
          <w:sz w:val="24"/>
          <w:szCs w:val="24"/>
          <w:lang w:val="en-US"/>
        </w:rPr>
      </w:pPr>
      <w:r w:rsidRPr="00700C89">
        <w:rPr>
          <w:rFonts w:ascii="Times New Roman" w:hAnsi="Times New Roman" w:cs="Times New Roman"/>
          <w:sz w:val="24"/>
          <w:szCs w:val="24"/>
          <w:lang w:val="en-US"/>
        </w:rPr>
        <w:tab/>
        <w:t>The right-hand pane of F</w:t>
      </w:r>
      <w:r w:rsidR="00BC631A" w:rsidRPr="00700C89">
        <w:rPr>
          <w:rFonts w:ascii="Times New Roman" w:hAnsi="Times New Roman" w:cs="Times New Roman"/>
          <w:sz w:val="24"/>
          <w:szCs w:val="24"/>
          <w:lang w:val="en-US"/>
        </w:rPr>
        <w:t xml:space="preserve">igure A.1 compares the </w:t>
      </w:r>
      <w:r w:rsidR="000A087C" w:rsidRPr="00700C89">
        <w:rPr>
          <w:rFonts w:ascii="Times New Roman" w:hAnsi="Times New Roman" w:cs="Times New Roman"/>
          <w:sz w:val="24"/>
          <w:szCs w:val="24"/>
          <w:lang w:val="en-US"/>
        </w:rPr>
        <w:t>price index of British commodities to an index of French commodities being traded with the rest of the world. To make both series comparable we converted the French prices into British pounds using quoted exchange rates</w:t>
      </w:r>
      <w:r w:rsidRPr="00700C89">
        <w:rPr>
          <w:rFonts w:ascii="Times New Roman" w:hAnsi="Times New Roman" w:cs="Times New Roman"/>
          <w:sz w:val="24"/>
          <w:szCs w:val="24"/>
          <w:lang w:val="en-US"/>
        </w:rPr>
        <w:t xml:space="preserve"> (Mitchell 1988, pp. 700–</w:t>
      </w:r>
      <w:r w:rsidR="00C9069D">
        <w:rPr>
          <w:rFonts w:ascii="Times New Roman" w:hAnsi="Times New Roman" w:cs="Times New Roman"/>
          <w:sz w:val="24"/>
          <w:szCs w:val="24"/>
          <w:lang w:val="en-US"/>
        </w:rPr>
        <w:t>7</w:t>
      </w:r>
      <w:r w:rsidR="00ED1678" w:rsidRPr="00700C89">
        <w:rPr>
          <w:rFonts w:ascii="Times New Roman" w:hAnsi="Times New Roman" w:cs="Times New Roman"/>
          <w:sz w:val="24"/>
          <w:szCs w:val="24"/>
          <w:lang w:val="en-US"/>
        </w:rPr>
        <w:t>03)</w:t>
      </w:r>
      <w:r w:rsidR="000A087C" w:rsidRPr="00700C89">
        <w:rPr>
          <w:rFonts w:ascii="Times New Roman" w:hAnsi="Times New Roman" w:cs="Times New Roman"/>
          <w:sz w:val="24"/>
          <w:szCs w:val="24"/>
          <w:lang w:val="en-US"/>
        </w:rPr>
        <w:t>. Again the original, British index by Mitchell appears to be a good proxy for the price development of imported goods into Africa.</w:t>
      </w:r>
    </w:p>
    <w:p w14:paraId="6FE3771E" w14:textId="77777777" w:rsidR="00040E9E" w:rsidRDefault="00E3553D" w:rsidP="001A1E89">
      <w:pPr>
        <w:spacing w:line="240" w:lineRule="auto"/>
        <w:rPr>
          <w:rFonts w:ascii="Times New Roman" w:hAnsi="Times New Roman" w:cs="Times New Roman"/>
          <w:sz w:val="20"/>
          <w:szCs w:val="20"/>
        </w:rPr>
      </w:pPr>
      <w:r w:rsidRPr="00D42228">
        <w:rPr>
          <w:rFonts w:ascii="Times New Roman" w:hAnsi="Times New Roman" w:cs="Times New Roman"/>
          <w:sz w:val="20"/>
          <w:szCs w:val="20"/>
        </w:rPr>
        <w:lastRenderedPageBreak/>
        <w:t>REFERENCES</w:t>
      </w:r>
    </w:p>
    <w:p w14:paraId="045DBE3A" w14:textId="77777777" w:rsidR="00D42228" w:rsidRPr="00D42228" w:rsidRDefault="00D42228" w:rsidP="001A1E89">
      <w:pPr>
        <w:spacing w:line="240" w:lineRule="auto"/>
        <w:rPr>
          <w:rFonts w:ascii="Times New Roman" w:hAnsi="Times New Roman" w:cs="Times New Roman"/>
          <w:sz w:val="20"/>
          <w:szCs w:val="20"/>
        </w:rPr>
      </w:pPr>
    </w:p>
    <w:p w14:paraId="1B576228" w14:textId="77777777" w:rsidR="008B4479" w:rsidRPr="00D42228" w:rsidRDefault="00C769DE" w:rsidP="001A1E89">
      <w:pPr>
        <w:spacing w:line="240" w:lineRule="auto"/>
        <w:ind w:left="360" w:hanging="360"/>
        <w:jc w:val="both"/>
        <w:rPr>
          <w:rFonts w:ascii="Times New Roman" w:eastAsia="Times New Roman" w:hAnsi="Times New Roman" w:cs="Times New Roman"/>
          <w:iCs/>
          <w:color w:val="000000"/>
          <w:sz w:val="20"/>
          <w:szCs w:val="20"/>
          <w:lang w:val="en-US"/>
        </w:rPr>
      </w:pPr>
      <w:r w:rsidRPr="00D42228">
        <w:rPr>
          <w:rFonts w:ascii="Times New Roman" w:hAnsi="Times New Roman" w:cs="Times New Roman"/>
          <w:sz w:val="20"/>
          <w:szCs w:val="20"/>
        </w:rPr>
        <w:t xml:space="preserve">Board of Trade. </w:t>
      </w:r>
      <w:r w:rsidR="008B4479" w:rsidRPr="00D42228">
        <w:rPr>
          <w:rFonts w:ascii="Times New Roman" w:hAnsi="Times New Roman" w:cs="Times New Roman"/>
          <w:sz w:val="20"/>
          <w:szCs w:val="20"/>
        </w:rPr>
        <w:t xml:space="preserve">Annual Statement of the Trade and Navigation of the United Kingdom with Foreign Countries and British Possessions. London: Eyre and </w:t>
      </w:r>
      <w:proofErr w:type="spellStart"/>
      <w:r w:rsidR="008B4479" w:rsidRPr="00D42228">
        <w:rPr>
          <w:rFonts w:ascii="Times New Roman" w:hAnsi="Times New Roman" w:cs="Times New Roman"/>
          <w:sz w:val="20"/>
          <w:szCs w:val="20"/>
        </w:rPr>
        <w:t>Spottiswoode</w:t>
      </w:r>
      <w:proofErr w:type="spellEnd"/>
      <w:r w:rsidR="008B4479" w:rsidRPr="00D42228">
        <w:rPr>
          <w:rFonts w:ascii="Times New Roman" w:hAnsi="Times New Roman" w:cs="Times New Roman"/>
          <w:sz w:val="20"/>
          <w:szCs w:val="20"/>
        </w:rPr>
        <w:t xml:space="preserve"> </w:t>
      </w:r>
      <w:r w:rsidR="008B4479" w:rsidRPr="00D42228">
        <w:rPr>
          <w:rFonts w:ascii="Times New Roman" w:eastAsia="Times New Roman" w:hAnsi="Times New Roman" w:cs="Times New Roman"/>
          <w:iCs/>
          <w:color w:val="000000"/>
          <w:sz w:val="20"/>
          <w:szCs w:val="20"/>
          <w:lang w:val="en-US"/>
        </w:rPr>
        <w:t>(1856, 1861, 1866, 1871, 1876, 1881, 1887, 1892, 1897, 1902).</w:t>
      </w:r>
    </w:p>
    <w:p w14:paraId="025D5D05" w14:textId="77777777" w:rsidR="008B4479" w:rsidRPr="00D42228" w:rsidRDefault="0032545C" w:rsidP="001A1E89">
      <w:pPr>
        <w:spacing w:line="240" w:lineRule="auto"/>
        <w:ind w:left="360" w:hanging="360"/>
        <w:jc w:val="both"/>
        <w:rPr>
          <w:rFonts w:ascii="Times New Roman" w:hAnsi="Times New Roman" w:cs="Times New Roman"/>
          <w:sz w:val="20"/>
          <w:szCs w:val="20"/>
        </w:rPr>
      </w:pPr>
      <w:r w:rsidRPr="00D42228">
        <w:rPr>
          <w:rFonts w:ascii="Times New Roman" w:hAnsi="Times New Roman" w:cs="Times New Roman"/>
          <w:sz w:val="20"/>
          <w:szCs w:val="20"/>
        </w:rPr>
        <w:t xml:space="preserve">______. Statistical Abstract for the United Kingdom in each of the </w:t>
      </w:r>
      <w:r w:rsidR="003545FB" w:rsidRPr="00D42228">
        <w:rPr>
          <w:rFonts w:ascii="Times New Roman" w:hAnsi="Times New Roman" w:cs="Times New Roman"/>
          <w:sz w:val="20"/>
          <w:szCs w:val="20"/>
        </w:rPr>
        <w:t xml:space="preserve">Last </w:t>
      </w:r>
      <w:r w:rsidR="003545FB">
        <w:rPr>
          <w:rFonts w:ascii="Times New Roman" w:hAnsi="Times New Roman" w:cs="Times New Roman"/>
          <w:sz w:val="20"/>
          <w:szCs w:val="20"/>
        </w:rPr>
        <w:t>15</w:t>
      </w:r>
      <w:r w:rsidR="003545FB" w:rsidRPr="00D42228">
        <w:rPr>
          <w:rFonts w:ascii="Times New Roman" w:hAnsi="Times New Roman" w:cs="Times New Roman"/>
          <w:sz w:val="20"/>
          <w:szCs w:val="20"/>
        </w:rPr>
        <w:t xml:space="preserve"> Years</w:t>
      </w:r>
      <w:r w:rsidRPr="00D42228">
        <w:rPr>
          <w:rFonts w:ascii="Times New Roman" w:hAnsi="Times New Roman" w:cs="Times New Roman"/>
          <w:sz w:val="20"/>
          <w:szCs w:val="20"/>
        </w:rPr>
        <w:t xml:space="preserve">. London: Eyre and </w:t>
      </w:r>
      <w:proofErr w:type="spellStart"/>
      <w:r w:rsidRPr="00D42228">
        <w:rPr>
          <w:rFonts w:ascii="Times New Roman" w:hAnsi="Times New Roman" w:cs="Times New Roman"/>
          <w:sz w:val="20"/>
          <w:szCs w:val="20"/>
        </w:rPr>
        <w:t>Spottiswoode</w:t>
      </w:r>
      <w:proofErr w:type="spellEnd"/>
      <w:r w:rsidRPr="00D42228">
        <w:rPr>
          <w:rFonts w:ascii="Times New Roman" w:hAnsi="Times New Roman" w:cs="Times New Roman"/>
          <w:sz w:val="20"/>
          <w:szCs w:val="20"/>
        </w:rPr>
        <w:t xml:space="preserve"> (1868, 1874, 1887, 1898, 1903).</w:t>
      </w:r>
    </w:p>
    <w:p w14:paraId="52C63D0A" w14:textId="77777777" w:rsidR="00C769DE" w:rsidRPr="00D42228" w:rsidRDefault="008B4479" w:rsidP="001A1E89">
      <w:pPr>
        <w:spacing w:line="240" w:lineRule="auto"/>
        <w:ind w:left="360" w:hanging="360"/>
        <w:jc w:val="both"/>
        <w:rPr>
          <w:rFonts w:ascii="Times New Roman" w:hAnsi="Times New Roman" w:cs="Times New Roman"/>
          <w:sz w:val="20"/>
          <w:szCs w:val="20"/>
        </w:rPr>
      </w:pPr>
      <w:r w:rsidRPr="00D42228">
        <w:rPr>
          <w:rFonts w:ascii="Times New Roman" w:hAnsi="Times New Roman" w:cs="Times New Roman"/>
          <w:sz w:val="20"/>
          <w:szCs w:val="20"/>
        </w:rPr>
        <w:t xml:space="preserve">______. </w:t>
      </w:r>
      <w:r w:rsidR="00C769DE" w:rsidRPr="00D42228">
        <w:rPr>
          <w:rFonts w:ascii="Times New Roman" w:hAnsi="Times New Roman" w:cs="Times New Roman"/>
          <w:sz w:val="20"/>
          <w:szCs w:val="20"/>
        </w:rPr>
        <w:t xml:space="preserve">Statistical Abstract for the Several Colonial and Other Possessions of the United Kingdom. London: Eyre and </w:t>
      </w:r>
      <w:proofErr w:type="spellStart"/>
      <w:r w:rsidR="00C769DE" w:rsidRPr="00D42228">
        <w:rPr>
          <w:rFonts w:ascii="Times New Roman" w:hAnsi="Times New Roman" w:cs="Times New Roman"/>
          <w:sz w:val="20"/>
          <w:szCs w:val="20"/>
        </w:rPr>
        <w:t>Spottiswoode</w:t>
      </w:r>
      <w:proofErr w:type="spellEnd"/>
      <w:r w:rsidR="00C769DE" w:rsidRPr="00D42228">
        <w:rPr>
          <w:rFonts w:ascii="Times New Roman" w:hAnsi="Times New Roman" w:cs="Times New Roman"/>
          <w:sz w:val="20"/>
          <w:szCs w:val="20"/>
        </w:rPr>
        <w:t>, 1 (1865); 10 (1874); 20 (1885); 28 (1891); 32 (1895).</w:t>
      </w:r>
    </w:p>
    <w:p w14:paraId="1A2099A1" w14:textId="77777777" w:rsidR="00C769DE" w:rsidRPr="00D42228" w:rsidRDefault="00C769DE" w:rsidP="001A1E89">
      <w:pPr>
        <w:spacing w:line="240" w:lineRule="auto"/>
        <w:ind w:left="360" w:hanging="360"/>
        <w:jc w:val="both"/>
        <w:rPr>
          <w:rFonts w:ascii="Times New Roman" w:hAnsi="Times New Roman" w:cs="Times New Roman"/>
          <w:sz w:val="20"/>
          <w:szCs w:val="20"/>
        </w:rPr>
      </w:pPr>
      <w:r w:rsidRPr="00D42228">
        <w:rPr>
          <w:rFonts w:ascii="Times New Roman" w:hAnsi="Times New Roman" w:cs="Times New Roman"/>
          <w:sz w:val="20"/>
          <w:szCs w:val="20"/>
        </w:rPr>
        <w:t>______. Statistical Abstract for the Several British Colonies, Possessions, and Protectorates. London: His Majesty’s Stationery Office, 43 (1906).</w:t>
      </w:r>
    </w:p>
    <w:p w14:paraId="6FB27CAB" w14:textId="77777777" w:rsidR="008B1CE8" w:rsidRPr="00D42228" w:rsidRDefault="008B1CE8" w:rsidP="001A1E89">
      <w:pPr>
        <w:spacing w:line="240" w:lineRule="auto"/>
        <w:ind w:left="360" w:hanging="360"/>
        <w:jc w:val="both"/>
        <w:rPr>
          <w:rFonts w:ascii="Times New Roman" w:hAnsi="Times New Roman" w:cs="Times New Roman"/>
          <w:sz w:val="20"/>
          <w:szCs w:val="20"/>
        </w:rPr>
      </w:pPr>
      <w:r w:rsidRPr="00D42228">
        <w:rPr>
          <w:rFonts w:ascii="Times New Roman" w:hAnsi="Times New Roman" w:cs="Times New Roman"/>
          <w:sz w:val="20"/>
          <w:szCs w:val="20"/>
        </w:rPr>
        <w:t>British Foreign and Commonwealth Office. Blue Book for the Gambia. L</w:t>
      </w:r>
      <w:r w:rsidR="003545FB">
        <w:rPr>
          <w:rFonts w:ascii="Times New Roman" w:hAnsi="Times New Roman" w:cs="Times New Roman"/>
          <w:sz w:val="20"/>
          <w:szCs w:val="20"/>
        </w:rPr>
        <w:t>ondon: Government Printer, 1828–1849; 1851–</w:t>
      </w:r>
      <w:r w:rsidRPr="00D42228">
        <w:rPr>
          <w:rFonts w:ascii="Times New Roman" w:hAnsi="Times New Roman" w:cs="Times New Roman"/>
          <w:sz w:val="20"/>
          <w:szCs w:val="20"/>
        </w:rPr>
        <w:t>1939.</w:t>
      </w:r>
    </w:p>
    <w:p w14:paraId="2D659B64" w14:textId="77777777" w:rsidR="008B1CE8" w:rsidRPr="00D42228" w:rsidRDefault="008B1CE8" w:rsidP="001A1E89">
      <w:pPr>
        <w:spacing w:line="240" w:lineRule="auto"/>
        <w:ind w:left="360" w:hanging="360"/>
        <w:jc w:val="both"/>
        <w:rPr>
          <w:rFonts w:ascii="Times New Roman" w:hAnsi="Times New Roman" w:cs="Times New Roman"/>
          <w:sz w:val="20"/>
          <w:szCs w:val="20"/>
        </w:rPr>
      </w:pPr>
      <w:r w:rsidRPr="00D42228">
        <w:rPr>
          <w:rFonts w:ascii="Times New Roman" w:hAnsi="Times New Roman" w:cs="Times New Roman"/>
          <w:sz w:val="20"/>
          <w:szCs w:val="20"/>
        </w:rPr>
        <w:t>______. Blue Book for the Gold Coast. L</w:t>
      </w:r>
      <w:r w:rsidR="003545FB">
        <w:rPr>
          <w:rFonts w:ascii="Times New Roman" w:hAnsi="Times New Roman" w:cs="Times New Roman"/>
          <w:sz w:val="20"/>
          <w:szCs w:val="20"/>
        </w:rPr>
        <w:t>ondon: Government Printer, 1846–1861; 1867–</w:t>
      </w:r>
      <w:r w:rsidRPr="00D42228">
        <w:rPr>
          <w:rFonts w:ascii="Times New Roman" w:hAnsi="Times New Roman" w:cs="Times New Roman"/>
          <w:sz w:val="20"/>
          <w:szCs w:val="20"/>
        </w:rPr>
        <w:t>1939.</w:t>
      </w:r>
    </w:p>
    <w:p w14:paraId="2E071B21" w14:textId="77777777" w:rsidR="008B1CE8" w:rsidRPr="00D42228" w:rsidRDefault="008B1CE8" w:rsidP="001A1E89">
      <w:pPr>
        <w:spacing w:line="240" w:lineRule="auto"/>
        <w:ind w:left="360" w:hanging="360"/>
        <w:jc w:val="both"/>
        <w:rPr>
          <w:rFonts w:ascii="Times New Roman" w:hAnsi="Times New Roman" w:cs="Times New Roman"/>
          <w:sz w:val="20"/>
          <w:szCs w:val="20"/>
        </w:rPr>
      </w:pPr>
      <w:r w:rsidRPr="00D42228">
        <w:rPr>
          <w:rFonts w:ascii="Times New Roman" w:hAnsi="Times New Roman" w:cs="Times New Roman"/>
          <w:sz w:val="20"/>
          <w:szCs w:val="20"/>
        </w:rPr>
        <w:t>______. Blue Book for Sierra Leone. L</w:t>
      </w:r>
      <w:r w:rsidR="003545FB">
        <w:rPr>
          <w:rFonts w:ascii="Times New Roman" w:hAnsi="Times New Roman" w:cs="Times New Roman"/>
          <w:sz w:val="20"/>
          <w:szCs w:val="20"/>
        </w:rPr>
        <w:t>ondon: Government Printer, 1819–</w:t>
      </w:r>
      <w:r w:rsidRPr="00D42228">
        <w:rPr>
          <w:rFonts w:ascii="Times New Roman" w:hAnsi="Times New Roman" w:cs="Times New Roman"/>
          <w:sz w:val="20"/>
          <w:szCs w:val="20"/>
        </w:rPr>
        <w:t>1939.</w:t>
      </w:r>
    </w:p>
    <w:p w14:paraId="61A8859F" w14:textId="77777777" w:rsidR="00E3553D" w:rsidRPr="00D42228" w:rsidRDefault="00E3553D" w:rsidP="001A1E89">
      <w:pPr>
        <w:spacing w:line="240" w:lineRule="auto"/>
        <w:ind w:left="360" w:hanging="360"/>
        <w:jc w:val="both"/>
        <w:rPr>
          <w:rFonts w:ascii="Times New Roman" w:hAnsi="Times New Roman" w:cs="Times New Roman"/>
          <w:sz w:val="20"/>
          <w:szCs w:val="20"/>
        </w:rPr>
      </w:pPr>
      <w:r w:rsidRPr="00D42228">
        <w:rPr>
          <w:rFonts w:ascii="Times New Roman" w:hAnsi="Times New Roman" w:cs="Times New Roman"/>
          <w:sz w:val="20"/>
          <w:szCs w:val="20"/>
        </w:rPr>
        <w:t xml:space="preserve">Mitchell, Brian R. </w:t>
      </w:r>
      <w:r w:rsidRPr="003545FB">
        <w:rPr>
          <w:rFonts w:ascii="Times New Roman" w:hAnsi="Times New Roman" w:cs="Times New Roman"/>
          <w:i/>
          <w:sz w:val="20"/>
          <w:szCs w:val="20"/>
        </w:rPr>
        <w:t>British Historical Statistics</w:t>
      </w:r>
      <w:r w:rsidRPr="00D42228">
        <w:rPr>
          <w:rFonts w:ascii="Times New Roman" w:hAnsi="Times New Roman" w:cs="Times New Roman"/>
          <w:sz w:val="20"/>
          <w:szCs w:val="20"/>
        </w:rPr>
        <w:t>. Cambridge: Cambridge University Press, 1988.</w:t>
      </w:r>
    </w:p>
    <w:p w14:paraId="191B0D4A" w14:textId="77777777" w:rsidR="00E3553D" w:rsidRPr="00D42228" w:rsidRDefault="00E3553D" w:rsidP="001A1E89">
      <w:pPr>
        <w:spacing w:line="240" w:lineRule="auto"/>
        <w:ind w:left="360" w:hanging="360"/>
        <w:jc w:val="both"/>
        <w:rPr>
          <w:rFonts w:ascii="Times New Roman" w:hAnsi="Times New Roman" w:cs="Times New Roman"/>
          <w:sz w:val="20"/>
          <w:szCs w:val="20"/>
        </w:rPr>
      </w:pPr>
      <w:r w:rsidRPr="00D42228">
        <w:rPr>
          <w:rFonts w:ascii="Times New Roman" w:hAnsi="Times New Roman" w:cs="Times New Roman"/>
          <w:color w:val="222222"/>
          <w:sz w:val="20"/>
          <w:szCs w:val="20"/>
          <w:shd w:val="clear" w:color="auto" w:fill="FFFFFF"/>
        </w:rPr>
        <w:t>______.</w:t>
      </w:r>
      <w:r w:rsidRPr="00D42228">
        <w:rPr>
          <w:rFonts w:ascii="Times New Roman" w:hAnsi="Times New Roman" w:cs="Times New Roman"/>
          <w:sz w:val="20"/>
          <w:szCs w:val="20"/>
        </w:rPr>
        <w:t xml:space="preserve"> </w:t>
      </w:r>
      <w:r w:rsidRPr="003545FB">
        <w:rPr>
          <w:rFonts w:ascii="Times New Roman" w:hAnsi="Times New Roman" w:cs="Times New Roman"/>
          <w:i/>
          <w:sz w:val="20"/>
          <w:szCs w:val="20"/>
        </w:rPr>
        <w:t>International His</w:t>
      </w:r>
      <w:r w:rsidR="003545FB" w:rsidRPr="003545FB">
        <w:rPr>
          <w:rFonts w:ascii="Times New Roman" w:hAnsi="Times New Roman" w:cs="Times New Roman"/>
          <w:i/>
          <w:sz w:val="20"/>
          <w:szCs w:val="20"/>
        </w:rPr>
        <w:t>torical Statistics: Europe 1750–</w:t>
      </w:r>
      <w:r w:rsidRPr="003545FB">
        <w:rPr>
          <w:rFonts w:ascii="Times New Roman" w:hAnsi="Times New Roman" w:cs="Times New Roman"/>
          <w:i/>
          <w:sz w:val="20"/>
          <w:szCs w:val="20"/>
        </w:rPr>
        <w:t>2005</w:t>
      </w:r>
      <w:r w:rsidRPr="00D42228">
        <w:rPr>
          <w:rFonts w:ascii="Times New Roman" w:hAnsi="Times New Roman" w:cs="Times New Roman"/>
          <w:sz w:val="20"/>
          <w:szCs w:val="20"/>
        </w:rPr>
        <w:t xml:space="preserve">. </w:t>
      </w:r>
      <w:proofErr w:type="spellStart"/>
      <w:r w:rsidRPr="00D42228">
        <w:rPr>
          <w:rFonts w:ascii="Times New Roman" w:hAnsi="Times New Roman" w:cs="Times New Roman"/>
          <w:sz w:val="20"/>
          <w:szCs w:val="20"/>
        </w:rPr>
        <w:t>Basingstroke</w:t>
      </w:r>
      <w:proofErr w:type="spellEnd"/>
      <w:r w:rsidRPr="00D42228">
        <w:rPr>
          <w:rFonts w:ascii="Times New Roman" w:hAnsi="Times New Roman" w:cs="Times New Roman"/>
          <w:sz w:val="20"/>
          <w:szCs w:val="20"/>
        </w:rPr>
        <w:t>: Palgrave Macmillan, 2007.</w:t>
      </w:r>
    </w:p>
    <w:p w14:paraId="3DD99245" w14:textId="77777777" w:rsidR="00040E9E" w:rsidRPr="00D42228" w:rsidRDefault="00E3553D" w:rsidP="001A1E89">
      <w:pPr>
        <w:spacing w:line="240" w:lineRule="auto"/>
        <w:ind w:left="360" w:hanging="360"/>
        <w:jc w:val="both"/>
        <w:rPr>
          <w:rFonts w:ascii="Times New Roman" w:hAnsi="Times New Roman" w:cs="Times New Roman"/>
          <w:sz w:val="20"/>
          <w:szCs w:val="20"/>
        </w:rPr>
      </w:pPr>
      <w:r w:rsidRPr="00D42228">
        <w:rPr>
          <w:rFonts w:ascii="Times New Roman" w:hAnsi="Times New Roman" w:cs="Times New Roman"/>
          <w:sz w:val="20"/>
          <w:szCs w:val="20"/>
        </w:rPr>
        <w:t xml:space="preserve">Williamson, Jeffrey G. </w:t>
      </w:r>
      <w:r w:rsidRPr="003545FB">
        <w:rPr>
          <w:rFonts w:ascii="Times New Roman" w:hAnsi="Times New Roman" w:cs="Times New Roman"/>
          <w:i/>
          <w:sz w:val="20"/>
          <w:szCs w:val="20"/>
        </w:rPr>
        <w:t>Trade and Poverty: When the Third World Fell Behind</w:t>
      </w:r>
      <w:r w:rsidRPr="00D42228">
        <w:rPr>
          <w:rFonts w:ascii="Times New Roman" w:hAnsi="Times New Roman" w:cs="Times New Roman"/>
          <w:sz w:val="20"/>
          <w:szCs w:val="20"/>
        </w:rPr>
        <w:t>. Cambridge, MA: MIT Press, 2011.</w:t>
      </w:r>
    </w:p>
    <w:p w14:paraId="5ECD385B" w14:textId="77777777" w:rsidR="00040E9E" w:rsidRPr="00D42228" w:rsidRDefault="00040E9E" w:rsidP="001A1E89">
      <w:pPr>
        <w:spacing w:line="240" w:lineRule="auto"/>
        <w:jc w:val="both"/>
        <w:rPr>
          <w:rFonts w:ascii="Times New Roman" w:hAnsi="Times New Roman" w:cs="Times New Roman"/>
          <w:sz w:val="20"/>
          <w:szCs w:val="20"/>
          <w:lang w:val="en-US"/>
        </w:rPr>
      </w:pPr>
    </w:p>
    <w:sectPr w:rsidR="00040E9E" w:rsidRPr="00D42228" w:rsidSect="00700C89">
      <w:headerReference w:type="even" r:id="rId10"/>
      <w:headerReference w:type="default" r:id="rId11"/>
      <w:footerReference w:type="even" r:id="rId12"/>
      <w:footerReference w:type="default" r:id="rId13"/>
      <w:footerReference w:type="first" r:id="rId14"/>
      <w:pgSz w:w="12240" w:h="15840"/>
      <w:pgMar w:top="1786" w:right="2635" w:bottom="1555" w:left="2635"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CA17C" w14:textId="77777777" w:rsidR="003C48B5" w:rsidRDefault="003C48B5" w:rsidP="008B1C93">
      <w:pPr>
        <w:spacing w:line="240" w:lineRule="auto"/>
      </w:pPr>
      <w:r>
        <w:separator/>
      </w:r>
    </w:p>
  </w:endnote>
  <w:endnote w:type="continuationSeparator" w:id="0">
    <w:p w14:paraId="02F72081" w14:textId="77777777" w:rsidR="003C48B5" w:rsidRDefault="003C48B5" w:rsidP="008B1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589F" w14:textId="77777777" w:rsidR="00700C89" w:rsidRDefault="00700C89" w:rsidP="00FA1C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6B7F">
      <w:rPr>
        <w:rStyle w:val="PageNumber"/>
        <w:noProof/>
      </w:rPr>
      <w:t>2</w:t>
    </w:r>
    <w:r>
      <w:rPr>
        <w:rStyle w:val="PageNumber"/>
      </w:rPr>
      <w:fldChar w:fldCharType="end"/>
    </w:r>
  </w:p>
  <w:p w14:paraId="5A6D76D8" w14:textId="77777777" w:rsidR="00700C89" w:rsidRDefault="00700C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2904" w14:textId="77777777" w:rsidR="00700C89" w:rsidRDefault="00700C89" w:rsidP="00FA1C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6B7F">
      <w:rPr>
        <w:rStyle w:val="PageNumber"/>
        <w:noProof/>
      </w:rPr>
      <w:t>3</w:t>
    </w:r>
    <w:r>
      <w:rPr>
        <w:rStyle w:val="PageNumber"/>
      </w:rPr>
      <w:fldChar w:fldCharType="end"/>
    </w:r>
  </w:p>
  <w:p w14:paraId="6F9C4914" w14:textId="77777777" w:rsidR="00700C89" w:rsidRDefault="00700C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4708" w14:textId="77777777" w:rsidR="00700C89" w:rsidRPr="00700C89" w:rsidRDefault="00700C89" w:rsidP="00FA1CE5">
    <w:pPr>
      <w:pStyle w:val="Footer"/>
      <w:framePr w:wrap="none" w:vAnchor="text" w:hAnchor="margin" w:xAlign="center" w:y="1"/>
      <w:rPr>
        <w:rStyle w:val="PageNumber"/>
        <w:rFonts w:ascii="Times New Roman" w:hAnsi="Times New Roman" w:cs="Times New Roman"/>
      </w:rPr>
    </w:pPr>
    <w:r w:rsidRPr="00700C89">
      <w:rPr>
        <w:rStyle w:val="PageNumber"/>
        <w:rFonts w:ascii="Times New Roman" w:hAnsi="Times New Roman" w:cs="Times New Roman"/>
      </w:rPr>
      <w:fldChar w:fldCharType="begin"/>
    </w:r>
    <w:r w:rsidRPr="00700C89">
      <w:rPr>
        <w:rStyle w:val="PageNumber"/>
        <w:rFonts w:ascii="Times New Roman" w:hAnsi="Times New Roman" w:cs="Times New Roman"/>
      </w:rPr>
      <w:instrText xml:space="preserve">PAGE  </w:instrText>
    </w:r>
    <w:r w:rsidRPr="00700C89">
      <w:rPr>
        <w:rStyle w:val="PageNumber"/>
        <w:rFonts w:ascii="Times New Roman" w:hAnsi="Times New Roman" w:cs="Times New Roman"/>
      </w:rPr>
      <w:fldChar w:fldCharType="separate"/>
    </w:r>
    <w:r w:rsidR="00C9069D">
      <w:rPr>
        <w:rStyle w:val="PageNumber"/>
        <w:rFonts w:ascii="Times New Roman" w:hAnsi="Times New Roman" w:cs="Times New Roman"/>
        <w:noProof/>
      </w:rPr>
      <w:t>1</w:t>
    </w:r>
    <w:r w:rsidRPr="00700C89">
      <w:rPr>
        <w:rStyle w:val="PageNumber"/>
        <w:rFonts w:ascii="Times New Roman" w:hAnsi="Times New Roman" w:cs="Times New Roman"/>
      </w:rPr>
      <w:fldChar w:fldCharType="end"/>
    </w:r>
  </w:p>
  <w:p w14:paraId="5585D3C6" w14:textId="77777777" w:rsidR="00700C89" w:rsidRDefault="00700C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9C3A2" w14:textId="77777777" w:rsidR="003C48B5" w:rsidRDefault="003C48B5" w:rsidP="008B1C93">
      <w:pPr>
        <w:spacing w:line="240" w:lineRule="auto"/>
      </w:pPr>
      <w:r>
        <w:separator/>
      </w:r>
    </w:p>
  </w:footnote>
  <w:footnote w:type="continuationSeparator" w:id="0">
    <w:p w14:paraId="6CD731E6" w14:textId="77777777" w:rsidR="003C48B5" w:rsidRDefault="003C48B5" w:rsidP="008B1C93">
      <w:pPr>
        <w:spacing w:line="240" w:lineRule="auto"/>
      </w:pPr>
      <w:r>
        <w:continuationSeparator/>
      </w:r>
    </w:p>
  </w:footnote>
  <w:footnote w:id="1">
    <w:p w14:paraId="29F80F96" w14:textId="77777777" w:rsidR="00B44DBB" w:rsidRPr="004318EA" w:rsidRDefault="00B44DBB" w:rsidP="00256B7F">
      <w:pPr>
        <w:jc w:val="both"/>
        <w:rPr>
          <w:lang w:val="en-US"/>
        </w:rPr>
      </w:pPr>
      <w:bookmarkStart w:id="0" w:name="_GoBack"/>
      <w:bookmarkEnd w:id="0"/>
      <w:r w:rsidRPr="00B44DBB">
        <w:rPr>
          <w:rStyle w:val="FootnoteReference"/>
          <w:rFonts w:ascii="Times New Roman" w:hAnsi="Times New Roman" w:cs="Times New Roman"/>
          <w:sz w:val="18"/>
          <w:szCs w:val="18"/>
        </w:rPr>
        <w:footnoteRef/>
      </w:r>
      <w:r w:rsidRPr="00B44DBB">
        <w:t xml:space="preserve"> </w:t>
      </w:r>
      <w:r w:rsidRPr="00256B7F">
        <w:rPr>
          <w:rFonts w:ascii="Times New Roman" w:hAnsi="Times New Roman" w:cs="Times New Roman"/>
          <w:sz w:val="18"/>
          <w:szCs w:val="18"/>
          <w:lang w:val="en-US"/>
        </w:rPr>
        <w:t xml:space="preserve">Either </w:t>
      </w:r>
      <w:r w:rsidR="004318EA" w:rsidRPr="00256B7F">
        <w:rPr>
          <w:rFonts w:ascii="Times New Roman" w:hAnsi="Times New Roman" w:cs="Times New Roman"/>
          <w:sz w:val="18"/>
          <w:szCs w:val="18"/>
          <w:lang w:val="en-US"/>
        </w:rPr>
        <w:t xml:space="preserve">price data was absent or, in the case of </w:t>
      </w:r>
      <w:r w:rsidR="004318EA" w:rsidRPr="00256B7F">
        <w:rPr>
          <w:rFonts w:ascii="Times New Roman" w:hAnsi="Times New Roman" w:cs="Times New Roman"/>
          <w:i/>
          <w:sz w:val="18"/>
          <w:szCs w:val="18"/>
          <w:lang w:val="en-US"/>
        </w:rPr>
        <w:t>cotton goods</w:t>
      </w:r>
      <w:r w:rsidR="008C3051" w:rsidRPr="00256B7F">
        <w:rPr>
          <w:rFonts w:ascii="Times New Roman" w:hAnsi="Times New Roman" w:cs="Times New Roman"/>
          <w:sz w:val="18"/>
          <w:szCs w:val="18"/>
          <w:lang w:val="en-US"/>
        </w:rPr>
        <w:t>, the units (that is,</w:t>
      </w:r>
      <w:r w:rsidR="004318EA" w:rsidRPr="00256B7F">
        <w:rPr>
          <w:rFonts w:ascii="Times New Roman" w:hAnsi="Times New Roman" w:cs="Times New Roman"/>
          <w:sz w:val="18"/>
          <w:szCs w:val="18"/>
          <w:lang w:val="en-US"/>
        </w:rPr>
        <w:t xml:space="preserve"> yards or packages), description and quality changed </w:t>
      </w:r>
      <w:r w:rsidR="00DD443B" w:rsidRPr="00256B7F">
        <w:rPr>
          <w:rFonts w:ascii="Times New Roman" w:hAnsi="Times New Roman" w:cs="Times New Roman"/>
          <w:sz w:val="18"/>
          <w:szCs w:val="18"/>
          <w:lang w:val="en-US"/>
        </w:rPr>
        <w:t>frequently</w:t>
      </w:r>
      <w:r w:rsidR="004318EA" w:rsidRPr="00256B7F">
        <w:rPr>
          <w:rFonts w:ascii="Times New Roman" w:hAnsi="Times New Roman" w:cs="Times New Roman"/>
          <w:sz w:val="18"/>
          <w:szCs w:val="18"/>
          <w:lang w:val="en-US"/>
        </w:rPr>
        <w:t xml:space="preserve"> and were irreconcilable between the years in our sample.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0A134" w14:textId="77777777" w:rsidR="00700C89" w:rsidRPr="00700C89" w:rsidRDefault="00700C89" w:rsidP="00FA1CE5">
    <w:pPr>
      <w:pStyle w:val="Header"/>
      <w:framePr w:wrap="none" w:vAnchor="text" w:hAnchor="margin" w:xAlign="outside" w:y="1"/>
      <w:rPr>
        <w:rStyle w:val="PageNumber"/>
        <w:rFonts w:ascii="Times New Roman" w:hAnsi="Times New Roman" w:cs="Times New Roman"/>
      </w:rPr>
    </w:pPr>
    <w:r w:rsidRPr="00700C89">
      <w:rPr>
        <w:rStyle w:val="PageNumber"/>
        <w:rFonts w:ascii="Times New Roman" w:hAnsi="Times New Roman" w:cs="Times New Roman"/>
      </w:rPr>
      <w:fldChar w:fldCharType="begin"/>
    </w:r>
    <w:r w:rsidRPr="00700C89">
      <w:rPr>
        <w:rStyle w:val="PageNumber"/>
        <w:rFonts w:ascii="Times New Roman" w:hAnsi="Times New Roman" w:cs="Times New Roman"/>
      </w:rPr>
      <w:instrText xml:space="preserve">PAGE  </w:instrText>
    </w:r>
    <w:r w:rsidRPr="00700C89">
      <w:rPr>
        <w:rStyle w:val="PageNumber"/>
        <w:rFonts w:ascii="Times New Roman" w:hAnsi="Times New Roman" w:cs="Times New Roman"/>
      </w:rPr>
      <w:fldChar w:fldCharType="separate"/>
    </w:r>
    <w:r w:rsidR="00256B7F">
      <w:rPr>
        <w:rStyle w:val="PageNumber"/>
        <w:rFonts w:ascii="Times New Roman" w:hAnsi="Times New Roman" w:cs="Times New Roman"/>
        <w:noProof/>
      </w:rPr>
      <w:t>2</w:t>
    </w:r>
    <w:r w:rsidRPr="00700C89">
      <w:rPr>
        <w:rStyle w:val="PageNumber"/>
        <w:rFonts w:ascii="Times New Roman" w:hAnsi="Times New Roman" w:cs="Times New Roman"/>
      </w:rPr>
      <w:fldChar w:fldCharType="end"/>
    </w:r>
  </w:p>
  <w:p w14:paraId="1BB4F97F" w14:textId="77777777" w:rsidR="00700C89" w:rsidRPr="00700C89" w:rsidRDefault="00700C89" w:rsidP="00700C89">
    <w:pPr>
      <w:pStyle w:val="Header"/>
      <w:ind w:right="360" w:firstLine="360"/>
      <w:rPr>
        <w:rFonts w:ascii="Times New Roman" w:hAnsi="Times New Roman" w:cs="Times New Roman"/>
        <w:i/>
      </w:rPr>
    </w:pPr>
    <w:proofErr w:type="spellStart"/>
    <w:r w:rsidRPr="00700C89">
      <w:rPr>
        <w:rFonts w:ascii="Times New Roman" w:hAnsi="Times New Roman" w:cs="Times New Roman"/>
        <w:i/>
      </w:rPr>
      <w:t>Frankema</w:t>
    </w:r>
    <w:proofErr w:type="spellEnd"/>
    <w:r w:rsidRPr="00700C89">
      <w:rPr>
        <w:rFonts w:ascii="Times New Roman" w:hAnsi="Times New Roman" w:cs="Times New Roman"/>
        <w:i/>
      </w:rPr>
      <w:t xml:space="preserve">, Williamson, and </w:t>
    </w:r>
    <w:proofErr w:type="spellStart"/>
    <w:r w:rsidRPr="00700C89">
      <w:rPr>
        <w:rFonts w:ascii="Times New Roman" w:hAnsi="Times New Roman" w:cs="Times New Roman"/>
        <w:i/>
      </w:rPr>
      <w:t>Woltjer</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40F6A" w14:textId="77777777" w:rsidR="00700C89" w:rsidRPr="00700C89" w:rsidRDefault="00700C89" w:rsidP="00FA1CE5">
    <w:pPr>
      <w:pStyle w:val="Header"/>
      <w:framePr w:wrap="none" w:vAnchor="text" w:hAnchor="margin" w:xAlign="outside" w:y="1"/>
      <w:rPr>
        <w:rStyle w:val="PageNumber"/>
        <w:rFonts w:ascii="Times New Roman" w:hAnsi="Times New Roman" w:cs="Times New Roman"/>
      </w:rPr>
    </w:pPr>
    <w:r w:rsidRPr="00700C89">
      <w:rPr>
        <w:rStyle w:val="PageNumber"/>
        <w:rFonts w:ascii="Times New Roman" w:hAnsi="Times New Roman" w:cs="Times New Roman"/>
      </w:rPr>
      <w:fldChar w:fldCharType="begin"/>
    </w:r>
    <w:r w:rsidRPr="00700C89">
      <w:rPr>
        <w:rStyle w:val="PageNumber"/>
        <w:rFonts w:ascii="Times New Roman" w:hAnsi="Times New Roman" w:cs="Times New Roman"/>
      </w:rPr>
      <w:instrText xml:space="preserve">PAGE  </w:instrText>
    </w:r>
    <w:r w:rsidRPr="00700C89">
      <w:rPr>
        <w:rStyle w:val="PageNumber"/>
        <w:rFonts w:ascii="Times New Roman" w:hAnsi="Times New Roman" w:cs="Times New Roman"/>
      </w:rPr>
      <w:fldChar w:fldCharType="separate"/>
    </w:r>
    <w:r w:rsidR="00256B7F">
      <w:rPr>
        <w:rStyle w:val="PageNumber"/>
        <w:rFonts w:ascii="Times New Roman" w:hAnsi="Times New Roman" w:cs="Times New Roman"/>
        <w:noProof/>
      </w:rPr>
      <w:t>3</w:t>
    </w:r>
    <w:r w:rsidRPr="00700C89">
      <w:rPr>
        <w:rStyle w:val="PageNumber"/>
        <w:rFonts w:ascii="Times New Roman" w:hAnsi="Times New Roman" w:cs="Times New Roman"/>
      </w:rPr>
      <w:fldChar w:fldCharType="end"/>
    </w:r>
  </w:p>
  <w:p w14:paraId="0C9037AB" w14:textId="77777777" w:rsidR="00700C89" w:rsidRPr="00700C89" w:rsidRDefault="00700C89" w:rsidP="00700C89">
    <w:pPr>
      <w:pStyle w:val="Header"/>
      <w:ind w:right="360" w:firstLine="360"/>
      <w:rPr>
        <w:rFonts w:ascii="Times New Roman" w:hAnsi="Times New Roman" w:cs="Times New Roman"/>
        <w:i/>
      </w:rPr>
    </w:pPr>
    <w:r w:rsidRPr="00700C89">
      <w:rPr>
        <w:rFonts w:ascii="Times New Roman" w:hAnsi="Times New Roman" w:cs="Times New Roman"/>
        <w:i/>
      </w:rPr>
      <w:t>Transition/Commodity Price Boom of 1835–1885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53F4E"/>
    <w:multiLevelType w:val="hybridMultilevel"/>
    <w:tmpl w:val="E300F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93"/>
    <w:rsid w:val="000009C4"/>
    <w:rsid w:val="00003194"/>
    <w:rsid w:val="00040E9E"/>
    <w:rsid w:val="00082C8A"/>
    <w:rsid w:val="000A087C"/>
    <w:rsid w:val="001A1E89"/>
    <w:rsid w:val="001A386F"/>
    <w:rsid w:val="001D2D01"/>
    <w:rsid w:val="00237A21"/>
    <w:rsid w:val="002559B6"/>
    <w:rsid w:val="00256B7F"/>
    <w:rsid w:val="0032545C"/>
    <w:rsid w:val="0032662C"/>
    <w:rsid w:val="003545FB"/>
    <w:rsid w:val="003824D4"/>
    <w:rsid w:val="00384BCC"/>
    <w:rsid w:val="00387726"/>
    <w:rsid w:val="00387BD4"/>
    <w:rsid w:val="003C48B5"/>
    <w:rsid w:val="00400B61"/>
    <w:rsid w:val="004318EA"/>
    <w:rsid w:val="0044422C"/>
    <w:rsid w:val="00500760"/>
    <w:rsid w:val="0051524B"/>
    <w:rsid w:val="00580E53"/>
    <w:rsid w:val="00656C7B"/>
    <w:rsid w:val="0068255A"/>
    <w:rsid w:val="00694AF9"/>
    <w:rsid w:val="00696542"/>
    <w:rsid w:val="00700C89"/>
    <w:rsid w:val="00700F48"/>
    <w:rsid w:val="00731270"/>
    <w:rsid w:val="00790164"/>
    <w:rsid w:val="007A6718"/>
    <w:rsid w:val="00826E5D"/>
    <w:rsid w:val="0088720C"/>
    <w:rsid w:val="008B1C93"/>
    <w:rsid w:val="008B1CE8"/>
    <w:rsid w:val="008B4479"/>
    <w:rsid w:val="008C3051"/>
    <w:rsid w:val="008C3D11"/>
    <w:rsid w:val="008D4B18"/>
    <w:rsid w:val="00900BDD"/>
    <w:rsid w:val="009404FE"/>
    <w:rsid w:val="00983091"/>
    <w:rsid w:val="009D1D3A"/>
    <w:rsid w:val="00A5536C"/>
    <w:rsid w:val="00AA6A45"/>
    <w:rsid w:val="00B44DBB"/>
    <w:rsid w:val="00BC631A"/>
    <w:rsid w:val="00C352B5"/>
    <w:rsid w:val="00C769DE"/>
    <w:rsid w:val="00C9069D"/>
    <w:rsid w:val="00D275D9"/>
    <w:rsid w:val="00D42228"/>
    <w:rsid w:val="00DA11BC"/>
    <w:rsid w:val="00DD443B"/>
    <w:rsid w:val="00E3553D"/>
    <w:rsid w:val="00E74618"/>
    <w:rsid w:val="00EA0C1A"/>
    <w:rsid w:val="00ED1678"/>
    <w:rsid w:val="00F1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54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93"/>
    <w:pPr>
      <w:spacing w:after="0" w:line="276" w:lineRule="auto"/>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B1C93"/>
    <w:pPr>
      <w:spacing w:line="240" w:lineRule="auto"/>
    </w:pPr>
    <w:rPr>
      <w:sz w:val="20"/>
      <w:szCs w:val="20"/>
    </w:rPr>
  </w:style>
  <w:style w:type="character" w:customStyle="1" w:styleId="FootnoteTextChar">
    <w:name w:val="Footnote Text Char"/>
    <w:basedOn w:val="DefaultParagraphFont"/>
    <w:link w:val="FootnoteText"/>
    <w:semiHidden/>
    <w:rsid w:val="008B1C93"/>
    <w:rPr>
      <w:sz w:val="20"/>
      <w:szCs w:val="20"/>
      <w:lang w:val="en-GB"/>
    </w:rPr>
  </w:style>
  <w:style w:type="character" w:styleId="FootnoteReference">
    <w:name w:val="footnote reference"/>
    <w:basedOn w:val="DefaultParagraphFont"/>
    <w:semiHidden/>
    <w:unhideWhenUsed/>
    <w:rsid w:val="008B1C93"/>
    <w:rPr>
      <w:vertAlign w:val="superscript"/>
    </w:rPr>
  </w:style>
  <w:style w:type="table" w:styleId="TableGrid">
    <w:name w:val="Table Grid"/>
    <w:basedOn w:val="TableNormal"/>
    <w:uiPriority w:val="39"/>
    <w:rsid w:val="007A6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7BD4"/>
    <w:pPr>
      <w:ind w:left="720"/>
      <w:contextualSpacing/>
    </w:pPr>
  </w:style>
  <w:style w:type="paragraph" w:styleId="BalloonText">
    <w:name w:val="Balloon Text"/>
    <w:basedOn w:val="Normal"/>
    <w:link w:val="BalloonTextChar"/>
    <w:uiPriority w:val="99"/>
    <w:semiHidden/>
    <w:unhideWhenUsed/>
    <w:rsid w:val="000031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94"/>
    <w:rPr>
      <w:rFonts w:ascii="Segoe UI" w:hAnsi="Segoe UI" w:cs="Segoe UI"/>
      <w:sz w:val="18"/>
      <w:szCs w:val="18"/>
      <w:lang w:val="en-GB"/>
    </w:rPr>
  </w:style>
  <w:style w:type="paragraph" w:styleId="Header">
    <w:name w:val="header"/>
    <w:basedOn w:val="Normal"/>
    <w:link w:val="HeaderChar"/>
    <w:uiPriority w:val="99"/>
    <w:unhideWhenUsed/>
    <w:rsid w:val="00700C89"/>
    <w:pPr>
      <w:tabs>
        <w:tab w:val="center" w:pos="4680"/>
        <w:tab w:val="right" w:pos="9360"/>
      </w:tabs>
      <w:spacing w:line="240" w:lineRule="auto"/>
    </w:pPr>
  </w:style>
  <w:style w:type="character" w:customStyle="1" w:styleId="HeaderChar">
    <w:name w:val="Header Char"/>
    <w:basedOn w:val="DefaultParagraphFont"/>
    <w:link w:val="Header"/>
    <w:uiPriority w:val="99"/>
    <w:rsid w:val="00700C89"/>
    <w:rPr>
      <w:lang w:val="en-GB"/>
    </w:rPr>
  </w:style>
  <w:style w:type="paragraph" w:styleId="Footer">
    <w:name w:val="footer"/>
    <w:basedOn w:val="Normal"/>
    <w:link w:val="FooterChar"/>
    <w:uiPriority w:val="99"/>
    <w:unhideWhenUsed/>
    <w:rsid w:val="00700C89"/>
    <w:pPr>
      <w:tabs>
        <w:tab w:val="center" w:pos="4680"/>
        <w:tab w:val="right" w:pos="9360"/>
      </w:tabs>
      <w:spacing w:line="240" w:lineRule="auto"/>
    </w:pPr>
  </w:style>
  <w:style w:type="character" w:customStyle="1" w:styleId="FooterChar">
    <w:name w:val="Footer Char"/>
    <w:basedOn w:val="DefaultParagraphFont"/>
    <w:link w:val="Footer"/>
    <w:uiPriority w:val="99"/>
    <w:rsid w:val="00700C89"/>
    <w:rPr>
      <w:lang w:val="en-GB"/>
    </w:rPr>
  </w:style>
  <w:style w:type="character" w:styleId="PageNumber">
    <w:name w:val="page number"/>
    <w:basedOn w:val="DefaultParagraphFont"/>
    <w:uiPriority w:val="99"/>
    <w:semiHidden/>
    <w:unhideWhenUsed/>
    <w:rsid w:val="0070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7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4B94-73C1-EC43-8610-480C4D8E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1162</Words>
  <Characters>6630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Woltjer, Pieter</dc:creator>
  <cp:lastModifiedBy>SS</cp:lastModifiedBy>
  <cp:revision>9</cp:revision>
  <cp:lastPrinted>2016-09-27T12:51:00Z</cp:lastPrinted>
  <dcterms:created xsi:type="dcterms:W3CDTF">2017-11-09T12:29:00Z</dcterms:created>
  <dcterms:modified xsi:type="dcterms:W3CDTF">2017-11-28T22:13:00Z</dcterms:modified>
</cp:coreProperties>
</file>