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9A2DE" w14:textId="70806A8E" w:rsidR="005F7137" w:rsidRPr="0006003D" w:rsidRDefault="00BA0709" w:rsidP="0006003D">
      <w:pPr>
        <w:jc w:val="center"/>
        <w:rPr>
          <w:rFonts w:ascii="Times New Roman" w:hAnsi="Times New Roman" w:cs="Times New Roman"/>
          <w:i/>
          <w:sz w:val="36"/>
          <w:szCs w:val="36"/>
        </w:rPr>
      </w:pPr>
      <w:r w:rsidRPr="0006003D">
        <w:rPr>
          <w:rFonts w:ascii="Times New Roman" w:hAnsi="Times New Roman" w:cs="Times New Roman"/>
          <w:i/>
          <w:sz w:val="36"/>
          <w:szCs w:val="36"/>
        </w:rPr>
        <w:t>Online Appendix</w:t>
      </w:r>
    </w:p>
    <w:p w14:paraId="41B19A1F" w14:textId="4A36A94C" w:rsidR="003B3A50" w:rsidRPr="009A045F" w:rsidRDefault="009A045F" w:rsidP="0006003D">
      <w:pPr>
        <w:jc w:val="center"/>
        <w:rPr>
          <w:rFonts w:ascii="Times New Roman" w:hAnsi="Times New Roman" w:cs="Times New Roman"/>
          <w:sz w:val="20"/>
          <w:szCs w:val="20"/>
        </w:rPr>
      </w:pPr>
      <w:r w:rsidRPr="009A045F">
        <w:rPr>
          <w:rFonts w:ascii="Times New Roman" w:hAnsi="Times New Roman" w:cs="Times New Roman"/>
          <w:sz w:val="20"/>
          <w:szCs w:val="20"/>
        </w:rPr>
        <w:t>APPENDIX 1: BRITISH, FOREIGN AND COLONIAL LIQUIDITY INDICATORS</w:t>
      </w:r>
    </w:p>
    <w:p w14:paraId="55726E1A" w14:textId="77777777" w:rsidR="003B3A50" w:rsidRPr="0006003D" w:rsidRDefault="003B3A50" w:rsidP="0006003D">
      <w:pPr>
        <w:jc w:val="both"/>
        <w:rPr>
          <w:rFonts w:ascii="Times New Roman" w:hAnsi="Times New Roman" w:cs="Times New Roman"/>
          <w:sz w:val="20"/>
          <w:szCs w:val="20"/>
        </w:rPr>
      </w:pPr>
    </w:p>
    <w:p w14:paraId="045AA6AC" w14:textId="77777777" w:rsidR="00BA0709" w:rsidRPr="0006003D" w:rsidRDefault="00BA0709" w:rsidP="0006003D">
      <w:pPr>
        <w:jc w:val="both"/>
        <w:rPr>
          <w:rFonts w:ascii="Times New Roman" w:hAnsi="Times New Roman" w:cs="Times New Roman"/>
          <w:sz w:val="20"/>
          <w:szCs w:val="20"/>
          <w:highlight w:val="yellow"/>
        </w:rPr>
      </w:pPr>
      <w:r w:rsidRPr="0006003D">
        <w:rPr>
          <w:rFonts w:ascii="Times New Roman" w:hAnsi="Times New Roman" w:cs="Times New Roman"/>
          <w:noProof/>
          <w:sz w:val="20"/>
          <w:szCs w:val="20"/>
        </w:rPr>
        <w:drawing>
          <wp:inline distT="0" distB="0" distL="0" distR="0" wp14:anchorId="2A4C1EC3" wp14:editId="5F263DEE">
            <wp:extent cx="4610599" cy="5892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grayscl/>
                    </a:blip>
                    <a:stretch>
                      <a:fillRect/>
                    </a:stretch>
                  </pic:blipFill>
                  <pic:spPr>
                    <a:xfrm>
                      <a:off x="0" y="0"/>
                      <a:ext cx="4669099" cy="5967569"/>
                    </a:xfrm>
                    <a:prstGeom prst="rect">
                      <a:avLst/>
                    </a:prstGeom>
                  </pic:spPr>
                </pic:pic>
              </a:graphicData>
            </a:graphic>
          </wp:inline>
        </w:drawing>
      </w:r>
    </w:p>
    <w:p w14:paraId="35515936" w14:textId="77777777" w:rsidR="00BA0709" w:rsidRPr="0006003D" w:rsidRDefault="00BA0709" w:rsidP="0006003D">
      <w:pPr>
        <w:jc w:val="both"/>
        <w:rPr>
          <w:rFonts w:ascii="Times New Roman" w:eastAsia="Arial" w:hAnsi="Times New Roman" w:cs="Times New Roman"/>
          <w:spacing w:val="-5"/>
          <w:sz w:val="20"/>
          <w:szCs w:val="20"/>
        </w:rPr>
      </w:pPr>
    </w:p>
    <w:p w14:paraId="2E8A5A36" w14:textId="77777777" w:rsidR="0006003D" w:rsidRPr="009A045F" w:rsidRDefault="00BA0709" w:rsidP="0006003D">
      <w:pPr>
        <w:jc w:val="center"/>
        <w:rPr>
          <w:rFonts w:ascii="Times New Roman" w:eastAsia="Arial" w:hAnsi="Times New Roman" w:cs="Times New Roman"/>
          <w:smallCaps/>
          <w:spacing w:val="-5"/>
          <w:sz w:val="20"/>
          <w:szCs w:val="20"/>
        </w:rPr>
      </w:pPr>
      <w:r w:rsidRPr="009A045F">
        <w:rPr>
          <w:rFonts w:ascii="Times New Roman" w:eastAsia="Arial" w:hAnsi="Times New Roman" w:cs="Times New Roman"/>
          <w:smallCaps/>
          <w:spacing w:val="-5"/>
          <w:sz w:val="20"/>
          <w:szCs w:val="20"/>
        </w:rPr>
        <w:t>Figure A1</w:t>
      </w:r>
    </w:p>
    <w:p w14:paraId="60A9E729" w14:textId="66438312" w:rsidR="0006003D" w:rsidRDefault="009A045F" w:rsidP="009A045F">
      <w:pPr>
        <w:jc w:val="center"/>
        <w:rPr>
          <w:rFonts w:ascii="Times New Roman" w:eastAsia="Arial" w:hAnsi="Times New Roman" w:cs="Times New Roman"/>
          <w:spacing w:val="-5"/>
          <w:sz w:val="20"/>
          <w:szCs w:val="20"/>
        </w:rPr>
      </w:pPr>
      <w:r w:rsidRPr="009A045F">
        <w:rPr>
          <w:rFonts w:ascii="Times New Roman" w:eastAsia="Arial" w:hAnsi="Times New Roman" w:cs="Times New Roman"/>
          <w:spacing w:val="-5"/>
          <w:sz w:val="20"/>
          <w:szCs w:val="20"/>
        </w:rPr>
        <w:t>COLONIAL LIQUIDITY INDICATORS</w:t>
      </w:r>
      <w:r w:rsidRPr="0006003D">
        <w:rPr>
          <w:rFonts w:ascii="Times New Roman" w:eastAsia="Arial" w:hAnsi="Times New Roman" w:cs="Times New Roman"/>
          <w:spacing w:val="-5"/>
          <w:sz w:val="20"/>
          <w:szCs w:val="20"/>
        </w:rPr>
        <w:t xml:space="preserve"> (RATIO OF CLOSING </w:t>
      </w:r>
      <w:r w:rsidR="00923BA2">
        <w:rPr>
          <w:rFonts w:ascii="Times New Roman" w:eastAsia="Arial" w:hAnsi="Times New Roman" w:cs="Times New Roman"/>
          <w:spacing w:val="-5"/>
          <w:sz w:val="20"/>
          <w:szCs w:val="20"/>
        </w:rPr>
        <w:t>QUOTATIONS BRACKET</w:t>
      </w:r>
      <w:r w:rsidRPr="0006003D">
        <w:rPr>
          <w:rFonts w:ascii="Times New Roman" w:eastAsia="Arial" w:hAnsi="Times New Roman" w:cs="Times New Roman"/>
          <w:spacing w:val="-5"/>
          <w:sz w:val="20"/>
          <w:szCs w:val="20"/>
        </w:rPr>
        <w:t xml:space="preserve"> TO BOND P</w:t>
      </w:r>
      <w:r>
        <w:rPr>
          <w:rFonts w:ascii="Times New Roman" w:eastAsia="Arial" w:hAnsi="Times New Roman" w:cs="Times New Roman"/>
          <w:spacing w:val="-5"/>
          <w:sz w:val="20"/>
          <w:szCs w:val="20"/>
        </w:rPr>
        <w:t>RICE; MEAN BY COUNTRY AND YEAR)</w:t>
      </w:r>
    </w:p>
    <w:p w14:paraId="509EDA96" w14:textId="10E1C087" w:rsidR="00BA0709" w:rsidRPr="0006003D" w:rsidRDefault="00BA0709" w:rsidP="0006003D">
      <w:pPr>
        <w:jc w:val="both"/>
        <w:rPr>
          <w:rFonts w:ascii="Times New Roman" w:eastAsia="Arial" w:hAnsi="Times New Roman" w:cs="Times New Roman"/>
          <w:spacing w:val="-5"/>
          <w:sz w:val="20"/>
          <w:szCs w:val="20"/>
        </w:rPr>
      </w:pPr>
      <w:r w:rsidRPr="009A045F">
        <w:rPr>
          <w:rFonts w:ascii="Times New Roman" w:eastAsia="Arial" w:hAnsi="Times New Roman" w:cs="Times New Roman"/>
          <w:i/>
          <w:spacing w:val="-5"/>
          <w:sz w:val="20"/>
          <w:szCs w:val="20"/>
        </w:rPr>
        <w:t>Source</w:t>
      </w:r>
      <w:r w:rsidRPr="0006003D">
        <w:rPr>
          <w:rFonts w:ascii="Times New Roman" w:eastAsia="Arial" w:hAnsi="Times New Roman" w:cs="Times New Roman"/>
          <w:spacing w:val="-5"/>
          <w:sz w:val="20"/>
          <w:szCs w:val="20"/>
        </w:rPr>
        <w:t xml:space="preserve">: </w:t>
      </w:r>
      <w:r w:rsidR="009A045F">
        <w:rPr>
          <w:rFonts w:ascii="Times New Roman" w:eastAsia="Arial" w:hAnsi="Times New Roman" w:cs="Times New Roman"/>
          <w:spacing w:val="-5"/>
          <w:sz w:val="20"/>
          <w:szCs w:val="20"/>
        </w:rPr>
        <w:t>A</w:t>
      </w:r>
      <w:r w:rsidRPr="0006003D">
        <w:rPr>
          <w:rFonts w:ascii="Times New Roman" w:eastAsia="Arial" w:hAnsi="Times New Roman" w:cs="Times New Roman"/>
          <w:spacing w:val="-5"/>
          <w:sz w:val="20"/>
          <w:szCs w:val="20"/>
        </w:rPr>
        <w:t xml:space="preserve">uthor’s database as collected from the </w:t>
      </w:r>
      <w:r w:rsidRPr="0006003D">
        <w:rPr>
          <w:rFonts w:ascii="Times New Roman" w:eastAsia="Arial" w:hAnsi="Times New Roman" w:cs="Times New Roman"/>
          <w:i/>
          <w:spacing w:val="-5"/>
          <w:sz w:val="20"/>
          <w:szCs w:val="20"/>
        </w:rPr>
        <w:t>Official List</w:t>
      </w:r>
      <w:r w:rsidRPr="0006003D">
        <w:rPr>
          <w:rFonts w:ascii="Times New Roman" w:eastAsia="Arial" w:hAnsi="Times New Roman" w:cs="Times New Roman"/>
          <w:spacing w:val="-5"/>
          <w:sz w:val="20"/>
          <w:szCs w:val="20"/>
        </w:rPr>
        <w:t>.</w:t>
      </w:r>
    </w:p>
    <w:p w14:paraId="67F45182" w14:textId="77777777" w:rsidR="00BA0709" w:rsidRPr="0006003D" w:rsidRDefault="00BA0709" w:rsidP="0006003D">
      <w:pPr>
        <w:jc w:val="both"/>
        <w:rPr>
          <w:rFonts w:ascii="Times New Roman" w:hAnsi="Times New Roman" w:cs="Times New Roman"/>
          <w:sz w:val="20"/>
          <w:szCs w:val="20"/>
          <w:highlight w:val="yellow"/>
        </w:rPr>
      </w:pPr>
      <w:r w:rsidRPr="0006003D">
        <w:rPr>
          <w:rFonts w:ascii="Times New Roman" w:hAnsi="Times New Roman" w:cs="Times New Roman"/>
          <w:noProof/>
          <w:sz w:val="20"/>
          <w:szCs w:val="20"/>
        </w:rPr>
        <w:lastRenderedPageBreak/>
        <w:drawing>
          <wp:inline distT="0" distB="0" distL="0" distR="0" wp14:anchorId="6D1C6624" wp14:editId="172C5A47">
            <wp:extent cx="5043294" cy="650240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grayscl/>
                    </a:blip>
                    <a:stretch>
                      <a:fillRect/>
                    </a:stretch>
                  </pic:blipFill>
                  <pic:spPr>
                    <a:xfrm>
                      <a:off x="0" y="0"/>
                      <a:ext cx="5049068" cy="6509845"/>
                    </a:xfrm>
                    <a:prstGeom prst="rect">
                      <a:avLst/>
                    </a:prstGeom>
                  </pic:spPr>
                </pic:pic>
              </a:graphicData>
            </a:graphic>
          </wp:inline>
        </w:drawing>
      </w:r>
    </w:p>
    <w:p w14:paraId="022DCD54" w14:textId="77777777" w:rsidR="00BA0709" w:rsidRPr="0006003D" w:rsidRDefault="00BA0709" w:rsidP="0006003D">
      <w:pPr>
        <w:jc w:val="both"/>
        <w:rPr>
          <w:rFonts w:ascii="Times New Roman" w:eastAsia="Arial" w:hAnsi="Times New Roman" w:cs="Times New Roman"/>
          <w:spacing w:val="-5"/>
          <w:sz w:val="20"/>
          <w:szCs w:val="20"/>
        </w:rPr>
      </w:pPr>
    </w:p>
    <w:p w14:paraId="563118BB" w14:textId="0F0A7E78" w:rsidR="009A045F" w:rsidRPr="009A045F" w:rsidRDefault="009A045F" w:rsidP="009A045F">
      <w:pPr>
        <w:jc w:val="center"/>
        <w:rPr>
          <w:rFonts w:ascii="Times New Roman" w:eastAsia="Arial" w:hAnsi="Times New Roman" w:cs="Times New Roman"/>
          <w:smallCaps/>
          <w:spacing w:val="-5"/>
          <w:sz w:val="20"/>
          <w:szCs w:val="20"/>
        </w:rPr>
      </w:pPr>
      <w:r w:rsidRPr="009A045F">
        <w:rPr>
          <w:rFonts w:ascii="Times New Roman" w:eastAsia="Arial" w:hAnsi="Times New Roman" w:cs="Times New Roman"/>
          <w:smallCaps/>
          <w:spacing w:val="-5"/>
          <w:sz w:val="20"/>
          <w:szCs w:val="20"/>
        </w:rPr>
        <w:t>Figure A2</w:t>
      </w:r>
    </w:p>
    <w:p w14:paraId="5DCBB3D1" w14:textId="47083FDA" w:rsidR="009A045F" w:rsidRDefault="009A045F" w:rsidP="009A045F">
      <w:pPr>
        <w:jc w:val="center"/>
        <w:rPr>
          <w:rFonts w:ascii="Times New Roman" w:eastAsia="Arial" w:hAnsi="Times New Roman" w:cs="Times New Roman"/>
          <w:spacing w:val="-5"/>
          <w:sz w:val="20"/>
          <w:szCs w:val="20"/>
        </w:rPr>
      </w:pPr>
      <w:r w:rsidRPr="009A045F">
        <w:rPr>
          <w:rFonts w:ascii="Times New Roman" w:eastAsia="Arial" w:hAnsi="Times New Roman" w:cs="Times New Roman"/>
          <w:spacing w:val="-5"/>
          <w:sz w:val="20"/>
          <w:szCs w:val="20"/>
        </w:rPr>
        <w:t>SOVEREIGN LIQUIDITY INDICATORS</w:t>
      </w:r>
      <w:r w:rsidRPr="0006003D">
        <w:rPr>
          <w:rFonts w:ascii="Times New Roman" w:eastAsia="Arial" w:hAnsi="Times New Roman" w:cs="Times New Roman"/>
          <w:spacing w:val="-5"/>
          <w:sz w:val="20"/>
          <w:szCs w:val="20"/>
        </w:rPr>
        <w:t xml:space="preserve"> (RATIO OF CLOSING </w:t>
      </w:r>
      <w:r w:rsidR="00923BA2">
        <w:rPr>
          <w:rFonts w:ascii="Times New Roman" w:eastAsia="Arial" w:hAnsi="Times New Roman" w:cs="Times New Roman"/>
          <w:spacing w:val="-5"/>
          <w:sz w:val="20"/>
          <w:szCs w:val="20"/>
        </w:rPr>
        <w:t>QUOTATIONS BRACKET</w:t>
      </w:r>
      <w:r w:rsidRPr="0006003D">
        <w:rPr>
          <w:rFonts w:ascii="Times New Roman" w:eastAsia="Arial" w:hAnsi="Times New Roman" w:cs="Times New Roman"/>
          <w:spacing w:val="-5"/>
          <w:sz w:val="20"/>
          <w:szCs w:val="20"/>
        </w:rPr>
        <w:t xml:space="preserve"> TO BOND P</w:t>
      </w:r>
      <w:r>
        <w:rPr>
          <w:rFonts w:ascii="Times New Roman" w:eastAsia="Arial" w:hAnsi="Times New Roman" w:cs="Times New Roman"/>
          <w:spacing w:val="-5"/>
          <w:sz w:val="20"/>
          <w:szCs w:val="20"/>
        </w:rPr>
        <w:t>RICE; MEAN BY COUNTRY AND YEAR)</w:t>
      </w:r>
    </w:p>
    <w:p w14:paraId="16E38D17" w14:textId="48CE0200" w:rsidR="00BA0709" w:rsidRPr="0006003D" w:rsidRDefault="00BA0709" w:rsidP="0006003D">
      <w:pPr>
        <w:jc w:val="both"/>
        <w:rPr>
          <w:rFonts w:ascii="Times New Roman" w:eastAsia="Arial" w:hAnsi="Times New Roman" w:cs="Times New Roman"/>
          <w:spacing w:val="-5"/>
          <w:sz w:val="20"/>
          <w:szCs w:val="20"/>
        </w:rPr>
      </w:pPr>
      <w:r w:rsidRPr="009A045F">
        <w:rPr>
          <w:rFonts w:ascii="Times New Roman" w:eastAsia="Arial" w:hAnsi="Times New Roman" w:cs="Times New Roman"/>
          <w:i/>
          <w:spacing w:val="-5"/>
          <w:sz w:val="20"/>
          <w:szCs w:val="20"/>
        </w:rPr>
        <w:t>Source</w:t>
      </w:r>
      <w:r w:rsidRPr="0006003D">
        <w:rPr>
          <w:rFonts w:ascii="Times New Roman" w:eastAsia="Arial" w:hAnsi="Times New Roman" w:cs="Times New Roman"/>
          <w:spacing w:val="-5"/>
          <w:sz w:val="20"/>
          <w:szCs w:val="20"/>
        </w:rPr>
        <w:t xml:space="preserve">: </w:t>
      </w:r>
      <w:r w:rsidR="009A045F">
        <w:rPr>
          <w:rFonts w:ascii="Times New Roman" w:eastAsia="Arial" w:hAnsi="Times New Roman" w:cs="Times New Roman"/>
          <w:spacing w:val="-5"/>
          <w:sz w:val="20"/>
          <w:szCs w:val="20"/>
        </w:rPr>
        <w:t>A</w:t>
      </w:r>
      <w:r w:rsidRPr="0006003D">
        <w:rPr>
          <w:rFonts w:ascii="Times New Roman" w:eastAsia="Arial" w:hAnsi="Times New Roman" w:cs="Times New Roman"/>
          <w:spacing w:val="-5"/>
          <w:sz w:val="20"/>
          <w:szCs w:val="20"/>
        </w:rPr>
        <w:t xml:space="preserve">uthor’s database as collected from the </w:t>
      </w:r>
      <w:r w:rsidRPr="0006003D">
        <w:rPr>
          <w:rFonts w:ascii="Times New Roman" w:eastAsia="Arial" w:hAnsi="Times New Roman" w:cs="Times New Roman"/>
          <w:i/>
          <w:spacing w:val="-5"/>
          <w:sz w:val="20"/>
          <w:szCs w:val="20"/>
        </w:rPr>
        <w:t>Official List</w:t>
      </w:r>
      <w:r w:rsidRPr="0006003D">
        <w:rPr>
          <w:rFonts w:ascii="Times New Roman" w:eastAsia="Arial" w:hAnsi="Times New Roman" w:cs="Times New Roman"/>
          <w:spacing w:val="-5"/>
          <w:sz w:val="20"/>
          <w:szCs w:val="20"/>
        </w:rPr>
        <w:t>.</w:t>
      </w:r>
    </w:p>
    <w:p w14:paraId="139500AA" w14:textId="77777777" w:rsidR="003B3A50" w:rsidRPr="0006003D" w:rsidRDefault="003B3A50" w:rsidP="0006003D">
      <w:pPr>
        <w:jc w:val="both"/>
        <w:rPr>
          <w:rFonts w:ascii="Times New Roman" w:hAnsi="Times New Roman" w:cs="Times New Roman"/>
          <w:sz w:val="20"/>
          <w:szCs w:val="20"/>
        </w:rPr>
        <w:sectPr w:rsidR="003B3A50" w:rsidRPr="0006003D" w:rsidSect="00F153FD">
          <w:headerReference w:type="even" r:id="rId10"/>
          <w:headerReference w:type="default" r:id="rId11"/>
          <w:footerReference w:type="first" r:id="rId12"/>
          <w:pgSz w:w="12240" w:h="15840"/>
          <w:pgMar w:top="1786" w:right="2635" w:bottom="1555" w:left="2635" w:header="1786" w:footer="1195" w:gutter="0"/>
          <w:cols w:space="720"/>
          <w:titlePg/>
          <w:docGrid w:linePitch="326"/>
        </w:sectPr>
      </w:pPr>
    </w:p>
    <w:p w14:paraId="3F292D9B" w14:textId="189BE871" w:rsidR="003B3A50" w:rsidRPr="009A045F" w:rsidRDefault="009A045F" w:rsidP="0006003D">
      <w:pPr>
        <w:ind w:right="-12"/>
        <w:jc w:val="center"/>
        <w:rPr>
          <w:rFonts w:ascii="Times New Roman" w:eastAsia="Arial" w:hAnsi="Times New Roman" w:cs="Times New Roman"/>
          <w:sz w:val="20"/>
          <w:szCs w:val="20"/>
        </w:rPr>
      </w:pPr>
      <w:r w:rsidRPr="009A045F">
        <w:rPr>
          <w:rFonts w:ascii="Times New Roman" w:eastAsia="Arial" w:hAnsi="Times New Roman" w:cs="Times New Roman"/>
          <w:bCs/>
          <w:sz w:val="20"/>
          <w:szCs w:val="20"/>
        </w:rPr>
        <w:lastRenderedPageBreak/>
        <w:t>APPENDIX 2: SA</w:t>
      </w:r>
      <w:bookmarkStart w:id="0" w:name="_GoBack"/>
      <w:bookmarkEnd w:id="0"/>
      <w:r w:rsidRPr="009A045F">
        <w:rPr>
          <w:rFonts w:ascii="Times New Roman" w:eastAsia="Arial" w:hAnsi="Times New Roman" w:cs="Times New Roman"/>
          <w:bCs/>
          <w:sz w:val="20"/>
          <w:szCs w:val="20"/>
        </w:rPr>
        <w:t>MPLE, DATA AND SOURCES</w:t>
      </w:r>
    </w:p>
    <w:p w14:paraId="29C7759E" w14:textId="77777777" w:rsidR="003B3A50" w:rsidRPr="0006003D" w:rsidRDefault="003B3A50" w:rsidP="0006003D">
      <w:pPr>
        <w:rPr>
          <w:rFonts w:ascii="Times New Roman" w:hAnsi="Times New Roman" w:cs="Times New Roman"/>
          <w:sz w:val="20"/>
          <w:szCs w:val="20"/>
        </w:rPr>
      </w:pPr>
    </w:p>
    <w:p w14:paraId="547471F3" w14:textId="5DD37B3D" w:rsidR="003B3A50" w:rsidRPr="0006003D" w:rsidRDefault="003B3A50"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Our sample draws from a novel hand-picked database of government bond quotations from the London Stock Exchange covering the 1872</w:t>
      </w:r>
      <w:r w:rsidR="009A045F">
        <w:rPr>
          <w:rFonts w:ascii="Times New Roman" w:eastAsia="Arial" w:hAnsi="Times New Roman" w:cs="Times New Roman"/>
          <w:sz w:val="20"/>
          <w:szCs w:val="20"/>
        </w:rPr>
        <w:t>–</w:t>
      </w:r>
      <w:r w:rsidRPr="0006003D">
        <w:rPr>
          <w:rFonts w:ascii="Times New Roman" w:eastAsia="Arial" w:hAnsi="Times New Roman" w:cs="Times New Roman"/>
          <w:sz w:val="20"/>
          <w:szCs w:val="20"/>
        </w:rPr>
        <w:t>1909 period. We originally collected the entire</w:t>
      </w:r>
      <w:r w:rsidR="00921961"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universe of quoted sovereign and colonial bonds at monthly frequency (the last trading day of the month) in the </w:t>
      </w:r>
      <w:r w:rsidRPr="0006003D">
        <w:rPr>
          <w:rFonts w:ascii="Times New Roman" w:eastAsia="Arial" w:hAnsi="Times New Roman" w:cs="Times New Roman"/>
          <w:i/>
          <w:sz w:val="20"/>
          <w:szCs w:val="20"/>
        </w:rPr>
        <w:t xml:space="preserve">London Daily Stock </w:t>
      </w:r>
      <w:r w:rsidR="009A045F">
        <w:rPr>
          <w:rFonts w:ascii="Times New Roman" w:eastAsia="Arial" w:hAnsi="Times New Roman" w:cs="Times New Roman"/>
          <w:i/>
          <w:sz w:val="20"/>
          <w:szCs w:val="20"/>
        </w:rPr>
        <w:t>and</w:t>
      </w:r>
      <w:r w:rsidRPr="0006003D">
        <w:rPr>
          <w:rFonts w:ascii="Times New Roman" w:eastAsia="Arial" w:hAnsi="Times New Roman" w:cs="Times New Roman"/>
          <w:i/>
          <w:sz w:val="20"/>
          <w:szCs w:val="20"/>
        </w:rPr>
        <w:t xml:space="preserve"> Shares List</w:t>
      </w:r>
      <w:r w:rsidR="00923BA2">
        <w:rPr>
          <w:rFonts w:ascii="Times New Roman" w:eastAsia="Arial" w:hAnsi="Times New Roman" w:cs="Times New Roman"/>
          <w:i/>
          <w:sz w:val="20"/>
          <w:szCs w:val="20"/>
        </w:rPr>
        <w:t xml:space="preserve"> </w:t>
      </w:r>
      <w:r w:rsidR="00923BA2">
        <w:rPr>
          <w:rFonts w:ascii="Times New Roman" w:eastAsia="Arial" w:hAnsi="Times New Roman" w:cs="Times New Roman"/>
          <w:sz w:val="20"/>
          <w:szCs w:val="20"/>
        </w:rPr>
        <w:t>(“</w:t>
      </w:r>
      <w:r w:rsidR="00923BA2">
        <w:rPr>
          <w:rFonts w:ascii="Times New Roman" w:eastAsia="Arial" w:hAnsi="Times New Roman" w:cs="Times New Roman"/>
          <w:i/>
          <w:sz w:val="20"/>
          <w:szCs w:val="20"/>
        </w:rPr>
        <w:t>Official List”</w:t>
      </w:r>
      <w:r w:rsidR="00923BA2">
        <w:rPr>
          <w:rFonts w:ascii="Times New Roman" w:eastAsia="Arial" w:hAnsi="Times New Roman" w:cs="Times New Roman"/>
          <w:sz w:val="20"/>
          <w:szCs w:val="20"/>
        </w:rPr>
        <w:t>)</w:t>
      </w:r>
      <w:r w:rsidRPr="0006003D">
        <w:rPr>
          <w:rFonts w:ascii="Times New Roman" w:eastAsia="Arial" w:hAnsi="Times New Roman" w:cs="Times New Roman"/>
          <w:sz w:val="20"/>
          <w:szCs w:val="20"/>
        </w:rPr>
        <w:t>, a leadin</w:t>
      </w:r>
      <w:r w:rsidR="009A045F">
        <w:rPr>
          <w:rFonts w:ascii="Times New Roman" w:eastAsia="Arial" w:hAnsi="Times New Roman" w:cs="Times New Roman"/>
          <w:sz w:val="20"/>
          <w:szCs w:val="20"/>
        </w:rPr>
        <w:t>g financial publication (</w:t>
      </w:r>
      <w:proofErr w:type="spellStart"/>
      <w:r w:rsidR="009A045F">
        <w:rPr>
          <w:rFonts w:ascii="Times New Roman" w:eastAsia="Arial" w:hAnsi="Times New Roman" w:cs="Times New Roman"/>
          <w:sz w:val="20"/>
          <w:szCs w:val="20"/>
        </w:rPr>
        <w:t>Michie</w:t>
      </w:r>
      <w:proofErr w:type="spellEnd"/>
      <w:r w:rsidR="00921961"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1999). However, the main tests of this paper exploit only yearly prices (using the month of December data) for a subset of countries and abstracts from the 1872</w:t>
      </w:r>
      <w:r w:rsidR="00283E92">
        <w:rPr>
          <w:rFonts w:ascii="Times New Roman" w:eastAsia="Arial" w:hAnsi="Times New Roman" w:cs="Times New Roman"/>
          <w:sz w:val="20"/>
          <w:szCs w:val="20"/>
        </w:rPr>
        <w:t>–</w:t>
      </w:r>
      <w:r w:rsidRPr="0006003D">
        <w:rPr>
          <w:rFonts w:ascii="Times New Roman" w:eastAsia="Arial" w:hAnsi="Times New Roman" w:cs="Times New Roman"/>
          <w:sz w:val="20"/>
          <w:szCs w:val="20"/>
        </w:rPr>
        <w:t xml:space="preserve">1880 years. This is because we additionally use credit risk proxies drawn from </w:t>
      </w:r>
      <w:r w:rsidR="00776D1E" w:rsidRPr="0006003D">
        <w:rPr>
          <w:rFonts w:ascii="Times New Roman" w:eastAsia="Arial" w:hAnsi="Times New Roman" w:cs="Times New Roman"/>
          <w:sz w:val="20"/>
          <w:szCs w:val="20"/>
        </w:rPr>
        <w:t>the Global Finance Database (</w:t>
      </w:r>
      <w:r w:rsidR="00776D1E" w:rsidRPr="009A045F">
        <w:rPr>
          <w:rFonts w:ascii="Times New Roman" w:eastAsia="Arial" w:hAnsi="Times New Roman" w:cs="Times New Roman"/>
          <w:sz w:val="20"/>
          <w:szCs w:val="20"/>
        </w:rPr>
        <w:t>http://eh.net/database/global-finance/)</w:t>
      </w:r>
      <w:r w:rsidR="00646DE3" w:rsidRPr="009A045F">
        <w:rPr>
          <w:rStyle w:val="Hyperlink"/>
          <w:rFonts w:ascii="Times New Roman" w:eastAsia="Arial" w:hAnsi="Times New Roman" w:cs="Times New Roman"/>
          <w:color w:val="000000" w:themeColor="text1"/>
          <w:sz w:val="20"/>
          <w:szCs w:val="20"/>
          <w:u w:val="none"/>
        </w:rPr>
        <w:t>,</w:t>
      </w:r>
      <w:r w:rsidR="00776D1E" w:rsidRPr="0006003D">
        <w:rPr>
          <w:rFonts w:ascii="Times New Roman" w:eastAsia="Arial" w:hAnsi="Times New Roman" w:cs="Times New Roman"/>
          <w:sz w:val="20"/>
          <w:szCs w:val="20"/>
        </w:rPr>
        <w:t xml:space="preserve"> which draws on </w:t>
      </w:r>
      <w:r w:rsidRPr="0006003D">
        <w:rPr>
          <w:rFonts w:ascii="Times New Roman" w:eastAsia="Arial" w:hAnsi="Times New Roman" w:cs="Times New Roman"/>
          <w:sz w:val="20"/>
          <w:szCs w:val="20"/>
        </w:rPr>
        <w:t xml:space="preserve">Flandreau and </w:t>
      </w:r>
      <w:proofErr w:type="spellStart"/>
      <w:r w:rsidRPr="0006003D">
        <w:rPr>
          <w:rFonts w:ascii="Times New Roman" w:eastAsia="Arial" w:hAnsi="Times New Roman" w:cs="Times New Roman"/>
          <w:sz w:val="20"/>
          <w:szCs w:val="20"/>
        </w:rPr>
        <w:t>Zumer</w:t>
      </w:r>
      <w:proofErr w:type="spellEnd"/>
      <w:r w:rsidRPr="0006003D">
        <w:rPr>
          <w:rFonts w:ascii="Times New Roman" w:eastAsia="Arial" w:hAnsi="Times New Roman" w:cs="Times New Roman"/>
          <w:sz w:val="20"/>
          <w:szCs w:val="20"/>
        </w:rPr>
        <w:t xml:space="preserve"> (2004)</w:t>
      </w:r>
      <w:r w:rsidR="00776D1E" w:rsidRPr="0006003D">
        <w:rPr>
          <w:rFonts w:ascii="Times New Roman" w:eastAsia="Arial" w:hAnsi="Times New Roman" w:cs="Times New Roman"/>
          <w:sz w:val="20"/>
          <w:szCs w:val="20"/>
        </w:rPr>
        <w:t xml:space="preserve"> and </w:t>
      </w:r>
      <w:proofErr w:type="spellStart"/>
      <w:r w:rsidR="00776D1E" w:rsidRPr="0006003D">
        <w:rPr>
          <w:rFonts w:ascii="Times New Roman" w:eastAsia="Arial" w:hAnsi="Times New Roman" w:cs="Times New Roman"/>
          <w:sz w:val="20"/>
          <w:szCs w:val="20"/>
        </w:rPr>
        <w:t>Accominotti</w:t>
      </w:r>
      <w:proofErr w:type="spellEnd"/>
      <w:r w:rsidR="00776D1E" w:rsidRPr="0006003D">
        <w:rPr>
          <w:rFonts w:ascii="Times New Roman" w:eastAsia="Arial" w:hAnsi="Times New Roman" w:cs="Times New Roman"/>
          <w:sz w:val="20"/>
          <w:szCs w:val="20"/>
        </w:rPr>
        <w:t>, Flandreau</w:t>
      </w:r>
      <w:r w:rsidR="008744A3">
        <w:rPr>
          <w:rFonts w:ascii="Times New Roman" w:eastAsia="Arial" w:hAnsi="Times New Roman" w:cs="Times New Roman"/>
          <w:sz w:val="20"/>
          <w:szCs w:val="20"/>
        </w:rPr>
        <w:t>,</w:t>
      </w:r>
      <w:r w:rsidR="00776D1E" w:rsidRPr="0006003D">
        <w:rPr>
          <w:rFonts w:ascii="Times New Roman" w:eastAsia="Arial" w:hAnsi="Times New Roman" w:cs="Times New Roman"/>
          <w:sz w:val="20"/>
          <w:szCs w:val="20"/>
        </w:rPr>
        <w:t xml:space="preserve"> and </w:t>
      </w:r>
      <w:proofErr w:type="spellStart"/>
      <w:r w:rsidR="00776D1E" w:rsidRPr="0006003D">
        <w:rPr>
          <w:rFonts w:ascii="Times New Roman" w:eastAsia="Arial" w:hAnsi="Times New Roman" w:cs="Times New Roman"/>
          <w:sz w:val="20"/>
          <w:szCs w:val="20"/>
        </w:rPr>
        <w:t>Rezzik</w:t>
      </w:r>
      <w:proofErr w:type="spellEnd"/>
      <w:r w:rsidR="00776D1E" w:rsidRPr="0006003D">
        <w:rPr>
          <w:rFonts w:ascii="Times New Roman" w:eastAsia="Arial" w:hAnsi="Times New Roman" w:cs="Times New Roman"/>
          <w:sz w:val="20"/>
          <w:szCs w:val="20"/>
        </w:rPr>
        <w:t xml:space="preserve"> (2011).</w:t>
      </w:r>
      <w:r w:rsidRPr="0006003D">
        <w:rPr>
          <w:rFonts w:ascii="Times New Roman" w:eastAsia="Arial" w:hAnsi="Times New Roman" w:cs="Times New Roman"/>
          <w:sz w:val="20"/>
          <w:szCs w:val="20"/>
        </w:rPr>
        <w:t xml:space="preserve"> Th</w:t>
      </w:r>
      <w:r w:rsidR="00776D1E" w:rsidRPr="0006003D">
        <w:rPr>
          <w:rFonts w:ascii="Times New Roman" w:eastAsia="Arial" w:hAnsi="Times New Roman" w:cs="Times New Roman"/>
          <w:sz w:val="20"/>
          <w:szCs w:val="20"/>
        </w:rPr>
        <w:t>is</w:t>
      </w:r>
      <w:r w:rsidRPr="0006003D">
        <w:rPr>
          <w:rFonts w:ascii="Times New Roman" w:eastAsia="Arial" w:hAnsi="Times New Roman" w:cs="Times New Roman"/>
          <w:sz w:val="20"/>
          <w:szCs w:val="20"/>
        </w:rPr>
        <w:t xml:space="preserve"> dataset covers the 1880</w:t>
      </w:r>
      <w:r w:rsidR="008744A3">
        <w:rPr>
          <w:rFonts w:ascii="Times New Roman" w:eastAsia="Arial" w:hAnsi="Times New Roman" w:cs="Times New Roman"/>
          <w:sz w:val="20"/>
          <w:szCs w:val="20"/>
        </w:rPr>
        <w:t>–</w:t>
      </w:r>
      <w:r w:rsidRPr="0006003D">
        <w:rPr>
          <w:rFonts w:ascii="Times New Roman" w:eastAsia="Arial" w:hAnsi="Times New Roman" w:cs="Times New Roman"/>
          <w:sz w:val="20"/>
          <w:szCs w:val="20"/>
        </w:rPr>
        <w:t xml:space="preserve">1909 period at yearly frequency for a </w:t>
      </w:r>
      <w:r w:rsidR="00776D1E" w:rsidRPr="0006003D">
        <w:rPr>
          <w:rFonts w:ascii="Times New Roman" w:eastAsia="Arial" w:hAnsi="Times New Roman" w:cs="Times New Roman"/>
          <w:sz w:val="20"/>
          <w:szCs w:val="20"/>
        </w:rPr>
        <w:t xml:space="preserve">number </w:t>
      </w:r>
      <w:r w:rsidRPr="0006003D">
        <w:rPr>
          <w:rFonts w:ascii="Times New Roman" w:eastAsia="Arial" w:hAnsi="Times New Roman" w:cs="Times New Roman"/>
          <w:sz w:val="20"/>
          <w:szCs w:val="20"/>
        </w:rPr>
        <w:t xml:space="preserve">of countries in our database. The colonies included in </w:t>
      </w:r>
      <w:r w:rsidR="00776D1E" w:rsidRPr="0006003D">
        <w:rPr>
          <w:rFonts w:ascii="Times New Roman" w:eastAsia="Arial" w:hAnsi="Times New Roman" w:cs="Times New Roman"/>
          <w:sz w:val="20"/>
          <w:szCs w:val="20"/>
        </w:rPr>
        <w:t>the Global Finance Database</w:t>
      </w:r>
      <w:r w:rsidRPr="0006003D">
        <w:rPr>
          <w:rFonts w:ascii="Times New Roman" w:eastAsia="Arial" w:hAnsi="Times New Roman" w:cs="Times New Roman"/>
          <w:sz w:val="20"/>
          <w:szCs w:val="20"/>
        </w:rPr>
        <w:t xml:space="preserve"> are Canada, Cape of Good Hope, Ceylon, Egypt, India, Jamaica, Mauritius, New South Wales, New Zealand, </w:t>
      </w:r>
      <w:r w:rsidR="00926DCE" w:rsidRPr="0006003D">
        <w:rPr>
          <w:rFonts w:ascii="Times New Roman" w:eastAsia="Arial" w:hAnsi="Times New Roman" w:cs="Times New Roman"/>
          <w:sz w:val="20"/>
          <w:szCs w:val="20"/>
        </w:rPr>
        <w:t>Natal</w:t>
      </w:r>
      <w:r w:rsidRPr="0006003D">
        <w:rPr>
          <w:rFonts w:ascii="Times New Roman" w:eastAsia="Arial" w:hAnsi="Times New Roman" w:cs="Times New Roman"/>
          <w:sz w:val="20"/>
          <w:szCs w:val="20"/>
        </w:rPr>
        <w:t>, Queensland, South Australia, Tasmania, Victoria</w:t>
      </w:r>
      <w:r w:rsidR="008744A3">
        <w:rPr>
          <w:rFonts w:ascii="Times New Roman" w:eastAsia="Arial" w:hAnsi="Times New Roman" w:cs="Times New Roman"/>
          <w:sz w:val="20"/>
          <w:szCs w:val="20"/>
        </w:rPr>
        <w:t>,</w:t>
      </w:r>
      <w:r w:rsidRPr="0006003D">
        <w:rPr>
          <w:rFonts w:ascii="Times New Roman" w:eastAsia="Arial" w:hAnsi="Times New Roman" w:cs="Times New Roman"/>
          <w:sz w:val="20"/>
          <w:szCs w:val="20"/>
        </w:rPr>
        <w:t xml:space="preserve"> and Western Australia.</w:t>
      </w:r>
      <w:r w:rsidR="009E3B08"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The sovereigns are Argentina, Brazil, Denmark, Greece, Hungary, Italy, Norway, Portugal, Russia, Spain</w:t>
      </w:r>
      <w:r w:rsidR="008744A3">
        <w:rPr>
          <w:rFonts w:ascii="Times New Roman" w:eastAsia="Arial" w:hAnsi="Times New Roman" w:cs="Times New Roman"/>
          <w:sz w:val="20"/>
          <w:szCs w:val="20"/>
        </w:rPr>
        <w:t>,</w:t>
      </w:r>
      <w:r w:rsidRPr="0006003D">
        <w:rPr>
          <w:rFonts w:ascii="Times New Roman" w:eastAsia="Arial" w:hAnsi="Times New Roman" w:cs="Times New Roman"/>
          <w:sz w:val="20"/>
          <w:szCs w:val="20"/>
        </w:rPr>
        <w:t xml:space="preserve"> and Sweden.</w:t>
      </w:r>
    </w:p>
    <w:p w14:paraId="12446B1F" w14:textId="779D6CEB" w:rsidR="003B3A50" w:rsidRPr="0006003D" w:rsidRDefault="003B3A50"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In contrast, results in </w:t>
      </w:r>
      <w:r w:rsidR="00C87825" w:rsidRPr="0006003D">
        <w:rPr>
          <w:rFonts w:ascii="Times New Roman" w:eastAsia="Arial" w:hAnsi="Times New Roman" w:cs="Times New Roman"/>
          <w:sz w:val="20"/>
          <w:szCs w:val="20"/>
        </w:rPr>
        <w:t xml:space="preserve">Tables </w:t>
      </w:r>
      <w:r w:rsidR="009548F8">
        <w:rPr>
          <w:rFonts w:ascii="Times New Roman" w:eastAsia="Arial" w:hAnsi="Times New Roman" w:cs="Times New Roman"/>
          <w:sz w:val="20"/>
          <w:szCs w:val="20"/>
        </w:rPr>
        <w:t>A.1 to A.4</w:t>
      </w:r>
      <w:r w:rsidRPr="0006003D">
        <w:rPr>
          <w:rFonts w:ascii="Times New Roman" w:eastAsia="Arial" w:hAnsi="Times New Roman" w:cs="Times New Roman"/>
          <w:sz w:val="20"/>
          <w:szCs w:val="20"/>
        </w:rPr>
        <w:t xml:space="preserve"> exploit the whole sample of countries and years at monthly frequencies. In both cases, we excluded the bonds of countries in default by using the corresponding proxy in Flandreau and </w:t>
      </w:r>
      <w:proofErr w:type="spellStart"/>
      <w:r w:rsidRPr="0006003D">
        <w:rPr>
          <w:rFonts w:ascii="Times New Roman" w:eastAsia="Arial" w:hAnsi="Times New Roman" w:cs="Times New Roman"/>
          <w:sz w:val="20"/>
          <w:szCs w:val="20"/>
        </w:rPr>
        <w:t>Zumer</w:t>
      </w:r>
      <w:proofErr w:type="spellEnd"/>
      <w:r w:rsidRPr="0006003D">
        <w:rPr>
          <w:rFonts w:ascii="Times New Roman" w:eastAsia="Arial" w:hAnsi="Times New Roman" w:cs="Times New Roman"/>
          <w:sz w:val="20"/>
          <w:szCs w:val="20"/>
        </w:rPr>
        <w:t xml:space="preserve"> (2004). We also excluded sovereign bonds denominated in currencies other than Sterling. Finally, we removed those bonds for which we observed less than 12 data points.</w:t>
      </w:r>
    </w:p>
    <w:p w14:paraId="65CE30B1" w14:textId="77777777" w:rsidR="003B3A50" w:rsidRPr="0006003D" w:rsidRDefault="003B3A50" w:rsidP="0006003D">
      <w:pPr>
        <w:ind w:left="120" w:right="62" w:firstLine="339"/>
        <w:jc w:val="both"/>
        <w:rPr>
          <w:rFonts w:ascii="Times New Roman" w:eastAsia="Arial" w:hAnsi="Times New Roman" w:cs="Times New Roman"/>
          <w:color w:val="000000"/>
          <w:sz w:val="20"/>
          <w:szCs w:val="20"/>
        </w:rPr>
      </w:pPr>
      <w:r w:rsidRPr="0006003D">
        <w:rPr>
          <w:rFonts w:ascii="Times New Roman" w:eastAsia="Arial" w:hAnsi="Times New Roman" w:cs="Times New Roman"/>
          <w:sz w:val="20"/>
          <w:szCs w:val="20"/>
        </w:rPr>
        <w:t xml:space="preserve">We measure the yield on a bond </w:t>
      </w:r>
      <w:proofErr w:type="spellStart"/>
      <w:r w:rsidRPr="0006003D">
        <w:rPr>
          <w:rFonts w:ascii="Times New Roman" w:eastAsia="Arial" w:hAnsi="Times New Roman" w:cs="Times New Roman"/>
          <w:i/>
          <w:sz w:val="20"/>
          <w:szCs w:val="20"/>
        </w:rPr>
        <w:t>i</w:t>
      </w:r>
      <w:proofErr w:type="spellEnd"/>
      <w:r w:rsidRPr="0006003D">
        <w:rPr>
          <w:rFonts w:ascii="Times New Roman" w:eastAsia="Arial" w:hAnsi="Times New Roman" w:cs="Times New Roman"/>
          <w:i/>
          <w:sz w:val="20"/>
          <w:szCs w:val="20"/>
        </w:rPr>
        <w:t xml:space="preserve"> </w:t>
      </w:r>
      <w:r w:rsidRPr="0006003D">
        <w:rPr>
          <w:rFonts w:ascii="Times New Roman" w:eastAsia="Arial" w:hAnsi="Times New Roman" w:cs="Times New Roman"/>
          <w:sz w:val="20"/>
          <w:szCs w:val="20"/>
        </w:rPr>
        <w:t xml:space="preserve">issued by country </w:t>
      </w:r>
      <w:r w:rsidRPr="0006003D">
        <w:rPr>
          <w:rFonts w:ascii="Times New Roman" w:eastAsia="Arial" w:hAnsi="Times New Roman" w:cs="Times New Roman"/>
          <w:i/>
          <w:sz w:val="20"/>
          <w:szCs w:val="20"/>
        </w:rPr>
        <w:t>c</w:t>
      </w:r>
      <w:r w:rsidRPr="0006003D">
        <w:rPr>
          <w:rFonts w:ascii="Times New Roman" w:eastAsia="Arial" w:hAnsi="Times New Roman" w:cs="Times New Roman"/>
          <w:sz w:val="20"/>
          <w:szCs w:val="20"/>
        </w:rPr>
        <w:t xml:space="preserve"> using a standard coupon-yield formula such as</w:t>
      </w:r>
      <w:r w:rsidRPr="0006003D">
        <w:rPr>
          <w:rFonts w:ascii="Times New Roman" w:eastAsia="Arial" w:hAnsi="Times New Roman" w:cs="Times New Roman"/>
          <w:color w:val="00000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gridCol w:w="709"/>
      </w:tblGrid>
      <w:tr w:rsidR="00433BCF" w:rsidRPr="0006003D" w14:paraId="38124922" w14:textId="77777777" w:rsidTr="00C42ACD">
        <w:tc>
          <w:tcPr>
            <w:tcW w:w="9028" w:type="dxa"/>
          </w:tcPr>
          <w:p w14:paraId="6C1B35C2" w14:textId="4D53C74B" w:rsidR="00433BCF" w:rsidRPr="0006003D" w:rsidRDefault="00B64F31" w:rsidP="0006003D">
            <w:pPr>
              <w:ind w:left="100" w:right="62" w:firstLine="184"/>
              <w:jc w:val="both"/>
              <w:rPr>
                <w:rFonts w:ascii="Times New Roman" w:eastAsia="Arial" w:hAnsi="Times New Roman" w:cs="Times New Roman"/>
                <w:sz w:val="20"/>
                <w:szCs w:val="20"/>
              </w:rPr>
            </w:pPr>
            <m:oMathPara>
              <m:oMath>
                <m:sSub>
                  <m:sSubPr>
                    <m:ctrlPr>
                      <w:rPr>
                        <w:rFonts w:ascii="Cambria Math" w:eastAsia="Arial" w:hAnsi="Cambria Math" w:cs="Times New Roman"/>
                        <w:i/>
                        <w:sz w:val="20"/>
                        <w:szCs w:val="20"/>
                      </w:rPr>
                    </m:ctrlPr>
                  </m:sSubPr>
                  <m:e>
                    <m:r>
                      <w:rPr>
                        <w:rFonts w:ascii="Cambria Math" w:eastAsia="Arial" w:hAnsi="Cambria Math" w:cs="Times New Roman"/>
                        <w:sz w:val="20"/>
                        <w:szCs w:val="20"/>
                      </w:rPr>
                      <m:t>Yield</m:t>
                    </m:r>
                  </m:e>
                  <m:sub>
                    <m:r>
                      <w:rPr>
                        <w:rFonts w:ascii="Cambria Math" w:eastAsia="Arial" w:hAnsi="Cambria Math" w:cs="Times New Roman"/>
                        <w:sz w:val="20"/>
                        <w:szCs w:val="20"/>
                      </w:rPr>
                      <m:t>i,c,t</m:t>
                    </m:r>
                  </m:sub>
                </m:sSub>
                <m:r>
                  <w:rPr>
                    <w:rFonts w:ascii="Cambria Math" w:eastAsia="Arial" w:hAnsi="Cambria Math" w:cs="Times New Roman"/>
                    <w:sz w:val="20"/>
                    <w:szCs w:val="20"/>
                  </w:rPr>
                  <m:t>=</m:t>
                </m:r>
                <m:f>
                  <m:fPr>
                    <m:ctrlPr>
                      <w:rPr>
                        <w:rFonts w:ascii="Cambria Math" w:eastAsia="Arial" w:hAnsi="Cambria Math" w:cs="Times New Roman"/>
                        <w:i/>
                        <w:sz w:val="20"/>
                        <w:szCs w:val="20"/>
                      </w:rPr>
                    </m:ctrlPr>
                  </m:fPr>
                  <m:num>
                    <m:sSub>
                      <m:sSubPr>
                        <m:ctrlPr>
                          <w:rPr>
                            <w:rFonts w:ascii="Cambria Math" w:eastAsia="Arial" w:hAnsi="Cambria Math" w:cs="Times New Roman"/>
                            <w:i/>
                            <w:sz w:val="20"/>
                            <w:szCs w:val="20"/>
                          </w:rPr>
                        </m:ctrlPr>
                      </m:sSubPr>
                      <m:e>
                        <m:r>
                          <w:rPr>
                            <w:rFonts w:ascii="Cambria Math" w:eastAsia="Arial" w:hAnsi="Cambria Math" w:cs="Times New Roman"/>
                            <w:sz w:val="20"/>
                            <w:szCs w:val="20"/>
                          </w:rPr>
                          <m:t>Coupon</m:t>
                        </m:r>
                      </m:e>
                      <m:sub>
                        <m:r>
                          <w:rPr>
                            <w:rFonts w:ascii="Cambria Math" w:eastAsia="Arial" w:hAnsi="Cambria Math" w:cs="Times New Roman"/>
                            <w:sz w:val="20"/>
                            <w:szCs w:val="20"/>
                          </w:rPr>
                          <m:t>i,c</m:t>
                        </m:r>
                      </m:sub>
                    </m:sSub>
                  </m:num>
                  <m:den>
                    <m:sSub>
                      <m:sSubPr>
                        <m:ctrlPr>
                          <w:rPr>
                            <w:rFonts w:ascii="Cambria Math" w:eastAsia="Arial" w:hAnsi="Cambria Math" w:cs="Times New Roman"/>
                            <w:i/>
                            <w:sz w:val="20"/>
                            <w:szCs w:val="20"/>
                          </w:rPr>
                        </m:ctrlPr>
                      </m:sSubPr>
                      <m:e>
                        <m:r>
                          <w:rPr>
                            <w:rFonts w:ascii="Cambria Math" w:eastAsia="Arial" w:hAnsi="Cambria Math" w:cs="Times New Roman"/>
                            <w:sz w:val="20"/>
                            <w:szCs w:val="20"/>
                          </w:rPr>
                          <m:t>Price</m:t>
                        </m:r>
                      </m:e>
                      <m:sub>
                        <m:r>
                          <w:rPr>
                            <w:rFonts w:ascii="Cambria Math" w:eastAsia="Arial" w:hAnsi="Cambria Math" w:cs="Times New Roman"/>
                            <w:sz w:val="20"/>
                            <w:szCs w:val="20"/>
                          </w:rPr>
                          <m:t>i,c,t</m:t>
                        </m:r>
                      </m:sub>
                    </m:sSub>
                  </m:den>
                </m:f>
                <m:r>
                  <w:rPr>
                    <w:rFonts w:ascii="Cambria Math" w:eastAsia="Arial" w:hAnsi="Cambria Math" w:cs="Times New Roman"/>
                    <w:sz w:val="20"/>
                    <w:szCs w:val="20"/>
                  </w:rPr>
                  <m:t>.</m:t>
                </m:r>
              </m:oMath>
            </m:oMathPara>
          </w:p>
        </w:tc>
        <w:tc>
          <w:tcPr>
            <w:tcW w:w="548" w:type="dxa"/>
          </w:tcPr>
          <w:p w14:paraId="6AEA42D1" w14:textId="77777777" w:rsidR="00433BCF" w:rsidRPr="0006003D" w:rsidRDefault="00433BCF" w:rsidP="0006003D">
            <w:pPr>
              <w:ind w:right="57"/>
              <w:jc w:val="right"/>
              <w:rPr>
                <w:rFonts w:ascii="Times New Roman" w:eastAsia="Arial" w:hAnsi="Times New Roman" w:cs="Times New Roman"/>
                <w:w w:val="102"/>
                <w:sz w:val="20"/>
                <w:szCs w:val="20"/>
              </w:rPr>
            </w:pPr>
            <w:r w:rsidRPr="0006003D">
              <w:rPr>
                <w:rFonts w:ascii="Times New Roman" w:eastAsia="Arial" w:hAnsi="Times New Roman" w:cs="Times New Roman"/>
                <w:w w:val="102"/>
                <w:sz w:val="20"/>
                <w:szCs w:val="20"/>
              </w:rPr>
              <w:t>(A.1)</w:t>
            </w:r>
          </w:p>
        </w:tc>
      </w:tr>
    </w:tbl>
    <w:p w14:paraId="70E9502C" w14:textId="77777777" w:rsidR="00C87825" w:rsidRPr="0006003D" w:rsidRDefault="00C87825" w:rsidP="0006003D">
      <w:pPr>
        <w:ind w:right="62"/>
        <w:jc w:val="both"/>
        <w:rPr>
          <w:rFonts w:ascii="Times New Roman" w:hAnsi="Times New Roman" w:cs="Times New Roman"/>
          <w:sz w:val="20"/>
          <w:szCs w:val="20"/>
        </w:rPr>
      </w:pPr>
    </w:p>
    <w:p w14:paraId="56F2CF47" w14:textId="48B53DDE" w:rsidR="003B3A50" w:rsidRDefault="003B3A50" w:rsidP="0006003D">
      <w:pPr>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Since the</w:t>
      </w:r>
      <w:r w:rsidR="00923BA2">
        <w:rPr>
          <w:rFonts w:ascii="Times New Roman" w:eastAsia="Arial" w:hAnsi="Times New Roman" w:cs="Times New Roman"/>
          <w:sz w:val="20"/>
          <w:szCs w:val="20"/>
        </w:rPr>
        <w:t xml:space="preserve"> </w:t>
      </w:r>
      <w:r w:rsidR="00923BA2">
        <w:rPr>
          <w:rFonts w:ascii="Times New Roman" w:eastAsia="Arial" w:hAnsi="Times New Roman" w:cs="Times New Roman"/>
          <w:i/>
          <w:sz w:val="20"/>
          <w:szCs w:val="20"/>
        </w:rPr>
        <w:t>Official</w:t>
      </w:r>
      <w:r w:rsidRPr="0006003D">
        <w:rPr>
          <w:rFonts w:ascii="Times New Roman" w:eastAsia="Arial" w:hAnsi="Times New Roman" w:cs="Times New Roman"/>
          <w:sz w:val="20"/>
          <w:szCs w:val="20"/>
        </w:rPr>
        <w:t xml:space="preserve"> </w:t>
      </w:r>
      <w:r w:rsidRPr="0006003D">
        <w:rPr>
          <w:rFonts w:ascii="Times New Roman" w:eastAsia="Arial" w:hAnsi="Times New Roman" w:cs="Times New Roman"/>
          <w:i/>
          <w:sz w:val="20"/>
          <w:szCs w:val="20"/>
        </w:rPr>
        <w:t>List</w:t>
      </w:r>
      <w:r w:rsidRPr="0006003D">
        <w:rPr>
          <w:rFonts w:ascii="Times New Roman" w:eastAsia="Arial" w:hAnsi="Times New Roman" w:cs="Times New Roman"/>
          <w:sz w:val="20"/>
          <w:szCs w:val="20"/>
        </w:rPr>
        <w:t xml:space="preserve"> only provides upper and lower price b</w:t>
      </w:r>
      <w:r w:rsidR="00776D1E" w:rsidRPr="0006003D">
        <w:rPr>
          <w:rFonts w:ascii="Times New Roman" w:eastAsia="Arial" w:hAnsi="Times New Roman" w:cs="Times New Roman"/>
          <w:sz w:val="20"/>
          <w:szCs w:val="20"/>
        </w:rPr>
        <w:t>ra</w:t>
      </w:r>
      <w:r w:rsidRPr="0006003D">
        <w:rPr>
          <w:rFonts w:ascii="Times New Roman" w:eastAsia="Arial" w:hAnsi="Times New Roman" w:cs="Times New Roman"/>
          <w:sz w:val="20"/>
          <w:szCs w:val="20"/>
        </w:rPr>
        <w:t>ckets (see discussion in Section 3), we</w:t>
      </w:r>
      <w:r w:rsidR="00921961"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approximate </w:t>
      </w:r>
      <w:proofErr w:type="spellStart"/>
      <w:proofErr w:type="gramStart"/>
      <w:r w:rsidRPr="0006003D">
        <w:rPr>
          <w:rFonts w:ascii="Times New Roman" w:eastAsia="Arial" w:hAnsi="Times New Roman" w:cs="Times New Roman"/>
          <w:i/>
          <w:sz w:val="20"/>
          <w:szCs w:val="20"/>
        </w:rPr>
        <w:t>Price</w:t>
      </w:r>
      <w:r w:rsidRPr="0006003D">
        <w:rPr>
          <w:rFonts w:ascii="Times New Roman" w:eastAsia="Arial" w:hAnsi="Times New Roman" w:cs="Times New Roman"/>
          <w:i/>
          <w:sz w:val="20"/>
          <w:szCs w:val="20"/>
          <w:vertAlign w:val="subscript"/>
        </w:rPr>
        <w:t>i,c</w:t>
      </w:r>
      <w:proofErr w:type="gramEnd"/>
      <w:r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sz w:val="20"/>
          <w:szCs w:val="20"/>
          <w:vertAlign w:val="subscript"/>
        </w:rPr>
        <w:t xml:space="preserve"> </w:t>
      </w:r>
      <w:r w:rsidRPr="0006003D">
        <w:rPr>
          <w:rFonts w:ascii="Times New Roman" w:eastAsia="Arial" w:hAnsi="Times New Roman" w:cs="Times New Roman"/>
          <w:sz w:val="20"/>
          <w:szCs w:val="20"/>
        </w:rPr>
        <w:t>by:</w:t>
      </w:r>
    </w:p>
    <w:p w14:paraId="3E7920A3" w14:textId="77777777" w:rsidR="00B34160" w:rsidRPr="0006003D" w:rsidRDefault="00B34160" w:rsidP="0006003D">
      <w:pPr>
        <w:ind w:firstLine="720"/>
        <w:jc w:val="both"/>
        <w:rPr>
          <w:rFonts w:ascii="Times New Roman" w:eastAsia="Arial" w:hAnsi="Times New Roman" w:cs="Times New Roman"/>
          <w:w w:val="10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gridCol w:w="709"/>
      </w:tblGrid>
      <w:tr w:rsidR="00433BCF" w:rsidRPr="0006003D" w14:paraId="0D2DE973" w14:textId="77777777" w:rsidTr="00C42ACD">
        <w:tc>
          <w:tcPr>
            <w:tcW w:w="9028" w:type="dxa"/>
          </w:tcPr>
          <w:p w14:paraId="6F2EC36A" w14:textId="183B1F7D" w:rsidR="00433BCF" w:rsidRPr="0006003D" w:rsidRDefault="00B64F31" w:rsidP="0006003D">
            <w:pPr>
              <w:ind w:left="120" w:right="-20"/>
              <w:rPr>
                <w:rFonts w:ascii="Times New Roman" w:eastAsia="Arial" w:hAnsi="Times New Roman" w:cs="Times New Roman"/>
                <w:sz w:val="20"/>
                <w:szCs w:val="20"/>
              </w:rPr>
            </w:pPr>
            <m:oMathPara>
              <m:oMath>
                <m:sSub>
                  <m:sSubPr>
                    <m:ctrlPr>
                      <w:rPr>
                        <w:rFonts w:ascii="Cambria Math" w:eastAsia="Arial" w:hAnsi="Cambria Math" w:cs="Times New Roman"/>
                        <w:i/>
                        <w:sz w:val="20"/>
                        <w:szCs w:val="20"/>
                      </w:rPr>
                    </m:ctrlPr>
                  </m:sSubPr>
                  <m:e>
                    <m:r>
                      <w:rPr>
                        <w:rFonts w:ascii="Cambria Math" w:eastAsia="Arial" w:hAnsi="Cambria Math" w:cs="Times New Roman"/>
                        <w:sz w:val="20"/>
                        <w:szCs w:val="20"/>
                      </w:rPr>
                      <m:t>Price</m:t>
                    </m:r>
                  </m:e>
                  <m:sub>
                    <m:r>
                      <w:rPr>
                        <w:rFonts w:ascii="Cambria Math" w:eastAsia="Arial" w:hAnsi="Cambria Math" w:cs="Times New Roman"/>
                        <w:sz w:val="20"/>
                        <w:szCs w:val="20"/>
                      </w:rPr>
                      <m:t>i,c,t</m:t>
                    </m:r>
                  </m:sub>
                </m:sSub>
                <m:r>
                  <w:rPr>
                    <w:rFonts w:ascii="Cambria Math" w:eastAsia="Arial" w:hAnsi="Cambria Math" w:cs="Times New Roman"/>
                    <w:sz w:val="20"/>
                    <w:szCs w:val="20"/>
                  </w:rPr>
                  <m:t>=</m:t>
                </m:r>
                <m:f>
                  <m:fPr>
                    <m:ctrlPr>
                      <w:rPr>
                        <w:rFonts w:ascii="Cambria Math" w:eastAsia="Arial" w:hAnsi="Cambria Math" w:cs="Times New Roman"/>
                        <w:i/>
                        <w:sz w:val="20"/>
                        <w:szCs w:val="20"/>
                      </w:rPr>
                    </m:ctrlPr>
                  </m:fPr>
                  <m:num>
                    <m:r>
                      <w:rPr>
                        <w:rFonts w:ascii="Cambria Math" w:eastAsia="Arial" w:hAnsi="Cambria Math" w:cs="Times New Roman"/>
                        <w:sz w:val="20"/>
                        <w:szCs w:val="20"/>
                      </w:rPr>
                      <m:t>1</m:t>
                    </m:r>
                  </m:num>
                  <m:den>
                    <m:r>
                      <w:rPr>
                        <w:rFonts w:ascii="Cambria Math" w:eastAsia="Arial" w:hAnsi="Cambria Math" w:cs="Times New Roman"/>
                        <w:sz w:val="20"/>
                        <w:szCs w:val="20"/>
                      </w:rPr>
                      <m:t>2</m:t>
                    </m:r>
                  </m:den>
                </m:f>
                <m:d>
                  <m:dPr>
                    <m:ctrlPr>
                      <w:rPr>
                        <w:rFonts w:ascii="Cambria Math" w:eastAsia="Arial" w:hAnsi="Cambria Math" w:cs="Times New Roman"/>
                        <w:i/>
                        <w:sz w:val="20"/>
                        <w:szCs w:val="20"/>
                      </w:rPr>
                    </m:ctrlPr>
                  </m:dPr>
                  <m:e>
                    <m:sSub>
                      <m:sSubPr>
                        <m:ctrlPr>
                          <w:rPr>
                            <w:rFonts w:ascii="Cambria Math" w:eastAsia="Arial" w:hAnsi="Cambria Math" w:cs="Times New Roman"/>
                            <w:i/>
                            <w:sz w:val="20"/>
                            <w:szCs w:val="20"/>
                          </w:rPr>
                        </m:ctrlPr>
                      </m:sSubPr>
                      <m:e>
                        <m:r>
                          <w:rPr>
                            <w:rFonts w:ascii="Cambria Math" w:eastAsia="Arial" w:hAnsi="Cambria Math" w:cs="Times New Roman"/>
                            <w:sz w:val="20"/>
                            <w:szCs w:val="20"/>
                          </w:rPr>
                          <m:t>Upper Price</m:t>
                        </m:r>
                      </m:e>
                      <m:sub>
                        <m:r>
                          <w:rPr>
                            <w:rFonts w:ascii="Cambria Math" w:eastAsia="Arial" w:hAnsi="Cambria Math" w:cs="Times New Roman"/>
                            <w:sz w:val="20"/>
                            <w:szCs w:val="20"/>
                          </w:rPr>
                          <m:t>i,c,t</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Lower Price</m:t>
                        </m:r>
                      </m:e>
                      <m:sub>
                        <m:r>
                          <w:rPr>
                            <w:rFonts w:ascii="Cambria Math" w:eastAsia="Arial" w:hAnsi="Cambria Math" w:cs="Times New Roman"/>
                            <w:sz w:val="20"/>
                            <w:szCs w:val="20"/>
                          </w:rPr>
                          <m:t>i,c,t</m:t>
                        </m:r>
                      </m:sub>
                    </m:sSub>
                  </m:e>
                </m:d>
                <m:r>
                  <w:rPr>
                    <w:rFonts w:ascii="Cambria Math" w:eastAsia="Arial" w:hAnsi="Cambria Math" w:cs="Times New Roman"/>
                    <w:sz w:val="20"/>
                    <w:szCs w:val="20"/>
                  </w:rPr>
                  <m:t>.</m:t>
                </m:r>
              </m:oMath>
            </m:oMathPara>
          </w:p>
        </w:tc>
        <w:tc>
          <w:tcPr>
            <w:tcW w:w="548" w:type="dxa"/>
          </w:tcPr>
          <w:p w14:paraId="700BBBBB" w14:textId="5CBD8EFF" w:rsidR="00433BCF" w:rsidRPr="0006003D" w:rsidRDefault="00433BCF" w:rsidP="0006003D">
            <w:pPr>
              <w:ind w:right="57"/>
              <w:jc w:val="right"/>
              <w:rPr>
                <w:rFonts w:ascii="Times New Roman" w:eastAsia="Arial" w:hAnsi="Times New Roman" w:cs="Times New Roman"/>
                <w:w w:val="102"/>
                <w:sz w:val="20"/>
                <w:szCs w:val="20"/>
              </w:rPr>
            </w:pPr>
            <w:r w:rsidRPr="0006003D">
              <w:rPr>
                <w:rFonts w:ascii="Times New Roman" w:eastAsia="Arial" w:hAnsi="Times New Roman" w:cs="Times New Roman"/>
                <w:w w:val="102"/>
                <w:sz w:val="20"/>
                <w:szCs w:val="20"/>
              </w:rPr>
              <w:t>(A.2)</w:t>
            </w:r>
          </w:p>
        </w:tc>
      </w:tr>
    </w:tbl>
    <w:p w14:paraId="1D9BAC4F" w14:textId="77777777" w:rsidR="00C87825" w:rsidRPr="0006003D" w:rsidRDefault="00C87825" w:rsidP="0006003D">
      <w:pPr>
        <w:ind w:left="120" w:right="-20"/>
        <w:rPr>
          <w:rFonts w:ascii="Times New Roman" w:eastAsia="Arial" w:hAnsi="Times New Roman" w:cs="Times New Roman"/>
          <w:sz w:val="20"/>
          <w:szCs w:val="20"/>
        </w:rPr>
      </w:pPr>
    </w:p>
    <w:p w14:paraId="0B95EE82" w14:textId="3E994241" w:rsidR="003B3A50" w:rsidRPr="0006003D" w:rsidRDefault="003B3A50" w:rsidP="0006003D">
      <w:pPr>
        <w:widowControl w:val="0"/>
        <w:jc w:val="both"/>
        <w:rPr>
          <w:rFonts w:ascii="Times New Roman" w:eastAsia="Arial" w:hAnsi="Times New Roman" w:cs="Times New Roman"/>
          <w:sz w:val="20"/>
          <w:szCs w:val="20"/>
        </w:rPr>
      </w:pPr>
      <w:r w:rsidRPr="0006003D">
        <w:rPr>
          <w:rFonts w:ascii="Times New Roman" w:eastAsia="Arial" w:hAnsi="Times New Roman" w:cs="Times New Roman"/>
          <w:noProof/>
          <w:sz w:val="20"/>
          <w:szCs w:val="20"/>
        </w:rPr>
        <mc:AlternateContent>
          <mc:Choice Requires="wpg">
            <w:drawing>
              <wp:anchor distT="0" distB="0" distL="114300" distR="114300" simplePos="0" relativeHeight="251661312" behindDoc="1" locked="0" layoutInCell="1" allowOverlap="1" wp14:anchorId="25D065B6" wp14:editId="46DAC950">
                <wp:simplePos x="0" y="0"/>
                <wp:positionH relativeFrom="page">
                  <wp:posOffset>3113405</wp:posOffset>
                </wp:positionH>
                <wp:positionV relativeFrom="paragraph">
                  <wp:posOffset>51435</wp:posOffset>
                </wp:positionV>
                <wp:extent cx="69215" cy="1270"/>
                <wp:effectExtent l="1905" t="635" r="17780" b="10795"/>
                <wp:wrapNone/>
                <wp:docPr id="14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1270"/>
                          <a:chOff x="4903" y="81"/>
                          <a:chExt cx="109" cy="2"/>
                        </a:xfrm>
                      </wpg:grpSpPr>
                      <wps:wsp>
                        <wps:cNvPr id="142" name="Freeform 125"/>
                        <wps:cNvSpPr>
                          <a:spLocks/>
                        </wps:cNvSpPr>
                        <wps:spPr bwMode="auto">
                          <a:xfrm>
                            <a:off x="4903" y="81"/>
                            <a:ext cx="109" cy="2"/>
                          </a:xfrm>
                          <a:custGeom>
                            <a:avLst/>
                            <a:gdLst>
                              <a:gd name="T0" fmla="+- 0 4903 4903"/>
                              <a:gd name="T1" fmla="*/ T0 w 109"/>
                              <a:gd name="T2" fmla="+- 0 5012 4903"/>
                              <a:gd name="T3" fmla="*/ T2 w 109"/>
                            </a:gdLst>
                            <a:ahLst/>
                            <a:cxnLst>
                              <a:cxn ang="0">
                                <a:pos x="T1" y="0"/>
                              </a:cxn>
                              <a:cxn ang="0">
                                <a:pos x="T3" y="0"/>
                              </a:cxn>
                            </a:cxnLst>
                            <a:rect l="0" t="0" r="r" b="b"/>
                            <a:pathLst>
                              <a:path w="109">
                                <a:moveTo>
                                  <a:pt x="0" y="0"/>
                                </a:moveTo>
                                <a:lnTo>
                                  <a:pt x="109" y="0"/>
                                </a:lnTo>
                              </a:path>
                            </a:pathLst>
                          </a:custGeom>
                          <a:noFill/>
                          <a:ln w="55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5A87B" id="Group_x0020_124" o:spid="_x0000_s1026" style="position:absolute;margin-left:245.15pt;margin-top:4.05pt;width:5.45pt;height:.1pt;z-index:-251655168;mso-position-horizontal-relative:page" coordorigin="4903,81" coordsize="10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">
                <v:polyline id="Freeform_x0020_125" o:spid="_x0000_s1027" style="position:absolute;visibility:visible;mso-wrap-style:square;v-text-anchor:top" points="4903,81,5012,81" coordsize="1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I/4wQAA&#10;ANwAAAAPAAAAZHJzL2Rvd25yZXYueG1sRE/bisIwEH1f8B/CCL4sa6osUrpGEUUQ9MHbBwzN2Bab&#10;SUmixr83C4JvczjXmc6jacWdnG8sKxgNMxDEpdUNVwrOp/VPDsIHZI2tZVLwJA/zWe9rioW2Dz7Q&#10;/RgqkULYF6igDqErpPRlTQb90HbEibtYZzAk6CqpHT5SuGnlOMsm0mDDqaHGjpY1ldfjzSjY2k12&#10;3u72MR8dTru8/F65eFkpNejHxR+IQDF8xG/3Rqf5v2P4fyZdIG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yCP+MEAAADcAAAADwAAAAAAAAAAAAAAAACXAgAAZHJzL2Rvd25y&#10;ZXYueG1sUEsFBgAAAAAEAAQA9QAAAIUDAAAAAA==&#10;" filled="f" strokeweight="5537emu">
                  <v:path arrowok="t" o:connecttype="custom" o:connectlocs="0,0;109,0" o:connectangles="0,0"/>
                </v:polyline>
                <w10:wrap anchorx="page"/>
              </v:group>
            </w:pict>
          </mc:Fallback>
        </mc:AlternateContent>
      </w:r>
      <w:r w:rsidRPr="0006003D">
        <w:rPr>
          <w:rFonts w:ascii="Times New Roman" w:eastAsia="Arial" w:hAnsi="Times New Roman" w:cs="Times New Roman"/>
          <w:sz w:val="20"/>
          <w:szCs w:val="20"/>
        </w:rPr>
        <w:t>Data for coupon and</w:t>
      </w:r>
      <w:r w:rsidR="00926DCE"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lowe</w:t>
      </w:r>
      <w:r w:rsidR="00EE394B" w:rsidRPr="0006003D">
        <w:rPr>
          <w:rFonts w:ascii="Times New Roman" w:eastAsia="Arial" w:hAnsi="Times New Roman" w:cs="Times New Roman"/>
          <w:sz w:val="20"/>
          <w:szCs w:val="20"/>
        </w:rPr>
        <w:t>r</w:t>
      </w:r>
      <w:r w:rsidR="00926DCE" w:rsidRPr="0006003D">
        <w:rPr>
          <w:rFonts w:ascii="Times New Roman" w:eastAsia="Arial" w:hAnsi="Times New Roman" w:cs="Times New Roman"/>
          <w:sz w:val="20"/>
          <w:szCs w:val="20"/>
        </w:rPr>
        <w:t xml:space="preserve"> a</w:t>
      </w:r>
      <w:r w:rsidR="00B34160">
        <w:rPr>
          <w:rFonts w:ascii="Times New Roman" w:eastAsia="Arial" w:hAnsi="Times New Roman" w:cs="Times New Roman"/>
          <w:sz w:val="20"/>
          <w:szCs w:val="20"/>
        </w:rPr>
        <w:t>n</w:t>
      </w:r>
      <w:r w:rsidR="00926DCE" w:rsidRPr="0006003D">
        <w:rPr>
          <w:rFonts w:ascii="Times New Roman" w:eastAsia="Arial" w:hAnsi="Times New Roman" w:cs="Times New Roman"/>
          <w:sz w:val="20"/>
          <w:szCs w:val="20"/>
        </w:rPr>
        <w:t xml:space="preserve">d upper </w:t>
      </w:r>
      <w:r w:rsidRPr="0006003D">
        <w:rPr>
          <w:rFonts w:ascii="Times New Roman" w:eastAsia="Arial" w:hAnsi="Times New Roman" w:cs="Times New Roman"/>
          <w:sz w:val="20"/>
          <w:szCs w:val="20"/>
        </w:rPr>
        <w:t>prices come from our database, as collected from the</w:t>
      </w:r>
      <w:r w:rsidR="00BC2EB5" w:rsidRPr="0006003D">
        <w:rPr>
          <w:rFonts w:ascii="Times New Roman" w:eastAsia="Arial" w:hAnsi="Times New Roman" w:cs="Times New Roman"/>
          <w:sz w:val="20"/>
          <w:szCs w:val="20"/>
        </w:rPr>
        <w:t xml:space="preserve"> </w:t>
      </w:r>
      <w:r w:rsidR="00923BA2">
        <w:rPr>
          <w:rFonts w:ascii="Times New Roman" w:eastAsia="Arial" w:hAnsi="Times New Roman" w:cs="Times New Roman"/>
          <w:i/>
          <w:sz w:val="20"/>
          <w:szCs w:val="20"/>
        </w:rPr>
        <w:t>Official</w:t>
      </w:r>
      <w:r w:rsidRPr="0006003D">
        <w:rPr>
          <w:rFonts w:ascii="Times New Roman" w:eastAsia="Arial" w:hAnsi="Times New Roman" w:cs="Times New Roman"/>
          <w:i/>
          <w:sz w:val="20"/>
          <w:szCs w:val="20"/>
        </w:rPr>
        <w:t xml:space="preserve"> List</w:t>
      </w:r>
      <w:r w:rsidRPr="0006003D">
        <w:rPr>
          <w:rFonts w:ascii="Times New Roman" w:eastAsia="Arial" w:hAnsi="Times New Roman" w:cs="Times New Roman"/>
          <w:sz w:val="20"/>
          <w:szCs w:val="20"/>
        </w:rPr>
        <w:t>. To control for changes in long-term risk-free interest rates</w:t>
      </w:r>
      <w:r w:rsidR="00BC2EB5" w:rsidRPr="0006003D">
        <w:rPr>
          <w:rFonts w:ascii="Times New Roman" w:eastAsia="Arial" w:hAnsi="Times New Roman" w:cs="Times New Roman"/>
          <w:sz w:val="20"/>
          <w:szCs w:val="20"/>
        </w:rPr>
        <w:t xml:space="preserve">, </w:t>
      </w:r>
      <w:r w:rsidR="00EE394B" w:rsidRPr="0006003D">
        <w:rPr>
          <w:rFonts w:ascii="Times New Roman" w:eastAsia="Arial" w:hAnsi="Times New Roman" w:cs="Times New Roman"/>
          <w:sz w:val="20"/>
          <w:szCs w:val="20"/>
        </w:rPr>
        <w:t>we</w:t>
      </w:r>
      <w:r w:rsidRPr="0006003D">
        <w:rPr>
          <w:rFonts w:ascii="Times New Roman" w:eastAsia="Arial" w:hAnsi="Times New Roman" w:cs="Times New Roman"/>
          <w:sz w:val="20"/>
          <w:szCs w:val="20"/>
        </w:rPr>
        <w:t xml:space="preserve"> measure </w:t>
      </w:r>
      <w:proofErr w:type="spellStart"/>
      <w:proofErr w:type="gramStart"/>
      <w:r w:rsidR="00C87825" w:rsidRPr="0006003D">
        <w:rPr>
          <w:rFonts w:ascii="Times New Roman" w:eastAsia="Arial" w:hAnsi="Times New Roman" w:cs="Times New Roman"/>
          <w:i/>
          <w:sz w:val="20"/>
          <w:szCs w:val="20"/>
        </w:rPr>
        <w:t>Yield</w:t>
      </w:r>
      <w:r w:rsidR="00C87825" w:rsidRPr="0006003D">
        <w:rPr>
          <w:rFonts w:ascii="Times New Roman" w:eastAsia="Arial" w:hAnsi="Times New Roman" w:cs="Times New Roman"/>
          <w:i/>
          <w:sz w:val="20"/>
          <w:szCs w:val="20"/>
          <w:vertAlign w:val="subscript"/>
        </w:rPr>
        <w:t>i,c</w:t>
      </w:r>
      <w:proofErr w:type="gramEnd"/>
      <w:r w:rsidR="00C87825" w:rsidRPr="0006003D">
        <w:rPr>
          <w:rFonts w:ascii="Times New Roman" w:eastAsia="Arial" w:hAnsi="Times New Roman" w:cs="Times New Roman"/>
          <w:i/>
          <w:sz w:val="20"/>
          <w:szCs w:val="20"/>
          <w:vertAlign w:val="subscript"/>
        </w:rPr>
        <w:t>,t</w:t>
      </w:r>
      <w:proofErr w:type="spellEnd"/>
      <w:r w:rsidR="00C87825" w:rsidRPr="0006003D">
        <w:rPr>
          <w:rFonts w:ascii="Times New Roman" w:eastAsia="Arial" w:hAnsi="Times New Roman" w:cs="Times New Roman"/>
          <w:sz w:val="20"/>
          <w:szCs w:val="20"/>
          <w:vertAlign w:val="subscript"/>
        </w:rPr>
        <w:t xml:space="preserve"> </w:t>
      </w:r>
      <w:r w:rsidRPr="0006003D">
        <w:rPr>
          <w:rFonts w:ascii="Times New Roman" w:eastAsia="Arial" w:hAnsi="Times New Roman" w:cs="Times New Roman"/>
          <w:sz w:val="20"/>
          <w:szCs w:val="20"/>
        </w:rPr>
        <w:t xml:space="preserve">in excess of the yield on British </w:t>
      </w:r>
      <w:proofErr w:type="spellStart"/>
      <w:r w:rsidRPr="0006003D">
        <w:rPr>
          <w:rFonts w:ascii="Times New Roman" w:eastAsia="Arial" w:hAnsi="Times New Roman" w:cs="Times New Roman"/>
          <w:sz w:val="20"/>
          <w:szCs w:val="20"/>
        </w:rPr>
        <w:t>Consols</w:t>
      </w:r>
      <w:proofErr w:type="spellEnd"/>
      <w:r w:rsidRPr="0006003D">
        <w:rPr>
          <w:rFonts w:ascii="Times New Roman" w:eastAsia="Arial" w:hAnsi="Times New Roman" w:cs="Times New Roman"/>
          <w:sz w:val="20"/>
          <w:szCs w:val="20"/>
        </w:rPr>
        <w:t xml:space="preserve">. An incidental difficulty in that respect is that the British issues considered as benchmark long-term risk-free bond by investors has changed over time due to conversion threats. To identify the correct benchmark </w:t>
      </w:r>
      <w:proofErr w:type="spellStart"/>
      <w:r w:rsidRPr="0006003D">
        <w:rPr>
          <w:rFonts w:ascii="Times New Roman" w:eastAsia="Arial" w:hAnsi="Times New Roman" w:cs="Times New Roman"/>
          <w:sz w:val="20"/>
          <w:szCs w:val="20"/>
        </w:rPr>
        <w:t>Consol</w:t>
      </w:r>
      <w:proofErr w:type="spellEnd"/>
      <w:r w:rsidRPr="0006003D">
        <w:rPr>
          <w:rFonts w:ascii="Times New Roman" w:eastAsia="Arial" w:hAnsi="Times New Roman" w:cs="Times New Roman"/>
          <w:sz w:val="20"/>
          <w:szCs w:val="20"/>
        </w:rPr>
        <w:t xml:space="preserve"> at each </w:t>
      </w:r>
      <w:r w:rsidRPr="0006003D">
        <w:rPr>
          <w:rFonts w:ascii="Times New Roman" w:eastAsia="Arial" w:hAnsi="Times New Roman" w:cs="Times New Roman"/>
          <w:i/>
          <w:sz w:val="20"/>
          <w:szCs w:val="20"/>
        </w:rPr>
        <w:t>t</w:t>
      </w:r>
      <w:r w:rsidRPr="0006003D">
        <w:rPr>
          <w:rFonts w:ascii="Times New Roman" w:eastAsia="Arial" w:hAnsi="Times New Roman" w:cs="Times New Roman"/>
          <w:sz w:val="20"/>
          <w:szCs w:val="20"/>
        </w:rPr>
        <w:t xml:space="preserve">, we follow </w:t>
      </w:r>
      <w:proofErr w:type="spellStart"/>
      <w:r w:rsidRPr="0006003D">
        <w:rPr>
          <w:rFonts w:ascii="Times New Roman" w:eastAsia="Arial" w:hAnsi="Times New Roman" w:cs="Times New Roman"/>
          <w:sz w:val="20"/>
          <w:szCs w:val="20"/>
        </w:rPr>
        <w:t>Klovland</w:t>
      </w:r>
      <w:proofErr w:type="spellEnd"/>
      <w:r w:rsidRPr="0006003D">
        <w:rPr>
          <w:rFonts w:ascii="Times New Roman" w:eastAsia="Arial" w:hAnsi="Times New Roman" w:cs="Times New Roman"/>
          <w:sz w:val="20"/>
          <w:szCs w:val="20"/>
        </w:rPr>
        <w:t xml:space="preserve"> (1994). This implies successively using the 3</w:t>
      </w:r>
      <w:r w:rsidR="00B34160">
        <w:rPr>
          <w:rFonts w:ascii="Times New Roman" w:eastAsia="Arial" w:hAnsi="Times New Roman" w:cs="Times New Roman"/>
          <w:sz w:val="20"/>
          <w:szCs w:val="20"/>
        </w:rPr>
        <w:t xml:space="preserve"> percent</w:t>
      </w:r>
      <w:r w:rsidRPr="0006003D">
        <w:rPr>
          <w:rFonts w:ascii="Times New Roman" w:eastAsia="Arial" w:hAnsi="Times New Roman" w:cs="Times New Roman"/>
          <w:sz w:val="20"/>
          <w:szCs w:val="20"/>
        </w:rPr>
        <w:t xml:space="preserve"> </w:t>
      </w:r>
      <w:proofErr w:type="spellStart"/>
      <w:r w:rsidRPr="0006003D">
        <w:rPr>
          <w:rFonts w:ascii="Times New Roman" w:eastAsia="Arial" w:hAnsi="Times New Roman" w:cs="Times New Roman"/>
          <w:sz w:val="20"/>
          <w:szCs w:val="20"/>
        </w:rPr>
        <w:t>Consol</w:t>
      </w:r>
      <w:proofErr w:type="spellEnd"/>
      <w:r w:rsidRPr="0006003D">
        <w:rPr>
          <w:rFonts w:ascii="Times New Roman" w:eastAsia="Arial" w:hAnsi="Times New Roman" w:cs="Times New Roman"/>
          <w:sz w:val="20"/>
          <w:szCs w:val="20"/>
        </w:rPr>
        <w:t xml:space="preserve"> (1872m1</w:t>
      </w:r>
      <w:r w:rsidR="00B34160">
        <w:rPr>
          <w:rFonts w:ascii="Times New Roman" w:eastAsia="Arial" w:hAnsi="Times New Roman" w:cs="Times New Roman"/>
          <w:sz w:val="20"/>
          <w:szCs w:val="20"/>
        </w:rPr>
        <w:t>–</w:t>
      </w:r>
      <w:r w:rsidRPr="0006003D">
        <w:rPr>
          <w:rFonts w:ascii="Times New Roman" w:eastAsia="Arial" w:hAnsi="Times New Roman" w:cs="Times New Roman"/>
          <w:sz w:val="20"/>
          <w:szCs w:val="20"/>
        </w:rPr>
        <w:t>1880m12), the New 2.5</w:t>
      </w:r>
      <w:r w:rsidR="00B34160">
        <w:rPr>
          <w:rFonts w:ascii="Times New Roman" w:eastAsia="Arial" w:hAnsi="Times New Roman" w:cs="Times New Roman"/>
          <w:sz w:val="20"/>
          <w:szCs w:val="20"/>
        </w:rPr>
        <w:t xml:space="preserve"> percent</w:t>
      </w:r>
      <w:r w:rsidRPr="0006003D">
        <w:rPr>
          <w:rFonts w:ascii="Times New Roman" w:eastAsia="Arial" w:hAnsi="Times New Roman" w:cs="Times New Roman"/>
          <w:sz w:val="20"/>
          <w:szCs w:val="20"/>
        </w:rPr>
        <w:t xml:space="preserve"> (1881m1</w:t>
      </w:r>
      <w:r w:rsidR="00B34160">
        <w:rPr>
          <w:rFonts w:ascii="Times New Roman" w:eastAsia="Arial" w:hAnsi="Times New Roman" w:cs="Times New Roman"/>
          <w:sz w:val="20"/>
          <w:szCs w:val="20"/>
        </w:rPr>
        <w:t>–</w:t>
      </w:r>
      <w:r w:rsidRPr="0006003D">
        <w:rPr>
          <w:rFonts w:ascii="Times New Roman" w:eastAsia="Arial" w:hAnsi="Times New Roman" w:cs="Times New Roman"/>
          <w:sz w:val="20"/>
          <w:szCs w:val="20"/>
        </w:rPr>
        <w:t>1884m12), the Childers 2.5</w:t>
      </w:r>
      <w:r w:rsidR="00B34160">
        <w:rPr>
          <w:rFonts w:ascii="Times New Roman" w:eastAsia="Arial" w:hAnsi="Times New Roman" w:cs="Times New Roman"/>
          <w:sz w:val="20"/>
          <w:szCs w:val="20"/>
        </w:rPr>
        <w:t xml:space="preserve"> percent</w:t>
      </w:r>
      <w:r w:rsidRPr="0006003D">
        <w:rPr>
          <w:rFonts w:ascii="Times New Roman" w:eastAsia="Arial" w:hAnsi="Times New Roman" w:cs="Times New Roman"/>
          <w:sz w:val="20"/>
          <w:szCs w:val="20"/>
        </w:rPr>
        <w:t xml:space="preserve"> (1885m1</w:t>
      </w:r>
      <w:r w:rsidR="00B34160">
        <w:rPr>
          <w:rFonts w:ascii="Times New Roman" w:eastAsia="Arial" w:hAnsi="Times New Roman" w:cs="Times New Roman"/>
          <w:sz w:val="20"/>
          <w:szCs w:val="20"/>
        </w:rPr>
        <w:t>–</w:t>
      </w:r>
      <w:r w:rsidRPr="0006003D">
        <w:rPr>
          <w:rFonts w:ascii="Times New Roman" w:eastAsia="Arial" w:hAnsi="Times New Roman" w:cs="Times New Roman"/>
          <w:sz w:val="20"/>
          <w:szCs w:val="20"/>
        </w:rPr>
        <w:t>1888m12)</w:t>
      </w:r>
      <w:r w:rsidR="00B34160">
        <w:rPr>
          <w:rFonts w:ascii="Times New Roman" w:eastAsia="Arial" w:hAnsi="Times New Roman" w:cs="Times New Roman"/>
          <w:sz w:val="20"/>
          <w:szCs w:val="20"/>
        </w:rPr>
        <w:t>,</w:t>
      </w:r>
      <w:r w:rsidRPr="0006003D">
        <w:rPr>
          <w:rFonts w:ascii="Times New Roman" w:eastAsia="Arial" w:hAnsi="Times New Roman" w:cs="Times New Roman"/>
          <w:sz w:val="20"/>
          <w:szCs w:val="20"/>
        </w:rPr>
        <w:t xml:space="preserve"> and the</w:t>
      </w:r>
      <w:r w:rsidR="00BC2EB5" w:rsidRPr="0006003D">
        <w:rPr>
          <w:rFonts w:ascii="Times New Roman" w:eastAsia="Arial" w:hAnsi="Times New Roman" w:cs="Times New Roman"/>
          <w:sz w:val="20"/>
          <w:szCs w:val="20"/>
        </w:rPr>
        <w:t xml:space="preserve"> </w:t>
      </w:r>
      <w:proofErr w:type="spellStart"/>
      <w:r w:rsidRPr="0006003D">
        <w:rPr>
          <w:rFonts w:ascii="Times New Roman" w:eastAsia="Arial" w:hAnsi="Times New Roman" w:cs="Times New Roman"/>
          <w:sz w:val="20"/>
          <w:szCs w:val="20"/>
        </w:rPr>
        <w:t>Goschen</w:t>
      </w:r>
      <w:proofErr w:type="spellEnd"/>
      <w:r w:rsidRPr="0006003D">
        <w:rPr>
          <w:rFonts w:ascii="Times New Roman" w:eastAsia="Arial" w:hAnsi="Times New Roman" w:cs="Times New Roman"/>
          <w:sz w:val="20"/>
          <w:szCs w:val="20"/>
        </w:rPr>
        <w:t xml:space="preserve"> 2.75/2.5</w:t>
      </w:r>
      <w:r w:rsidR="00B34160">
        <w:rPr>
          <w:rFonts w:ascii="Times New Roman" w:eastAsia="Arial" w:hAnsi="Times New Roman" w:cs="Times New Roman"/>
          <w:sz w:val="20"/>
          <w:szCs w:val="20"/>
        </w:rPr>
        <w:t xml:space="preserve"> percent</w:t>
      </w:r>
      <w:r w:rsidRPr="0006003D">
        <w:rPr>
          <w:rFonts w:ascii="Times New Roman" w:eastAsia="Arial" w:hAnsi="Times New Roman" w:cs="Times New Roman"/>
          <w:sz w:val="20"/>
          <w:szCs w:val="20"/>
        </w:rPr>
        <w:t xml:space="preserve"> </w:t>
      </w:r>
      <w:proofErr w:type="spellStart"/>
      <w:r w:rsidRPr="0006003D">
        <w:rPr>
          <w:rFonts w:ascii="Times New Roman" w:eastAsia="Arial" w:hAnsi="Times New Roman" w:cs="Times New Roman"/>
          <w:sz w:val="20"/>
          <w:szCs w:val="20"/>
        </w:rPr>
        <w:t>Consol</w:t>
      </w:r>
      <w:proofErr w:type="spellEnd"/>
      <w:r w:rsidRPr="0006003D">
        <w:rPr>
          <w:rFonts w:ascii="Times New Roman" w:eastAsia="Arial" w:hAnsi="Times New Roman" w:cs="Times New Roman"/>
          <w:sz w:val="20"/>
          <w:szCs w:val="20"/>
        </w:rPr>
        <w:t xml:space="preserve"> (1889m1</w:t>
      </w:r>
      <w:r w:rsidR="00B34160">
        <w:rPr>
          <w:rFonts w:ascii="Times New Roman" w:eastAsia="Arial" w:hAnsi="Times New Roman" w:cs="Times New Roman"/>
          <w:sz w:val="20"/>
          <w:szCs w:val="20"/>
        </w:rPr>
        <w:t>–</w:t>
      </w:r>
      <w:r w:rsidRPr="0006003D">
        <w:rPr>
          <w:rFonts w:ascii="Times New Roman" w:eastAsia="Arial" w:hAnsi="Times New Roman" w:cs="Times New Roman"/>
          <w:sz w:val="20"/>
          <w:szCs w:val="20"/>
        </w:rPr>
        <w:t>1909m12).</w:t>
      </w:r>
    </w:p>
    <w:p w14:paraId="2A2556D9" w14:textId="14B1E73D" w:rsidR="00C3304B" w:rsidRDefault="003B3A50"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To proxy for issuers’ credit risk, Flandreau and </w:t>
      </w:r>
      <w:proofErr w:type="spellStart"/>
      <w:r w:rsidRPr="0006003D">
        <w:rPr>
          <w:rFonts w:ascii="Times New Roman" w:eastAsia="Arial" w:hAnsi="Times New Roman" w:cs="Times New Roman"/>
          <w:sz w:val="20"/>
          <w:szCs w:val="20"/>
        </w:rPr>
        <w:t>Zumer</w:t>
      </w:r>
      <w:proofErr w:type="spellEnd"/>
      <w:r w:rsidRPr="0006003D">
        <w:rPr>
          <w:rFonts w:ascii="Times New Roman" w:eastAsia="Arial" w:hAnsi="Times New Roman" w:cs="Times New Roman"/>
          <w:sz w:val="20"/>
          <w:szCs w:val="20"/>
        </w:rPr>
        <w:t xml:space="preserve"> (2004) </w:t>
      </w:r>
      <w:r w:rsidR="00542CA6" w:rsidRPr="0006003D">
        <w:rPr>
          <w:rFonts w:ascii="Times New Roman" w:eastAsia="Arial" w:hAnsi="Times New Roman" w:cs="Times New Roman"/>
          <w:sz w:val="20"/>
          <w:szCs w:val="20"/>
        </w:rPr>
        <w:t xml:space="preserve">recommend using </w:t>
      </w:r>
      <w:r w:rsidRPr="0006003D">
        <w:rPr>
          <w:rFonts w:ascii="Times New Roman" w:eastAsia="Arial" w:hAnsi="Times New Roman" w:cs="Times New Roman"/>
          <w:sz w:val="20"/>
          <w:szCs w:val="20"/>
        </w:rPr>
        <w:t>the debt service-to-revenue ratio</w:t>
      </w:r>
      <w:r w:rsidR="00542CA6" w:rsidRPr="0006003D">
        <w:rPr>
          <w:rFonts w:ascii="Times New Roman" w:eastAsia="Arial" w:hAnsi="Times New Roman" w:cs="Times New Roman"/>
          <w:sz w:val="20"/>
          <w:szCs w:val="20"/>
        </w:rPr>
        <w:t>. They show that it is</w:t>
      </w:r>
      <w:r w:rsidRPr="0006003D">
        <w:rPr>
          <w:rFonts w:ascii="Times New Roman" w:eastAsia="Arial" w:hAnsi="Times New Roman" w:cs="Times New Roman"/>
          <w:sz w:val="20"/>
          <w:szCs w:val="20"/>
        </w:rPr>
        <w:t xml:space="preserve"> </w:t>
      </w:r>
      <w:r w:rsidR="00776D1E" w:rsidRPr="0006003D">
        <w:rPr>
          <w:rFonts w:ascii="Times New Roman" w:eastAsia="Arial" w:hAnsi="Times New Roman" w:cs="Times New Roman"/>
          <w:sz w:val="20"/>
          <w:szCs w:val="20"/>
        </w:rPr>
        <w:t xml:space="preserve">a </w:t>
      </w:r>
      <w:r w:rsidR="00542CA6" w:rsidRPr="0006003D">
        <w:rPr>
          <w:rFonts w:ascii="Times New Roman" w:eastAsia="Arial" w:hAnsi="Times New Roman" w:cs="Times New Roman"/>
          <w:sz w:val="20"/>
          <w:szCs w:val="20"/>
        </w:rPr>
        <w:t>strong</w:t>
      </w:r>
      <w:r w:rsidRPr="0006003D">
        <w:rPr>
          <w:rFonts w:ascii="Times New Roman" w:eastAsia="Arial" w:hAnsi="Times New Roman" w:cs="Times New Roman"/>
          <w:sz w:val="20"/>
          <w:szCs w:val="20"/>
        </w:rPr>
        <w:t xml:space="preserve"> predictor of </w:t>
      </w:r>
      <w:r w:rsidR="00542CA6" w:rsidRPr="0006003D">
        <w:rPr>
          <w:rFonts w:ascii="Times New Roman" w:eastAsia="Arial" w:hAnsi="Times New Roman" w:cs="Times New Roman"/>
          <w:sz w:val="20"/>
          <w:szCs w:val="20"/>
        </w:rPr>
        <w:t xml:space="preserve">default risk </w:t>
      </w:r>
      <w:r w:rsidR="00776D1E" w:rsidRPr="0006003D">
        <w:rPr>
          <w:rFonts w:ascii="Times New Roman" w:eastAsia="Arial" w:hAnsi="Times New Roman" w:cs="Times New Roman"/>
          <w:sz w:val="20"/>
          <w:szCs w:val="20"/>
        </w:rPr>
        <w:t xml:space="preserve">and </w:t>
      </w:r>
      <w:r w:rsidR="00542CA6" w:rsidRPr="0006003D">
        <w:rPr>
          <w:rFonts w:ascii="Times New Roman" w:eastAsia="Arial" w:hAnsi="Times New Roman" w:cs="Times New Roman"/>
          <w:sz w:val="20"/>
          <w:szCs w:val="20"/>
        </w:rPr>
        <w:t xml:space="preserve">that it </w:t>
      </w:r>
      <w:r w:rsidR="00776D1E" w:rsidRPr="0006003D">
        <w:rPr>
          <w:rFonts w:ascii="Times New Roman" w:eastAsia="Arial" w:hAnsi="Times New Roman" w:cs="Times New Roman"/>
          <w:sz w:val="20"/>
          <w:szCs w:val="20"/>
        </w:rPr>
        <w:t>was also a variable of choice to inform contemporary opinion</w:t>
      </w:r>
      <w:r w:rsidR="00542CA6" w:rsidRPr="0006003D">
        <w:rPr>
          <w:rFonts w:ascii="Times New Roman" w:eastAsia="Arial" w:hAnsi="Times New Roman" w:cs="Times New Roman"/>
          <w:sz w:val="20"/>
          <w:szCs w:val="20"/>
        </w:rPr>
        <w:t>. We thus measure credit risk as follows (the data to construct this ratio is taken from the Global Finance Database)</w:t>
      </w:r>
      <w:r w:rsidRPr="0006003D">
        <w:rPr>
          <w:rFonts w:ascii="Times New Roman" w:eastAsia="Arial" w:hAnsi="Times New Roman" w:cs="Times New Roman"/>
          <w:sz w:val="20"/>
          <w:szCs w:val="20"/>
        </w:rPr>
        <w:t>:</w:t>
      </w:r>
    </w:p>
    <w:p w14:paraId="25288975" w14:textId="77777777" w:rsidR="00B34160" w:rsidRPr="0006003D" w:rsidRDefault="00B34160" w:rsidP="0006003D">
      <w:pPr>
        <w:widowControl w:val="0"/>
        <w:ind w:firstLine="720"/>
        <w:jc w:val="both"/>
        <w:rPr>
          <w:rFonts w:ascii="Times New Roman" w:eastAsia="Arial"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gridCol w:w="709"/>
      </w:tblGrid>
      <w:tr w:rsidR="00433BCF" w:rsidRPr="0006003D" w14:paraId="6F46A15C" w14:textId="77777777" w:rsidTr="00C42ACD">
        <w:tc>
          <w:tcPr>
            <w:tcW w:w="9028" w:type="dxa"/>
          </w:tcPr>
          <w:p w14:paraId="5DD6C4B7" w14:textId="52A29D23" w:rsidR="00433BCF" w:rsidRPr="0006003D" w:rsidRDefault="00B64F31" w:rsidP="0006003D">
            <w:pPr>
              <w:widowControl w:val="0"/>
              <w:ind w:firstLine="720"/>
              <w:jc w:val="both"/>
              <w:rPr>
                <w:rFonts w:ascii="Times New Roman" w:eastAsia="Arial" w:hAnsi="Times New Roman" w:cs="Times New Roman"/>
                <w:color w:val="000000"/>
                <w:w w:val="101"/>
                <w:sz w:val="20"/>
                <w:szCs w:val="20"/>
              </w:rPr>
            </w:pPr>
            <m:oMathPara>
              <m:oMath>
                <m:sSub>
                  <m:sSubPr>
                    <m:ctrlPr>
                      <w:rPr>
                        <w:rFonts w:ascii="Cambria Math" w:eastAsia="Arial" w:hAnsi="Cambria Math" w:cs="Times New Roman"/>
                        <w:i/>
                        <w:sz w:val="20"/>
                        <w:szCs w:val="20"/>
                      </w:rPr>
                    </m:ctrlPr>
                  </m:sSubPr>
                  <m:e>
                    <m:r>
                      <w:rPr>
                        <w:rFonts w:ascii="Cambria Math" w:eastAsia="Arial" w:hAnsi="Cambria Math" w:cs="Times New Roman"/>
                        <w:sz w:val="20"/>
                        <w:szCs w:val="20"/>
                      </w:rPr>
                      <m:t>Credit</m:t>
                    </m:r>
                  </m:e>
                  <m:sub>
                    <m:r>
                      <w:rPr>
                        <w:rFonts w:ascii="Cambria Math" w:eastAsia="Arial" w:hAnsi="Cambria Math" w:cs="Times New Roman"/>
                        <w:sz w:val="20"/>
                        <w:szCs w:val="20"/>
                      </w:rPr>
                      <m:t>c,t</m:t>
                    </m:r>
                  </m:sub>
                </m:sSub>
                <m:r>
                  <w:rPr>
                    <w:rFonts w:ascii="Cambria Math" w:eastAsia="Arial" w:hAnsi="Cambria Math" w:cs="Times New Roman"/>
                    <w:sz w:val="20"/>
                    <w:szCs w:val="20"/>
                  </w:rPr>
                  <m:t>=</m:t>
                </m:r>
                <m:f>
                  <m:fPr>
                    <m:ctrlPr>
                      <w:rPr>
                        <w:rFonts w:ascii="Cambria Math" w:eastAsia="Arial" w:hAnsi="Cambria Math" w:cs="Times New Roman"/>
                        <w:i/>
                        <w:sz w:val="20"/>
                        <w:szCs w:val="20"/>
                      </w:rPr>
                    </m:ctrlPr>
                  </m:fPr>
                  <m:num>
                    <m:sSub>
                      <m:sSubPr>
                        <m:ctrlPr>
                          <w:rPr>
                            <w:rFonts w:ascii="Cambria Math" w:eastAsia="Arial" w:hAnsi="Cambria Math" w:cs="Times New Roman"/>
                            <w:i/>
                            <w:sz w:val="20"/>
                            <w:szCs w:val="20"/>
                          </w:rPr>
                        </m:ctrlPr>
                      </m:sSubPr>
                      <m:e>
                        <m:r>
                          <w:rPr>
                            <w:rFonts w:ascii="Cambria Math" w:eastAsia="Arial" w:hAnsi="Cambria Math" w:cs="Times New Roman"/>
                            <w:sz w:val="20"/>
                            <w:szCs w:val="20"/>
                          </w:rPr>
                          <m:t>Interest Service</m:t>
                        </m:r>
                      </m:e>
                      <m:sub>
                        <m:r>
                          <w:rPr>
                            <w:rFonts w:ascii="Cambria Math" w:eastAsia="Arial" w:hAnsi="Cambria Math" w:cs="Times New Roman"/>
                            <w:sz w:val="20"/>
                            <w:szCs w:val="20"/>
                          </w:rPr>
                          <m:t>c,t</m:t>
                        </m:r>
                      </m:sub>
                    </m:sSub>
                  </m:num>
                  <m:den>
                    <m:sSub>
                      <m:sSubPr>
                        <m:ctrlPr>
                          <w:rPr>
                            <w:rFonts w:ascii="Cambria Math" w:eastAsia="Arial" w:hAnsi="Cambria Math" w:cs="Times New Roman"/>
                            <w:i/>
                            <w:sz w:val="20"/>
                            <w:szCs w:val="20"/>
                          </w:rPr>
                        </m:ctrlPr>
                      </m:sSubPr>
                      <m:e>
                        <m:r>
                          <w:rPr>
                            <w:rFonts w:ascii="Cambria Math" w:eastAsia="Arial" w:hAnsi="Cambria Math" w:cs="Times New Roman"/>
                            <w:sz w:val="20"/>
                            <w:szCs w:val="20"/>
                          </w:rPr>
                          <m:t>Government Revenue</m:t>
                        </m:r>
                      </m:e>
                      <m:sub>
                        <m:r>
                          <w:rPr>
                            <w:rFonts w:ascii="Cambria Math" w:eastAsia="Arial" w:hAnsi="Cambria Math" w:cs="Times New Roman"/>
                            <w:sz w:val="20"/>
                            <w:szCs w:val="20"/>
                          </w:rPr>
                          <m:t>c,t</m:t>
                        </m:r>
                      </m:sub>
                    </m:sSub>
                  </m:den>
                </m:f>
              </m:oMath>
            </m:oMathPara>
          </w:p>
        </w:tc>
        <w:tc>
          <w:tcPr>
            <w:tcW w:w="548" w:type="dxa"/>
          </w:tcPr>
          <w:p w14:paraId="134593E0" w14:textId="124A8F28" w:rsidR="00433BCF" w:rsidRPr="0006003D" w:rsidRDefault="00433BCF" w:rsidP="0006003D">
            <w:pPr>
              <w:ind w:right="57"/>
              <w:jc w:val="right"/>
              <w:rPr>
                <w:rFonts w:ascii="Times New Roman" w:eastAsia="Arial" w:hAnsi="Times New Roman" w:cs="Times New Roman"/>
                <w:w w:val="102"/>
                <w:sz w:val="20"/>
                <w:szCs w:val="20"/>
              </w:rPr>
            </w:pPr>
            <w:r w:rsidRPr="0006003D">
              <w:rPr>
                <w:rFonts w:ascii="Times New Roman" w:eastAsia="Arial" w:hAnsi="Times New Roman" w:cs="Times New Roman"/>
                <w:w w:val="102"/>
                <w:sz w:val="20"/>
                <w:szCs w:val="20"/>
              </w:rPr>
              <w:t>(A.3)</w:t>
            </w:r>
          </w:p>
        </w:tc>
      </w:tr>
    </w:tbl>
    <w:p w14:paraId="400346AF" w14:textId="40FFB7A8" w:rsidR="003B3A50" w:rsidRPr="0006003D" w:rsidRDefault="003B3A50" w:rsidP="00B34160">
      <w:pPr>
        <w:ind w:firstLine="284"/>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lastRenderedPageBreak/>
        <w:t xml:space="preserve">A bond’s </w:t>
      </w:r>
      <w:r w:rsidRPr="0006003D">
        <w:rPr>
          <w:rFonts w:ascii="Times New Roman" w:eastAsia="Arial" w:hAnsi="Times New Roman" w:cs="Times New Roman"/>
          <w:i/>
          <w:sz w:val="20"/>
          <w:szCs w:val="20"/>
        </w:rPr>
        <w:t>Age</w:t>
      </w:r>
      <w:r w:rsidRPr="0006003D">
        <w:rPr>
          <w:rFonts w:ascii="Times New Roman" w:eastAsia="Arial" w:hAnsi="Times New Roman" w:cs="Times New Roman"/>
          <w:sz w:val="20"/>
          <w:szCs w:val="20"/>
        </w:rPr>
        <w:t xml:space="preserve"> is measured by the (log) number of years since the bond was issued. We prefer this measure to the more usual time-to-redemption since the latter can be observed only imperfectly owing to missing information or redemption clauses. We draw information</w:t>
      </w:r>
      <w:r w:rsidR="007065EE"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on issuance year and month from the</w:t>
      </w:r>
      <w:r w:rsidR="00923BA2">
        <w:rPr>
          <w:rFonts w:ascii="Times New Roman" w:eastAsia="Arial" w:hAnsi="Times New Roman" w:cs="Times New Roman"/>
          <w:sz w:val="20"/>
          <w:szCs w:val="20"/>
        </w:rPr>
        <w:t xml:space="preserve"> </w:t>
      </w:r>
      <w:r w:rsidR="00923BA2">
        <w:rPr>
          <w:rFonts w:ascii="Times New Roman" w:eastAsia="Arial" w:hAnsi="Times New Roman" w:cs="Times New Roman"/>
          <w:i/>
          <w:sz w:val="20"/>
          <w:szCs w:val="20"/>
        </w:rPr>
        <w:t>Official</w:t>
      </w:r>
      <w:r w:rsidRPr="0006003D">
        <w:rPr>
          <w:rFonts w:ascii="Times New Roman" w:eastAsia="Arial" w:hAnsi="Times New Roman" w:cs="Times New Roman"/>
          <w:sz w:val="20"/>
          <w:szCs w:val="20"/>
        </w:rPr>
        <w:t xml:space="preserve"> </w:t>
      </w:r>
      <w:r w:rsidRPr="0006003D">
        <w:rPr>
          <w:rFonts w:ascii="Times New Roman" w:eastAsia="Arial" w:hAnsi="Times New Roman" w:cs="Times New Roman"/>
          <w:i/>
          <w:sz w:val="20"/>
          <w:szCs w:val="20"/>
        </w:rPr>
        <w:t>List</w:t>
      </w:r>
      <w:r w:rsidRPr="0006003D">
        <w:rPr>
          <w:rFonts w:ascii="Times New Roman" w:eastAsia="Arial" w:hAnsi="Times New Roman" w:cs="Times New Roman"/>
          <w:sz w:val="20"/>
          <w:szCs w:val="20"/>
        </w:rPr>
        <w:t xml:space="preserve"> (where available) or </w:t>
      </w:r>
      <w:r w:rsidRPr="0006003D">
        <w:rPr>
          <w:rFonts w:ascii="Times New Roman" w:eastAsia="Arial" w:hAnsi="Times New Roman" w:cs="Times New Roman"/>
          <w:i/>
          <w:sz w:val="20"/>
          <w:szCs w:val="20"/>
        </w:rPr>
        <w:t>Burdett</w:t>
      </w:r>
      <w:r w:rsidR="00A74EF9" w:rsidRPr="0006003D">
        <w:rPr>
          <w:rFonts w:ascii="Times New Roman" w:eastAsia="Arial" w:hAnsi="Times New Roman" w:cs="Times New Roman"/>
          <w:i/>
          <w:sz w:val="20"/>
          <w:szCs w:val="20"/>
        </w:rPr>
        <w:t>’</w:t>
      </w:r>
      <w:r w:rsidRPr="0006003D">
        <w:rPr>
          <w:rFonts w:ascii="Times New Roman" w:eastAsia="Arial" w:hAnsi="Times New Roman" w:cs="Times New Roman"/>
          <w:i/>
          <w:sz w:val="20"/>
          <w:szCs w:val="20"/>
        </w:rPr>
        <w:t>s</w:t>
      </w:r>
      <w:r w:rsidRPr="0006003D">
        <w:rPr>
          <w:rFonts w:ascii="Times New Roman" w:eastAsia="Arial" w:hAnsi="Times New Roman" w:cs="Times New Roman"/>
          <w:sz w:val="20"/>
          <w:szCs w:val="20"/>
        </w:rPr>
        <w:t xml:space="preserve"> (otherwise). This</w:t>
      </w:r>
      <w:r w:rsidR="007065EE"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leaves us with a few missing observations, which explains why the number of observations is slightly smaller when the regressions include </w:t>
      </w:r>
      <w:r w:rsidRPr="0006003D">
        <w:rPr>
          <w:rFonts w:ascii="Times New Roman" w:eastAsia="Arial" w:hAnsi="Times New Roman" w:cs="Times New Roman"/>
          <w:i/>
          <w:sz w:val="20"/>
          <w:szCs w:val="20"/>
        </w:rPr>
        <w:t>Age</w:t>
      </w:r>
      <w:r w:rsidRPr="0006003D">
        <w:rPr>
          <w:rFonts w:ascii="Times New Roman" w:eastAsia="Arial" w:hAnsi="Times New Roman" w:cs="Times New Roman"/>
          <w:sz w:val="20"/>
          <w:szCs w:val="20"/>
        </w:rPr>
        <w:t xml:space="preserve">. Bonds’ </w:t>
      </w:r>
      <w:r w:rsidRPr="0006003D">
        <w:rPr>
          <w:rFonts w:ascii="Times New Roman" w:eastAsia="Arial" w:hAnsi="Times New Roman" w:cs="Times New Roman"/>
          <w:i/>
          <w:sz w:val="20"/>
          <w:szCs w:val="20"/>
        </w:rPr>
        <w:t>Volume</w:t>
      </w:r>
      <w:r w:rsidRPr="0006003D">
        <w:rPr>
          <w:rFonts w:ascii="Times New Roman" w:eastAsia="Arial" w:hAnsi="Times New Roman" w:cs="Times New Roman"/>
          <w:sz w:val="20"/>
          <w:szCs w:val="20"/>
        </w:rPr>
        <w:t xml:space="preserve"> is measured by the (log) outstanding amount, as collected from the</w:t>
      </w:r>
      <w:r w:rsidR="00923BA2">
        <w:rPr>
          <w:rFonts w:ascii="Times New Roman" w:eastAsia="Arial" w:hAnsi="Times New Roman" w:cs="Times New Roman"/>
          <w:sz w:val="20"/>
          <w:szCs w:val="20"/>
        </w:rPr>
        <w:t xml:space="preserve"> </w:t>
      </w:r>
      <w:r w:rsidR="00923BA2">
        <w:rPr>
          <w:rFonts w:ascii="Times New Roman" w:eastAsia="Arial" w:hAnsi="Times New Roman" w:cs="Times New Roman"/>
          <w:i/>
          <w:sz w:val="20"/>
          <w:szCs w:val="20"/>
        </w:rPr>
        <w:t>Official</w:t>
      </w:r>
      <w:r w:rsidRPr="0006003D">
        <w:rPr>
          <w:rFonts w:ascii="Times New Roman" w:eastAsia="Arial" w:hAnsi="Times New Roman" w:cs="Times New Roman"/>
          <w:sz w:val="20"/>
          <w:szCs w:val="20"/>
        </w:rPr>
        <w:t xml:space="preserve"> </w:t>
      </w:r>
      <w:r w:rsidRPr="0006003D">
        <w:rPr>
          <w:rFonts w:ascii="Times New Roman" w:eastAsia="Arial" w:hAnsi="Times New Roman" w:cs="Times New Roman"/>
          <w:i/>
          <w:sz w:val="20"/>
          <w:szCs w:val="20"/>
        </w:rPr>
        <w:t>List</w:t>
      </w:r>
      <w:r w:rsidRPr="0006003D">
        <w:rPr>
          <w:rFonts w:ascii="Times New Roman" w:eastAsia="Arial" w:hAnsi="Times New Roman" w:cs="Times New Roman"/>
          <w:sz w:val="20"/>
          <w:szCs w:val="20"/>
        </w:rPr>
        <w:t xml:space="preserve"> at the beginning of each year (for the month of January). We prefer the outstanding amount to the initial amount (also displayed in the </w:t>
      </w:r>
      <w:r w:rsidR="00923BA2">
        <w:rPr>
          <w:rFonts w:ascii="Times New Roman" w:eastAsia="Arial" w:hAnsi="Times New Roman" w:cs="Times New Roman"/>
          <w:i/>
          <w:sz w:val="20"/>
          <w:szCs w:val="20"/>
        </w:rPr>
        <w:t>Official</w:t>
      </w:r>
      <w:r w:rsidR="00923BA2" w:rsidRPr="0006003D">
        <w:rPr>
          <w:rFonts w:ascii="Times New Roman" w:eastAsia="Arial" w:hAnsi="Times New Roman" w:cs="Times New Roman"/>
          <w:sz w:val="20"/>
          <w:szCs w:val="20"/>
        </w:rPr>
        <w:t xml:space="preserve"> </w:t>
      </w:r>
      <w:r w:rsidRPr="0006003D">
        <w:rPr>
          <w:rFonts w:ascii="Times New Roman" w:eastAsia="Arial" w:hAnsi="Times New Roman" w:cs="Times New Roman"/>
          <w:i/>
          <w:sz w:val="20"/>
          <w:szCs w:val="20"/>
        </w:rPr>
        <w:t>List</w:t>
      </w:r>
      <w:r w:rsidRPr="0006003D">
        <w:rPr>
          <w:rFonts w:ascii="Times New Roman" w:eastAsia="Arial" w:hAnsi="Times New Roman" w:cs="Times New Roman"/>
          <w:sz w:val="20"/>
          <w:szCs w:val="20"/>
        </w:rPr>
        <w:t>) because a large number of bonds were redeemed gradually during their lifetime, for instance via the operations of a sinking fund.</w:t>
      </w:r>
    </w:p>
    <w:p w14:paraId="5D548E8D" w14:textId="77777777" w:rsidR="00B044A1" w:rsidRDefault="00B044A1" w:rsidP="0006003D">
      <w:pPr>
        <w:tabs>
          <w:tab w:val="left" w:pos="9356"/>
        </w:tabs>
        <w:ind w:left="100" w:right="-138"/>
        <w:jc w:val="center"/>
        <w:rPr>
          <w:rFonts w:ascii="Times New Roman" w:eastAsia="Arial" w:hAnsi="Times New Roman" w:cs="Times New Roman"/>
          <w:sz w:val="20"/>
          <w:szCs w:val="20"/>
        </w:rPr>
      </w:pPr>
    </w:p>
    <w:p w14:paraId="234EE547" w14:textId="571142DB" w:rsidR="003B3A50" w:rsidRPr="005B1493" w:rsidRDefault="005B1493" w:rsidP="0006003D">
      <w:pPr>
        <w:tabs>
          <w:tab w:val="left" w:pos="9356"/>
        </w:tabs>
        <w:ind w:left="100" w:right="-138"/>
        <w:jc w:val="center"/>
        <w:rPr>
          <w:rFonts w:ascii="Times New Roman" w:eastAsia="Arial" w:hAnsi="Times New Roman" w:cs="Times New Roman"/>
          <w:sz w:val="20"/>
          <w:szCs w:val="20"/>
        </w:rPr>
      </w:pPr>
      <w:r w:rsidRPr="005B1493">
        <w:rPr>
          <w:rFonts w:ascii="Times New Roman" w:eastAsia="Arial" w:hAnsi="Times New Roman" w:cs="Times New Roman"/>
          <w:bCs/>
          <w:sz w:val="20"/>
          <w:szCs w:val="20"/>
        </w:rPr>
        <w:t xml:space="preserve">APPENDIX 3: A PORTFOLIO APPROACH </w:t>
      </w:r>
      <w:r w:rsidRPr="005B1493">
        <w:rPr>
          <w:rFonts w:ascii="Times New Roman" w:eastAsia="Arial" w:hAnsi="Times New Roman" w:cs="Times New Roman"/>
          <w:bCs/>
          <w:spacing w:val="12"/>
          <w:sz w:val="20"/>
          <w:szCs w:val="20"/>
        </w:rPr>
        <w:t xml:space="preserve"> </w:t>
      </w:r>
    </w:p>
    <w:p w14:paraId="24BE89C5" w14:textId="77777777" w:rsidR="003B3A50" w:rsidRPr="0006003D" w:rsidRDefault="003B3A50" w:rsidP="0006003D">
      <w:pPr>
        <w:rPr>
          <w:rFonts w:ascii="Times New Roman" w:hAnsi="Times New Roman" w:cs="Times New Roman"/>
          <w:sz w:val="20"/>
          <w:szCs w:val="20"/>
        </w:rPr>
      </w:pPr>
    </w:p>
    <w:p w14:paraId="7C03C1DC" w14:textId="02D7051D" w:rsidR="003B3A50" w:rsidRPr="0006003D" w:rsidRDefault="003B3A50"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In this </w:t>
      </w:r>
      <w:r w:rsidR="005B1493">
        <w:rPr>
          <w:rFonts w:ascii="Times New Roman" w:eastAsia="Arial" w:hAnsi="Times New Roman" w:cs="Times New Roman"/>
          <w:sz w:val="20"/>
          <w:szCs w:val="20"/>
        </w:rPr>
        <w:t>A</w:t>
      </w:r>
      <w:r w:rsidR="00C020D6" w:rsidRPr="0006003D">
        <w:rPr>
          <w:rFonts w:ascii="Times New Roman" w:eastAsia="Arial" w:hAnsi="Times New Roman" w:cs="Times New Roman"/>
          <w:sz w:val="20"/>
          <w:szCs w:val="20"/>
        </w:rPr>
        <w:t>ppendix</w:t>
      </w:r>
      <w:r w:rsidRPr="0006003D">
        <w:rPr>
          <w:rFonts w:ascii="Times New Roman" w:eastAsia="Arial" w:hAnsi="Times New Roman" w:cs="Times New Roman"/>
          <w:sz w:val="20"/>
          <w:szCs w:val="20"/>
        </w:rPr>
        <w:t xml:space="preserve">, we </w:t>
      </w:r>
      <w:r w:rsidR="00481450" w:rsidRPr="0006003D">
        <w:rPr>
          <w:rFonts w:ascii="Times New Roman" w:eastAsia="Arial" w:hAnsi="Times New Roman" w:cs="Times New Roman"/>
          <w:sz w:val="20"/>
          <w:szCs w:val="20"/>
        </w:rPr>
        <w:t>develop a portfolio approach to</w:t>
      </w:r>
      <w:r w:rsidR="00923BA2">
        <w:rPr>
          <w:rFonts w:ascii="Times New Roman" w:eastAsia="Arial" w:hAnsi="Times New Roman" w:cs="Times New Roman"/>
          <w:sz w:val="20"/>
          <w:szCs w:val="20"/>
        </w:rPr>
        <w:t xml:space="preserve"> measure</w:t>
      </w:r>
      <w:r w:rsidR="00481450" w:rsidRPr="0006003D">
        <w:rPr>
          <w:rFonts w:ascii="Times New Roman" w:eastAsia="Arial" w:hAnsi="Times New Roman" w:cs="Times New Roman"/>
          <w:sz w:val="20"/>
          <w:szCs w:val="20"/>
        </w:rPr>
        <w:t xml:space="preserve"> liquidity </w:t>
      </w:r>
      <w:r w:rsidR="00923BA2">
        <w:rPr>
          <w:rFonts w:ascii="Times New Roman" w:eastAsia="Arial" w:hAnsi="Times New Roman" w:cs="Times New Roman"/>
          <w:sz w:val="20"/>
          <w:szCs w:val="20"/>
        </w:rPr>
        <w:t xml:space="preserve">risk pricing </w:t>
      </w:r>
      <w:r w:rsidR="00481450" w:rsidRPr="0006003D">
        <w:rPr>
          <w:rFonts w:ascii="Times New Roman" w:eastAsia="Arial" w:hAnsi="Times New Roman" w:cs="Times New Roman"/>
          <w:sz w:val="20"/>
          <w:szCs w:val="20"/>
        </w:rPr>
        <w:t xml:space="preserve">similar to </w:t>
      </w:r>
      <w:proofErr w:type="spellStart"/>
      <w:r w:rsidR="00481450" w:rsidRPr="0006003D">
        <w:rPr>
          <w:rFonts w:ascii="Times New Roman" w:eastAsia="Arial" w:hAnsi="Times New Roman" w:cs="Times New Roman"/>
          <w:sz w:val="20"/>
          <w:szCs w:val="20"/>
        </w:rPr>
        <w:t>Alquist</w:t>
      </w:r>
      <w:proofErr w:type="spellEnd"/>
      <w:r w:rsidR="00481450" w:rsidRPr="0006003D">
        <w:rPr>
          <w:rFonts w:ascii="Times New Roman" w:eastAsia="Arial" w:hAnsi="Times New Roman" w:cs="Times New Roman"/>
          <w:sz w:val="20"/>
          <w:szCs w:val="20"/>
        </w:rPr>
        <w:t xml:space="preserve"> (2010) so as to deconstruct</w:t>
      </w:r>
      <w:r w:rsidRPr="0006003D">
        <w:rPr>
          <w:rFonts w:ascii="Times New Roman" w:eastAsia="Arial" w:hAnsi="Times New Roman" w:cs="Times New Roman"/>
          <w:sz w:val="20"/>
          <w:szCs w:val="20"/>
        </w:rPr>
        <w:t xml:space="preserve"> the differences between </w:t>
      </w:r>
      <w:r w:rsidR="00481450" w:rsidRPr="0006003D">
        <w:rPr>
          <w:rFonts w:ascii="Times New Roman" w:eastAsia="Arial" w:hAnsi="Times New Roman" w:cs="Times New Roman"/>
          <w:sz w:val="20"/>
          <w:szCs w:val="20"/>
        </w:rPr>
        <w:t xml:space="preserve">his </w:t>
      </w:r>
      <w:r w:rsidRPr="0006003D">
        <w:rPr>
          <w:rFonts w:ascii="Times New Roman" w:eastAsia="Arial" w:hAnsi="Times New Roman" w:cs="Times New Roman"/>
          <w:sz w:val="20"/>
          <w:szCs w:val="20"/>
        </w:rPr>
        <w:t xml:space="preserve">approach and ours </w:t>
      </w:r>
      <w:r w:rsidR="00481450" w:rsidRPr="0006003D">
        <w:rPr>
          <w:rFonts w:ascii="Times New Roman" w:eastAsia="Arial" w:hAnsi="Times New Roman" w:cs="Times New Roman"/>
          <w:sz w:val="20"/>
          <w:szCs w:val="20"/>
        </w:rPr>
        <w:t>and</w:t>
      </w:r>
      <w:r w:rsidRPr="0006003D">
        <w:rPr>
          <w:rFonts w:ascii="Times New Roman" w:eastAsia="Arial" w:hAnsi="Times New Roman" w:cs="Times New Roman"/>
          <w:sz w:val="20"/>
          <w:szCs w:val="20"/>
        </w:rPr>
        <w:t xml:space="preserve"> demonstrate that the point of departure is </w:t>
      </w:r>
      <w:r w:rsidR="00481450" w:rsidRPr="0006003D">
        <w:rPr>
          <w:rFonts w:ascii="Times New Roman" w:eastAsia="Arial" w:hAnsi="Times New Roman" w:cs="Times New Roman"/>
          <w:sz w:val="20"/>
          <w:szCs w:val="20"/>
        </w:rPr>
        <w:t>his (in our view incorrect) assumption that</w:t>
      </w:r>
      <w:r w:rsidRPr="0006003D">
        <w:rPr>
          <w:rFonts w:ascii="Times New Roman" w:eastAsia="Arial" w:hAnsi="Times New Roman" w:cs="Times New Roman"/>
          <w:sz w:val="20"/>
          <w:szCs w:val="20"/>
        </w:rPr>
        <w:t xml:space="preserve"> colonial and foreign debt markets were “integrated.” We argue they were not and that this explains the differences between the two </w:t>
      </w:r>
      <w:r w:rsidR="00481450" w:rsidRPr="0006003D">
        <w:rPr>
          <w:rFonts w:ascii="Times New Roman" w:eastAsia="Arial" w:hAnsi="Times New Roman" w:cs="Times New Roman"/>
          <w:sz w:val="20"/>
          <w:szCs w:val="20"/>
        </w:rPr>
        <w:t xml:space="preserve">sets of </w:t>
      </w:r>
      <w:r w:rsidRPr="0006003D">
        <w:rPr>
          <w:rFonts w:ascii="Times New Roman" w:eastAsia="Arial" w:hAnsi="Times New Roman" w:cs="Times New Roman"/>
          <w:sz w:val="20"/>
          <w:szCs w:val="20"/>
        </w:rPr>
        <w:t>results. In what follows we first discuss differences in methodologies, then differences in datasets and finally discuss the insights one can glean from applying an arbitrage pricing approach to our dataset.</w:t>
      </w:r>
    </w:p>
    <w:p w14:paraId="66F96F1B" w14:textId="77777777" w:rsidR="00F4098B" w:rsidRDefault="00F4098B" w:rsidP="0006003D">
      <w:pPr>
        <w:ind w:right="62"/>
        <w:jc w:val="both"/>
        <w:outlineLvl w:val="0"/>
        <w:rPr>
          <w:rFonts w:ascii="Times New Roman" w:hAnsi="Times New Roman" w:cs="Times New Roman"/>
          <w:i/>
          <w:sz w:val="20"/>
          <w:szCs w:val="20"/>
        </w:rPr>
      </w:pPr>
    </w:p>
    <w:p w14:paraId="37311101" w14:textId="1025C4F5" w:rsidR="003B3A50" w:rsidRPr="0006003D" w:rsidRDefault="003B3A50" w:rsidP="0006003D">
      <w:pPr>
        <w:ind w:right="62"/>
        <w:jc w:val="both"/>
        <w:outlineLvl w:val="0"/>
        <w:rPr>
          <w:rFonts w:ascii="Times New Roman" w:hAnsi="Times New Roman" w:cs="Times New Roman"/>
          <w:i/>
          <w:sz w:val="20"/>
          <w:szCs w:val="20"/>
        </w:rPr>
      </w:pPr>
      <w:r w:rsidRPr="0006003D">
        <w:rPr>
          <w:rFonts w:ascii="Times New Roman" w:hAnsi="Times New Roman" w:cs="Times New Roman"/>
          <w:i/>
          <w:sz w:val="20"/>
          <w:szCs w:val="20"/>
        </w:rPr>
        <w:t xml:space="preserve">Foreign and </w:t>
      </w:r>
      <w:r w:rsidR="00F4098B">
        <w:rPr>
          <w:rFonts w:ascii="Times New Roman" w:hAnsi="Times New Roman" w:cs="Times New Roman"/>
          <w:i/>
          <w:sz w:val="20"/>
          <w:szCs w:val="20"/>
        </w:rPr>
        <w:t>C</w:t>
      </w:r>
      <w:r w:rsidRPr="0006003D">
        <w:rPr>
          <w:rFonts w:ascii="Times New Roman" w:hAnsi="Times New Roman" w:cs="Times New Roman"/>
          <w:i/>
          <w:sz w:val="20"/>
          <w:szCs w:val="20"/>
        </w:rPr>
        <w:t xml:space="preserve">olonial </w:t>
      </w:r>
      <w:r w:rsidR="00F4098B">
        <w:rPr>
          <w:rFonts w:ascii="Times New Roman" w:hAnsi="Times New Roman" w:cs="Times New Roman"/>
          <w:i/>
          <w:sz w:val="20"/>
          <w:szCs w:val="20"/>
        </w:rPr>
        <w:t>D</w:t>
      </w:r>
      <w:r w:rsidRPr="0006003D">
        <w:rPr>
          <w:rFonts w:ascii="Times New Roman" w:hAnsi="Times New Roman" w:cs="Times New Roman"/>
          <w:i/>
          <w:sz w:val="20"/>
          <w:szCs w:val="20"/>
        </w:rPr>
        <w:t xml:space="preserve">ebt </w:t>
      </w:r>
      <w:r w:rsidR="00F4098B">
        <w:rPr>
          <w:rFonts w:ascii="Times New Roman" w:hAnsi="Times New Roman" w:cs="Times New Roman"/>
          <w:i/>
          <w:sz w:val="20"/>
          <w:szCs w:val="20"/>
        </w:rPr>
        <w:t>M</w:t>
      </w:r>
      <w:r w:rsidRPr="0006003D">
        <w:rPr>
          <w:rFonts w:ascii="Times New Roman" w:hAnsi="Times New Roman" w:cs="Times New Roman"/>
          <w:i/>
          <w:sz w:val="20"/>
          <w:szCs w:val="20"/>
        </w:rPr>
        <w:t xml:space="preserve">arkets </w:t>
      </w:r>
      <w:r w:rsidR="00F4098B">
        <w:rPr>
          <w:rFonts w:ascii="Times New Roman" w:hAnsi="Times New Roman" w:cs="Times New Roman"/>
          <w:i/>
          <w:sz w:val="20"/>
          <w:szCs w:val="20"/>
        </w:rPr>
        <w:t>W</w:t>
      </w:r>
      <w:r w:rsidRPr="0006003D">
        <w:rPr>
          <w:rFonts w:ascii="Times New Roman" w:hAnsi="Times New Roman" w:cs="Times New Roman"/>
          <w:i/>
          <w:sz w:val="20"/>
          <w:szCs w:val="20"/>
        </w:rPr>
        <w:t xml:space="preserve">ere </w:t>
      </w:r>
      <w:r w:rsidR="00F4098B">
        <w:rPr>
          <w:rFonts w:ascii="Times New Roman" w:hAnsi="Times New Roman" w:cs="Times New Roman"/>
          <w:i/>
          <w:sz w:val="20"/>
          <w:szCs w:val="20"/>
        </w:rPr>
        <w:t>N</w:t>
      </w:r>
      <w:r w:rsidRPr="0006003D">
        <w:rPr>
          <w:rFonts w:ascii="Times New Roman" w:hAnsi="Times New Roman" w:cs="Times New Roman"/>
          <w:i/>
          <w:sz w:val="20"/>
          <w:szCs w:val="20"/>
        </w:rPr>
        <w:t xml:space="preserve">ot </w:t>
      </w:r>
      <w:r w:rsidR="00F4098B">
        <w:rPr>
          <w:rFonts w:ascii="Times New Roman" w:hAnsi="Times New Roman" w:cs="Times New Roman"/>
          <w:i/>
          <w:sz w:val="20"/>
          <w:szCs w:val="20"/>
        </w:rPr>
        <w:t>I</w:t>
      </w:r>
      <w:r w:rsidRPr="0006003D">
        <w:rPr>
          <w:rFonts w:ascii="Times New Roman" w:hAnsi="Times New Roman" w:cs="Times New Roman"/>
          <w:i/>
          <w:sz w:val="20"/>
          <w:szCs w:val="20"/>
        </w:rPr>
        <w:t>ntegrated</w:t>
      </w:r>
    </w:p>
    <w:p w14:paraId="0A285DE4" w14:textId="77777777" w:rsidR="00F4098B" w:rsidRDefault="00F4098B" w:rsidP="0006003D">
      <w:pPr>
        <w:widowControl w:val="0"/>
        <w:ind w:firstLine="720"/>
        <w:jc w:val="both"/>
        <w:rPr>
          <w:rFonts w:ascii="Times New Roman" w:eastAsia="Arial" w:hAnsi="Times New Roman" w:cs="Times New Roman"/>
          <w:sz w:val="20"/>
          <w:szCs w:val="20"/>
        </w:rPr>
      </w:pPr>
    </w:p>
    <w:p w14:paraId="19B60304" w14:textId="1F18101D" w:rsidR="003B3A50" w:rsidRDefault="003B3A50"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Let us start by explaining differences in modeling. </w:t>
      </w:r>
      <w:proofErr w:type="spellStart"/>
      <w:r w:rsidRPr="0006003D">
        <w:rPr>
          <w:rFonts w:ascii="Times New Roman" w:eastAsia="Arial" w:hAnsi="Times New Roman" w:cs="Times New Roman"/>
          <w:sz w:val="20"/>
          <w:szCs w:val="20"/>
        </w:rPr>
        <w:t>Alquist’s</w:t>
      </w:r>
      <w:proofErr w:type="spellEnd"/>
      <w:r w:rsidRPr="0006003D">
        <w:rPr>
          <w:rFonts w:ascii="Times New Roman" w:eastAsia="Arial" w:hAnsi="Times New Roman" w:cs="Times New Roman"/>
          <w:sz w:val="20"/>
          <w:szCs w:val="20"/>
        </w:rPr>
        <w:t xml:space="preserve"> model is an application of the Arbitrage Pricing Theory (APT), a widespread approach in finance. According to APT, investors do not price individual bond characteristics (as we assume in this </w:t>
      </w:r>
      <w:r w:rsidR="00F4098B">
        <w:rPr>
          <w:rFonts w:ascii="Times New Roman" w:eastAsia="Arial" w:hAnsi="Times New Roman" w:cs="Times New Roman"/>
          <w:sz w:val="20"/>
          <w:szCs w:val="20"/>
        </w:rPr>
        <w:t>article</w:t>
      </w:r>
      <w:r w:rsidRPr="0006003D">
        <w:rPr>
          <w:rFonts w:ascii="Times New Roman" w:eastAsia="Arial" w:hAnsi="Times New Roman" w:cs="Times New Roman"/>
          <w:sz w:val="20"/>
          <w:szCs w:val="20"/>
        </w:rPr>
        <w:t xml:space="preserve">) because the latter can always be diversified away within an investment portfolio. In contrast, they do price the sensitivity of individual bonds to market-wide risks (or </w:t>
      </w:r>
      <w:r w:rsidR="00A74EF9" w:rsidRPr="0006003D">
        <w:rPr>
          <w:rFonts w:ascii="Times New Roman" w:eastAsia="Arial" w:hAnsi="Times New Roman" w:cs="Times New Roman"/>
          <w:sz w:val="20"/>
          <w:szCs w:val="20"/>
        </w:rPr>
        <w:t>“</w:t>
      </w:r>
      <w:r w:rsidRPr="0006003D">
        <w:rPr>
          <w:rFonts w:ascii="Times New Roman" w:eastAsia="Arial" w:hAnsi="Times New Roman" w:cs="Times New Roman"/>
          <w:sz w:val="20"/>
          <w:szCs w:val="20"/>
        </w:rPr>
        <w:t>factors”), which by definition cannot be diversified away.</w:t>
      </w:r>
      <w:r w:rsidR="007065EE"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To test the model empirically, </w:t>
      </w:r>
      <w:proofErr w:type="spellStart"/>
      <w:r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 xml:space="preserve"> regresses time-series of bond prices on a set of five such time varying factors:</w:t>
      </w:r>
    </w:p>
    <w:p w14:paraId="0C0643D9" w14:textId="77777777" w:rsidR="005B1493" w:rsidRPr="0006003D" w:rsidRDefault="005B1493" w:rsidP="0006003D">
      <w:pPr>
        <w:widowControl w:val="0"/>
        <w:ind w:firstLine="720"/>
        <w:jc w:val="both"/>
        <w:rPr>
          <w:rFonts w:ascii="Times New Roman" w:eastAsia="Arial"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gridCol w:w="709"/>
      </w:tblGrid>
      <w:tr w:rsidR="00433BCF" w:rsidRPr="0006003D" w14:paraId="0BAD8880" w14:textId="77777777" w:rsidTr="00C42ACD">
        <w:tc>
          <w:tcPr>
            <w:tcW w:w="9028" w:type="dxa"/>
          </w:tcPr>
          <w:p w14:paraId="7C479A69" w14:textId="777E5A1D" w:rsidR="00433BCF" w:rsidRPr="0006003D" w:rsidRDefault="00B64F31" w:rsidP="0006003D">
            <w:pPr>
              <w:ind w:left="100" w:right="62" w:firstLine="184"/>
              <w:jc w:val="both"/>
              <w:rPr>
                <w:rFonts w:ascii="Times New Roman" w:eastAsia="Arial" w:hAnsi="Times New Roman" w:cs="Times New Roman"/>
                <w:sz w:val="20"/>
                <w:szCs w:val="20"/>
              </w:rPr>
            </w:pPr>
            <m:oMathPara>
              <m:oMath>
                <m:sSub>
                  <m:sSubPr>
                    <m:ctrlPr>
                      <w:rPr>
                        <w:rFonts w:ascii="Cambria Math" w:eastAsia="Arial" w:hAnsi="Cambria Math" w:cs="Times New Roman"/>
                        <w:i/>
                        <w:sz w:val="20"/>
                        <w:szCs w:val="20"/>
                      </w:rPr>
                    </m:ctrlPr>
                  </m:sSubPr>
                  <m:e>
                    <m:r>
                      <w:rPr>
                        <w:rFonts w:ascii="Cambria Math" w:eastAsia="Arial" w:hAnsi="Cambria Math" w:cs="Times New Roman"/>
                        <w:sz w:val="20"/>
                        <w:szCs w:val="20"/>
                      </w:rPr>
                      <m:t>Return</m:t>
                    </m:r>
                  </m:e>
                  <m:sub>
                    <m:r>
                      <w:rPr>
                        <w:rFonts w:ascii="Cambria Math" w:eastAsia="Arial" w:hAnsi="Cambria Math" w:cs="Times New Roman"/>
                        <w:sz w:val="20"/>
                        <w:szCs w:val="20"/>
                      </w:rPr>
                      <m:t>p,t</m:t>
                    </m:r>
                  </m:sub>
                </m:sSub>
                <m:r>
                  <w:rPr>
                    <w:rFonts w:ascii="Cambria Math" w:eastAsia="Arial" w:hAnsi="Cambria Math" w:cs="Times New Roman"/>
                    <w:sz w:val="20"/>
                    <w:szCs w:val="20"/>
                  </w:rPr>
                  <m:t>=α+</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β</m:t>
                    </m:r>
                  </m:e>
                  <m:sub>
                    <m:r>
                      <w:rPr>
                        <w:rFonts w:ascii="Cambria Math" w:eastAsia="Arial" w:hAnsi="Cambria Math" w:cs="Times New Roman"/>
                        <w:sz w:val="20"/>
                        <w:szCs w:val="20"/>
                      </w:rPr>
                      <m:t>1</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Liq</m:t>
                    </m:r>
                  </m:e>
                  <m:sub>
                    <m:r>
                      <w:rPr>
                        <w:rFonts w:ascii="Cambria Math" w:eastAsia="Arial" w:hAnsi="Cambria Math" w:cs="Times New Roman"/>
                        <w:sz w:val="20"/>
                        <w:szCs w:val="20"/>
                      </w:rPr>
                      <m:t>t</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β</m:t>
                    </m:r>
                  </m:e>
                  <m:sub>
                    <m:r>
                      <w:rPr>
                        <w:rFonts w:ascii="Cambria Math" w:eastAsia="Arial" w:hAnsi="Cambria Math" w:cs="Times New Roman"/>
                        <w:sz w:val="20"/>
                        <w:szCs w:val="20"/>
                      </w:rPr>
                      <m:t>2</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Credit</m:t>
                    </m:r>
                  </m:e>
                  <m:sub>
                    <m:r>
                      <w:rPr>
                        <w:rFonts w:ascii="Cambria Math" w:eastAsia="Arial" w:hAnsi="Cambria Math" w:cs="Times New Roman"/>
                        <w:sz w:val="20"/>
                        <w:szCs w:val="20"/>
                      </w:rPr>
                      <m:t>t</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β</m:t>
                    </m:r>
                  </m:e>
                  <m:sub>
                    <m:r>
                      <w:rPr>
                        <w:rFonts w:ascii="Cambria Math" w:eastAsia="Arial" w:hAnsi="Cambria Math" w:cs="Times New Roman"/>
                        <w:sz w:val="20"/>
                        <w:szCs w:val="20"/>
                      </w:rPr>
                      <m:t>3</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Term</m:t>
                    </m:r>
                  </m:e>
                  <m:sub>
                    <m:r>
                      <w:rPr>
                        <w:rFonts w:ascii="Cambria Math" w:eastAsia="Arial" w:hAnsi="Cambria Math" w:cs="Times New Roman"/>
                        <w:sz w:val="20"/>
                        <w:szCs w:val="20"/>
                      </w:rPr>
                      <m:t>t</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β</m:t>
                    </m:r>
                  </m:e>
                  <m:sub>
                    <m:r>
                      <w:rPr>
                        <w:rFonts w:ascii="Cambria Math" w:eastAsia="Arial" w:hAnsi="Cambria Math" w:cs="Times New Roman"/>
                        <w:sz w:val="20"/>
                        <w:szCs w:val="20"/>
                      </w:rPr>
                      <m:t>4</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Market</m:t>
                    </m:r>
                  </m:e>
                  <m:sub>
                    <m:r>
                      <w:rPr>
                        <w:rFonts w:ascii="Cambria Math" w:eastAsia="Arial" w:hAnsi="Cambria Math" w:cs="Times New Roman"/>
                        <w:sz w:val="20"/>
                        <w:szCs w:val="20"/>
                      </w:rPr>
                      <m:t>t</m:t>
                    </m:r>
                  </m:sub>
                </m:sSub>
                <m:r>
                  <w:rPr>
                    <w:rFonts w:ascii="Cambria Math" w:eastAsia="Arial" w:hAnsi="Cambria Math" w:cs="Times New Roman"/>
                    <w:sz w:val="20"/>
                    <w:szCs w:val="20"/>
                  </w:rPr>
                  <m:t>+</m:t>
                </m:r>
                <m:sSub>
                  <m:sSubPr>
                    <m:ctrlPr>
                      <w:rPr>
                        <w:rFonts w:ascii="Cambria Math" w:eastAsia="Arial" w:hAnsi="Cambria Math" w:cs="Times New Roman"/>
                        <w:i/>
                        <w:sz w:val="20"/>
                        <w:szCs w:val="20"/>
                      </w:rPr>
                    </m:ctrlPr>
                  </m:sSubPr>
                  <m:e>
                    <m:r>
                      <w:rPr>
                        <w:rFonts w:ascii="Cambria Math" w:eastAsia="Arial" w:hAnsi="Cambria Math" w:cs="Times New Roman"/>
                        <w:sz w:val="20"/>
                        <w:szCs w:val="20"/>
                      </w:rPr>
                      <m:t>ε</m:t>
                    </m:r>
                  </m:e>
                  <m:sub>
                    <m:r>
                      <w:rPr>
                        <w:rFonts w:ascii="Cambria Math" w:eastAsia="Arial" w:hAnsi="Cambria Math" w:cs="Times New Roman"/>
                        <w:sz w:val="20"/>
                        <w:szCs w:val="20"/>
                      </w:rPr>
                      <m:t>p,t</m:t>
                    </m:r>
                  </m:sub>
                </m:sSub>
                <m:r>
                  <w:rPr>
                    <w:rFonts w:ascii="Cambria Math" w:eastAsia="Arial" w:hAnsi="Cambria Math" w:cs="Times New Roman"/>
                    <w:sz w:val="20"/>
                    <w:szCs w:val="20"/>
                  </w:rPr>
                  <m:t>.</m:t>
                </m:r>
              </m:oMath>
            </m:oMathPara>
          </w:p>
        </w:tc>
        <w:tc>
          <w:tcPr>
            <w:tcW w:w="548" w:type="dxa"/>
          </w:tcPr>
          <w:p w14:paraId="61FB95C5" w14:textId="692C9D8D" w:rsidR="00433BCF" w:rsidRPr="0006003D" w:rsidRDefault="00433BCF" w:rsidP="0006003D">
            <w:pPr>
              <w:ind w:right="57"/>
              <w:jc w:val="right"/>
              <w:rPr>
                <w:rFonts w:ascii="Times New Roman" w:eastAsia="Arial" w:hAnsi="Times New Roman" w:cs="Times New Roman"/>
                <w:w w:val="102"/>
                <w:sz w:val="20"/>
                <w:szCs w:val="20"/>
              </w:rPr>
            </w:pPr>
            <w:r w:rsidRPr="0006003D">
              <w:rPr>
                <w:rFonts w:ascii="Times New Roman" w:eastAsia="Arial" w:hAnsi="Times New Roman" w:cs="Times New Roman"/>
                <w:w w:val="102"/>
                <w:sz w:val="20"/>
                <w:szCs w:val="20"/>
              </w:rPr>
              <w:t>(A.4)</w:t>
            </w:r>
          </w:p>
        </w:tc>
      </w:tr>
    </w:tbl>
    <w:p w14:paraId="4BA477B5" w14:textId="77777777" w:rsidR="003B3A50" w:rsidRPr="0006003D" w:rsidRDefault="003B3A50" w:rsidP="0006003D">
      <w:pPr>
        <w:rPr>
          <w:rFonts w:ascii="Times New Roman" w:hAnsi="Times New Roman" w:cs="Times New Roman"/>
          <w:sz w:val="20"/>
          <w:szCs w:val="20"/>
        </w:rPr>
      </w:pPr>
    </w:p>
    <w:p w14:paraId="7FEC24C7" w14:textId="188F8791" w:rsidR="003B3A50" w:rsidRPr="0006003D" w:rsidRDefault="003B3A50" w:rsidP="0006003D">
      <w:pPr>
        <w:widowControl w:val="0"/>
        <w:ind w:firstLine="720"/>
        <w:jc w:val="both"/>
        <w:rPr>
          <w:rFonts w:ascii="Times New Roman" w:eastAsia="Arial" w:hAnsi="Times New Roman" w:cs="Times New Roman"/>
          <w:color w:val="000000"/>
          <w:w w:val="106"/>
          <w:sz w:val="20"/>
          <w:szCs w:val="20"/>
        </w:rPr>
      </w:pPr>
      <w:proofErr w:type="spellStart"/>
      <w:r w:rsidRPr="0006003D">
        <w:rPr>
          <w:rFonts w:ascii="Times New Roman" w:eastAsia="Arial" w:hAnsi="Times New Roman" w:cs="Times New Roman"/>
          <w:i/>
          <w:sz w:val="20"/>
          <w:szCs w:val="20"/>
        </w:rPr>
        <w:t>Liq</w:t>
      </w:r>
      <w:r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sz w:val="20"/>
          <w:szCs w:val="20"/>
        </w:rPr>
        <w:t xml:space="preserve"> is the average of individual closing quotations (called by </w:t>
      </w:r>
      <w:proofErr w:type="spellStart"/>
      <w:r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 xml:space="preserve"> bid-ask spread) </w:t>
      </w:r>
      <w:r w:rsidR="00923BA2">
        <w:rPr>
          <w:rFonts w:ascii="Times New Roman" w:eastAsia="Arial" w:hAnsi="Times New Roman" w:cs="Times New Roman"/>
          <w:sz w:val="20"/>
          <w:szCs w:val="20"/>
        </w:rPr>
        <w:t>at</w:t>
      </w:r>
      <w:r w:rsidR="00923BA2"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each time </w:t>
      </w:r>
      <w:r w:rsidRPr="0006003D">
        <w:rPr>
          <w:rFonts w:ascii="Times New Roman" w:eastAsia="Arial" w:hAnsi="Times New Roman" w:cs="Times New Roman"/>
          <w:i/>
          <w:sz w:val="20"/>
          <w:szCs w:val="20"/>
        </w:rPr>
        <w:t>t</w:t>
      </w:r>
      <w:r w:rsidRPr="0006003D">
        <w:rPr>
          <w:rFonts w:ascii="Times New Roman" w:eastAsia="Arial" w:hAnsi="Times New Roman" w:cs="Times New Roman"/>
          <w:sz w:val="20"/>
          <w:szCs w:val="20"/>
        </w:rPr>
        <w:t xml:space="preserve">, over the universe of all bonds. Technically, </w:t>
      </w:r>
      <w:proofErr w:type="spellStart"/>
      <w:r w:rsidRPr="0006003D">
        <w:rPr>
          <w:rFonts w:ascii="Times New Roman" w:eastAsia="Arial" w:hAnsi="Times New Roman" w:cs="Times New Roman"/>
          <w:sz w:val="20"/>
          <w:szCs w:val="20"/>
        </w:rPr>
        <w:t>Alquist’s</w:t>
      </w:r>
      <w:proofErr w:type="spellEnd"/>
      <w:r w:rsidRPr="0006003D">
        <w:rPr>
          <w:rFonts w:ascii="Times New Roman" w:eastAsia="Arial" w:hAnsi="Times New Roman" w:cs="Times New Roman"/>
          <w:sz w:val="20"/>
          <w:szCs w:val="20"/>
        </w:rPr>
        <w:t xml:space="preserve"> regression uses the</w:t>
      </w:r>
      <w:r w:rsidR="00A74EF9"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shock” component of </w:t>
      </w:r>
      <w:proofErr w:type="spellStart"/>
      <w:r w:rsidR="00926DCE" w:rsidRPr="0006003D">
        <w:rPr>
          <w:rFonts w:ascii="Times New Roman" w:eastAsia="Arial" w:hAnsi="Times New Roman" w:cs="Times New Roman"/>
          <w:i/>
          <w:sz w:val="20"/>
          <w:szCs w:val="20"/>
        </w:rPr>
        <w:t>Liq</w:t>
      </w:r>
      <w:r w:rsidR="00926DCE"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sz w:val="20"/>
          <w:szCs w:val="20"/>
        </w:rPr>
        <w:t>, measured by the residuals of a second-order autoregressive (</w:t>
      </w:r>
      <w:proofErr w:type="gramStart"/>
      <w:r w:rsidRPr="0006003D">
        <w:rPr>
          <w:rFonts w:ascii="Times New Roman" w:eastAsia="Arial" w:hAnsi="Times New Roman" w:cs="Times New Roman"/>
          <w:sz w:val="20"/>
          <w:szCs w:val="20"/>
        </w:rPr>
        <w:t>AR(</w:t>
      </w:r>
      <w:proofErr w:type="gramEnd"/>
      <w:r w:rsidRPr="0006003D">
        <w:rPr>
          <w:rFonts w:ascii="Times New Roman" w:eastAsia="Arial" w:hAnsi="Times New Roman" w:cs="Times New Roman"/>
          <w:sz w:val="20"/>
          <w:szCs w:val="20"/>
        </w:rPr>
        <w:t xml:space="preserve">2)) model of </w:t>
      </w:r>
      <w:proofErr w:type="spellStart"/>
      <w:r w:rsidR="00926DCE" w:rsidRPr="0006003D">
        <w:rPr>
          <w:rFonts w:ascii="Times New Roman" w:eastAsia="Arial" w:hAnsi="Times New Roman" w:cs="Times New Roman"/>
          <w:i/>
          <w:sz w:val="20"/>
          <w:szCs w:val="20"/>
        </w:rPr>
        <w:t>Liq</w:t>
      </w:r>
      <w:r w:rsidR="00926DCE"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sz w:val="20"/>
          <w:szCs w:val="20"/>
        </w:rPr>
        <w:t xml:space="preserve">. </w:t>
      </w:r>
      <w:proofErr w:type="spellStart"/>
      <w:r w:rsidRPr="0006003D">
        <w:rPr>
          <w:rFonts w:ascii="Times New Roman" w:eastAsia="Arial" w:hAnsi="Times New Roman" w:cs="Times New Roman"/>
          <w:i/>
          <w:sz w:val="20"/>
          <w:szCs w:val="20"/>
        </w:rPr>
        <w:t>Credit</w:t>
      </w:r>
      <w:r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i/>
          <w:sz w:val="20"/>
          <w:szCs w:val="20"/>
        </w:rPr>
        <w:t xml:space="preserve"> </w:t>
      </w:r>
      <w:r w:rsidRPr="0006003D">
        <w:rPr>
          <w:rFonts w:ascii="Times New Roman" w:eastAsia="Arial" w:hAnsi="Times New Roman" w:cs="Times New Roman"/>
          <w:sz w:val="20"/>
          <w:szCs w:val="20"/>
        </w:rPr>
        <w:t>comprises two different measures of aggregate credit risk. They correspond to the return differentials between portfolios made of bonds of both colonial and sovereign issuers sorted at the beginning of each year according to each countries</w:t>
      </w:r>
      <w:r w:rsidR="00A74EF9" w:rsidRPr="0006003D">
        <w:rPr>
          <w:rFonts w:ascii="Times New Roman" w:eastAsia="Arial" w:hAnsi="Times New Roman" w:cs="Times New Roman"/>
          <w:sz w:val="20"/>
          <w:szCs w:val="20"/>
        </w:rPr>
        <w:t>’</w:t>
      </w:r>
      <w:r w:rsidR="00F4098B">
        <w:rPr>
          <w:rFonts w:ascii="Times New Roman" w:eastAsia="Arial" w:hAnsi="Times New Roman" w:cs="Times New Roman"/>
          <w:sz w:val="20"/>
          <w:szCs w:val="20"/>
        </w:rPr>
        <w:t xml:space="preserve"> debt level and export-to-</w:t>
      </w:r>
      <w:r w:rsidRPr="0006003D">
        <w:rPr>
          <w:rFonts w:ascii="Times New Roman" w:eastAsia="Arial" w:hAnsi="Times New Roman" w:cs="Times New Roman"/>
          <w:sz w:val="20"/>
          <w:szCs w:val="20"/>
        </w:rPr>
        <w:t xml:space="preserve">GDP ratio, respectively, which </w:t>
      </w:r>
      <w:proofErr w:type="spellStart"/>
      <w:r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 xml:space="preserve"> takes from Flandreau and </w:t>
      </w:r>
      <w:proofErr w:type="spellStart"/>
      <w:r w:rsidRPr="0006003D">
        <w:rPr>
          <w:rFonts w:ascii="Times New Roman" w:eastAsia="Arial" w:hAnsi="Times New Roman" w:cs="Times New Roman"/>
          <w:sz w:val="20"/>
          <w:szCs w:val="20"/>
        </w:rPr>
        <w:t>Zumer</w:t>
      </w:r>
      <w:proofErr w:type="spellEnd"/>
      <w:r w:rsidRPr="0006003D">
        <w:rPr>
          <w:rFonts w:ascii="Times New Roman" w:eastAsia="Arial" w:hAnsi="Times New Roman" w:cs="Times New Roman"/>
          <w:sz w:val="20"/>
          <w:szCs w:val="20"/>
        </w:rPr>
        <w:t xml:space="preserve"> (2004) and </w:t>
      </w:r>
      <w:proofErr w:type="spellStart"/>
      <w:r w:rsidR="00F4098B" w:rsidRPr="0006003D">
        <w:rPr>
          <w:rFonts w:ascii="Times New Roman" w:eastAsia="Arial" w:hAnsi="Times New Roman" w:cs="Times New Roman"/>
          <w:sz w:val="20"/>
          <w:szCs w:val="20"/>
        </w:rPr>
        <w:t>Accominotti</w:t>
      </w:r>
      <w:proofErr w:type="spellEnd"/>
      <w:r w:rsidR="00F4098B" w:rsidRPr="0006003D">
        <w:rPr>
          <w:rFonts w:ascii="Times New Roman" w:eastAsia="Arial" w:hAnsi="Times New Roman" w:cs="Times New Roman"/>
          <w:sz w:val="20"/>
          <w:szCs w:val="20"/>
        </w:rPr>
        <w:t>, Flandreau</w:t>
      </w:r>
      <w:r w:rsidR="00F4098B">
        <w:rPr>
          <w:rFonts w:ascii="Times New Roman" w:eastAsia="Arial" w:hAnsi="Times New Roman" w:cs="Times New Roman"/>
          <w:sz w:val="20"/>
          <w:szCs w:val="20"/>
        </w:rPr>
        <w:t>,</w:t>
      </w:r>
      <w:r w:rsidR="00F4098B" w:rsidRPr="0006003D">
        <w:rPr>
          <w:rFonts w:ascii="Times New Roman" w:eastAsia="Arial" w:hAnsi="Times New Roman" w:cs="Times New Roman"/>
          <w:sz w:val="20"/>
          <w:szCs w:val="20"/>
        </w:rPr>
        <w:t xml:space="preserve"> and </w:t>
      </w:r>
      <w:proofErr w:type="spellStart"/>
      <w:r w:rsidR="00F4098B" w:rsidRPr="0006003D">
        <w:rPr>
          <w:rFonts w:ascii="Times New Roman" w:eastAsia="Arial" w:hAnsi="Times New Roman" w:cs="Times New Roman"/>
          <w:sz w:val="20"/>
          <w:szCs w:val="20"/>
        </w:rPr>
        <w:t>Rezzik</w:t>
      </w:r>
      <w:proofErr w:type="spellEnd"/>
      <w:r w:rsidRPr="0006003D">
        <w:rPr>
          <w:rFonts w:ascii="Times New Roman" w:eastAsia="Arial" w:hAnsi="Times New Roman" w:cs="Times New Roman"/>
          <w:sz w:val="20"/>
          <w:szCs w:val="20"/>
        </w:rPr>
        <w:t xml:space="preserve"> (2011). </w:t>
      </w:r>
      <w:proofErr w:type="spellStart"/>
      <w:r w:rsidRPr="0006003D">
        <w:rPr>
          <w:rFonts w:ascii="Times New Roman" w:eastAsia="Arial" w:hAnsi="Times New Roman" w:cs="Times New Roman"/>
          <w:i/>
          <w:sz w:val="20"/>
          <w:szCs w:val="20"/>
        </w:rPr>
        <w:t>Term</w:t>
      </w:r>
      <w:r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sz w:val="20"/>
          <w:szCs w:val="20"/>
        </w:rPr>
        <w:t xml:space="preserve"> measures the aggregate risk of changes in interest rates, as measured by the return on British </w:t>
      </w:r>
      <w:proofErr w:type="spellStart"/>
      <w:r w:rsidRPr="0006003D">
        <w:rPr>
          <w:rFonts w:ascii="Times New Roman" w:eastAsia="Arial" w:hAnsi="Times New Roman" w:cs="Times New Roman"/>
          <w:sz w:val="20"/>
          <w:szCs w:val="20"/>
        </w:rPr>
        <w:t>Consols</w:t>
      </w:r>
      <w:proofErr w:type="spellEnd"/>
      <w:r w:rsidRPr="0006003D">
        <w:rPr>
          <w:rFonts w:ascii="Times New Roman" w:eastAsia="Arial" w:hAnsi="Times New Roman" w:cs="Times New Roman"/>
          <w:sz w:val="20"/>
          <w:szCs w:val="20"/>
        </w:rPr>
        <w:t xml:space="preserve"> net of the return on 30-days bankers’ bills</w:t>
      </w:r>
      <w:r w:rsidRPr="0006003D">
        <w:rPr>
          <w:rFonts w:ascii="Times New Roman" w:eastAsia="Arial" w:hAnsi="Times New Roman" w:cs="Times New Roman"/>
          <w:i/>
          <w:sz w:val="20"/>
          <w:szCs w:val="20"/>
        </w:rPr>
        <w:t xml:space="preserve">. </w:t>
      </w:r>
      <w:proofErr w:type="spellStart"/>
      <w:r w:rsidRPr="0006003D">
        <w:rPr>
          <w:rFonts w:ascii="Times New Roman" w:eastAsia="Arial" w:hAnsi="Times New Roman" w:cs="Times New Roman"/>
          <w:i/>
          <w:sz w:val="20"/>
          <w:szCs w:val="20"/>
        </w:rPr>
        <w:t>Market</w:t>
      </w:r>
      <w:r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sz w:val="20"/>
          <w:szCs w:val="20"/>
        </w:rPr>
        <w:t xml:space="preserve"> measures changes in aggregate stock returns, as measured by an average of stock prices collected by </w:t>
      </w:r>
      <w:proofErr w:type="spellStart"/>
      <w:r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w:t>
      </w:r>
    </w:p>
    <w:p w14:paraId="214BD4F7" w14:textId="181042B5" w:rsidR="003B3A50" w:rsidRPr="0006003D" w:rsidRDefault="003B3A50"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On the left-hand side, returns are measured net of the return on a one-month bill, which </w:t>
      </w:r>
      <w:proofErr w:type="spellStart"/>
      <w:r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 xml:space="preserve"> considers to be the benchmark risk-free rate. As the subscript </w:t>
      </w:r>
      <w:r w:rsidRPr="0006003D">
        <w:rPr>
          <w:rFonts w:ascii="Times New Roman" w:eastAsia="Arial" w:hAnsi="Times New Roman" w:cs="Times New Roman"/>
          <w:sz w:val="20"/>
          <w:szCs w:val="20"/>
        </w:rPr>
        <w:lastRenderedPageBreak/>
        <w:t xml:space="preserve">indicates, returns are not measured at the level of an individual bond, but rather at the level of a portfolio of bonds. Specifically, </w:t>
      </w:r>
      <w:proofErr w:type="spellStart"/>
      <w:proofErr w:type="gramStart"/>
      <w:r w:rsidRPr="0006003D">
        <w:rPr>
          <w:rFonts w:ascii="Times New Roman" w:eastAsia="Arial" w:hAnsi="Times New Roman" w:cs="Times New Roman"/>
          <w:i/>
          <w:sz w:val="20"/>
          <w:szCs w:val="20"/>
        </w:rPr>
        <w:t>Return</w:t>
      </w:r>
      <w:r w:rsidRPr="0006003D">
        <w:rPr>
          <w:rFonts w:ascii="Times New Roman" w:eastAsia="Arial" w:hAnsi="Times New Roman" w:cs="Times New Roman"/>
          <w:i/>
          <w:sz w:val="20"/>
          <w:szCs w:val="20"/>
          <w:vertAlign w:val="subscript"/>
        </w:rPr>
        <w:t>p,t</w:t>
      </w:r>
      <w:proofErr w:type="spellEnd"/>
      <w:proofErr w:type="gramEnd"/>
      <w:r w:rsidRPr="00F4098B">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is the average return (the average change in bond prices) on a given portfolio </w:t>
      </w:r>
      <w:r w:rsidRPr="0006003D">
        <w:rPr>
          <w:rFonts w:ascii="Times New Roman" w:eastAsia="Arial" w:hAnsi="Times New Roman" w:cs="Times New Roman"/>
          <w:i/>
          <w:sz w:val="20"/>
          <w:szCs w:val="20"/>
        </w:rPr>
        <w:t>p</w:t>
      </w:r>
      <w:r w:rsidRPr="0006003D">
        <w:rPr>
          <w:rFonts w:ascii="Times New Roman" w:eastAsia="Arial" w:hAnsi="Times New Roman" w:cs="Times New Roman"/>
          <w:sz w:val="20"/>
          <w:szCs w:val="20"/>
        </w:rPr>
        <w:t xml:space="preserve">. Individual bonds are sorted at the beginning of each year into </w:t>
      </w:r>
      <w:r w:rsidR="00D211BE" w:rsidRPr="0006003D">
        <w:rPr>
          <w:rFonts w:ascii="Times New Roman" w:eastAsia="Arial" w:hAnsi="Times New Roman" w:cs="Times New Roman"/>
          <w:sz w:val="20"/>
          <w:szCs w:val="20"/>
        </w:rPr>
        <w:t xml:space="preserve">ten </w:t>
      </w:r>
      <w:r w:rsidRPr="0006003D">
        <w:rPr>
          <w:rFonts w:ascii="Times New Roman" w:eastAsia="Arial" w:hAnsi="Times New Roman" w:cs="Times New Roman"/>
          <w:sz w:val="20"/>
          <w:szCs w:val="20"/>
        </w:rPr>
        <w:t xml:space="preserve">portfolios according to their liquidity, </w:t>
      </w:r>
      <w:proofErr w:type="spellStart"/>
      <w:r w:rsidRPr="0006003D">
        <w:rPr>
          <w:rFonts w:ascii="Times New Roman" w:eastAsia="Arial" w:hAnsi="Times New Roman" w:cs="Times New Roman"/>
          <w:sz w:val="20"/>
          <w:szCs w:val="20"/>
        </w:rPr>
        <w:t>proxied</w:t>
      </w:r>
      <w:proofErr w:type="spellEnd"/>
      <w:r w:rsidRPr="0006003D">
        <w:rPr>
          <w:rFonts w:ascii="Times New Roman" w:eastAsia="Arial" w:hAnsi="Times New Roman" w:cs="Times New Roman"/>
          <w:sz w:val="20"/>
          <w:szCs w:val="20"/>
        </w:rPr>
        <w:t xml:space="preserve"> by their individual bonds’ closing quotations.</w:t>
      </w:r>
    </w:p>
    <w:p w14:paraId="2AFF5F0C" w14:textId="20C84B14" w:rsidR="003B3A50" w:rsidRPr="0006003D" w:rsidRDefault="00D211BE"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W</w:t>
      </w:r>
      <w:r w:rsidR="003B3A50" w:rsidRPr="0006003D">
        <w:rPr>
          <w:rFonts w:ascii="Times New Roman" w:eastAsia="Arial" w:hAnsi="Times New Roman" w:cs="Times New Roman"/>
          <w:sz w:val="20"/>
          <w:szCs w:val="20"/>
        </w:rPr>
        <w:t xml:space="preserve">hile our econometric strategy differs from </w:t>
      </w:r>
      <w:proofErr w:type="spellStart"/>
      <w:r w:rsidR="003B3A50" w:rsidRPr="0006003D">
        <w:rPr>
          <w:rFonts w:ascii="Times New Roman" w:eastAsia="Arial" w:hAnsi="Times New Roman" w:cs="Times New Roman"/>
          <w:sz w:val="20"/>
          <w:szCs w:val="20"/>
        </w:rPr>
        <w:t>Alquist’s</w:t>
      </w:r>
      <w:proofErr w:type="spellEnd"/>
      <w:r w:rsidR="003B3A50" w:rsidRPr="0006003D">
        <w:rPr>
          <w:rFonts w:ascii="Times New Roman" w:eastAsia="Arial" w:hAnsi="Times New Roman" w:cs="Times New Roman"/>
          <w:sz w:val="20"/>
          <w:szCs w:val="20"/>
        </w:rPr>
        <w:t>, both are really based on the very s</w:t>
      </w:r>
      <w:r w:rsidR="00F4098B">
        <w:rPr>
          <w:rFonts w:ascii="Times New Roman" w:eastAsia="Arial" w:hAnsi="Times New Roman" w:cs="Times New Roman"/>
          <w:sz w:val="20"/>
          <w:szCs w:val="20"/>
        </w:rPr>
        <w:t>ame intuition. To see this, let u</w:t>
      </w:r>
      <w:r w:rsidR="003B3A50" w:rsidRPr="0006003D">
        <w:rPr>
          <w:rFonts w:ascii="Times New Roman" w:eastAsia="Arial" w:hAnsi="Times New Roman" w:cs="Times New Roman"/>
          <w:sz w:val="20"/>
          <w:szCs w:val="20"/>
        </w:rPr>
        <w:t xml:space="preserve">s make the following thought experiment. Consider a market-wide evaporation of liquidity, reflected in a sudden increase in the set of all individual securities’ liquidity indicators. In our own </w:t>
      </w:r>
      <w:r w:rsidR="003B764C" w:rsidRPr="0006003D">
        <w:rPr>
          <w:rFonts w:ascii="Times New Roman" w:eastAsia="Arial" w:hAnsi="Times New Roman" w:cs="Times New Roman"/>
          <w:sz w:val="20"/>
          <w:szCs w:val="20"/>
        </w:rPr>
        <w:t>main equation 2</w:t>
      </w:r>
      <w:r w:rsidR="003B3A50" w:rsidRPr="0006003D">
        <w:rPr>
          <w:rFonts w:ascii="Times New Roman" w:eastAsia="Arial" w:hAnsi="Times New Roman" w:cs="Times New Roman"/>
          <w:sz w:val="20"/>
          <w:szCs w:val="20"/>
        </w:rPr>
        <w:t>, this</w:t>
      </w:r>
      <w:r w:rsidR="00C87825" w:rsidRPr="0006003D">
        <w:rPr>
          <w:rFonts w:ascii="Times New Roman" w:eastAsia="Arial" w:hAnsi="Times New Roman" w:cs="Times New Roman"/>
          <w:sz w:val="20"/>
          <w:szCs w:val="20"/>
        </w:rPr>
        <w:t xml:space="preserve"> </w:t>
      </w:r>
      <w:r w:rsidR="003B3A50" w:rsidRPr="0006003D">
        <w:rPr>
          <w:rFonts w:ascii="Times New Roman" w:eastAsia="Arial" w:hAnsi="Times New Roman" w:cs="Times New Roman"/>
          <w:sz w:val="20"/>
          <w:szCs w:val="20"/>
        </w:rPr>
        <w:t xml:space="preserve">adverse shock will cause individual bond prices to go down (equivalently, will cause yields to rise) because our model predicts that lower liquidity depresses bond prices. In terms of portfolio returns now, the inference is that illiquidity shocks have a negative impact on bond prices (they go down), and thus on returns. Formally, the loading β for an illiquidity factor should be negative and significant. This is exactly what </w:t>
      </w:r>
      <w:proofErr w:type="spellStart"/>
      <w:r w:rsidR="003B3A50" w:rsidRPr="0006003D">
        <w:rPr>
          <w:rFonts w:ascii="Times New Roman" w:eastAsia="Arial" w:hAnsi="Times New Roman" w:cs="Times New Roman"/>
          <w:sz w:val="20"/>
          <w:szCs w:val="20"/>
        </w:rPr>
        <w:t>Alquist</w:t>
      </w:r>
      <w:proofErr w:type="spellEnd"/>
      <w:r w:rsidR="003B3A50" w:rsidRPr="0006003D">
        <w:rPr>
          <w:rFonts w:ascii="Times New Roman" w:eastAsia="Arial" w:hAnsi="Times New Roman" w:cs="Times New Roman"/>
          <w:sz w:val="20"/>
          <w:szCs w:val="20"/>
        </w:rPr>
        <w:t xml:space="preserve"> finds in results obtained with the entire population of bonds, as can be seen from his </w:t>
      </w:r>
      <w:r w:rsidR="007065EE" w:rsidRPr="0006003D">
        <w:rPr>
          <w:rFonts w:ascii="Times New Roman" w:eastAsia="Arial" w:hAnsi="Times New Roman" w:cs="Times New Roman"/>
          <w:sz w:val="20"/>
          <w:szCs w:val="20"/>
        </w:rPr>
        <w:t xml:space="preserve">Tables </w:t>
      </w:r>
      <w:r w:rsidR="003B3A50" w:rsidRPr="0006003D">
        <w:rPr>
          <w:rFonts w:ascii="Times New Roman" w:eastAsia="Arial" w:hAnsi="Times New Roman" w:cs="Times New Roman"/>
          <w:sz w:val="20"/>
          <w:szCs w:val="20"/>
        </w:rPr>
        <w:t xml:space="preserve">1 and 2. Just keep in mind that since his model is specified in terms of liquidity rather than illiquidity shocks (illiquidity multiplied by </w:t>
      </w:r>
      <w:r w:rsidR="00F4098B">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1), his results are simply the opposite, a positive and significant β (an amelioration of liquidity boosting bond prices).</w:t>
      </w:r>
      <w:r w:rsidR="003B3A50" w:rsidRPr="0006003D">
        <w:rPr>
          <w:rStyle w:val="FootnoteReference"/>
          <w:rFonts w:ascii="Times New Roman" w:eastAsia="Arial" w:hAnsi="Times New Roman" w:cs="Times New Roman"/>
          <w:sz w:val="20"/>
          <w:szCs w:val="20"/>
        </w:rPr>
        <w:t xml:space="preserve"> </w:t>
      </w:r>
    </w:p>
    <w:p w14:paraId="44B0093D" w14:textId="555071E2" w:rsidR="003B3A50" w:rsidRPr="0006003D" w:rsidRDefault="003B3A50"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Now, here comes the crucial difference between the two approaches. To measure </w:t>
      </w:r>
      <w:proofErr w:type="spellStart"/>
      <w:r w:rsidR="00926DCE" w:rsidRPr="0006003D">
        <w:rPr>
          <w:rFonts w:ascii="Times New Roman" w:eastAsia="Arial" w:hAnsi="Times New Roman" w:cs="Times New Roman"/>
          <w:i/>
          <w:sz w:val="20"/>
          <w:szCs w:val="20"/>
        </w:rPr>
        <w:t>Liq</w:t>
      </w:r>
      <w:r w:rsidR="00926DCE"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sz w:val="20"/>
          <w:szCs w:val="20"/>
        </w:rPr>
        <w:t xml:space="preserve">, </w:t>
      </w:r>
      <w:proofErr w:type="spellStart"/>
      <w:r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 xml:space="preserve"> starts with the same individual colonial and sovereign closing quotations brackets from the </w:t>
      </w:r>
      <w:r w:rsidRPr="0006003D">
        <w:rPr>
          <w:rFonts w:ascii="Times New Roman" w:eastAsia="Arial" w:hAnsi="Times New Roman" w:cs="Times New Roman"/>
          <w:i/>
          <w:sz w:val="20"/>
          <w:szCs w:val="20"/>
        </w:rPr>
        <w:t>Official List</w:t>
      </w:r>
      <w:r w:rsidRPr="0006003D">
        <w:rPr>
          <w:rFonts w:ascii="Times New Roman" w:eastAsia="Arial" w:hAnsi="Times New Roman" w:cs="Times New Roman"/>
          <w:sz w:val="20"/>
          <w:szCs w:val="20"/>
        </w:rPr>
        <w:t xml:space="preserve"> we use in</w:t>
      </w:r>
      <w:r w:rsidR="007065EE"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our workhorse regression framework. But he then averages all of these individual measures </w:t>
      </w:r>
      <w:r w:rsidR="00D211BE" w:rsidRPr="0006003D">
        <w:rPr>
          <w:rFonts w:ascii="Times New Roman" w:eastAsia="Arial" w:hAnsi="Times New Roman" w:cs="Times New Roman"/>
          <w:sz w:val="20"/>
          <w:szCs w:val="20"/>
        </w:rPr>
        <w:t xml:space="preserve">at </w:t>
      </w:r>
      <w:r w:rsidRPr="0006003D">
        <w:rPr>
          <w:rFonts w:ascii="Times New Roman" w:eastAsia="Arial" w:hAnsi="Times New Roman" w:cs="Times New Roman"/>
          <w:sz w:val="20"/>
          <w:szCs w:val="20"/>
        </w:rPr>
        <w:t xml:space="preserve">each time </w:t>
      </w:r>
      <w:r w:rsidRPr="0006003D">
        <w:rPr>
          <w:rFonts w:ascii="Times New Roman" w:eastAsia="Arial" w:hAnsi="Times New Roman" w:cs="Times New Roman"/>
          <w:i/>
          <w:sz w:val="20"/>
          <w:szCs w:val="20"/>
        </w:rPr>
        <w:t>t</w:t>
      </w:r>
      <w:r w:rsidRPr="0006003D">
        <w:rPr>
          <w:rFonts w:ascii="Times New Roman" w:eastAsia="Arial" w:hAnsi="Times New Roman" w:cs="Times New Roman"/>
          <w:sz w:val="20"/>
          <w:szCs w:val="20"/>
        </w:rPr>
        <w:t xml:space="preserve"> to form one time-series indicator of market-wide liquidity. </w:t>
      </w:r>
      <w:r w:rsidR="00C87825" w:rsidRPr="0006003D">
        <w:rPr>
          <w:rFonts w:ascii="Times New Roman" w:eastAsia="Arial" w:hAnsi="Times New Roman" w:cs="Times New Roman"/>
          <w:sz w:val="20"/>
          <w:szCs w:val="20"/>
        </w:rPr>
        <w:t>(</w:t>
      </w:r>
      <w:proofErr w:type="spellStart"/>
      <w:r w:rsidRPr="0006003D">
        <w:rPr>
          <w:rFonts w:ascii="Times New Roman" w:eastAsia="Arial" w:hAnsi="Times New Roman" w:cs="Times New Roman"/>
          <w:sz w:val="20"/>
          <w:szCs w:val="20"/>
        </w:rPr>
        <w:t>Alquist’s</w:t>
      </w:r>
      <w:proofErr w:type="spellEnd"/>
      <w:r w:rsidRPr="0006003D">
        <w:rPr>
          <w:rFonts w:ascii="Times New Roman" w:eastAsia="Arial" w:hAnsi="Times New Roman" w:cs="Times New Roman"/>
          <w:sz w:val="20"/>
          <w:szCs w:val="20"/>
        </w:rPr>
        <w:t xml:space="preserve"> measure is thus a kind of average of the two measures we show </w:t>
      </w:r>
      <w:r w:rsidR="00C87825" w:rsidRPr="0006003D">
        <w:rPr>
          <w:rFonts w:ascii="Times New Roman" w:eastAsia="Arial" w:hAnsi="Times New Roman" w:cs="Times New Roman"/>
          <w:sz w:val="20"/>
          <w:szCs w:val="20"/>
        </w:rPr>
        <w:t xml:space="preserve">in Figure </w:t>
      </w:r>
      <w:r w:rsidR="00534224">
        <w:rPr>
          <w:rFonts w:ascii="Times New Roman" w:eastAsia="Arial" w:hAnsi="Times New Roman" w:cs="Times New Roman"/>
          <w:sz w:val="20"/>
          <w:szCs w:val="20"/>
        </w:rPr>
        <w:t>3</w:t>
      </w:r>
      <w:r w:rsidR="00E15901">
        <w:rPr>
          <w:rFonts w:ascii="Times New Roman" w:eastAsia="Arial" w:hAnsi="Times New Roman" w:cs="Times New Roman"/>
          <w:sz w:val="20"/>
          <w:szCs w:val="20"/>
        </w:rPr>
        <w:t>.</w:t>
      </w:r>
      <w:r w:rsidR="00C87825" w:rsidRPr="0006003D">
        <w:rPr>
          <w:rFonts w:ascii="Times New Roman" w:eastAsia="Arial" w:hAnsi="Times New Roman" w:cs="Times New Roman"/>
          <w:sz w:val="20"/>
          <w:szCs w:val="20"/>
        </w:rPr>
        <w:t>)</w:t>
      </w:r>
      <w:r w:rsidRPr="0006003D">
        <w:rPr>
          <w:rFonts w:ascii="Times New Roman" w:eastAsia="Arial" w:hAnsi="Times New Roman" w:cs="Times New Roman"/>
          <w:sz w:val="20"/>
          <w:szCs w:val="20"/>
        </w:rPr>
        <w:t xml:space="preserve"> </w:t>
      </w:r>
      <w:proofErr w:type="spellStart"/>
      <w:r w:rsidRPr="0006003D">
        <w:rPr>
          <w:rFonts w:ascii="Times New Roman" w:eastAsia="Arial" w:hAnsi="Times New Roman" w:cs="Times New Roman"/>
          <w:sz w:val="20"/>
          <w:szCs w:val="20"/>
        </w:rPr>
        <w:t>Alquist’s</w:t>
      </w:r>
      <w:proofErr w:type="spellEnd"/>
      <w:r w:rsidRPr="0006003D">
        <w:rPr>
          <w:rFonts w:ascii="Times New Roman" w:eastAsia="Arial" w:hAnsi="Times New Roman" w:cs="Times New Roman"/>
          <w:sz w:val="20"/>
          <w:szCs w:val="20"/>
        </w:rPr>
        <w:t xml:space="preserve"> central result is that colonial and sovereign bond prices (pooled together) react positively to changes in this index of market liquidity. Notwithstanding the different approach, the logic of the test is consistent with ours: </w:t>
      </w:r>
      <w:r w:rsidR="00C87825" w:rsidRPr="0006003D">
        <w:rPr>
          <w:rFonts w:ascii="Times New Roman" w:eastAsia="Arial" w:hAnsi="Times New Roman" w:cs="Times New Roman"/>
          <w:sz w:val="20"/>
          <w:szCs w:val="20"/>
        </w:rPr>
        <w:t>it</w:t>
      </w:r>
      <w:r w:rsidRPr="0006003D">
        <w:rPr>
          <w:rFonts w:ascii="Times New Roman" w:eastAsia="Arial" w:hAnsi="Times New Roman" w:cs="Times New Roman"/>
          <w:sz w:val="20"/>
          <w:szCs w:val="20"/>
        </w:rPr>
        <w:t xml:space="preserve"> ask</w:t>
      </w:r>
      <w:r w:rsidR="00C87825" w:rsidRPr="0006003D">
        <w:rPr>
          <w:rFonts w:ascii="Times New Roman" w:eastAsia="Arial" w:hAnsi="Times New Roman" w:cs="Times New Roman"/>
          <w:sz w:val="20"/>
          <w:szCs w:val="20"/>
        </w:rPr>
        <w:t>s</w:t>
      </w:r>
      <w:r w:rsidRPr="0006003D">
        <w:rPr>
          <w:rFonts w:ascii="Times New Roman" w:eastAsia="Arial" w:hAnsi="Times New Roman" w:cs="Times New Roman"/>
          <w:sz w:val="20"/>
          <w:szCs w:val="20"/>
        </w:rPr>
        <w:t xml:space="preserve"> whether an improvement in market-wide liquidity (a narrowing of closing quotations in our framework, and a decrease in his index) lifts up bond prices (decreases bond yields in our framework, and increases returns in his model).</w:t>
      </w:r>
    </w:p>
    <w:p w14:paraId="305F4BD8" w14:textId="0A2DCB63" w:rsidR="003B3A50" w:rsidRPr="0006003D" w:rsidRDefault="00C42ACD"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W</w:t>
      </w:r>
      <w:r w:rsidR="007065EE" w:rsidRPr="0006003D">
        <w:rPr>
          <w:rFonts w:ascii="Times New Roman" w:eastAsia="Arial" w:hAnsi="Times New Roman" w:cs="Times New Roman"/>
          <w:sz w:val="20"/>
          <w:szCs w:val="20"/>
        </w:rPr>
        <w:t>ith this approach,</w:t>
      </w:r>
      <w:r w:rsidR="003B3A50" w:rsidRPr="0006003D">
        <w:rPr>
          <w:rFonts w:ascii="Times New Roman" w:eastAsia="Arial" w:hAnsi="Times New Roman" w:cs="Times New Roman"/>
          <w:sz w:val="20"/>
          <w:szCs w:val="20"/>
        </w:rPr>
        <w:t xml:space="preserve"> </w:t>
      </w:r>
      <w:proofErr w:type="spellStart"/>
      <w:r w:rsidR="003B3A50" w:rsidRPr="0006003D">
        <w:rPr>
          <w:rFonts w:ascii="Times New Roman" w:eastAsia="Arial" w:hAnsi="Times New Roman" w:cs="Times New Roman"/>
          <w:sz w:val="20"/>
          <w:szCs w:val="20"/>
        </w:rPr>
        <w:t>Alquist’s</w:t>
      </w:r>
      <w:proofErr w:type="spellEnd"/>
      <w:r w:rsidR="003B3A50"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finds </w:t>
      </w:r>
      <w:r w:rsidR="003B3A50" w:rsidRPr="0006003D">
        <w:rPr>
          <w:rFonts w:ascii="Times New Roman" w:eastAsia="Arial" w:hAnsi="Times New Roman" w:cs="Times New Roman"/>
          <w:sz w:val="20"/>
          <w:szCs w:val="20"/>
        </w:rPr>
        <w:t>that</w:t>
      </w:r>
      <w:r w:rsidRPr="0006003D">
        <w:rPr>
          <w:rFonts w:ascii="Times New Roman" w:eastAsia="Arial" w:hAnsi="Times New Roman" w:cs="Times New Roman"/>
          <w:sz w:val="20"/>
          <w:szCs w:val="20"/>
        </w:rPr>
        <w:t xml:space="preserve"> the significance of</w:t>
      </w:r>
      <w:r w:rsidR="003B3A50" w:rsidRPr="0006003D">
        <w:rPr>
          <w:rFonts w:ascii="Times New Roman" w:eastAsia="Arial" w:hAnsi="Times New Roman" w:cs="Times New Roman"/>
          <w:sz w:val="20"/>
          <w:szCs w:val="20"/>
        </w:rPr>
        <w:t xml:space="preserve"> liquidity </w:t>
      </w:r>
      <w:r w:rsidRPr="0006003D">
        <w:rPr>
          <w:rFonts w:ascii="Times New Roman" w:eastAsia="Arial" w:hAnsi="Times New Roman" w:cs="Times New Roman"/>
          <w:sz w:val="20"/>
          <w:szCs w:val="20"/>
        </w:rPr>
        <w:t>vanishes</w:t>
      </w:r>
      <w:r w:rsidR="003B3A50" w:rsidRPr="0006003D">
        <w:rPr>
          <w:rFonts w:ascii="Times New Roman" w:eastAsia="Arial" w:hAnsi="Times New Roman" w:cs="Times New Roman"/>
          <w:sz w:val="20"/>
          <w:szCs w:val="20"/>
        </w:rPr>
        <w:t xml:space="preserve"> when his regression (A.</w:t>
      </w:r>
      <w:r w:rsidR="00C87825" w:rsidRPr="0006003D">
        <w:rPr>
          <w:rFonts w:ascii="Times New Roman" w:eastAsia="Arial" w:hAnsi="Times New Roman" w:cs="Times New Roman"/>
          <w:sz w:val="20"/>
          <w:szCs w:val="20"/>
        </w:rPr>
        <w:t>4</w:t>
      </w:r>
      <w:r w:rsidR="003B3A50" w:rsidRPr="0006003D">
        <w:rPr>
          <w:rFonts w:ascii="Times New Roman" w:eastAsia="Arial" w:hAnsi="Times New Roman" w:cs="Times New Roman"/>
          <w:sz w:val="20"/>
          <w:szCs w:val="20"/>
        </w:rPr>
        <w:t>) is applied to colonial bonds only. Since colonial bonds do not react to this</w:t>
      </w:r>
      <w:r w:rsidR="00A74EF9" w:rsidRPr="0006003D">
        <w:rPr>
          <w:rFonts w:ascii="Times New Roman" w:eastAsia="Arial" w:hAnsi="Times New Roman" w:cs="Times New Roman"/>
          <w:sz w:val="20"/>
          <w:szCs w:val="20"/>
        </w:rPr>
        <w:t xml:space="preserve"> “</w:t>
      </w:r>
      <w:r w:rsidR="003B3A50" w:rsidRPr="0006003D">
        <w:rPr>
          <w:rFonts w:ascii="Times New Roman" w:eastAsia="Arial" w:hAnsi="Times New Roman" w:cs="Times New Roman"/>
          <w:sz w:val="20"/>
          <w:szCs w:val="20"/>
        </w:rPr>
        <w:t>aggregate liquidity</w:t>
      </w:r>
      <w:r w:rsidR="00E15901">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 xml:space="preserve"> </w:t>
      </w:r>
      <w:proofErr w:type="spellStart"/>
      <w:r w:rsidR="003B3A50" w:rsidRPr="0006003D">
        <w:rPr>
          <w:rFonts w:ascii="Times New Roman" w:eastAsia="Arial" w:hAnsi="Times New Roman" w:cs="Times New Roman"/>
          <w:sz w:val="20"/>
          <w:szCs w:val="20"/>
        </w:rPr>
        <w:t>Alquist</w:t>
      </w:r>
      <w:proofErr w:type="spellEnd"/>
      <w:r w:rsidR="003B3A50" w:rsidRPr="0006003D">
        <w:rPr>
          <w:rFonts w:ascii="Times New Roman" w:eastAsia="Arial" w:hAnsi="Times New Roman" w:cs="Times New Roman"/>
          <w:sz w:val="20"/>
          <w:szCs w:val="20"/>
        </w:rPr>
        <w:t xml:space="preserve"> concludes that the colonials were </w:t>
      </w:r>
      <w:r w:rsidR="00A74EF9" w:rsidRPr="0006003D">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 xml:space="preserve">immune” to illiquidity problems. This is where our conclusions strongly differ. We argue that this inference is </w:t>
      </w:r>
      <w:r w:rsidR="007065EE" w:rsidRPr="0006003D">
        <w:rPr>
          <w:rFonts w:ascii="Times New Roman" w:eastAsia="Arial" w:hAnsi="Times New Roman" w:cs="Times New Roman"/>
          <w:sz w:val="20"/>
          <w:szCs w:val="20"/>
        </w:rPr>
        <w:t>incorrect</w:t>
      </w:r>
      <w:r w:rsidR="003B3A50" w:rsidRPr="0006003D">
        <w:rPr>
          <w:rFonts w:ascii="Times New Roman" w:eastAsia="Arial" w:hAnsi="Times New Roman" w:cs="Times New Roman"/>
          <w:sz w:val="20"/>
          <w:szCs w:val="20"/>
        </w:rPr>
        <w:t xml:space="preserve">, </w:t>
      </w:r>
      <w:r w:rsidR="007065EE" w:rsidRPr="0006003D">
        <w:rPr>
          <w:rFonts w:ascii="Times New Roman" w:eastAsia="Arial" w:hAnsi="Times New Roman" w:cs="Times New Roman"/>
          <w:sz w:val="20"/>
          <w:szCs w:val="20"/>
        </w:rPr>
        <w:t>because</w:t>
      </w:r>
      <w:r w:rsidR="003B3A50" w:rsidRPr="0006003D">
        <w:rPr>
          <w:rFonts w:ascii="Times New Roman" w:eastAsia="Arial" w:hAnsi="Times New Roman" w:cs="Times New Roman"/>
          <w:sz w:val="20"/>
          <w:szCs w:val="20"/>
        </w:rPr>
        <w:t xml:space="preserve"> it relies on a </w:t>
      </w:r>
      <w:proofErr w:type="spellStart"/>
      <w:r w:rsidR="003B3A50" w:rsidRPr="0006003D">
        <w:rPr>
          <w:rFonts w:ascii="Times New Roman" w:eastAsia="Arial" w:hAnsi="Times New Roman" w:cs="Times New Roman"/>
          <w:sz w:val="20"/>
          <w:szCs w:val="20"/>
        </w:rPr>
        <w:t>mis</w:t>
      </w:r>
      <w:proofErr w:type="spellEnd"/>
      <w:r w:rsidR="003B3A50" w:rsidRPr="0006003D">
        <w:rPr>
          <w:rFonts w:ascii="Times New Roman" w:eastAsia="Arial" w:hAnsi="Times New Roman" w:cs="Times New Roman"/>
          <w:sz w:val="20"/>
          <w:szCs w:val="20"/>
        </w:rPr>
        <w:t xml:space="preserve">-measurement of </w:t>
      </w:r>
      <w:r w:rsidR="00A74EF9" w:rsidRPr="0006003D">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 xml:space="preserve">market liquidity.” At stake is not the definition of </w:t>
      </w:r>
      <w:r w:rsidR="00A74EF9" w:rsidRPr="0006003D">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 xml:space="preserve">liquidity” but the delineation of </w:t>
      </w:r>
      <w:r w:rsidR="00A74EF9" w:rsidRPr="0006003D">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markets</w:t>
      </w:r>
      <w:r w:rsidR="00E15901">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 xml:space="preserve"> </w:t>
      </w:r>
      <w:r w:rsidR="007065EE" w:rsidRPr="0006003D">
        <w:rPr>
          <w:rFonts w:ascii="Times New Roman" w:eastAsia="Arial" w:hAnsi="Times New Roman" w:cs="Times New Roman"/>
          <w:sz w:val="20"/>
          <w:szCs w:val="20"/>
        </w:rPr>
        <w:t xml:space="preserve">As said, </w:t>
      </w:r>
      <w:proofErr w:type="spellStart"/>
      <w:r w:rsidR="003B3A50" w:rsidRPr="0006003D">
        <w:rPr>
          <w:rFonts w:ascii="Times New Roman" w:eastAsia="Arial" w:hAnsi="Times New Roman" w:cs="Times New Roman"/>
          <w:sz w:val="20"/>
          <w:szCs w:val="20"/>
        </w:rPr>
        <w:t>Alquist’s</w:t>
      </w:r>
      <w:proofErr w:type="spellEnd"/>
      <w:r w:rsidR="003B3A50" w:rsidRPr="0006003D">
        <w:rPr>
          <w:rFonts w:ascii="Times New Roman" w:eastAsia="Arial" w:hAnsi="Times New Roman" w:cs="Times New Roman"/>
          <w:sz w:val="20"/>
          <w:szCs w:val="20"/>
        </w:rPr>
        <w:t xml:space="preserve"> </w:t>
      </w:r>
      <w:proofErr w:type="spellStart"/>
      <w:r w:rsidR="00926DCE" w:rsidRPr="0006003D">
        <w:rPr>
          <w:rFonts w:ascii="Times New Roman" w:eastAsia="Arial" w:hAnsi="Times New Roman" w:cs="Times New Roman"/>
          <w:i/>
          <w:sz w:val="20"/>
          <w:szCs w:val="20"/>
        </w:rPr>
        <w:t>Liq</w:t>
      </w:r>
      <w:r w:rsidR="00926DCE" w:rsidRPr="0006003D">
        <w:rPr>
          <w:rFonts w:ascii="Times New Roman" w:eastAsia="Arial" w:hAnsi="Times New Roman" w:cs="Times New Roman"/>
          <w:i/>
          <w:sz w:val="20"/>
          <w:szCs w:val="20"/>
          <w:vertAlign w:val="subscript"/>
        </w:rPr>
        <w:t>t</w:t>
      </w:r>
      <w:proofErr w:type="spellEnd"/>
      <w:r w:rsidR="003B3A50" w:rsidRPr="0006003D">
        <w:rPr>
          <w:rFonts w:ascii="Times New Roman" w:eastAsia="Arial" w:hAnsi="Times New Roman" w:cs="Times New Roman"/>
          <w:sz w:val="20"/>
          <w:szCs w:val="20"/>
        </w:rPr>
        <w:t xml:space="preserve"> amalgamates colonies and sovereign. This amounts to assuming that there was one unique </w:t>
      </w:r>
      <w:r w:rsidR="00A74EF9" w:rsidRPr="0006003D">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 xml:space="preserve">market” and thus one unique </w:t>
      </w:r>
      <w:r w:rsidR="007065EE" w:rsidRPr="0006003D">
        <w:rPr>
          <w:rFonts w:ascii="Times New Roman" w:eastAsia="Arial" w:hAnsi="Times New Roman" w:cs="Times New Roman"/>
          <w:sz w:val="20"/>
          <w:szCs w:val="20"/>
        </w:rPr>
        <w:t>measure of “</w:t>
      </w:r>
      <w:r w:rsidR="003B3A50" w:rsidRPr="0006003D">
        <w:rPr>
          <w:rFonts w:ascii="Times New Roman" w:eastAsia="Arial" w:hAnsi="Times New Roman" w:cs="Times New Roman"/>
          <w:sz w:val="20"/>
          <w:szCs w:val="20"/>
        </w:rPr>
        <w:t>market liquidity.</w:t>
      </w:r>
      <w:r w:rsidR="007065EE" w:rsidRPr="0006003D">
        <w:rPr>
          <w:rFonts w:ascii="Times New Roman" w:eastAsia="Arial" w:hAnsi="Times New Roman" w:cs="Times New Roman"/>
          <w:sz w:val="20"/>
          <w:szCs w:val="20"/>
        </w:rPr>
        <w:t>”</w:t>
      </w:r>
      <w:r w:rsidR="003B3A50" w:rsidRPr="0006003D">
        <w:rPr>
          <w:rFonts w:ascii="Times New Roman" w:eastAsia="Arial" w:hAnsi="Times New Roman" w:cs="Times New Roman"/>
          <w:sz w:val="20"/>
          <w:szCs w:val="20"/>
        </w:rPr>
        <w:t xml:space="preserve"> This is not</w:t>
      </w:r>
      <w:r w:rsidR="00776D1E" w:rsidRPr="0006003D">
        <w:rPr>
          <w:rFonts w:ascii="Times New Roman" w:eastAsia="Arial" w:hAnsi="Times New Roman" w:cs="Times New Roman"/>
          <w:sz w:val="20"/>
          <w:szCs w:val="20"/>
        </w:rPr>
        <w:t xml:space="preserve"> an</w:t>
      </w:r>
      <w:r w:rsidR="003B3A50" w:rsidRPr="0006003D">
        <w:rPr>
          <w:rFonts w:ascii="Times New Roman" w:eastAsia="Arial" w:hAnsi="Times New Roman" w:cs="Times New Roman"/>
          <w:sz w:val="20"/>
          <w:szCs w:val="20"/>
        </w:rPr>
        <w:t xml:space="preserve"> innocuous</w:t>
      </w:r>
      <w:r w:rsidR="00776D1E" w:rsidRPr="0006003D">
        <w:rPr>
          <w:rFonts w:ascii="Times New Roman" w:eastAsia="Arial" w:hAnsi="Times New Roman" w:cs="Times New Roman"/>
          <w:sz w:val="20"/>
          <w:szCs w:val="20"/>
        </w:rPr>
        <w:t xml:space="preserve"> assumption</w:t>
      </w:r>
      <w:r w:rsidR="003B3A50" w:rsidRPr="0006003D">
        <w:rPr>
          <w:rFonts w:ascii="Times New Roman" w:eastAsia="Arial" w:hAnsi="Times New Roman" w:cs="Times New Roman"/>
          <w:sz w:val="20"/>
          <w:szCs w:val="20"/>
        </w:rPr>
        <w:t xml:space="preserve">: as we saw in </w:t>
      </w:r>
      <w:r w:rsidR="00F20FCC" w:rsidRPr="0006003D">
        <w:rPr>
          <w:rFonts w:ascii="Times New Roman" w:eastAsia="Arial" w:hAnsi="Times New Roman" w:cs="Times New Roman"/>
          <w:sz w:val="20"/>
          <w:szCs w:val="20"/>
        </w:rPr>
        <w:t xml:space="preserve">Figure </w:t>
      </w:r>
      <w:r w:rsidR="00534224">
        <w:rPr>
          <w:rFonts w:ascii="Times New Roman" w:eastAsia="Arial" w:hAnsi="Times New Roman" w:cs="Times New Roman"/>
          <w:sz w:val="20"/>
          <w:szCs w:val="20"/>
        </w:rPr>
        <w:t>3</w:t>
      </w:r>
      <w:r w:rsidR="003B3A50" w:rsidRPr="0006003D">
        <w:rPr>
          <w:rFonts w:ascii="Times New Roman" w:eastAsia="Arial" w:hAnsi="Times New Roman" w:cs="Times New Roman"/>
          <w:sz w:val="20"/>
          <w:szCs w:val="20"/>
        </w:rPr>
        <w:t xml:space="preserve">, average liquidity indicators for sovereigns and colonies exhibited long phases of decoupling, most strikingly during episodes of sovereign debt turmoil. Since </w:t>
      </w:r>
      <w:proofErr w:type="spellStart"/>
      <w:r w:rsidR="003B3A50" w:rsidRPr="0006003D">
        <w:rPr>
          <w:rFonts w:ascii="Times New Roman" w:eastAsia="Arial" w:hAnsi="Times New Roman" w:cs="Times New Roman"/>
          <w:sz w:val="20"/>
          <w:szCs w:val="20"/>
        </w:rPr>
        <w:t>Alquist’s</w:t>
      </w:r>
      <w:proofErr w:type="spellEnd"/>
      <w:r w:rsidR="003B3A50" w:rsidRPr="0006003D">
        <w:rPr>
          <w:rFonts w:ascii="Times New Roman" w:eastAsia="Arial" w:hAnsi="Times New Roman" w:cs="Times New Roman"/>
          <w:sz w:val="20"/>
          <w:szCs w:val="20"/>
        </w:rPr>
        <w:t xml:space="preserve"> liquidity factor is an average, it will effectively be driven by sovereign turbulences during times of sovereign distress. </w:t>
      </w:r>
      <w:r w:rsidR="007065EE" w:rsidRPr="0006003D">
        <w:rPr>
          <w:rFonts w:ascii="Times New Roman" w:eastAsia="Arial" w:hAnsi="Times New Roman" w:cs="Times New Roman"/>
          <w:sz w:val="20"/>
          <w:szCs w:val="20"/>
        </w:rPr>
        <w:t>To be very concrete</w:t>
      </w:r>
      <w:r w:rsidR="003B3A50" w:rsidRPr="0006003D">
        <w:rPr>
          <w:rFonts w:ascii="Times New Roman" w:eastAsia="Arial" w:hAnsi="Times New Roman" w:cs="Times New Roman"/>
          <w:sz w:val="20"/>
          <w:szCs w:val="20"/>
        </w:rPr>
        <w:t xml:space="preserve">, </w:t>
      </w:r>
      <w:proofErr w:type="spellStart"/>
      <w:r w:rsidR="003B3A50" w:rsidRPr="0006003D">
        <w:rPr>
          <w:rFonts w:ascii="Times New Roman" w:eastAsia="Arial" w:hAnsi="Times New Roman" w:cs="Times New Roman"/>
          <w:sz w:val="20"/>
          <w:szCs w:val="20"/>
        </w:rPr>
        <w:t>Alquist</w:t>
      </w:r>
      <w:proofErr w:type="spellEnd"/>
      <w:r w:rsidR="003B3A50" w:rsidRPr="0006003D">
        <w:rPr>
          <w:rFonts w:ascii="Times New Roman" w:eastAsia="Arial" w:hAnsi="Times New Roman" w:cs="Times New Roman"/>
          <w:sz w:val="20"/>
          <w:szCs w:val="20"/>
        </w:rPr>
        <w:t xml:space="preserve"> assumes that investors in the </w:t>
      </w:r>
      <w:r w:rsidR="00E15901">
        <w:rPr>
          <w:rFonts w:ascii="Times New Roman" w:eastAsia="Arial" w:hAnsi="Times New Roman" w:cs="Times New Roman"/>
          <w:sz w:val="20"/>
          <w:szCs w:val="20"/>
        </w:rPr>
        <w:t>bonds of the colony of Victoria—</w:t>
      </w:r>
      <w:r w:rsidR="003B3A50" w:rsidRPr="0006003D">
        <w:rPr>
          <w:rFonts w:ascii="Times New Roman" w:eastAsia="Arial" w:hAnsi="Times New Roman" w:cs="Times New Roman"/>
          <w:sz w:val="20"/>
          <w:szCs w:val="20"/>
        </w:rPr>
        <w:t>a</w:t>
      </w:r>
      <w:r w:rsidR="00A74EF9" w:rsidRPr="0006003D">
        <w:rPr>
          <w:rFonts w:ascii="Times New Roman" w:eastAsia="Arial" w:hAnsi="Times New Roman" w:cs="Times New Roman"/>
          <w:sz w:val="20"/>
          <w:szCs w:val="20"/>
        </w:rPr>
        <w:t xml:space="preserve"> </w:t>
      </w:r>
      <w:r w:rsidR="003B3A50" w:rsidRPr="0006003D">
        <w:rPr>
          <w:rFonts w:ascii="Times New Roman" w:eastAsia="Arial" w:hAnsi="Times New Roman" w:cs="Times New Roman"/>
          <w:sz w:val="20"/>
          <w:szCs w:val="20"/>
        </w:rPr>
        <w:t>ver</w:t>
      </w:r>
      <w:r w:rsidR="00E15901">
        <w:rPr>
          <w:rFonts w:ascii="Times New Roman" w:eastAsia="Arial" w:hAnsi="Times New Roman" w:cs="Times New Roman"/>
          <w:sz w:val="20"/>
          <w:szCs w:val="20"/>
        </w:rPr>
        <w:t>y safe, but illiquid investment—</w:t>
      </w:r>
      <w:r w:rsidR="003B3A50" w:rsidRPr="0006003D">
        <w:rPr>
          <w:rFonts w:ascii="Times New Roman" w:eastAsia="Arial" w:hAnsi="Times New Roman" w:cs="Times New Roman"/>
          <w:sz w:val="20"/>
          <w:szCs w:val="20"/>
        </w:rPr>
        <w:t>should</w:t>
      </w:r>
      <w:r w:rsidR="00F20FCC" w:rsidRPr="0006003D">
        <w:rPr>
          <w:rFonts w:ascii="Times New Roman" w:eastAsia="Arial" w:hAnsi="Times New Roman" w:cs="Times New Roman"/>
          <w:sz w:val="20"/>
          <w:szCs w:val="20"/>
        </w:rPr>
        <w:t xml:space="preserve"> </w:t>
      </w:r>
      <w:r w:rsidR="00E15901">
        <w:rPr>
          <w:rFonts w:ascii="Times New Roman" w:eastAsia="Arial" w:hAnsi="Times New Roman" w:cs="Times New Roman"/>
          <w:sz w:val="20"/>
          <w:szCs w:val="20"/>
        </w:rPr>
        <w:t>react to woes in Turkish bonds—</w:t>
      </w:r>
      <w:r w:rsidR="003B3A50" w:rsidRPr="0006003D">
        <w:rPr>
          <w:rFonts w:ascii="Times New Roman" w:eastAsia="Arial" w:hAnsi="Times New Roman" w:cs="Times New Roman"/>
          <w:sz w:val="20"/>
          <w:szCs w:val="20"/>
        </w:rPr>
        <w:t>a</w:t>
      </w:r>
      <w:r w:rsidR="00A74EF9" w:rsidRPr="0006003D">
        <w:rPr>
          <w:rFonts w:ascii="Times New Roman" w:eastAsia="Arial" w:hAnsi="Times New Roman" w:cs="Times New Roman"/>
          <w:sz w:val="20"/>
          <w:szCs w:val="20"/>
        </w:rPr>
        <w:t xml:space="preserve"> </w:t>
      </w:r>
      <w:r w:rsidR="003B3A50" w:rsidRPr="0006003D">
        <w:rPr>
          <w:rFonts w:ascii="Times New Roman" w:eastAsia="Arial" w:hAnsi="Times New Roman" w:cs="Times New Roman"/>
          <w:sz w:val="20"/>
          <w:szCs w:val="20"/>
        </w:rPr>
        <w:t xml:space="preserve">highly risky, yet very liquid investment. We think this </w:t>
      </w:r>
      <w:r w:rsidR="00F20FCC" w:rsidRPr="0006003D">
        <w:rPr>
          <w:rFonts w:ascii="Times New Roman" w:eastAsia="Arial" w:hAnsi="Times New Roman" w:cs="Times New Roman"/>
          <w:sz w:val="20"/>
          <w:szCs w:val="20"/>
        </w:rPr>
        <w:t>is unwarranted</w:t>
      </w:r>
      <w:r w:rsidR="003B3A50" w:rsidRPr="0006003D">
        <w:rPr>
          <w:rFonts w:ascii="Times New Roman" w:eastAsia="Arial" w:hAnsi="Times New Roman" w:cs="Times New Roman"/>
          <w:sz w:val="20"/>
          <w:szCs w:val="20"/>
        </w:rPr>
        <w:t xml:space="preserve">. </w:t>
      </w:r>
      <w:r w:rsidR="003B764C" w:rsidRPr="0006003D">
        <w:rPr>
          <w:rFonts w:ascii="Times New Roman" w:eastAsia="Arial" w:hAnsi="Times New Roman" w:cs="Times New Roman"/>
          <w:sz w:val="20"/>
          <w:szCs w:val="20"/>
        </w:rPr>
        <w:t>Because they were originated and held by different agents</w:t>
      </w:r>
      <w:r w:rsidR="003B3A50" w:rsidRPr="0006003D">
        <w:rPr>
          <w:rFonts w:ascii="Times New Roman" w:eastAsia="Arial" w:hAnsi="Times New Roman" w:cs="Times New Roman"/>
          <w:sz w:val="20"/>
          <w:szCs w:val="20"/>
        </w:rPr>
        <w:t>, colonial returns ought to have reacted to changes in colonial market liquidity, and sovereign returns to changes in sovereign liquidity. Assuming otherwise is unjustified, and can lead to erroneous conclusions.</w:t>
      </w:r>
    </w:p>
    <w:p w14:paraId="60324763" w14:textId="19E0581A" w:rsidR="003B3A50" w:rsidRPr="0006003D" w:rsidRDefault="003B3A50" w:rsidP="0006003D">
      <w:pPr>
        <w:widowControl w:val="0"/>
        <w:ind w:firstLine="567"/>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To show this, Tables A.1 and A.2 replicate </w:t>
      </w:r>
      <w:proofErr w:type="spellStart"/>
      <w:r w:rsidRPr="0006003D">
        <w:rPr>
          <w:rFonts w:ascii="Times New Roman" w:eastAsia="Arial" w:hAnsi="Times New Roman" w:cs="Times New Roman"/>
          <w:sz w:val="20"/>
          <w:szCs w:val="20"/>
        </w:rPr>
        <w:t>Alquist’s</w:t>
      </w:r>
      <w:proofErr w:type="spellEnd"/>
      <w:r w:rsidRPr="0006003D">
        <w:rPr>
          <w:rFonts w:ascii="Times New Roman" w:eastAsia="Arial" w:hAnsi="Times New Roman" w:cs="Times New Roman"/>
          <w:sz w:val="20"/>
          <w:szCs w:val="20"/>
        </w:rPr>
        <w:t xml:space="preserve"> approach, but for one </w:t>
      </w:r>
      <w:r w:rsidRPr="0006003D">
        <w:rPr>
          <w:rFonts w:ascii="Times New Roman" w:eastAsia="Arial" w:hAnsi="Times New Roman" w:cs="Times New Roman"/>
          <w:sz w:val="20"/>
          <w:szCs w:val="20"/>
        </w:rPr>
        <w:lastRenderedPageBreak/>
        <w:t>dimension: we measure market liquidity (</w:t>
      </w:r>
      <w:proofErr w:type="spellStart"/>
      <w:r w:rsidR="00926DCE" w:rsidRPr="0006003D">
        <w:rPr>
          <w:rFonts w:ascii="Times New Roman" w:eastAsia="Arial" w:hAnsi="Times New Roman" w:cs="Times New Roman"/>
          <w:i/>
          <w:sz w:val="20"/>
          <w:szCs w:val="20"/>
        </w:rPr>
        <w:t>Liq</w:t>
      </w:r>
      <w:r w:rsidR="00926DCE" w:rsidRPr="0006003D">
        <w:rPr>
          <w:rFonts w:ascii="Times New Roman" w:eastAsia="Arial" w:hAnsi="Times New Roman" w:cs="Times New Roman"/>
          <w:i/>
          <w:sz w:val="20"/>
          <w:szCs w:val="20"/>
          <w:vertAlign w:val="subscript"/>
        </w:rPr>
        <w:t>t</w:t>
      </w:r>
      <w:proofErr w:type="spellEnd"/>
      <w:r w:rsidRPr="0006003D">
        <w:rPr>
          <w:rFonts w:ascii="Times New Roman" w:eastAsia="Arial" w:hAnsi="Times New Roman" w:cs="Times New Roman"/>
          <w:sz w:val="20"/>
          <w:szCs w:val="20"/>
        </w:rPr>
        <w:t xml:space="preserve">) separately for colonial and sovereigns, by taking the average bid-ask of the respective groups at each </w:t>
      </w:r>
      <w:r w:rsidRPr="0006003D">
        <w:rPr>
          <w:rFonts w:ascii="Times New Roman" w:eastAsia="Arial" w:hAnsi="Times New Roman" w:cs="Times New Roman"/>
          <w:i/>
          <w:sz w:val="20"/>
          <w:szCs w:val="20"/>
        </w:rPr>
        <w:t>t</w:t>
      </w:r>
      <w:r w:rsidRPr="0006003D">
        <w:rPr>
          <w:rFonts w:ascii="Times New Roman" w:eastAsia="Arial" w:hAnsi="Times New Roman" w:cs="Times New Roman"/>
          <w:sz w:val="20"/>
          <w:szCs w:val="20"/>
        </w:rPr>
        <w:t>.</w:t>
      </w:r>
      <w:r w:rsidR="00B31709" w:rsidRPr="0006003D">
        <w:rPr>
          <w:rStyle w:val="FootnoteReference"/>
          <w:rFonts w:ascii="Times New Roman" w:eastAsia="Arial" w:hAnsi="Times New Roman" w:cs="Times New Roman"/>
          <w:sz w:val="20"/>
          <w:szCs w:val="20"/>
        </w:rPr>
        <w:footnoteReference w:id="1"/>
      </w:r>
      <w:r w:rsidR="00B31709" w:rsidRPr="0006003D">
        <w:rPr>
          <w:rFonts w:ascii="Times New Roman" w:eastAsia="Arial" w:hAnsi="Times New Roman" w:cs="Times New Roman"/>
          <w:sz w:val="20"/>
          <w:szCs w:val="20"/>
        </w:rPr>
        <w:t xml:space="preserve"> </w:t>
      </w:r>
      <w:r w:rsidRPr="0006003D">
        <w:rPr>
          <w:rFonts w:ascii="Times New Roman" w:eastAsia="Arial" w:hAnsi="Times New Roman" w:cs="Times New Roman"/>
          <w:sz w:val="20"/>
          <w:szCs w:val="20"/>
        </w:rPr>
        <w:t xml:space="preserve">As can be seen from the tables, results are now consistent with our own results. In particular, Table A.1 shows that the return on colonial bonds is now sensitive to the colonial market liquidity factor for all five portfolios (increases in illiquidity depressing returns). Furthermore, our model’s </w:t>
      </w:r>
      <w:r w:rsidRPr="0058291C">
        <w:rPr>
          <w:rFonts w:ascii="Times New Roman" w:eastAsia="Arial" w:hAnsi="Times New Roman" w:cs="Times New Roman"/>
          <w:i/>
          <w:sz w:val="20"/>
          <w:szCs w:val="20"/>
        </w:rPr>
        <w:t>R</w:t>
      </w:r>
      <w:r w:rsidRPr="0058291C">
        <w:rPr>
          <w:rFonts w:ascii="Times New Roman" w:eastAsia="Arial" w:hAnsi="Times New Roman" w:cs="Times New Roman"/>
          <w:i/>
          <w:sz w:val="20"/>
          <w:szCs w:val="20"/>
          <w:vertAlign w:val="superscript"/>
        </w:rPr>
        <w:t>2</w:t>
      </w:r>
      <w:r w:rsidRPr="0006003D">
        <w:rPr>
          <w:rFonts w:ascii="Times New Roman" w:eastAsia="Arial" w:hAnsi="Times New Roman" w:cs="Times New Roman"/>
          <w:sz w:val="20"/>
          <w:szCs w:val="20"/>
          <w:vertAlign w:val="superscript"/>
        </w:rPr>
        <w:t xml:space="preserve"> </w:t>
      </w:r>
      <w:r w:rsidRPr="0006003D">
        <w:rPr>
          <w:rFonts w:ascii="Times New Roman" w:eastAsia="Arial" w:hAnsi="Times New Roman" w:cs="Times New Roman"/>
          <w:sz w:val="20"/>
          <w:szCs w:val="20"/>
        </w:rPr>
        <w:t xml:space="preserve">is between two and ten times higher than reported in </w:t>
      </w:r>
      <w:proofErr w:type="spellStart"/>
      <w:r w:rsidRPr="0006003D">
        <w:rPr>
          <w:rFonts w:ascii="Times New Roman" w:eastAsia="Arial" w:hAnsi="Times New Roman" w:cs="Times New Roman"/>
          <w:sz w:val="20"/>
          <w:szCs w:val="20"/>
        </w:rPr>
        <w:t>Alquist’s</w:t>
      </w:r>
      <w:proofErr w:type="spellEnd"/>
      <w:r w:rsidRPr="0006003D">
        <w:rPr>
          <w:rFonts w:ascii="Times New Roman" w:eastAsia="Arial" w:hAnsi="Times New Roman" w:cs="Times New Roman"/>
          <w:sz w:val="20"/>
          <w:szCs w:val="20"/>
        </w:rPr>
        <w:t xml:space="preserve"> </w:t>
      </w:r>
      <w:r w:rsidR="00BA0709" w:rsidRPr="0006003D">
        <w:rPr>
          <w:rFonts w:ascii="Times New Roman" w:eastAsia="Arial" w:hAnsi="Times New Roman" w:cs="Times New Roman"/>
          <w:sz w:val="20"/>
          <w:szCs w:val="20"/>
        </w:rPr>
        <w:t>“</w:t>
      </w:r>
      <w:r w:rsidRPr="0006003D">
        <w:rPr>
          <w:rFonts w:ascii="Times New Roman" w:eastAsia="Arial" w:hAnsi="Times New Roman" w:cs="Times New Roman"/>
          <w:sz w:val="20"/>
          <w:szCs w:val="20"/>
        </w:rPr>
        <w:t xml:space="preserve">colonial” regression (depending on the portfolio). Taken together, results underscore that, as argued in the text, colonial and sovereign markets were very different. Colonial bonds were not at all </w:t>
      </w:r>
      <w:r w:rsidR="00BA0709" w:rsidRPr="0006003D">
        <w:rPr>
          <w:rFonts w:ascii="Times New Roman" w:eastAsia="Arial" w:hAnsi="Times New Roman" w:cs="Times New Roman"/>
          <w:sz w:val="20"/>
          <w:szCs w:val="20"/>
        </w:rPr>
        <w:t>“</w:t>
      </w:r>
      <w:r w:rsidRPr="0006003D">
        <w:rPr>
          <w:rFonts w:ascii="Times New Roman" w:eastAsia="Arial" w:hAnsi="Times New Roman" w:cs="Times New Roman"/>
          <w:sz w:val="20"/>
          <w:szCs w:val="20"/>
        </w:rPr>
        <w:t>immune” to market liquidity shocks. Instead, they logically reacted to liquidity in the colonial market but not in the sovereign one.</w:t>
      </w:r>
    </w:p>
    <w:p w14:paraId="03E992C9" w14:textId="77777777" w:rsidR="003B3A50" w:rsidRPr="0006003D" w:rsidRDefault="003B3A50" w:rsidP="0006003D">
      <w:pPr>
        <w:rPr>
          <w:rFonts w:ascii="Times New Roman" w:hAnsi="Times New Roman" w:cs="Times New Roman"/>
          <w:sz w:val="20"/>
          <w:szCs w:val="20"/>
        </w:rPr>
      </w:pPr>
    </w:p>
    <w:p w14:paraId="27B63B6E" w14:textId="1D1F5952" w:rsidR="00926DCE" w:rsidRDefault="009B336F" w:rsidP="0006003D">
      <w:pPr>
        <w:ind w:right="62"/>
        <w:jc w:val="both"/>
        <w:outlineLvl w:val="0"/>
        <w:rPr>
          <w:rFonts w:ascii="Times New Roman" w:hAnsi="Times New Roman" w:cs="Times New Roman"/>
          <w:i/>
          <w:sz w:val="20"/>
          <w:szCs w:val="20"/>
        </w:rPr>
      </w:pPr>
      <w:r w:rsidRPr="0006003D">
        <w:rPr>
          <w:rFonts w:ascii="Times New Roman" w:hAnsi="Times New Roman" w:cs="Times New Roman"/>
          <w:i/>
          <w:sz w:val="20"/>
          <w:szCs w:val="20"/>
        </w:rPr>
        <w:t>Differences in</w:t>
      </w:r>
      <w:r w:rsidR="00F15AEF" w:rsidRPr="0006003D">
        <w:rPr>
          <w:rFonts w:ascii="Times New Roman" w:hAnsi="Times New Roman" w:cs="Times New Roman"/>
          <w:i/>
          <w:sz w:val="20"/>
          <w:szCs w:val="20"/>
        </w:rPr>
        <w:t xml:space="preserve"> </w:t>
      </w:r>
      <w:r w:rsidR="00E15901">
        <w:rPr>
          <w:rFonts w:ascii="Times New Roman" w:hAnsi="Times New Roman" w:cs="Times New Roman"/>
          <w:i/>
          <w:sz w:val="20"/>
          <w:szCs w:val="20"/>
        </w:rPr>
        <w:t>D</w:t>
      </w:r>
      <w:r w:rsidR="00F15AEF" w:rsidRPr="0006003D">
        <w:rPr>
          <w:rFonts w:ascii="Times New Roman" w:hAnsi="Times New Roman" w:cs="Times New Roman"/>
          <w:i/>
          <w:sz w:val="20"/>
          <w:szCs w:val="20"/>
        </w:rPr>
        <w:t>ata</w:t>
      </w:r>
    </w:p>
    <w:p w14:paraId="33A06837" w14:textId="77777777" w:rsidR="00E15901" w:rsidRPr="0006003D" w:rsidRDefault="00E15901" w:rsidP="0006003D">
      <w:pPr>
        <w:ind w:right="62"/>
        <w:jc w:val="both"/>
        <w:outlineLvl w:val="0"/>
        <w:rPr>
          <w:rFonts w:ascii="Times New Roman" w:hAnsi="Times New Roman" w:cs="Times New Roman"/>
          <w:i/>
          <w:sz w:val="20"/>
          <w:szCs w:val="20"/>
        </w:rPr>
      </w:pPr>
    </w:p>
    <w:p w14:paraId="0B0D0A74" w14:textId="62D69B3A" w:rsidR="009B336F" w:rsidRPr="0006003D" w:rsidRDefault="009B336F"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We have argued on the basis of </w:t>
      </w:r>
      <w:r w:rsidR="00823C12" w:rsidRPr="0006003D">
        <w:rPr>
          <w:rFonts w:ascii="Times New Roman" w:eastAsia="Arial" w:hAnsi="Times New Roman" w:cs="Times New Roman"/>
          <w:sz w:val="20"/>
          <w:szCs w:val="20"/>
        </w:rPr>
        <w:t xml:space="preserve">results in </w:t>
      </w:r>
      <w:r w:rsidR="00010772" w:rsidRPr="0006003D">
        <w:rPr>
          <w:rFonts w:ascii="Times New Roman" w:eastAsia="Arial" w:hAnsi="Times New Roman" w:cs="Times New Roman"/>
          <w:sz w:val="20"/>
          <w:szCs w:val="20"/>
        </w:rPr>
        <w:t>Tables A.1 and A.2</w:t>
      </w:r>
      <w:r w:rsidRPr="0006003D">
        <w:rPr>
          <w:rFonts w:ascii="Times New Roman" w:eastAsia="Arial" w:hAnsi="Times New Roman" w:cs="Times New Roman"/>
          <w:sz w:val="20"/>
          <w:szCs w:val="20"/>
        </w:rPr>
        <w:t xml:space="preserve"> that the difference between our results and </w:t>
      </w:r>
      <w:proofErr w:type="spellStart"/>
      <w:r w:rsidRPr="0006003D">
        <w:rPr>
          <w:rFonts w:ascii="Times New Roman" w:eastAsia="Arial" w:hAnsi="Times New Roman" w:cs="Times New Roman"/>
          <w:sz w:val="20"/>
          <w:szCs w:val="20"/>
        </w:rPr>
        <w:t>Alquist’s</w:t>
      </w:r>
      <w:proofErr w:type="spellEnd"/>
      <w:r w:rsidRPr="0006003D">
        <w:rPr>
          <w:rFonts w:ascii="Times New Roman" w:eastAsia="Arial" w:hAnsi="Times New Roman" w:cs="Times New Roman"/>
          <w:sz w:val="20"/>
          <w:szCs w:val="20"/>
        </w:rPr>
        <w:t xml:space="preserve"> is due to a </w:t>
      </w:r>
      <w:r w:rsidR="00823C12" w:rsidRPr="0006003D">
        <w:rPr>
          <w:rFonts w:ascii="Times New Roman" w:eastAsia="Arial" w:hAnsi="Times New Roman" w:cs="Times New Roman"/>
          <w:sz w:val="20"/>
          <w:szCs w:val="20"/>
        </w:rPr>
        <w:t>divergence in the</w:t>
      </w:r>
      <w:r w:rsidRPr="0006003D">
        <w:rPr>
          <w:rFonts w:ascii="Times New Roman" w:eastAsia="Arial" w:hAnsi="Times New Roman" w:cs="Times New Roman"/>
          <w:sz w:val="20"/>
          <w:szCs w:val="20"/>
        </w:rPr>
        <w:t xml:space="preserve"> definition of markets, rather than in </w:t>
      </w:r>
      <w:r w:rsidR="00CE7E12" w:rsidRPr="0006003D">
        <w:rPr>
          <w:rFonts w:ascii="Times New Roman" w:eastAsia="Arial" w:hAnsi="Times New Roman" w:cs="Times New Roman"/>
          <w:sz w:val="20"/>
          <w:szCs w:val="20"/>
        </w:rPr>
        <w:t>econometric models</w:t>
      </w:r>
      <w:r w:rsidRPr="0006003D">
        <w:rPr>
          <w:rFonts w:ascii="Times New Roman" w:eastAsia="Arial" w:hAnsi="Times New Roman" w:cs="Times New Roman"/>
          <w:sz w:val="20"/>
          <w:szCs w:val="20"/>
        </w:rPr>
        <w:t xml:space="preserve">. We now investigate whether differences in datasets also play a role. </w:t>
      </w:r>
    </w:p>
    <w:p w14:paraId="67A1050A" w14:textId="371C3705" w:rsidR="009B336F" w:rsidRPr="0006003D" w:rsidRDefault="009B336F" w:rsidP="0006003D">
      <w:pPr>
        <w:widowControl w:val="0"/>
        <w:ind w:firstLine="720"/>
        <w:jc w:val="both"/>
        <w:rPr>
          <w:rFonts w:ascii="Times New Roman" w:eastAsia="Arial" w:hAnsi="Times New Roman" w:cs="Times New Roman"/>
          <w:sz w:val="20"/>
          <w:szCs w:val="20"/>
        </w:rPr>
      </w:pPr>
      <w:proofErr w:type="spellStart"/>
      <w:r w:rsidRPr="0006003D">
        <w:rPr>
          <w:rFonts w:ascii="Times New Roman" w:eastAsia="Arial" w:hAnsi="Times New Roman" w:cs="Times New Roman"/>
          <w:sz w:val="20"/>
          <w:szCs w:val="20"/>
        </w:rPr>
        <w:t>Alquist’s</w:t>
      </w:r>
      <w:proofErr w:type="spellEnd"/>
      <w:r w:rsidRPr="0006003D">
        <w:rPr>
          <w:rFonts w:ascii="Times New Roman" w:eastAsia="Arial" w:hAnsi="Times New Roman" w:cs="Times New Roman"/>
          <w:sz w:val="20"/>
          <w:szCs w:val="20"/>
        </w:rPr>
        <w:t xml:space="preserve"> sample covers both a smaller period (1872</w:t>
      </w:r>
      <w:r w:rsidR="00E15901">
        <w:rPr>
          <w:rFonts w:ascii="Times New Roman" w:eastAsia="Arial" w:hAnsi="Times New Roman" w:cs="Times New Roman"/>
          <w:sz w:val="20"/>
          <w:szCs w:val="20"/>
        </w:rPr>
        <w:t>–</w:t>
      </w:r>
      <w:r w:rsidRPr="0006003D">
        <w:rPr>
          <w:rFonts w:ascii="Times New Roman" w:eastAsia="Arial" w:hAnsi="Times New Roman" w:cs="Times New Roman"/>
          <w:sz w:val="20"/>
          <w:szCs w:val="20"/>
        </w:rPr>
        <w:t>1907, against 1872</w:t>
      </w:r>
      <w:r w:rsidR="00E15901">
        <w:rPr>
          <w:rFonts w:ascii="Times New Roman" w:eastAsia="Arial" w:hAnsi="Times New Roman" w:cs="Times New Roman"/>
          <w:sz w:val="20"/>
          <w:szCs w:val="20"/>
        </w:rPr>
        <w:t>–</w:t>
      </w:r>
      <w:r w:rsidRPr="0006003D">
        <w:rPr>
          <w:rFonts w:ascii="Times New Roman" w:eastAsia="Arial" w:hAnsi="Times New Roman" w:cs="Times New Roman"/>
          <w:sz w:val="20"/>
          <w:szCs w:val="20"/>
        </w:rPr>
        <w:t>1909 for our full sample</w:t>
      </w:r>
      <w:r w:rsidR="003B764C" w:rsidRPr="0006003D">
        <w:rPr>
          <w:rFonts w:ascii="Times New Roman" w:eastAsia="Arial" w:hAnsi="Times New Roman" w:cs="Times New Roman"/>
          <w:sz w:val="20"/>
          <w:szCs w:val="20"/>
        </w:rPr>
        <w:t xml:space="preserve"> and 1880</w:t>
      </w:r>
      <w:r w:rsidR="00E15901">
        <w:rPr>
          <w:rFonts w:ascii="Times New Roman" w:eastAsia="Arial" w:hAnsi="Times New Roman" w:cs="Times New Roman"/>
          <w:sz w:val="20"/>
          <w:szCs w:val="20"/>
        </w:rPr>
        <w:t>–</w:t>
      </w:r>
      <w:r w:rsidR="003B764C" w:rsidRPr="0006003D">
        <w:rPr>
          <w:rFonts w:ascii="Times New Roman" w:eastAsia="Arial" w:hAnsi="Times New Roman" w:cs="Times New Roman"/>
          <w:sz w:val="20"/>
          <w:szCs w:val="20"/>
        </w:rPr>
        <w:t>1909 for the sample used in our results in the main text</w:t>
      </w:r>
      <w:r w:rsidRPr="0006003D">
        <w:rPr>
          <w:rFonts w:ascii="Times New Roman" w:eastAsia="Arial" w:hAnsi="Times New Roman" w:cs="Times New Roman"/>
          <w:sz w:val="20"/>
          <w:szCs w:val="20"/>
        </w:rPr>
        <w:t xml:space="preserve">) and a smaller cross-section of bonds. As he explains in his article </w:t>
      </w:r>
      <w:proofErr w:type="spellStart"/>
      <w:r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 xml:space="preserve"> collected bond prices from a secondary source (</w:t>
      </w:r>
      <w:r w:rsidR="00776D1E" w:rsidRPr="0006003D">
        <w:rPr>
          <w:rFonts w:ascii="Times New Roman" w:eastAsia="Arial" w:hAnsi="Times New Roman" w:cs="Times New Roman"/>
          <w:sz w:val="20"/>
          <w:szCs w:val="20"/>
        </w:rPr>
        <w:t xml:space="preserve">a periodic called </w:t>
      </w:r>
      <w:r w:rsidRPr="0006003D">
        <w:rPr>
          <w:rFonts w:ascii="Times New Roman" w:eastAsia="Arial" w:hAnsi="Times New Roman" w:cs="Times New Roman"/>
          <w:i/>
          <w:sz w:val="20"/>
          <w:szCs w:val="20"/>
        </w:rPr>
        <w:t>The Money Market Review</w:t>
      </w:r>
      <w:r w:rsidRPr="0006003D">
        <w:rPr>
          <w:rFonts w:ascii="Times New Roman" w:eastAsia="Arial" w:hAnsi="Times New Roman" w:cs="Times New Roman"/>
          <w:sz w:val="20"/>
          <w:szCs w:val="20"/>
        </w:rPr>
        <w:t xml:space="preserve">), which </w:t>
      </w:r>
      <w:r w:rsidR="00776D1E" w:rsidRPr="0006003D">
        <w:rPr>
          <w:rFonts w:ascii="Times New Roman" w:eastAsia="Arial" w:hAnsi="Times New Roman" w:cs="Times New Roman"/>
          <w:sz w:val="20"/>
          <w:szCs w:val="20"/>
        </w:rPr>
        <w:t xml:space="preserve">reported </w:t>
      </w:r>
      <w:r w:rsidRPr="0006003D">
        <w:rPr>
          <w:rFonts w:ascii="Times New Roman" w:eastAsia="Arial" w:hAnsi="Times New Roman" w:cs="Times New Roman"/>
          <w:sz w:val="20"/>
          <w:szCs w:val="20"/>
        </w:rPr>
        <w:t xml:space="preserve">a subset </w:t>
      </w:r>
      <w:r w:rsidR="00542CA6" w:rsidRPr="0006003D">
        <w:rPr>
          <w:rFonts w:ascii="Times New Roman" w:eastAsia="Arial" w:hAnsi="Times New Roman" w:cs="Times New Roman"/>
          <w:sz w:val="20"/>
          <w:szCs w:val="20"/>
        </w:rPr>
        <w:t xml:space="preserve">only </w:t>
      </w:r>
      <w:r w:rsidRPr="0006003D">
        <w:rPr>
          <w:rFonts w:ascii="Times New Roman" w:eastAsia="Arial" w:hAnsi="Times New Roman" w:cs="Times New Roman"/>
          <w:sz w:val="20"/>
          <w:szCs w:val="20"/>
        </w:rPr>
        <w:t xml:space="preserve">of </w:t>
      </w:r>
      <w:r w:rsidR="00776D1E" w:rsidRPr="0006003D">
        <w:rPr>
          <w:rFonts w:ascii="Times New Roman" w:eastAsia="Arial" w:hAnsi="Times New Roman" w:cs="Times New Roman"/>
          <w:sz w:val="20"/>
          <w:szCs w:val="20"/>
        </w:rPr>
        <w:t>the</w:t>
      </w:r>
      <w:r w:rsidRPr="0006003D">
        <w:rPr>
          <w:rFonts w:ascii="Times New Roman" w:eastAsia="Arial" w:hAnsi="Times New Roman" w:cs="Times New Roman"/>
          <w:sz w:val="20"/>
          <w:szCs w:val="20"/>
        </w:rPr>
        <w:t xml:space="preserve"> quotations in the </w:t>
      </w:r>
      <w:r w:rsidRPr="0006003D">
        <w:rPr>
          <w:rFonts w:ascii="Times New Roman" w:eastAsia="Arial" w:hAnsi="Times New Roman" w:cs="Times New Roman"/>
          <w:i/>
          <w:sz w:val="20"/>
          <w:szCs w:val="20"/>
        </w:rPr>
        <w:t>Official List</w:t>
      </w:r>
      <w:r w:rsidR="00776D1E" w:rsidRPr="0006003D">
        <w:rPr>
          <w:rFonts w:ascii="Times New Roman" w:eastAsia="Arial" w:hAnsi="Times New Roman" w:cs="Times New Roman"/>
          <w:sz w:val="20"/>
          <w:szCs w:val="20"/>
        </w:rPr>
        <w:t xml:space="preserve"> (our source)</w:t>
      </w:r>
      <w:r w:rsidRPr="0006003D">
        <w:rPr>
          <w:rFonts w:ascii="Times New Roman" w:eastAsia="Arial" w:hAnsi="Times New Roman" w:cs="Times New Roman"/>
          <w:sz w:val="20"/>
          <w:szCs w:val="20"/>
        </w:rPr>
        <w:t xml:space="preserve">. Since we do not have his dataset, we cannot </w:t>
      </w:r>
      <w:r w:rsidR="00E42FF4" w:rsidRPr="0006003D">
        <w:rPr>
          <w:rFonts w:ascii="Times New Roman" w:eastAsia="Arial" w:hAnsi="Times New Roman" w:cs="Times New Roman"/>
          <w:sz w:val="20"/>
          <w:szCs w:val="20"/>
        </w:rPr>
        <w:t>elaborate further on differences in coverage. But s</w:t>
      </w:r>
      <w:r w:rsidRPr="0006003D">
        <w:rPr>
          <w:rFonts w:ascii="Times New Roman" w:eastAsia="Arial" w:hAnsi="Times New Roman" w:cs="Times New Roman"/>
          <w:sz w:val="20"/>
          <w:szCs w:val="20"/>
        </w:rPr>
        <w:t xml:space="preserve">ince </w:t>
      </w:r>
      <w:proofErr w:type="spellStart"/>
      <w:r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 xml:space="preserve"> kindly shared his colonial portfolios, we could observe that his </w:t>
      </w:r>
      <w:r w:rsidR="00E42FF4" w:rsidRPr="0006003D">
        <w:rPr>
          <w:rFonts w:ascii="Times New Roman" w:eastAsia="Arial" w:hAnsi="Times New Roman" w:cs="Times New Roman"/>
          <w:sz w:val="20"/>
          <w:szCs w:val="20"/>
        </w:rPr>
        <w:t xml:space="preserve">colonial data has a lot of missing values in the earlier years of the sample. </w:t>
      </w:r>
      <w:r w:rsidR="00E15901">
        <w:rPr>
          <w:rFonts w:ascii="Times New Roman" w:eastAsia="Arial" w:hAnsi="Times New Roman" w:cs="Times New Roman"/>
          <w:sz w:val="20"/>
          <w:szCs w:val="20"/>
        </w:rPr>
        <w:t>U</w:t>
      </w:r>
      <w:r w:rsidR="00E42304" w:rsidRPr="0006003D">
        <w:rPr>
          <w:rFonts w:ascii="Times New Roman" w:eastAsia="Arial" w:hAnsi="Times New Roman" w:cs="Times New Roman"/>
          <w:sz w:val="20"/>
          <w:szCs w:val="20"/>
        </w:rPr>
        <w:t>pon inspection, o</w:t>
      </w:r>
      <w:r w:rsidRPr="0006003D">
        <w:rPr>
          <w:rFonts w:ascii="Times New Roman" w:eastAsia="Arial" w:hAnsi="Times New Roman" w:cs="Times New Roman"/>
          <w:sz w:val="20"/>
          <w:szCs w:val="20"/>
        </w:rPr>
        <w:t xml:space="preserve">ur coverage </w:t>
      </w:r>
      <w:r w:rsidR="00776D1E" w:rsidRPr="0006003D">
        <w:rPr>
          <w:rFonts w:ascii="Times New Roman" w:eastAsia="Arial" w:hAnsi="Times New Roman" w:cs="Times New Roman"/>
          <w:sz w:val="20"/>
          <w:szCs w:val="20"/>
        </w:rPr>
        <w:t>seems</w:t>
      </w:r>
      <w:r w:rsidRPr="0006003D">
        <w:rPr>
          <w:rFonts w:ascii="Times New Roman" w:eastAsia="Arial" w:hAnsi="Times New Roman" w:cs="Times New Roman"/>
          <w:sz w:val="20"/>
          <w:szCs w:val="20"/>
        </w:rPr>
        <w:t xml:space="preserve"> more comprehensive, especially for colonial bonds and in earlier parts of the </w:t>
      </w:r>
      <w:r w:rsidR="00776D1E" w:rsidRPr="0006003D">
        <w:rPr>
          <w:rFonts w:ascii="Times New Roman" w:eastAsia="Arial" w:hAnsi="Times New Roman" w:cs="Times New Roman"/>
          <w:sz w:val="20"/>
          <w:szCs w:val="20"/>
        </w:rPr>
        <w:t>period of study</w:t>
      </w:r>
      <w:r w:rsidRPr="0006003D">
        <w:rPr>
          <w:rFonts w:ascii="Times New Roman" w:eastAsia="Arial" w:hAnsi="Times New Roman" w:cs="Times New Roman"/>
          <w:sz w:val="20"/>
          <w:szCs w:val="20"/>
        </w:rPr>
        <w:t>.</w:t>
      </w:r>
    </w:p>
    <w:p w14:paraId="228529AC" w14:textId="052877EB" w:rsidR="00E42FF4" w:rsidRPr="0006003D" w:rsidRDefault="00E42FF4"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Given the limited information on his data, we can only make </w:t>
      </w:r>
      <w:r w:rsidR="002F007A" w:rsidRPr="0006003D">
        <w:rPr>
          <w:rFonts w:ascii="Times New Roman" w:eastAsia="Arial" w:hAnsi="Times New Roman" w:cs="Times New Roman"/>
          <w:sz w:val="20"/>
          <w:szCs w:val="20"/>
        </w:rPr>
        <w:t>indirect inferences</w:t>
      </w:r>
      <w:r w:rsidRPr="0006003D">
        <w:rPr>
          <w:rFonts w:ascii="Times New Roman" w:eastAsia="Arial" w:hAnsi="Times New Roman" w:cs="Times New Roman"/>
          <w:sz w:val="20"/>
          <w:szCs w:val="20"/>
        </w:rPr>
        <w:t xml:space="preserve"> about the </w:t>
      </w:r>
      <w:r w:rsidR="002F007A" w:rsidRPr="0006003D">
        <w:rPr>
          <w:rFonts w:ascii="Times New Roman" w:eastAsia="Arial" w:hAnsi="Times New Roman" w:cs="Times New Roman"/>
          <w:sz w:val="20"/>
          <w:szCs w:val="20"/>
        </w:rPr>
        <w:t>role</w:t>
      </w:r>
      <w:r w:rsidR="00E740B3" w:rsidRPr="0006003D">
        <w:rPr>
          <w:rFonts w:ascii="Times New Roman" w:eastAsia="Arial" w:hAnsi="Times New Roman" w:cs="Times New Roman"/>
          <w:sz w:val="20"/>
          <w:szCs w:val="20"/>
        </w:rPr>
        <w:t xml:space="preserve"> of </w:t>
      </w:r>
      <w:r w:rsidR="00776D1E" w:rsidRPr="0006003D">
        <w:rPr>
          <w:rFonts w:ascii="Times New Roman" w:eastAsia="Arial" w:hAnsi="Times New Roman" w:cs="Times New Roman"/>
          <w:sz w:val="20"/>
          <w:szCs w:val="20"/>
        </w:rPr>
        <w:t xml:space="preserve">dataset </w:t>
      </w:r>
      <w:r w:rsidR="00E740B3" w:rsidRPr="0006003D">
        <w:rPr>
          <w:rFonts w:ascii="Times New Roman" w:eastAsia="Arial" w:hAnsi="Times New Roman" w:cs="Times New Roman"/>
          <w:sz w:val="20"/>
          <w:szCs w:val="20"/>
        </w:rPr>
        <w:t>differen</w:t>
      </w:r>
      <w:r w:rsidR="00776D1E" w:rsidRPr="0006003D">
        <w:rPr>
          <w:rFonts w:ascii="Times New Roman" w:eastAsia="Arial" w:hAnsi="Times New Roman" w:cs="Times New Roman"/>
          <w:sz w:val="20"/>
          <w:szCs w:val="20"/>
        </w:rPr>
        <w:t>ces</w:t>
      </w:r>
      <w:r w:rsidRPr="0006003D">
        <w:rPr>
          <w:rFonts w:ascii="Times New Roman" w:eastAsia="Arial" w:hAnsi="Times New Roman" w:cs="Times New Roman"/>
          <w:sz w:val="20"/>
          <w:szCs w:val="20"/>
        </w:rPr>
        <w:t>.</w:t>
      </w:r>
      <w:r w:rsidR="00E15901">
        <w:rPr>
          <w:rFonts w:ascii="Times New Roman" w:eastAsia="Arial" w:hAnsi="Times New Roman" w:cs="Times New Roman"/>
          <w:sz w:val="20"/>
          <w:szCs w:val="20"/>
        </w:rPr>
        <w:t xml:space="preserve"> </w:t>
      </w:r>
      <w:r w:rsidR="002F007A" w:rsidRPr="0006003D">
        <w:rPr>
          <w:rFonts w:ascii="Times New Roman" w:eastAsia="Arial" w:hAnsi="Times New Roman" w:cs="Times New Roman"/>
          <w:sz w:val="20"/>
          <w:szCs w:val="20"/>
        </w:rPr>
        <w:t xml:space="preserve">Bearing this caveat in mind, </w:t>
      </w:r>
      <w:r w:rsidR="00CE7E12" w:rsidRPr="0006003D">
        <w:rPr>
          <w:rFonts w:ascii="Times New Roman" w:eastAsia="Arial" w:hAnsi="Times New Roman" w:cs="Times New Roman"/>
          <w:sz w:val="20"/>
          <w:szCs w:val="20"/>
        </w:rPr>
        <w:t>one first</w:t>
      </w:r>
      <w:r w:rsidR="002F007A" w:rsidRPr="0006003D">
        <w:rPr>
          <w:rFonts w:ascii="Times New Roman" w:eastAsia="Arial" w:hAnsi="Times New Roman" w:cs="Times New Roman"/>
          <w:sz w:val="20"/>
          <w:szCs w:val="20"/>
        </w:rPr>
        <w:t xml:space="preserve"> </w:t>
      </w:r>
      <w:r w:rsidR="00CE7E12" w:rsidRPr="0006003D">
        <w:rPr>
          <w:rFonts w:ascii="Times New Roman" w:eastAsia="Arial" w:hAnsi="Times New Roman" w:cs="Times New Roman"/>
          <w:sz w:val="20"/>
          <w:szCs w:val="20"/>
        </w:rPr>
        <w:t>informative exercise is to apply</w:t>
      </w:r>
      <w:r w:rsidR="002F007A" w:rsidRPr="0006003D">
        <w:rPr>
          <w:rFonts w:ascii="Times New Roman" w:eastAsia="Arial" w:hAnsi="Times New Roman" w:cs="Times New Roman"/>
          <w:sz w:val="20"/>
          <w:szCs w:val="20"/>
        </w:rPr>
        <w:t xml:space="preserve"> </w:t>
      </w:r>
      <w:proofErr w:type="spellStart"/>
      <w:r w:rsidR="002F007A" w:rsidRPr="0006003D">
        <w:rPr>
          <w:rFonts w:ascii="Times New Roman" w:eastAsia="Arial" w:hAnsi="Times New Roman" w:cs="Times New Roman"/>
          <w:sz w:val="20"/>
          <w:szCs w:val="20"/>
        </w:rPr>
        <w:t>Alquist’s</w:t>
      </w:r>
      <w:proofErr w:type="spellEnd"/>
      <w:r w:rsidR="002F007A" w:rsidRPr="0006003D">
        <w:rPr>
          <w:rFonts w:ascii="Times New Roman" w:eastAsia="Arial" w:hAnsi="Times New Roman" w:cs="Times New Roman"/>
          <w:sz w:val="20"/>
          <w:szCs w:val="20"/>
        </w:rPr>
        <w:t xml:space="preserve"> (</w:t>
      </w:r>
      <w:proofErr w:type="spellStart"/>
      <w:r w:rsidR="002F007A" w:rsidRPr="0006003D">
        <w:rPr>
          <w:rFonts w:ascii="Times New Roman" w:eastAsia="Arial" w:hAnsi="Times New Roman" w:cs="Times New Roman"/>
          <w:sz w:val="20"/>
          <w:szCs w:val="20"/>
        </w:rPr>
        <w:t>i</w:t>
      </w:r>
      <w:proofErr w:type="spellEnd"/>
      <w:r w:rsidR="002F007A" w:rsidRPr="0006003D">
        <w:rPr>
          <w:rFonts w:ascii="Times New Roman" w:eastAsia="Arial" w:hAnsi="Times New Roman" w:cs="Times New Roman"/>
          <w:sz w:val="20"/>
          <w:szCs w:val="20"/>
        </w:rPr>
        <w:t xml:space="preserve">) </w:t>
      </w:r>
      <w:r w:rsidR="00120961" w:rsidRPr="0006003D">
        <w:rPr>
          <w:rFonts w:ascii="Times New Roman" w:eastAsia="Arial" w:hAnsi="Times New Roman" w:cs="Times New Roman"/>
          <w:sz w:val="20"/>
          <w:szCs w:val="20"/>
        </w:rPr>
        <w:t>econometric model</w:t>
      </w:r>
      <w:r w:rsidR="002F007A" w:rsidRPr="0006003D">
        <w:rPr>
          <w:rFonts w:ascii="Times New Roman" w:eastAsia="Arial" w:hAnsi="Times New Roman" w:cs="Times New Roman"/>
          <w:sz w:val="20"/>
          <w:szCs w:val="20"/>
        </w:rPr>
        <w:t xml:space="preserve"> </w:t>
      </w:r>
      <w:r w:rsidR="002F007A" w:rsidRPr="0006003D">
        <w:rPr>
          <w:rFonts w:ascii="Times New Roman" w:eastAsia="Arial" w:hAnsi="Times New Roman" w:cs="Times New Roman"/>
          <w:i/>
          <w:sz w:val="20"/>
          <w:szCs w:val="20"/>
        </w:rPr>
        <w:t>and</w:t>
      </w:r>
      <w:r w:rsidR="002F007A" w:rsidRPr="0006003D">
        <w:rPr>
          <w:rFonts w:ascii="Times New Roman" w:eastAsia="Arial" w:hAnsi="Times New Roman" w:cs="Times New Roman"/>
          <w:sz w:val="20"/>
          <w:szCs w:val="20"/>
        </w:rPr>
        <w:t xml:space="preserve"> (ii) definition of markets to </w:t>
      </w:r>
      <w:r w:rsidR="002F007A" w:rsidRPr="0006003D">
        <w:rPr>
          <w:rFonts w:ascii="Times New Roman" w:eastAsia="Arial" w:hAnsi="Times New Roman" w:cs="Times New Roman"/>
          <w:i/>
          <w:sz w:val="20"/>
          <w:szCs w:val="20"/>
        </w:rPr>
        <w:t>our</w:t>
      </w:r>
      <w:r w:rsidR="009D5E4A" w:rsidRPr="0006003D">
        <w:rPr>
          <w:rFonts w:ascii="Times New Roman" w:eastAsia="Arial" w:hAnsi="Times New Roman" w:cs="Times New Roman"/>
          <w:sz w:val="20"/>
          <w:szCs w:val="20"/>
        </w:rPr>
        <w:t xml:space="preserve"> data</w:t>
      </w:r>
      <w:r w:rsidR="00CE7E12" w:rsidRPr="0006003D">
        <w:rPr>
          <w:rFonts w:ascii="Times New Roman" w:eastAsia="Arial" w:hAnsi="Times New Roman" w:cs="Times New Roman"/>
          <w:sz w:val="20"/>
          <w:szCs w:val="20"/>
        </w:rPr>
        <w:t>, and see whether we</w:t>
      </w:r>
      <w:r w:rsidR="00E15901">
        <w:rPr>
          <w:rFonts w:ascii="Times New Roman" w:eastAsia="Arial" w:hAnsi="Times New Roman" w:cs="Times New Roman"/>
          <w:sz w:val="20"/>
          <w:szCs w:val="20"/>
        </w:rPr>
        <w:t xml:space="preserve"> can replicate his key result—</w:t>
      </w:r>
      <w:r w:rsidR="00CE7E12" w:rsidRPr="0006003D">
        <w:rPr>
          <w:rFonts w:ascii="Times New Roman" w:eastAsia="Arial" w:hAnsi="Times New Roman" w:cs="Times New Roman"/>
          <w:sz w:val="20"/>
          <w:szCs w:val="20"/>
        </w:rPr>
        <w:t xml:space="preserve">the importance of </w:t>
      </w:r>
      <w:r w:rsidR="00776D1E" w:rsidRPr="0006003D">
        <w:rPr>
          <w:rFonts w:ascii="Times New Roman" w:eastAsia="Arial" w:hAnsi="Times New Roman" w:cs="Times New Roman"/>
          <w:sz w:val="20"/>
          <w:szCs w:val="20"/>
        </w:rPr>
        <w:t xml:space="preserve">pooled </w:t>
      </w:r>
      <w:r w:rsidR="00CE7E12" w:rsidRPr="0006003D">
        <w:rPr>
          <w:rFonts w:ascii="Times New Roman" w:eastAsia="Arial" w:hAnsi="Times New Roman" w:cs="Times New Roman"/>
          <w:sz w:val="20"/>
          <w:szCs w:val="20"/>
        </w:rPr>
        <w:t xml:space="preserve">“market liquidity” for </w:t>
      </w:r>
      <w:r w:rsidR="00776D1E" w:rsidRPr="0006003D">
        <w:rPr>
          <w:rFonts w:ascii="Times New Roman" w:eastAsia="Arial" w:hAnsi="Times New Roman" w:cs="Times New Roman"/>
          <w:sz w:val="20"/>
          <w:szCs w:val="20"/>
        </w:rPr>
        <w:t>the</w:t>
      </w:r>
      <w:r w:rsidR="00CE7E12" w:rsidRPr="0006003D">
        <w:rPr>
          <w:rFonts w:ascii="Times New Roman" w:eastAsia="Arial" w:hAnsi="Times New Roman" w:cs="Times New Roman"/>
          <w:sz w:val="20"/>
          <w:szCs w:val="20"/>
        </w:rPr>
        <w:t xml:space="preserve"> pooled colonial-sovereign sample</w:t>
      </w:r>
      <w:r w:rsidR="002F007A" w:rsidRPr="0006003D">
        <w:rPr>
          <w:rFonts w:ascii="Times New Roman" w:eastAsia="Arial" w:hAnsi="Times New Roman" w:cs="Times New Roman"/>
          <w:sz w:val="20"/>
          <w:szCs w:val="20"/>
        </w:rPr>
        <w:t xml:space="preserve">. Specifically, we </w:t>
      </w:r>
      <w:r w:rsidR="00CE7E12" w:rsidRPr="0006003D">
        <w:rPr>
          <w:rFonts w:ascii="Times New Roman" w:eastAsia="Arial" w:hAnsi="Times New Roman" w:cs="Times New Roman"/>
          <w:sz w:val="20"/>
          <w:szCs w:val="20"/>
        </w:rPr>
        <w:t>sort</w:t>
      </w:r>
      <w:r w:rsidR="002F007A" w:rsidRPr="0006003D">
        <w:rPr>
          <w:rFonts w:ascii="Times New Roman" w:eastAsia="Arial" w:hAnsi="Times New Roman" w:cs="Times New Roman"/>
          <w:sz w:val="20"/>
          <w:szCs w:val="20"/>
        </w:rPr>
        <w:t xml:space="preserve"> sovereign and colonial bonds</w:t>
      </w:r>
      <w:r w:rsidR="00B31709" w:rsidRPr="0006003D">
        <w:rPr>
          <w:rFonts w:ascii="Times New Roman" w:eastAsia="Arial" w:hAnsi="Times New Roman" w:cs="Times New Roman"/>
          <w:sz w:val="20"/>
          <w:szCs w:val="20"/>
        </w:rPr>
        <w:t xml:space="preserve"> for the 1872</w:t>
      </w:r>
      <w:r w:rsidR="00E15901">
        <w:rPr>
          <w:rFonts w:ascii="Times New Roman" w:eastAsia="Arial" w:hAnsi="Times New Roman" w:cs="Times New Roman"/>
          <w:sz w:val="20"/>
          <w:szCs w:val="20"/>
        </w:rPr>
        <w:t>–</w:t>
      </w:r>
      <w:r w:rsidR="00B31709" w:rsidRPr="0006003D">
        <w:rPr>
          <w:rFonts w:ascii="Times New Roman" w:eastAsia="Arial" w:hAnsi="Times New Roman" w:cs="Times New Roman"/>
          <w:sz w:val="20"/>
          <w:szCs w:val="20"/>
        </w:rPr>
        <w:t>1907 period</w:t>
      </w:r>
      <w:r w:rsidR="002F007A" w:rsidRPr="0006003D">
        <w:rPr>
          <w:rFonts w:ascii="Times New Roman" w:eastAsia="Arial" w:hAnsi="Times New Roman" w:cs="Times New Roman"/>
          <w:sz w:val="20"/>
          <w:szCs w:val="20"/>
        </w:rPr>
        <w:t xml:space="preserve"> into 10 portfolios according to their bid-ask spread (from most illiquid to most liquid). </w:t>
      </w:r>
      <w:r w:rsidR="009D5E4A" w:rsidRPr="0006003D">
        <w:rPr>
          <w:rFonts w:ascii="Times New Roman" w:eastAsia="Arial" w:hAnsi="Times New Roman" w:cs="Times New Roman"/>
          <w:sz w:val="20"/>
          <w:szCs w:val="20"/>
        </w:rPr>
        <w:t>To measure the</w:t>
      </w:r>
      <w:r w:rsidR="00823C12" w:rsidRPr="0006003D">
        <w:rPr>
          <w:rFonts w:ascii="Times New Roman" w:eastAsia="Arial" w:hAnsi="Times New Roman" w:cs="Times New Roman"/>
          <w:sz w:val="20"/>
          <w:szCs w:val="20"/>
        </w:rPr>
        <w:t xml:space="preserve"> “market</w:t>
      </w:r>
      <w:r w:rsidR="009D5E4A" w:rsidRPr="0006003D">
        <w:rPr>
          <w:rFonts w:ascii="Times New Roman" w:eastAsia="Arial" w:hAnsi="Times New Roman" w:cs="Times New Roman"/>
          <w:sz w:val="20"/>
          <w:szCs w:val="20"/>
        </w:rPr>
        <w:t xml:space="preserve"> liquidity</w:t>
      </w:r>
      <w:r w:rsidR="00823C12" w:rsidRPr="0006003D">
        <w:rPr>
          <w:rFonts w:ascii="Times New Roman" w:eastAsia="Arial" w:hAnsi="Times New Roman" w:cs="Times New Roman"/>
          <w:sz w:val="20"/>
          <w:szCs w:val="20"/>
        </w:rPr>
        <w:t>”</w:t>
      </w:r>
      <w:r w:rsidR="009D5E4A" w:rsidRPr="0006003D">
        <w:rPr>
          <w:rFonts w:ascii="Times New Roman" w:eastAsia="Arial" w:hAnsi="Times New Roman" w:cs="Times New Roman"/>
          <w:sz w:val="20"/>
          <w:szCs w:val="20"/>
        </w:rPr>
        <w:t xml:space="preserve"> factor, we </w:t>
      </w:r>
      <w:r w:rsidR="00A040B1" w:rsidRPr="0006003D">
        <w:rPr>
          <w:rFonts w:ascii="Times New Roman" w:eastAsia="Arial" w:hAnsi="Times New Roman" w:cs="Times New Roman"/>
          <w:sz w:val="20"/>
          <w:szCs w:val="20"/>
        </w:rPr>
        <w:t>take</w:t>
      </w:r>
      <w:r w:rsidR="009D5E4A" w:rsidRPr="0006003D">
        <w:rPr>
          <w:rFonts w:ascii="Times New Roman" w:eastAsia="Arial" w:hAnsi="Times New Roman" w:cs="Times New Roman"/>
          <w:sz w:val="20"/>
          <w:szCs w:val="20"/>
        </w:rPr>
        <w:t xml:space="preserve"> the shock component of the average bid-ask spread</w:t>
      </w:r>
      <w:r w:rsidR="00823C12" w:rsidRPr="0006003D">
        <w:rPr>
          <w:rFonts w:ascii="Times New Roman" w:eastAsia="Arial" w:hAnsi="Times New Roman" w:cs="Times New Roman"/>
          <w:sz w:val="20"/>
          <w:szCs w:val="20"/>
        </w:rPr>
        <w:t xml:space="preserve"> across </w:t>
      </w:r>
      <w:r w:rsidR="00823C12" w:rsidRPr="0006003D">
        <w:rPr>
          <w:rFonts w:ascii="Times New Roman" w:eastAsia="Arial" w:hAnsi="Times New Roman" w:cs="Times New Roman"/>
          <w:i/>
          <w:sz w:val="20"/>
          <w:szCs w:val="20"/>
        </w:rPr>
        <w:t>all</w:t>
      </w:r>
      <w:r w:rsidR="00823C12" w:rsidRPr="0006003D">
        <w:rPr>
          <w:rFonts w:ascii="Times New Roman" w:eastAsia="Arial" w:hAnsi="Times New Roman" w:cs="Times New Roman"/>
          <w:sz w:val="20"/>
          <w:szCs w:val="20"/>
        </w:rPr>
        <w:t xml:space="preserve"> bonds (both colonial and sovereign) at each </w:t>
      </w:r>
      <w:r w:rsidR="00823C12" w:rsidRPr="00E15901">
        <w:rPr>
          <w:rFonts w:ascii="Times New Roman" w:eastAsia="Arial" w:hAnsi="Times New Roman" w:cs="Times New Roman"/>
          <w:i/>
          <w:sz w:val="20"/>
          <w:szCs w:val="20"/>
        </w:rPr>
        <w:t>t</w:t>
      </w:r>
      <w:r w:rsidR="00823C12" w:rsidRPr="0006003D">
        <w:rPr>
          <w:rFonts w:ascii="Times New Roman" w:eastAsia="Arial" w:hAnsi="Times New Roman" w:cs="Times New Roman"/>
          <w:sz w:val="20"/>
          <w:szCs w:val="20"/>
        </w:rPr>
        <w:t xml:space="preserve"> (we have done this separately for colonials and sovereigns in Tables A.1 and A.2). </w:t>
      </w:r>
      <w:r w:rsidR="00CE7E12" w:rsidRPr="0006003D">
        <w:rPr>
          <w:rFonts w:ascii="Times New Roman" w:eastAsia="Arial" w:hAnsi="Times New Roman" w:cs="Times New Roman"/>
          <w:sz w:val="20"/>
          <w:szCs w:val="20"/>
        </w:rPr>
        <w:t>The r</w:t>
      </w:r>
      <w:r w:rsidR="00823C12" w:rsidRPr="0006003D">
        <w:rPr>
          <w:rFonts w:ascii="Times New Roman" w:eastAsia="Arial" w:hAnsi="Times New Roman" w:cs="Times New Roman"/>
          <w:sz w:val="20"/>
          <w:szCs w:val="20"/>
        </w:rPr>
        <w:t xml:space="preserve">esults in Table A.3 show that we can retrieve the essence of </w:t>
      </w:r>
      <w:proofErr w:type="spellStart"/>
      <w:r w:rsidR="00823C12" w:rsidRPr="0006003D">
        <w:rPr>
          <w:rFonts w:ascii="Times New Roman" w:eastAsia="Arial" w:hAnsi="Times New Roman" w:cs="Times New Roman"/>
          <w:sz w:val="20"/>
          <w:szCs w:val="20"/>
        </w:rPr>
        <w:t>Alquist’s</w:t>
      </w:r>
      <w:proofErr w:type="spellEnd"/>
      <w:r w:rsidR="00823C12" w:rsidRPr="0006003D">
        <w:rPr>
          <w:rFonts w:ascii="Times New Roman" w:eastAsia="Arial" w:hAnsi="Times New Roman" w:cs="Times New Roman"/>
          <w:sz w:val="20"/>
          <w:szCs w:val="20"/>
        </w:rPr>
        <w:t xml:space="preserve"> result:</w:t>
      </w:r>
      <w:r w:rsidR="00675A38" w:rsidRPr="0006003D">
        <w:rPr>
          <w:rFonts w:ascii="Times New Roman" w:eastAsia="Arial" w:hAnsi="Times New Roman" w:cs="Times New Roman"/>
          <w:sz w:val="20"/>
          <w:szCs w:val="20"/>
        </w:rPr>
        <w:t xml:space="preserve"> the</w:t>
      </w:r>
      <w:r w:rsidR="00823C12" w:rsidRPr="0006003D">
        <w:rPr>
          <w:rFonts w:ascii="Times New Roman" w:eastAsia="Arial" w:hAnsi="Times New Roman" w:cs="Times New Roman"/>
          <w:sz w:val="20"/>
          <w:szCs w:val="20"/>
        </w:rPr>
        <w:t xml:space="preserve"> “market liquidity” factor shows a positive and significant correlation with portfolio returns for each portfolio. Moreover, as in </w:t>
      </w:r>
      <w:proofErr w:type="spellStart"/>
      <w:r w:rsidR="00823C12" w:rsidRPr="0006003D">
        <w:rPr>
          <w:rFonts w:ascii="Times New Roman" w:eastAsia="Arial" w:hAnsi="Times New Roman" w:cs="Times New Roman"/>
          <w:sz w:val="20"/>
          <w:szCs w:val="20"/>
        </w:rPr>
        <w:t>Alquist</w:t>
      </w:r>
      <w:proofErr w:type="spellEnd"/>
      <w:r w:rsidR="00823C12" w:rsidRPr="0006003D">
        <w:rPr>
          <w:rFonts w:ascii="Times New Roman" w:eastAsia="Arial" w:hAnsi="Times New Roman" w:cs="Times New Roman"/>
          <w:sz w:val="20"/>
          <w:szCs w:val="20"/>
        </w:rPr>
        <w:t>, we find that the less liquid the portfolio, the stronger the effect</w:t>
      </w:r>
      <w:r w:rsidR="00776D1E" w:rsidRPr="0006003D">
        <w:rPr>
          <w:rFonts w:ascii="Times New Roman" w:eastAsia="Arial" w:hAnsi="Times New Roman" w:cs="Times New Roman"/>
          <w:sz w:val="20"/>
          <w:szCs w:val="20"/>
        </w:rPr>
        <w:t xml:space="preserve"> (e.g.</w:t>
      </w:r>
      <w:r w:rsidR="00E15901">
        <w:rPr>
          <w:rFonts w:ascii="Times New Roman" w:eastAsia="Arial" w:hAnsi="Times New Roman" w:cs="Times New Roman"/>
          <w:sz w:val="20"/>
          <w:szCs w:val="20"/>
        </w:rPr>
        <w:t>,</w:t>
      </w:r>
      <w:r w:rsidR="00776D1E" w:rsidRPr="0006003D">
        <w:rPr>
          <w:rFonts w:ascii="Times New Roman" w:eastAsia="Arial" w:hAnsi="Times New Roman" w:cs="Times New Roman"/>
          <w:sz w:val="20"/>
          <w:szCs w:val="20"/>
        </w:rPr>
        <w:t xml:space="preserve"> 0.01 for the most illiquid portfolio and 0.002 for the most liquid one)</w:t>
      </w:r>
      <w:r w:rsidR="00823C12" w:rsidRPr="0006003D">
        <w:rPr>
          <w:rFonts w:ascii="Times New Roman" w:eastAsia="Arial" w:hAnsi="Times New Roman" w:cs="Times New Roman"/>
          <w:sz w:val="20"/>
          <w:szCs w:val="20"/>
        </w:rPr>
        <w:t>.</w:t>
      </w:r>
    </w:p>
    <w:p w14:paraId="275A3A5C" w14:textId="2E8BA045" w:rsidR="00A040B1" w:rsidRDefault="00776D1E" w:rsidP="0006003D">
      <w:pPr>
        <w:widowControl w:val="0"/>
        <w:ind w:firstLine="720"/>
        <w:jc w:val="both"/>
        <w:rPr>
          <w:rFonts w:ascii="Times New Roman" w:eastAsia="Arial" w:hAnsi="Times New Roman" w:cs="Times New Roman"/>
          <w:sz w:val="20"/>
          <w:szCs w:val="20"/>
        </w:rPr>
      </w:pPr>
      <w:r w:rsidRPr="0006003D">
        <w:rPr>
          <w:rFonts w:ascii="Times New Roman" w:eastAsia="Arial" w:hAnsi="Times New Roman" w:cs="Times New Roman"/>
          <w:sz w:val="20"/>
          <w:szCs w:val="20"/>
        </w:rPr>
        <w:t xml:space="preserve">The </w:t>
      </w:r>
      <w:r w:rsidR="00E42304" w:rsidRPr="0006003D">
        <w:rPr>
          <w:rFonts w:ascii="Times New Roman" w:eastAsia="Arial" w:hAnsi="Times New Roman" w:cs="Times New Roman"/>
          <w:sz w:val="20"/>
          <w:szCs w:val="20"/>
        </w:rPr>
        <w:t xml:space="preserve">other </w:t>
      </w:r>
      <w:r w:rsidRPr="0006003D">
        <w:rPr>
          <w:rFonts w:ascii="Times New Roman" w:eastAsia="Arial" w:hAnsi="Times New Roman" w:cs="Times New Roman"/>
          <w:sz w:val="20"/>
          <w:szCs w:val="20"/>
        </w:rPr>
        <w:t xml:space="preserve">important result in </w:t>
      </w:r>
      <w:proofErr w:type="spellStart"/>
      <w:r w:rsidR="00CE7E12" w:rsidRPr="0006003D">
        <w:rPr>
          <w:rFonts w:ascii="Times New Roman" w:eastAsia="Arial" w:hAnsi="Times New Roman" w:cs="Times New Roman"/>
          <w:sz w:val="20"/>
          <w:szCs w:val="20"/>
        </w:rPr>
        <w:t>Alquist</w:t>
      </w:r>
      <w:proofErr w:type="spellEnd"/>
      <w:r w:rsidRPr="0006003D">
        <w:rPr>
          <w:rFonts w:ascii="Times New Roman" w:eastAsia="Arial" w:hAnsi="Times New Roman" w:cs="Times New Roman"/>
          <w:sz w:val="20"/>
          <w:szCs w:val="20"/>
        </w:rPr>
        <w:t xml:space="preserve"> </w:t>
      </w:r>
      <w:r w:rsidR="00A040B1" w:rsidRPr="0006003D">
        <w:rPr>
          <w:rFonts w:ascii="Times New Roman" w:eastAsia="Arial" w:hAnsi="Times New Roman" w:cs="Times New Roman"/>
          <w:sz w:val="20"/>
          <w:szCs w:val="20"/>
        </w:rPr>
        <w:t>is</w:t>
      </w:r>
      <w:r w:rsidR="00CE7E12" w:rsidRPr="0006003D">
        <w:rPr>
          <w:rFonts w:ascii="Times New Roman" w:eastAsia="Arial" w:hAnsi="Times New Roman" w:cs="Times New Roman"/>
          <w:sz w:val="20"/>
          <w:szCs w:val="20"/>
        </w:rPr>
        <w:t xml:space="preserve"> that </w:t>
      </w:r>
      <w:r w:rsidRPr="0006003D">
        <w:rPr>
          <w:rFonts w:ascii="Times New Roman" w:eastAsia="Arial" w:hAnsi="Times New Roman" w:cs="Times New Roman"/>
          <w:sz w:val="20"/>
          <w:szCs w:val="20"/>
        </w:rPr>
        <w:t xml:space="preserve">the </w:t>
      </w:r>
      <w:r w:rsidR="00CE7E12" w:rsidRPr="0006003D">
        <w:rPr>
          <w:rFonts w:ascii="Times New Roman" w:eastAsia="Arial" w:hAnsi="Times New Roman" w:cs="Times New Roman"/>
          <w:sz w:val="20"/>
          <w:szCs w:val="20"/>
        </w:rPr>
        <w:t xml:space="preserve">“market liquidity” factor is not significant in his panel of colonials. </w:t>
      </w:r>
      <w:r w:rsidR="003B764C" w:rsidRPr="0006003D">
        <w:rPr>
          <w:rFonts w:ascii="Times New Roman" w:eastAsia="Arial" w:hAnsi="Times New Roman" w:cs="Times New Roman"/>
          <w:sz w:val="20"/>
          <w:szCs w:val="20"/>
        </w:rPr>
        <w:t>P</w:t>
      </w:r>
      <w:r w:rsidRPr="0006003D">
        <w:rPr>
          <w:rFonts w:ascii="Times New Roman" w:eastAsia="Arial" w:hAnsi="Times New Roman" w:cs="Times New Roman"/>
          <w:sz w:val="20"/>
          <w:szCs w:val="20"/>
        </w:rPr>
        <w:t xml:space="preserve">erhaps </w:t>
      </w:r>
      <w:r w:rsidR="00CE7E12" w:rsidRPr="0006003D">
        <w:rPr>
          <w:rFonts w:ascii="Times New Roman" w:eastAsia="Arial" w:hAnsi="Times New Roman" w:cs="Times New Roman"/>
          <w:sz w:val="20"/>
          <w:szCs w:val="20"/>
        </w:rPr>
        <w:t>it</w:t>
      </w:r>
      <w:r w:rsidR="00E42304" w:rsidRPr="0006003D">
        <w:rPr>
          <w:rFonts w:ascii="Times New Roman" w:eastAsia="Arial" w:hAnsi="Times New Roman" w:cs="Times New Roman"/>
          <w:sz w:val="20"/>
          <w:szCs w:val="20"/>
        </w:rPr>
        <w:t xml:space="preserve"> is</w:t>
      </w:r>
      <w:r w:rsidR="00CE7E12" w:rsidRPr="0006003D">
        <w:rPr>
          <w:rFonts w:ascii="Times New Roman" w:eastAsia="Arial" w:hAnsi="Times New Roman" w:cs="Times New Roman"/>
          <w:sz w:val="20"/>
          <w:szCs w:val="20"/>
        </w:rPr>
        <w:t xml:space="preserve"> just that his colonial data</w:t>
      </w:r>
      <w:r w:rsidR="00120961" w:rsidRPr="0006003D">
        <w:rPr>
          <w:rFonts w:ascii="Times New Roman" w:eastAsia="Arial" w:hAnsi="Times New Roman" w:cs="Times New Roman"/>
          <w:sz w:val="20"/>
          <w:szCs w:val="20"/>
        </w:rPr>
        <w:t xml:space="preserve"> </w:t>
      </w:r>
      <w:r w:rsidR="00CE7E12" w:rsidRPr="0006003D">
        <w:rPr>
          <w:rFonts w:ascii="Times New Roman" w:eastAsia="Arial" w:hAnsi="Times New Roman" w:cs="Times New Roman"/>
          <w:sz w:val="20"/>
          <w:szCs w:val="20"/>
        </w:rPr>
        <w:t xml:space="preserve">is </w:t>
      </w:r>
      <w:r w:rsidR="003B764C" w:rsidRPr="0006003D">
        <w:rPr>
          <w:rFonts w:ascii="Times New Roman" w:eastAsia="Arial" w:hAnsi="Times New Roman" w:cs="Times New Roman"/>
          <w:sz w:val="20"/>
          <w:szCs w:val="20"/>
        </w:rPr>
        <w:t>too scarce</w:t>
      </w:r>
      <w:r w:rsidR="00CE7E12" w:rsidRPr="0006003D">
        <w:rPr>
          <w:rFonts w:ascii="Times New Roman" w:eastAsia="Arial" w:hAnsi="Times New Roman" w:cs="Times New Roman"/>
          <w:sz w:val="20"/>
          <w:szCs w:val="20"/>
        </w:rPr>
        <w:t>?</w:t>
      </w:r>
      <w:r w:rsidR="00A040B1" w:rsidRPr="0006003D">
        <w:rPr>
          <w:rFonts w:ascii="Times New Roman" w:eastAsia="Arial" w:hAnsi="Times New Roman" w:cs="Times New Roman"/>
          <w:sz w:val="20"/>
          <w:szCs w:val="20"/>
        </w:rPr>
        <w:t xml:space="preserve"> </w:t>
      </w:r>
      <w:r w:rsidR="00E740B3" w:rsidRPr="0006003D">
        <w:rPr>
          <w:rFonts w:ascii="Times New Roman" w:eastAsia="Arial" w:hAnsi="Times New Roman" w:cs="Times New Roman"/>
          <w:sz w:val="20"/>
          <w:szCs w:val="20"/>
        </w:rPr>
        <w:t xml:space="preserve">To find out, we </w:t>
      </w:r>
      <w:r w:rsidR="00A040B1" w:rsidRPr="0006003D">
        <w:rPr>
          <w:rFonts w:ascii="Times New Roman" w:eastAsia="Arial" w:hAnsi="Times New Roman" w:cs="Times New Roman"/>
          <w:sz w:val="20"/>
          <w:szCs w:val="20"/>
        </w:rPr>
        <w:t xml:space="preserve">run a “horse race” between our and </w:t>
      </w:r>
      <w:proofErr w:type="spellStart"/>
      <w:r w:rsidR="00A040B1" w:rsidRPr="0006003D">
        <w:rPr>
          <w:rFonts w:ascii="Times New Roman" w:eastAsia="Arial" w:hAnsi="Times New Roman" w:cs="Times New Roman"/>
          <w:sz w:val="20"/>
          <w:szCs w:val="20"/>
        </w:rPr>
        <w:t>Alquist’s</w:t>
      </w:r>
      <w:proofErr w:type="spellEnd"/>
      <w:r w:rsidR="00A040B1" w:rsidRPr="0006003D">
        <w:rPr>
          <w:rFonts w:ascii="Times New Roman" w:eastAsia="Arial" w:hAnsi="Times New Roman" w:cs="Times New Roman"/>
          <w:sz w:val="20"/>
          <w:szCs w:val="20"/>
        </w:rPr>
        <w:t xml:space="preserve"> </w:t>
      </w:r>
      <w:r w:rsidR="00E740B3" w:rsidRPr="0006003D">
        <w:rPr>
          <w:rFonts w:ascii="Times New Roman" w:eastAsia="Arial" w:hAnsi="Times New Roman" w:cs="Times New Roman"/>
          <w:sz w:val="20"/>
          <w:szCs w:val="20"/>
        </w:rPr>
        <w:t>definition</w:t>
      </w:r>
      <w:r w:rsidR="00E42304" w:rsidRPr="0006003D">
        <w:rPr>
          <w:rFonts w:ascii="Times New Roman" w:eastAsia="Arial" w:hAnsi="Times New Roman" w:cs="Times New Roman"/>
          <w:sz w:val="20"/>
          <w:szCs w:val="20"/>
        </w:rPr>
        <w:t>s</w:t>
      </w:r>
      <w:r w:rsidR="00E740B3" w:rsidRPr="0006003D">
        <w:rPr>
          <w:rFonts w:ascii="Times New Roman" w:eastAsia="Arial" w:hAnsi="Times New Roman" w:cs="Times New Roman"/>
          <w:sz w:val="20"/>
          <w:szCs w:val="20"/>
        </w:rPr>
        <w:t xml:space="preserve"> of market liquidity</w:t>
      </w:r>
      <w:r w:rsidR="00A040B1" w:rsidRPr="0006003D">
        <w:rPr>
          <w:rFonts w:ascii="Times New Roman" w:eastAsia="Arial" w:hAnsi="Times New Roman" w:cs="Times New Roman"/>
          <w:sz w:val="20"/>
          <w:szCs w:val="20"/>
        </w:rPr>
        <w:t>.</w:t>
      </w:r>
      <w:r w:rsidR="00CE7E12" w:rsidRPr="0006003D">
        <w:rPr>
          <w:rFonts w:ascii="Times New Roman" w:eastAsia="Arial" w:hAnsi="Times New Roman" w:cs="Times New Roman"/>
          <w:sz w:val="20"/>
          <w:szCs w:val="20"/>
        </w:rPr>
        <w:t xml:space="preserve"> </w:t>
      </w:r>
      <w:r w:rsidR="00E42304" w:rsidRPr="0006003D">
        <w:rPr>
          <w:rFonts w:ascii="Times New Roman" w:eastAsia="Arial" w:hAnsi="Times New Roman" w:cs="Times New Roman"/>
          <w:sz w:val="20"/>
          <w:szCs w:val="20"/>
        </w:rPr>
        <w:t>We</w:t>
      </w:r>
      <w:r w:rsidR="00A040B1" w:rsidRPr="0006003D">
        <w:rPr>
          <w:rFonts w:ascii="Times New Roman" w:eastAsia="Arial" w:hAnsi="Times New Roman" w:cs="Times New Roman"/>
          <w:sz w:val="20"/>
          <w:szCs w:val="20"/>
        </w:rPr>
        <w:t xml:space="preserve"> sort our colonial data</w:t>
      </w:r>
      <w:r w:rsidR="00B31709" w:rsidRPr="0006003D">
        <w:rPr>
          <w:rFonts w:ascii="Times New Roman" w:eastAsia="Arial" w:hAnsi="Times New Roman" w:cs="Times New Roman"/>
          <w:sz w:val="20"/>
          <w:szCs w:val="20"/>
        </w:rPr>
        <w:t xml:space="preserve"> for the 1872</w:t>
      </w:r>
      <w:r w:rsidR="00E15901">
        <w:rPr>
          <w:rFonts w:ascii="Times New Roman" w:eastAsia="Arial" w:hAnsi="Times New Roman" w:cs="Times New Roman"/>
          <w:sz w:val="20"/>
          <w:szCs w:val="20"/>
        </w:rPr>
        <w:t>–</w:t>
      </w:r>
      <w:r w:rsidR="00B31709" w:rsidRPr="0006003D">
        <w:rPr>
          <w:rFonts w:ascii="Times New Roman" w:eastAsia="Arial" w:hAnsi="Times New Roman" w:cs="Times New Roman"/>
          <w:sz w:val="20"/>
          <w:szCs w:val="20"/>
        </w:rPr>
        <w:t>1907 period</w:t>
      </w:r>
      <w:r w:rsidR="00A040B1" w:rsidRPr="0006003D">
        <w:rPr>
          <w:rFonts w:ascii="Times New Roman" w:eastAsia="Arial" w:hAnsi="Times New Roman" w:cs="Times New Roman"/>
          <w:sz w:val="20"/>
          <w:szCs w:val="20"/>
        </w:rPr>
        <w:t xml:space="preserve"> into </w:t>
      </w:r>
      <w:r w:rsidR="00E15901">
        <w:rPr>
          <w:rFonts w:ascii="Times New Roman" w:eastAsia="Arial" w:hAnsi="Times New Roman" w:cs="Times New Roman"/>
          <w:sz w:val="20"/>
          <w:szCs w:val="20"/>
        </w:rPr>
        <w:t>five</w:t>
      </w:r>
      <w:r w:rsidR="00A040B1" w:rsidRPr="0006003D">
        <w:rPr>
          <w:rFonts w:ascii="Times New Roman" w:eastAsia="Arial" w:hAnsi="Times New Roman" w:cs="Times New Roman"/>
          <w:sz w:val="20"/>
          <w:szCs w:val="20"/>
        </w:rPr>
        <w:t xml:space="preserve"> portfolios</w:t>
      </w:r>
      <w:r w:rsidR="00E42304" w:rsidRPr="0006003D">
        <w:rPr>
          <w:rFonts w:ascii="Times New Roman" w:eastAsia="Arial" w:hAnsi="Times New Roman" w:cs="Times New Roman"/>
          <w:sz w:val="20"/>
          <w:szCs w:val="20"/>
        </w:rPr>
        <w:t xml:space="preserve"> (</w:t>
      </w:r>
      <w:r w:rsidR="00A040B1" w:rsidRPr="0006003D">
        <w:rPr>
          <w:rFonts w:ascii="Times New Roman" w:eastAsia="Arial" w:hAnsi="Times New Roman" w:cs="Times New Roman"/>
          <w:sz w:val="20"/>
          <w:szCs w:val="20"/>
        </w:rPr>
        <w:t xml:space="preserve">as </w:t>
      </w:r>
      <w:r w:rsidR="00E42304" w:rsidRPr="0006003D">
        <w:rPr>
          <w:rFonts w:ascii="Times New Roman" w:eastAsia="Arial" w:hAnsi="Times New Roman" w:cs="Times New Roman"/>
          <w:sz w:val="20"/>
          <w:szCs w:val="20"/>
        </w:rPr>
        <w:t>in</w:t>
      </w:r>
      <w:r w:rsidR="00A040B1" w:rsidRPr="0006003D">
        <w:rPr>
          <w:rFonts w:ascii="Times New Roman" w:eastAsia="Arial" w:hAnsi="Times New Roman" w:cs="Times New Roman"/>
          <w:sz w:val="20"/>
          <w:szCs w:val="20"/>
        </w:rPr>
        <w:t xml:space="preserve"> Table A.1</w:t>
      </w:r>
      <w:r w:rsidR="00E42304" w:rsidRPr="0006003D">
        <w:rPr>
          <w:rFonts w:ascii="Times New Roman" w:eastAsia="Arial" w:hAnsi="Times New Roman" w:cs="Times New Roman"/>
          <w:sz w:val="20"/>
          <w:szCs w:val="20"/>
        </w:rPr>
        <w:t>)</w:t>
      </w:r>
      <w:r w:rsidR="00A040B1" w:rsidRPr="0006003D">
        <w:rPr>
          <w:rFonts w:ascii="Times New Roman" w:eastAsia="Arial" w:hAnsi="Times New Roman" w:cs="Times New Roman"/>
          <w:sz w:val="20"/>
          <w:szCs w:val="20"/>
        </w:rPr>
        <w:t xml:space="preserve">. </w:t>
      </w:r>
      <w:r w:rsidR="00E42304" w:rsidRPr="0006003D">
        <w:rPr>
          <w:rFonts w:ascii="Times New Roman" w:eastAsia="Arial" w:hAnsi="Times New Roman" w:cs="Times New Roman"/>
          <w:sz w:val="20"/>
          <w:szCs w:val="20"/>
        </w:rPr>
        <w:t>We next</w:t>
      </w:r>
      <w:r w:rsidR="00A040B1" w:rsidRPr="0006003D">
        <w:rPr>
          <w:rFonts w:ascii="Times New Roman" w:eastAsia="Arial" w:hAnsi="Times New Roman" w:cs="Times New Roman"/>
          <w:sz w:val="20"/>
          <w:szCs w:val="20"/>
        </w:rPr>
        <w:t xml:space="preserve"> introduce two liquidity factors</w:t>
      </w:r>
      <w:r w:rsidR="00E42304" w:rsidRPr="0006003D">
        <w:rPr>
          <w:rFonts w:ascii="Times New Roman" w:eastAsia="Arial" w:hAnsi="Times New Roman" w:cs="Times New Roman"/>
          <w:sz w:val="20"/>
          <w:szCs w:val="20"/>
        </w:rPr>
        <w:t xml:space="preserve">. The first is </w:t>
      </w:r>
      <w:proofErr w:type="spellStart"/>
      <w:r w:rsidR="00A040B1" w:rsidRPr="0006003D">
        <w:rPr>
          <w:rFonts w:ascii="Times New Roman" w:eastAsia="Arial" w:hAnsi="Times New Roman" w:cs="Times New Roman"/>
          <w:sz w:val="20"/>
          <w:szCs w:val="20"/>
        </w:rPr>
        <w:t>Alquist’s</w:t>
      </w:r>
      <w:proofErr w:type="spellEnd"/>
      <w:r w:rsidR="00A040B1" w:rsidRPr="0006003D">
        <w:rPr>
          <w:rFonts w:ascii="Times New Roman" w:eastAsia="Arial" w:hAnsi="Times New Roman" w:cs="Times New Roman"/>
          <w:sz w:val="20"/>
          <w:szCs w:val="20"/>
        </w:rPr>
        <w:t xml:space="preserve"> market liquidity factor</w:t>
      </w:r>
      <w:r w:rsidR="00E42304" w:rsidRPr="0006003D">
        <w:rPr>
          <w:rFonts w:ascii="Times New Roman" w:eastAsia="Arial" w:hAnsi="Times New Roman" w:cs="Times New Roman"/>
          <w:sz w:val="20"/>
          <w:szCs w:val="20"/>
        </w:rPr>
        <w:t xml:space="preserve">, </w:t>
      </w:r>
      <w:r w:rsidR="00A040B1" w:rsidRPr="0006003D">
        <w:rPr>
          <w:rFonts w:ascii="Times New Roman" w:eastAsia="Arial" w:hAnsi="Times New Roman" w:cs="Times New Roman"/>
          <w:sz w:val="20"/>
          <w:szCs w:val="20"/>
        </w:rPr>
        <w:t xml:space="preserve">measured with our own data, </w:t>
      </w:r>
      <w:r w:rsidR="00E15901">
        <w:rPr>
          <w:rFonts w:ascii="Times New Roman" w:eastAsia="Arial" w:hAnsi="Times New Roman" w:cs="Times New Roman"/>
          <w:sz w:val="20"/>
          <w:szCs w:val="20"/>
        </w:rPr>
        <w:t>that is,</w:t>
      </w:r>
      <w:r w:rsidR="00A040B1" w:rsidRPr="0006003D">
        <w:rPr>
          <w:rFonts w:ascii="Times New Roman" w:eastAsia="Arial" w:hAnsi="Times New Roman" w:cs="Times New Roman"/>
          <w:sz w:val="20"/>
          <w:szCs w:val="20"/>
        </w:rPr>
        <w:t xml:space="preserve"> the shock component of the average bid-ask spread for the pooled colonial-sovereign sample (</w:t>
      </w:r>
      <w:r w:rsidR="00E42304" w:rsidRPr="0006003D">
        <w:rPr>
          <w:rFonts w:ascii="Times New Roman" w:eastAsia="Arial" w:hAnsi="Times New Roman" w:cs="Times New Roman"/>
          <w:sz w:val="20"/>
          <w:szCs w:val="20"/>
        </w:rPr>
        <w:t xml:space="preserve">as </w:t>
      </w:r>
      <w:r w:rsidR="00E42304" w:rsidRPr="0006003D">
        <w:rPr>
          <w:rFonts w:ascii="Times New Roman" w:eastAsia="Arial" w:hAnsi="Times New Roman" w:cs="Times New Roman"/>
          <w:sz w:val="20"/>
          <w:szCs w:val="20"/>
        </w:rPr>
        <w:lastRenderedPageBreak/>
        <w:t>in</w:t>
      </w:r>
      <w:r w:rsidR="00A040B1" w:rsidRPr="0006003D">
        <w:rPr>
          <w:rFonts w:ascii="Times New Roman" w:eastAsia="Arial" w:hAnsi="Times New Roman" w:cs="Times New Roman"/>
          <w:sz w:val="20"/>
          <w:szCs w:val="20"/>
        </w:rPr>
        <w:t xml:space="preserve"> Table A.3). The second is our colonial-only liquidity factor, </w:t>
      </w:r>
      <w:r w:rsidR="00E15901">
        <w:rPr>
          <w:rFonts w:ascii="Times New Roman" w:eastAsia="Arial" w:hAnsi="Times New Roman" w:cs="Times New Roman"/>
          <w:sz w:val="20"/>
          <w:szCs w:val="20"/>
        </w:rPr>
        <w:t>that is,</w:t>
      </w:r>
      <w:r w:rsidR="00A040B1" w:rsidRPr="0006003D">
        <w:rPr>
          <w:rFonts w:ascii="Times New Roman" w:eastAsia="Arial" w:hAnsi="Times New Roman" w:cs="Times New Roman"/>
          <w:sz w:val="20"/>
          <w:szCs w:val="20"/>
        </w:rPr>
        <w:t xml:space="preserve"> the shock component of the average bid-ask spread for colonial sample (</w:t>
      </w:r>
      <w:r w:rsidR="00E42304" w:rsidRPr="0006003D">
        <w:rPr>
          <w:rFonts w:ascii="Times New Roman" w:eastAsia="Arial" w:hAnsi="Times New Roman" w:cs="Times New Roman"/>
          <w:sz w:val="20"/>
          <w:szCs w:val="20"/>
        </w:rPr>
        <w:t>as in</w:t>
      </w:r>
      <w:r w:rsidR="00A040B1" w:rsidRPr="0006003D">
        <w:rPr>
          <w:rFonts w:ascii="Times New Roman" w:eastAsia="Arial" w:hAnsi="Times New Roman" w:cs="Times New Roman"/>
          <w:sz w:val="20"/>
          <w:szCs w:val="20"/>
        </w:rPr>
        <w:t xml:space="preserve"> Table A.1). The results </w:t>
      </w:r>
      <w:r w:rsidR="00E42304" w:rsidRPr="0006003D">
        <w:rPr>
          <w:rFonts w:ascii="Times New Roman" w:eastAsia="Arial" w:hAnsi="Times New Roman" w:cs="Times New Roman"/>
          <w:sz w:val="20"/>
          <w:szCs w:val="20"/>
        </w:rPr>
        <w:t xml:space="preserve">are shown </w:t>
      </w:r>
      <w:r w:rsidR="00A040B1" w:rsidRPr="0006003D">
        <w:rPr>
          <w:rFonts w:ascii="Times New Roman" w:eastAsia="Arial" w:hAnsi="Times New Roman" w:cs="Times New Roman"/>
          <w:sz w:val="20"/>
          <w:szCs w:val="20"/>
        </w:rPr>
        <w:t>in Table A.4</w:t>
      </w:r>
      <w:r w:rsidR="00E42304" w:rsidRPr="0006003D">
        <w:rPr>
          <w:rFonts w:ascii="Times New Roman" w:eastAsia="Arial" w:hAnsi="Times New Roman" w:cs="Times New Roman"/>
          <w:sz w:val="20"/>
          <w:szCs w:val="20"/>
        </w:rPr>
        <w:t xml:space="preserve">. Only </w:t>
      </w:r>
      <w:r w:rsidR="00A040B1" w:rsidRPr="0006003D">
        <w:rPr>
          <w:rFonts w:ascii="Times New Roman" w:eastAsia="Arial" w:hAnsi="Times New Roman" w:cs="Times New Roman"/>
          <w:sz w:val="20"/>
          <w:szCs w:val="20"/>
        </w:rPr>
        <w:t xml:space="preserve">the latter factor </w:t>
      </w:r>
      <w:r w:rsidR="00E42304" w:rsidRPr="0006003D">
        <w:rPr>
          <w:rFonts w:ascii="Times New Roman" w:eastAsia="Arial" w:hAnsi="Times New Roman" w:cs="Times New Roman"/>
          <w:sz w:val="20"/>
          <w:szCs w:val="20"/>
        </w:rPr>
        <w:t xml:space="preserve">(our colonial-only liquidity factor) </w:t>
      </w:r>
      <w:r w:rsidR="00A040B1" w:rsidRPr="0006003D">
        <w:rPr>
          <w:rFonts w:ascii="Times New Roman" w:eastAsia="Arial" w:hAnsi="Times New Roman" w:cs="Times New Roman"/>
          <w:sz w:val="20"/>
          <w:szCs w:val="20"/>
        </w:rPr>
        <w:t>is significantly correlated with colonial returns.</w:t>
      </w:r>
      <w:r w:rsidR="00E740B3" w:rsidRPr="0006003D">
        <w:rPr>
          <w:rFonts w:ascii="Times New Roman" w:eastAsia="Arial" w:hAnsi="Times New Roman" w:cs="Times New Roman"/>
          <w:sz w:val="20"/>
          <w:szCs w:val="20"/>
        </w:rPr>
        <w:t xml:space="preserve"> By contrast, like in </w:t>
      </w:r>
      <w:proofErr w:type="spellStart"/>
      <w:r w:rsidR="00E740B3" w:rsidRPr="0006003D">
        <w:rPr>
          <w:rFonts w:ascii="Times New Roman" w:eastAsia="Arial" w:hAnsi="Times New Roman" w:cs="Times New Roman"/>
          <w:sz w:val="20"/>
          <w:szCs w:val="20"/>
        </w:rPr>
        <w:t>Alquist</w:t>
      </w:r>
      <w:proofErr w:type="spellEnd"/>
      <w:r w:rsidR="00E740B3" w:rsidRPr="0006003D">
        <w:rPr>
          <w:rFonts w:ascii="Times New Roman" w:eastAsia="Arial" w:hAnsi="Times New Roman" w:cs="Times New Roman"/>
          <w:sz w:val="20"/>
          <w:szCs w:val="20"/>
        </w:rPr>
        <w:t>, the pooled liquidity factor is irrelevant for colonial returns.</w:t>
      </w:r>
      <w:r w:rsidR="00A040B1" w:rsidRPr="0006003D">
        <w:rPr>
          <w:rFonts w:ascii="Times New Roman" w:eastAsia="Arial" w:hAnsi="Times New Roman" w:cs="Times New Roman"/>
          <w:sz w:val="20"/>
          <w:szCs w:val="20"/>
        </w:rPr>
        <w:t xml:space="preserve"> In other words, the liquidity of the combined sovereign and colonial market does not matter for colonial returns, but the colonial market liquidity does.</w:t>
      </w:r>
      <w:r w:rsidR="00E42304" w:rsidRPr="0006003D">
        <w:rPr>
          <w:rFonts w:ascii="Times New Roman" w:eastAsia="Arial" w:hAnsi="Times New Roman" w:cs="Times New Roman"/>
          <w:sz w:val="20"/>
          <w:szCs w:val="20"/>
        </w:rPr>
        <w:t xml:space="preserve"> </w:t>
      </w:r>
      <w:r w:rsidR="00A040B1" w:rsidRPr="0006003D">
        <w:rPr>
          <w:rFonts w:ascii="Times New Roman" w:eastAsia="Arial" w:hAnsi="Times New Roman" w:cs="Times New Roman"/>
          <w:sz w:val="20"/>
          <w:szCs w:val="20"/>
        </w:rPr>
        <w:t xml:space="preserve">Taken together, the results in this section </w:t>
      </w:r>
      <w:r w:rsidR="003B764C" w:rsidRPr="0006003D">
        <w:rPr>
          <w:rFonts w:ascii="Times New Roman" w:eastAsia="Arial" w:hAnsi="Times New Roman" w:cs="Times New Roman"/>
          <w:sz w:val="20"/>
          <w:szCs w:val="20"/>
        </w:rPr>
        <w:t xml:space="preserve">suggest </w:t>
      </w:r>
      <w:r w:rsidR="00A040B1" w:rsidRPr="0006003D">
        <w:rPr>
          <w:rFonts w:ascii="Times New Roman" w:eastAsia="Arial" w:hAnsi="Times New Roman" w:cs="Times New Roman"/>
          <w:sz w:val="20"/>
          <w:szCs w:val="20"/>
        </w:rPr>
        <w:t xml:space="preserve">that our divergence with </w:t>
      </w:r>
      <w:proofErr w:type="spellStart"/>
      <w:r w:rsidR="00A040B1" w:rsidRPr="0006003D">
        <w:rPr>
          <w:rFonts w:ascii="Times New Roman" w:eastAsia="Arial" w:hAnsi="Times New Roman" w:cs="Times New Roman"/>
          <w:sz w:val="20"/>
          <w:szCs w:val="20"/>
        </w:rPr>
        <w:t>Alquist</w:t>
      </w:r>
      <w:proofErr w:type="spellEnd"/>
      <w:r w:rsidR="00A040B1" w:rsidRPr="0006003D">
        <w:rPr>
          <w:rFonts w:ascii="Times New Roman" w:eastAsia="Arial" w:hAnsi="Times New Roman" w:cs="Times New Roman"/>
          <w:sz w:val="20"/>
          <w:szCs w:val="20"/>
        </w:rPr>
        <w:t xml:space="preserve"> stems from </w:t>
      </w:r>
      <w:r w:rsidR="00E42304" w:rsidRPr="0006003D">
        <w:rPr>
          <w:rFonts w:ascii="Times New Roman" w:eastAsia="Arial" w:hAnsi="Times New Roman" w:cs="Times New Roman"/>
          <w:sz w:val="20"/>
          <w:szCs w:val="20"/>
        </w:rPr>
        <w:t>different assumptions regarding market structures</w:t>
      </w:r>
      <w:r w:rsidR="00A040B1" w:rsidRPr="0006003D">
        <w:rPr>
          <w:rFonts w:ascii="Times New Roman" w:eastAsia="Arial" w:hAnsi="Times New Roman" w:cs="Times New Roman"/>
          <w:sz w:val="20"/>
          <w:szCs w:val="20"/>
        </w:rPr>
        <w:t xml:space="preserve">, </w:t>
      </w:r>
      <w:r w:rsidR="00E42304" w:rsidRPr="0006003D">
        <w:rPr>
          <w:rFonts w:ascii="Times New Roman" w:eastAsia="Arial" w:hAnsi="Times New Roman" w:cs="Times New Roman"/>
          <w:sz w:val="20"/>
          <w:szCs w:val="20"/>
        </w:rPr>
        <w:t>not from</w:t>
      </w:r>
      <w:r w:rsidR="00A040B1" w:rsidRPr="0006003D">
        <w:rPr>
          <w:rFonts w:ascii="Times New Roman" w:eastAsia="Arial" w:hAnsi="Times New Roman" w:cs="Times New Roman"/>
          <w:sz w:val="20"/>
          <w:szCs w:val="20"/>
        </w:rPr>
        <w:t xml:space="preserve"> different econometric methodology or data.</w:t>
      </w:r>
      <w:r w:rsidR="00E42304" w:rsidRPr="0006003D">
        <w:rPr>
          <w:rFonts w:ascii="Times New Roman" w:eastAsia="Arial" w:hAnsi="Times New Roman" w:cs="Times New Roman"/>
          <w:sz w:val="20"/>
          <w:szCs w:val="20"/>
        </w:rPr>
        <w:t xml:space="preserve"> We argue that the colonial and sovereign debt markets were </w:t>
      </w:r>
      <w:r w:rsidR="003B764C" w:rsidRPr="0006003D">
        <w:rPr>
          <w:rFonts w:ascii="Times New Roman" w:eastAsia="Arial" w:hAnsi="Times New Roman" w:cs="Times New Roman"/>
          <w:sz w:val="20"/>
          <w:szCs w:val="20"/>
        </w:rPr>
        <w:t>segmented</w:t>
      </w:r>
      <w:r w:rsidR="00E42304" w:rsidRPr="0006003D">
        <w:rPr>
          <w:rFonts w:ascii="Times New Roman" w:eastAsia="Arial" w:hAnsi="Times New Roman" w:cs="Times New Roman"/>
          <w:sz w:val="20"/>
          <w:szCs w:val="20"/>
        </w:rPr>
        <w:t>. This makes sense from historical evidence (different intermediaries and operation) and economic logic (different asymmetries of information). The previous statistical evidence also supports this view.</w:t>
      </w:r>
    </w:p>
    <w:p w14:paraId="0FED9F4D" w14:textId="77777777" w:rsidR="00B044A1" w:rsidRDefault="00B044A1" w:rsidP="0006003D">
      <w:pPr>
        <w:widowControl w:val="0"/>
        <w:ind w:firstLine="720"/>
        <w:jc w:val="both"/>
        <w:rPr>
          <w:rFonts w:ascii="Times New Roman" w:eastAsia="Arial" w:hAnsi="Times New Roman" w:cs="Times New Roman"/>
          <w:sz w:val="20"/>
          <w:szCs w:val="20"/>
        </w:rPr>
      </w:pPr>
    </w:p>
    <w:p w14:paraId="2A050BEA" w14:textId="09226DDA" w:rsidR="00B044A1" w:rsidRDefault="00B044A1" w:rsidP="00B044A1">
      <w:pPr>
        <w:widowControl w:val="0"/>
        <w:jc w:val="center"/>
        <w:rPr>
          <w:rFonts w:ascii="Times New Roman" w:eastAsia="Arial" w:hAnsi="Times New Roman" w:cs="Times New Roman"/>
          <w:sz w:val="20"/>
          <w:szCs w:val="20"/>
        </w:rPr>
      </w:pPr>
      <w:r>
        <w:rPr>
          <w:rFonts w:ascii="Times New Roman" w:eastAsia="Arial" w:hAnsi="Times New Roman" w:cs="Times New Roman"/>
          <w:sz w:val="20"/>
          <w:szCs w:val="20"/>
        </w:rPr>
        <w:t>REFERENCES</w:t>
      </w:r>
    </w:p>
    <w:p w14:paraId="37B8C6BA" w14:textId="77777777" w:rsidR="00F4098B" w:rsidRDefault="00F4098B" w:rsidP="00B044A1">
      <w:pPr>
        <w:widowControl w:val="0"/>
        <w:jc w:val="center"/>
        <w:rPr>
          <w:rFonts w:ascii="Times New Roman" w:eastAsia="Arial" w:hAnsi="Times New Roman" w:cs="Times New Roman"/>
          <w:sz w:val="20"/>
          <w:szCs w:val="20"/>
        </w:rPr>
      </w:pPr>
    </w:p>
    <w:p w14:paraId="7FD0CF8B" w14:textId="77777777" w:rsidR="00283E92" w:rsidRPr="00283E92" w:rsidRDefault="00283E92" w:rsidP="00283E92">
      <w:pPr>
        <w:ind w:left="630" w:hanging="630"/>
        <w:jc w:val="both"/>
        <w:rPr>
          <w:rFonts w:ascii="Times New Roman" w:hAnsi="Times New Roman" w:cs="Times New Roman"/>
          <w:sz w:val="20"/>
          <w:szCs w:val="20"/>
        </w:rPr>
      </w:pPr>
      <w:proofErr w:type="spellStart"/>
      <w:r w:rsidRPr="00283E92">
        <w:rPr>
          <w:rFonts w:ascii="Times New Roman" w:eastAsia="Arial" w:hAnsi="Times New Roman" w:cs="Times New Roman"/>
          <w:sz w:val="20"/>
          <w:szCs w:val="20"/>
        </w:rPr>
        <w:t>Accominotti</w:t>
      </w:r>
      <w:proofErr w:type="spellEnd"/>
      <w:r w:rsidRPr="00283E92">
        <w:rPr>
          <w:rFonts w:ascii="Times New Roman" w:eastAsia="Arial" w:hAnsi="Times New Roman" w:cs="Times New Roman"/>
          <w:sz w:val="20"/>
          <w:szCs w:val="20"/>
        </w:rPr>
        <w:t xml:space="preserve">, Olivier, Marc Flandreau, and </w:t>
      </w:r>
      <w:proofErr w:type="spellStart"/>
      <w:r w:rsidRPr="00283E92">
        <w:rPr>
          <w:rFonts w:ascii="Times New Roman" w:eastAsia="Arial" w:hAnsi="Times New Roman" w:cs="Times New Roman"/>
          <w:sz w:val="20"/>
          <w:szCs w:val="20"/>
        </w:rPr>
        <w:t>Riad</w:t>
      </w:r>
      <w:proofErr w:type="spellEnd"/>
      <w:r w:rsidRPr="00283E92">
        <w:rPr>
          <w:rFonts w:ascii="Times New Roman" w:eastAsia="Arial" w:hAnsi="Times New Roman" w:cs="Times New Roman"/>
          <w:sz w:val="20"/>
          <w:szCs w:val="20"/>
        </w:rPr>
        <w:t xml:space="preserve"> </w:t>
      </w:r>
      <w:proofErr w:type="spellStart"/>
      <w:r w:rsidRPr="00283E92">
        <w:rPr>
          <w:rFonts w:ascii="Times New Roman" w:eastAsia="Arial" w:hAnsi="Times New Roman" w:cs="Times New Roman"/>
          <w:sz w:val="20"/>
          <w:szCs w:val="20"/>
        </w:rPr>
        <w:t>Rezzik</w:t>
      </w:r>
      <w:proofErr w:type="spellEnd"/>
      <w:r w:rsidRPr="00283E92">
        <w:rPr>
          <w:rFonts w:ascii="Times New Roman" w:eastAsia="Arial" w:hAnsi="Times New Roman" w:cs="Times New Roman"/>
          <w:sz w:val="20"/>
          <w:szCs w:val="20"/>
        </w:rPr>
        <w:t xml:space="preserve">. “The Spread of Empire: Clio and the Measurement of Colonial Borrowing Costs.” </w:t>
      </w:r>
      <w:r w:rsidRPr="00283E92">
        <w:rPr>
          <w:rFonts w:ascii="Times New Roman" w:eastAsia="Arial" w:hAnsi="Times New Roman" w:cs="Times New Roman"/>
          <w:i/>
          <w:sz w:val="20"/>
          <w:szCs w:val="20"/>
        </w:rPr>
        <w:t xml:space="preserve">Economic History Review </w:t>
      </w:r>
      <w:r w:rsidRPr="00283E92">
        <w:rPr>
          <w:rFonts w:ascii="Times New Roman" w:eastAsia="Arial" w:hAnsi="Times New Roman" w:cs="Times New Roman"/>
          <w:sz w:val="20"/>
          <w:szCs w:val="20"/>
        </w:rPr>
        <w:t>64, no. 2 (2011): 385–407.</w:t>
      </w:r>
    </w:p>
    <w:p w14:paraId="4811E1DE" w14:textId="77777777" w:rsidR="005B1493" w:rsidRPr="005B1493" w:rsidRDefault="005B1493" w:rsidP="005B1493">
      <w:pPr>
        <w:ind w:left="630" w:hanging="630"/>
        <w:jc w:val="both"/>
        <w:rPr>
          <w:rFonts w:ascii="Times New Roman" w:eastAsia="Arial" w:hAnsi="Times New Roman" w:cs="Times New Roman"/>
          <w:sz w:val="20"/>
          <w:szCs w:val="20"/>
        </w:rPr>
      </w:pPr>
      <w:proofErr w:type="spellStart"/>
      <w:r w:rsidRPr="005B1493">
        <w:rPr>
          <w:rFonts w:ascii="Times New Roman" w:eastAsia="Arial" w:hAnsi="Times New Roman" w:cs="Times New Roman"/>
          <w:sz w:val="20"/>
          <w:szCs w:val="20"/>
        </w:rPr>
        <w:t>Alquist</w:t>
      </w:r>
      <w:proofErr w:type="spellEnd"/>
      <w:r w:rsidRPr="005B1493">
        <w:rPr>
          <w:rFonts w:ascii="Times New Roman" w:eastAsia="Arial" w:hAnsi="Times New Roman" w:cs="Times New Roman"/>
          <w:sz w:val="20"/>
          <w:szCs w:val="20"/>
        </w:rPr>
        <w:t xml:space="preserve">, Ron. “How Important Is Liquidity Risk for Sovereign Bond Risk </w:t>
      </w:r>
      <w:proofErr w:type="spellStart"/>
      <w:r w:rsidRPr="005B1493">
        <w:rPr>
          <w:rFonts w:ascii="Times New Roman" w:eastAsia="Arial" w:hAnsi="Times New Roman" w:cs="Times New Roman"/>
          <w:sz w:val="20"/>
          <w:szCs w:val="20"/>
        </w:rPr>
        <w:t>Premia</w:t>
      </w:r>
      <w:proofErr w:type="spellEnd"/>
      <w:r w:rsidRPr="005B1493">
        <w:rPr>
          <w:rFonts w:ascii="Times New Roman" w:eastAsia="Arial" w:hAnsi="Times New Roman" w:cs="Times New Roman"/>
          <w:sz w:val="20"/>
          <w:szCs w:val="20"/>
        </w:rPr>
        <w:t xml:space="preserve">? Evidence from the London Stock Exchange.” </w:t>
      </w:r>
      <w:r w:rsidRPr="005B1493">
        <w:rPr>
          <w:rFonts w:ascii="Times New Roman" w:eastAsia="Arial" w:hAnsi="Times New Roman" w:cs="Times New Roman"/>
          <w:i/>
          <w:sz w:val="20"/>
          <w:szCs w:val="20"/>
        </w:rPr>
        <w:t xml:space="preserve">Journal of International Economics </w:t>
      </w:r>
      <w:r w:rsidRPr="005B1493">
        <w:rPr>
          <w:rFonts w:ascii="Times New Roman" w:eastAsia="Arial" w:hAnsi="Times New Roman" w:cs="Times New Roman"/>
          <w:sz w:val="20"/>
          <w:szCs w:val="20"/>
        </w:rPr>
        <w:t>82, no. 2 (2010): 219–29.</w:t>
      </w:r>
    </w:p>
    <w:p w14:paraId="368CA594" w14:textId="77777777" w:rsidR="00B34160" w:rsidRPr="00B34160" w:rsidRDefault="00B34160" w:rsidP="00B34160">
      <w:pPr>
        <w:ind w:left="630" w:hanging="630"/>
        <w:jc w:val="both"/>
        <w:rPr>
          <w:rFonts w:ascii="Times New Roman" w:eastAsia="Arial" w:hAnsi="Times New Roman" w:cs="Times New Roman"/>
          <w:sz w:val="20"/>
          <w:szCs w:val="20"/>
        </w:rPr>
      </w:pPr>
      <w:r w:rsidRPr="00B34160">
        <w:rPr>
          <w:rFonts w:ascii="Times New Roman" w:eastAsia="Arial" w:hAnsi="Times New Roman" w:cs="Times New Roman"/>
          <w:i/>
          <w:sz w:val="20"/>
          <w:szCs w:val="20"/>
        </w:rPr>
        <w:t>Burdett's Official Intelligence,</w:t>
      </w:r>
      <w:r w:rsidRPr="00B34160">
        <w:rPr>
          <w:rFonts w:ascii="Times New Roman" w:eastAsia="Arial" w:hAnsi="Times New Roman" w:cs="Times New Roman"/>
          <w:sz w:val="20"/>
          <w:szCs w:val="20"/>
        </w:rPr>
        <w:t xml:space="preserve"> various issues.</w:t>
      </w:r>
    </w:p>
    <w:p w14:paraId="2BF33EAF" w14:textId="77777777" w:rsidR="00283E92" w:rsidRPr="002777E6" w:rsidRDefault="00283E92" w:rsidP="00283E92">
      <w:pPr>
        <w:ind w:left="630" w:hanging="630"/>
        <w:jc w:val="both"/>
        <w:rPr>
          <w:rFonts w:ascii="Times New Roman" w:eastAsia="Arial" w:hAnsi="Times New Roman" w:cs="Times New Roman"/>
          <w:sz w:val="20"/>
          <w:szCs w:val="20"/>
        </w:rPr>
      </w:pPr>
      <w:r w:rsidRPr="002777E6">
        <w:rPr>
          <w:rFonts w:ascii="Times New Roman" w:eastAsia="Arial" w:hAnsi="Times New Roman" w:cs="Times New Roman"/>
          <w:sz w:val="20"/>
          <w:szCs w:val="20"/>
        </w:rPr>
        <w:t xml:space="preserve">Flandreau, Marc, and Frederic </w:t>
      </w:r>
      <w:proofErr w:type="spellStart"/>
      <w:r w:rsidRPr="002777E6">
        <w:rPr>
          <w:rFonts w:ascii="Times New Roman" w:eastAsia="Arial" w:hAnsi="Times New Roman" w:cs="Times New Roman"/>
          <w:sz w:val="20"/>
          <w:szCs w:val="20"/>
        </w:rPr>
        <w:t>Zumer</w:t>
      </w:r>
      <w:proofErr w:type="spellEnd"/>
      <w:r w:rsidRPr="002777E6">
        <w:rPr>
          <w:rFonts w:ascii="Times New Roman" w:eastAsia="Arial" w:hAnsi="Times New Roman" w:cs="Times New Roman"/>
          <w:sz w:val="20"/>
          <w:szCs w:val="20"/>
        </w:rPr>
        <w:t xml:space="preserve">. </w:t>
      </w:r>
      <w:r w:rsidRPr="002777E6">
        <w:rPr>
          <w:rFonts w:ascii="Times New Roman" w:eastAsia="Arial" w:hAnsi="Times New Roman" w:cs="Times New Roman"/>
          <w:i/>
          <w:sz w:val="20"/>
          <w:szCs w:val="20"/>
        </w:rPr>
        <w:t>The Making of Global Finance 1880–1913</w:t>
      </w:r>
      <w:r w:rsidRPr="002777E6">
        <w:rPr>
          <w:rFonts w:ascii="Times New Roman" w:eastAsia="Arial" w:hAnsi="Times New Roman" w:cs="Times New Roman"/>
          <w:sz w:val="20"/>
          <w:szCs w:val="20"/>
        </w:rPr>
        <w:t>. Paris: OECD Publishing, 2004.</w:t>
      </w:r>
    </w:p>
    <w:p w14:paraId="5FE9195C" w14:textId="53CB6178" w:rsidR="009548F8" w:rsidRPr="002777E6" w:rsidRDefault="009548F8" w:rsidP="002777E6">
      <w:pPr>
        <w:ind w:left="630" w:hanging="630"/>
        <w:rPr>
          <w:rFonts w:ascii="Times New Roman" w:eastAsia="Times New Roman" w:hAnsi="Times New Roman" w:cs="Times New Roman"/>
          <w:color w:val="222222"/>
          <w:sz w:val="20"/>
          <w:szCs w:val="20"/>
          <w:lang w:val="en-GB" w:eastAsia="en-GB"/>
        </w:rPr>
      </w:pPr>
      <w:proofErr w:type="spellStart"/>
      <w:r w:rsidRPr="002777E6">
        <w:rPr>
          <w:rFonts w:ascii="Times New Roman" w:eastAsia="Times New Roman" w:hAnsi="Times New Roman" w:cs="Times New Roman"/>
          <w:color w:val="222222"/>
          <w:sz w:val="20"/>
          <w:szCs w:val="20"/>
          <w:lang w:val="en-GB" w:eastAsia="en-GB"/>
        </w:rPr>
        <w:t>Klovland</w:t>
      </w:r>
      <w:proofErr w:type="spellEnd"/>
      <w:r w:rsidRPr="002777E6">
        <w:rPr>
          <w:rFonts w:ascii="Times New Roman" w:eastAsia="Times New Roman" w:hAnsi="Times New Roman" w:cs="Times New Roman"/>
          <w:color w:val="222222"/>
          <w:sz w:val="20"/>
          <w:szCs w:val="20"/>
          <w:lang w:val="en-GB" w:eastAsia="en-GB"/>
        </w:rPr>
        <w:t xml:space="preserve">, Jan Tore. “Pitfalls in the Estimation of the Yield on British </w:t>
      </w:r>
      <w:proofErr w:type="spellStart"/>
      <w:r w:rsidRPr="002777E6">
        <w:rPr>
          <w:rFonts w:ascii="Times New Roman" w:eastAsia="Times New Roman" w:hAnsi="Times New Roman" w:cs="Times New Roman"/>
          <w:color w:val="222222"/>
          <w:sz w:val="20"/>
          <w:szCs w:val="20"/>
          <w:lang w:val="en-GB" w:eastAsia="en-GB"/>
        </w:rPr>
        <w:t>Consols</w:t>
      </w:r>
      <w:proofErr w:type="spellEnd"/>
      <w:r w:rsidRPr="002777E6">
        <w:rPr>
          <w:rFonts w:ascii="Times New Roman" w:eastAsia="Times New Roman" w:hAnsi="Times New Roman" w:cs="Times New Roman"/>
          <w:color w:val="222222"/>
          <w:sz w:val="20"/>
          <w:szCs w:val="20"/>
          <w:lang w:val="en-GB" w:eastAsia="en-GB"/>
        </w:rPr>
        <w:t xml:space="preserve">, 1850–1914.” </w:t>
      </w:r>
      <w:r w:rsidRPr="002777E6">
        <w:rPr>
          <w:rFonts w:ascii="Times New Roman" w:eastAsia="Times New Roman" w:hAnsi="Times New Roman" w:cs="Times New Roman"/>
          <w:i/>
          <w:iCs/>
          <w:color w:val="222222"/>
          <w:sz w:val="20"/>
          <w:szCs w:val="20"/>
          <w:lang w:val="en-GB" w:eastAsia="en-GB"/>
        </w:rPr>
        <w:t>The Journal of Economic History</w:t>
      </w:r>
      <w:r w:rsidRPr="002777E6">
        <w:rPr>
          <w:rFonts w:ascii="Times New Roman" w:eastAsia="Times New Roman" w:hAnsi="Times New Roman" w:cs="Times New Roman"/>
          <w:color w:val="222222"/>
          <w:sz w:val="20"/>
          <w:szCs w:val="20"/>
          <w:lang w:val="en-GB" w:eastAsia="en-GB"/>
        </w:rPr>
        <w:t xml:space="preserve"> 54, no. </w:t>
      </w:r>
      <w:r w:rsidR="002777E6">
        <w:rPr>
          <w:rFonts w:ascii="Times New Roman" w:eastAsia="Times New Roman" w:hAnsi="Times New Roman" w:cs="Times New Roman"/>
          <w:color w:val="222222"/>
          <w:sz w:val="20"/>
          <w:szCs w:val="20"/>
          <w:lang w:val="en-GB" w:eastAsia="en-GB"/>
        </w:rPr>
        <w:t>1 (1994): 164–</w:t>
      </w:r>
      <w:r w:rsidRPr="002777E6">
        <w:rPr>
          <w:rFonts w:ascii="Times New Roman" w:eastAsia="Times New Roman" w:hAnsi="Times New Roman" w:cs="Times New Roman"/>
          <w:color w:val="222222"/>
          <w:sz w:val="20"/>
          <w:szCs w:val="20"/>
          <w:lang w:val="en-GB" w:eastAsia="en-GB"/>
        </w:rPr>
        <w:t>87.</w:t>
      </w:r>
    </w:p>
    <w:p w14:paraId="655978C5" w14:textId="77777777" w:rsidR="00FD66E6" w:rsidRPr="002777E6" w:rsidRDefault="00FD66E6" w:rsidP="00FD66E6">
      <w:pPr>
        <w:ind w:left="630" w:hanging="630"/>
        <w:jc w:val="both"/>
        <w:rPr>
          <w:rFonts w:ascii="Times New Roman" w:eastAsia="Arial" w:hAnsi="Times New Roman" w:cs="Times New Roman"/>
          <w:sz w:val="20"/>
          <w:szCs w:val="20"/>
        </w:rPr>
      </w:pPr>
      <w:r w:rsidRPr="002777E6">
        <w:rPr>
          <w:rFonts w:ascii="Times New Roman" w:eastAsia="Arial" w:hAnsi="Times New Roman" w:cs="Times New Roman"/>
          <w:i/>
          <w:sz w:val="20"/>
          <w:szCs w:val="20"/>
        </w:rPr>
        <w:t>London Daily Stock and Share List</w:t>
      </w:r>
      <w:r w:rsidRPr="002777E6">
        <w:rPr>
          <w:rFonts w:ascii="Times New Roman" w:eastAsia="Arial" w:hAnsi="Times New Roman" w:cs="Times New Roman"/>
          <w:sz w:val="20"/>
          <w:szCs w:val="20"/>
        </w:rPr>
        <w:t xml:space="preserve">. London: </w:t>
      </w:r>
      <w:proofErr w:type="spellStart"/>
      <w:r w:rsidRPr="002777E6">
        <w:rPr>
          <w:rFonts w:ascii="Times New Roman" w:eastAsia="Arial" w:hAnsi="Times New Roman" w:cs="Times New Roman"/>
          <w:sz w:val="20"/>
          <w:szCs w:val="20"/>
        </w:rPr>
        <w:t>Couchman</w:t>
      </w:r>
      <w:proofErr w:type="spellEnd"/>
      <w:r w:rsidRPr="002777E6">
        <w:rPr>
          <w:rFonts w:ascii="Times New Roman" w:eastAsia="Arial" w:hAnsi="Times New Roman" w:cs="Times New Roman"/>
          <w:sz w:val="20"/>
          <w:szCs w:val="20"/>
        </w:rPr>
        <w:t>, 1872–1899.</w:t>
      </w:r>
    </w:p>
    <w:p w14:paraId="347AFBAD" w14:textId="77777777" w:rsidR="00FD66E6" w:rsidRPr="002777E6" w:rsidRDefault="00FD66E6" w:rsidP="00FD66E6">
      <w:pPr>
        <w:ind w:left="630" w:hanging="630"/>
        <w:jc w:val="both"/>
        <w:rPr>
          <w:rFonts w:ascii="Times New Roman" w:hAnsi="Times New Roman" w:cs="Times New Roman"/>
          <w:sz w:val="20"/>
          <w:szCs w:val="20"/>
        </w:rPr>
      </w:pPr>
      <w:r w:rsidRPr="002777E6">
        <w:rPr>
          <w:rFonts w:ascii="Times New Roman" w:eastAsia="Arial" w:hAnsi="Times New Roman" w:cs="Times New Roman"/>
          <w:i/>
          <w:sz w:val="20"/>
          <w:szCs w:val="20"/>
        </w:rPr>
        <w:t>London Stock Exchange Daily Official List</w:t>
      </w:r>
      <w:r w:rsidRPr="002777E6">
        <w:rPr>
          <w:rFonts w:ascii="Times New Roman" w:eastAsia="Arial" w:hAnsi="Times New Roman" w:cs="Times New Roman"/>
          <w:sz w:val="20"/>
          <w:szCs w:val="20"/>
        </w:rPr>
        <w:t xml:space="preserve">. London: </w:t>
      </w:r>
      <w:proofErr w:type="spellStart"/>
      <w:r w:rsidRPr="002777E6">
        <w:rPr>
          <w:rFonts w:ascii="Times New Roman" w:eastAsia="Arial" w:hAnsi="Times New Roman" w:cs="Times New Roman"/>
          <w:sz w:val="20"/>
          <w:szCs w:val="20"/>
        </w:rPr>
        <w:t>Couchman</w:t>
      </w:r>
      <w:proofErr w:type="spellEnd"/>
      <w:r w:rsidRPr="002777E6">
        <w:rPr>
          <w:rFonts w:ascii="Times New Roman" w:eastAsia="Arial" w:hAnsi="Times New Roman" w:cs="Times New Roman"/>
          <w:sz w:val="20"/>
          <w:szCs w:val="20"/>
        </w:rPr>
        <w:t>, 1899–1910.</w:t>
      </w:r>
    </w:p>
    <w:p w14:paraId="71A863B5" w14:textId="2CCB286A" w:rsidR="009548F8" w:rsidRPr="002777E6" w:rsidRDefault="009548F8" w:rsidP="002777E6">
      <w:pPr>
        <w:ind w:left="630" w:hanging="630"/>
        <w:rPr>
          <w:rFonts w:ascii="Times New Roman" w:eastAsia="Times New Roman" w:hAnsi="Times New Roman" w:cs="Times New Roman"/>
          <w:color w:val="222222"/>
          <w:sz w:val="20"/>
          <w:szCs w:val="20"/>
          <w:lang w:val="en-GB" w:eastAsia="en-GB"/>
        </w:rPr>
      </w:pPr>
      <w:proofErr w:type="spellStart"/>
      <w:r w:rsidRPr="002777E6">
        <w:rPr>
          <w:rFonts w:ascii="Times New Roman" w:eastAsia="Times New Roman" w:hAnsi="Times New Roman" w:cs="Times New Roman"/>
          <w:color w:val="222222"/>
          <w:sz w:val="20"/>
          <w:szCs w:val="20"/>
          <w:lang w:val="en-GB" w:eastAsia="en-GB"/>
        </w:rPr>
        <w:t>Michie</w:t>
      </w:r>
      <w:proofErr w:type="spellEnd"/>
      <w:r w:rsidRPr="002777E6">
        <w:rPr>
          <w:rFonts w:ascii="Times New Roman" w:eastAsia="Times New Roman" w:hAnsi="Times New Roman" w:cs="Times New Roman"/>
          <w:color w:val="222222"/>
          <w:sz w:val="20"/>
          <w:szCs w:val="20"/>
          <w:lang w:val="en-GB" w:eastAsia="en-GB"/>
        </w:rPr>
        <w:t xml:space="preserve">, Ranald C. </w:t>
      </w:r>
      <w:r w:rsidRPr="002777E6">
        <w:rPr>
          <w:rFonts w:ascii="Times New Roman" w:eastAsia="Times New Roman" w:hAnsi="Times New Roman" w:cs="Times New Roman"/>
          <w:i/>
          <w:iCs/>
          <w:color w:val="222222"/>
          <w:sz w:val="20"/>
          <w:szCs w:val="20"/>
          <w:lang w:val="en-GB" w:eastAsia="en-GB"/>
        </w:rPr>
        <w:t xml:space="preserve">The London </w:t>
      </w:r>
      <w:r w:rsidR="002777E6">
        <w:rPr>
          <w:rFonts w:ascii="Times New Roman" w:eastAsia="Times New Roman" w:hAnsi="Times New Roman" w:cs="Times New Roman"/>
          <w:i/>
          <w:iCs/>
          <w:color w:val="222222"/>
          <w:sz w:val="20"/>
          <w:szCs w:val="20"/>
          <w:lang w:val="en-GB" w:eastAsia="en-GB"/>
        </w:rPr>
        <w:t>S</w:t>
      </w:r>
      <w:r w:rsidRPr="002777E6">
        <w:rPr>
          <w:rFonts w:ascii="Times New Roman" w:eastAsia="Times New Roman" w:hAnsi="Times New Roman" w:cs="Times New Roman"/>
          <w:i/>
          <w:iCs/>
          <w:color w:val="222222"/>
          <w:sz w:val="20"/>
          <w:szCs w:val="20"/>
          <w:lang w:val="en-GB" w:eastAsia="en-GB"/>
        </w:rPr>
        <w:t xml:space="preserve">tock </w:t>
      </w:r>
      <w:r w:rsidR="002777E6">
        <w:rPr>
          <w:rFonts w:ascii="Times New Roman" w:eastAsia="Times New Roman" w:hAnsi="Times New Roman" w:cs="Times New Roman"/>
          <w:i/>
          <w:iCs/>
          <w:color w:val="222222"/>
          <w:sz w:val="20"/>
          <w:szCs w:val="20"/>
          <w:lang w:val="en-GB" w:eastAsia="en-GB"/>
        </w:rPr>
        <w:t>E</w:t>
      </w:r>
      <w:r w:rsidRPr="002777E6">
        <w:rPr>
          <w:rFonts w:ascii="Times New Roman" w:eastAsia="Times New Roman" w:hAnsi="Times New Roman" w:cs="Times New Roman"/>
          <w:i/>
          <w:iCs/>
          <w:color w:val="222222"/>
          <w:sz w:val="20"/>
          <w:szCs w:val="20"/>
          <w:lang w:val="en-GB" w:eastAsia="en-GB"/>
        </w:rPr>
        <w:t xml:space="preserve">xchange: A </w:t>
      </w:r>
      <w:r w:rsidR="002777E6">
        <w:rPr>
          <w:rFonts w:ascii="Times New Roman" w:eastAsia="Times New Roman" w:hAnsi="Times New Roman" w:cs="Times New Roman"/>
          <w:i/>
          <w:iCs/>
          <w:color w:val="222222"/>
          <w:sz w:val="20"/>
          <w:szCs w:val="20"/>
          <w:lang w:val="en-GB" w:eastAsia="en-GB"/>
        </w:rPr>
        <w:t>H</w:t>
      </w:r>
      <w:r w:rsidRPr="002777E6">
        <w:rPr>
          <w:rFonts w:ascii="Times New Roman" w:eastAsia="Times New Roman" w:hAnsi="Times New Roman" w:cs="Times New Roman"/>
          <w:i/>
          <w:iCs/>
          <w:color w:val="222222"/>
          <w:sz w:val="20"/>
          <w:szCs w:val="20"/>
          <w:lang w:val="en-GB" w:eastAsia="en-GB"/>
        </w:rPr>
        <w:t>istory</w:t>
      </w:r>
      <w:r w:rsidRPr="002777E6">
        <w:rPr>
          <w:rFonts w:ascii="Times New Roman" w:eastAsia="Times New Roman" w:hAnsi="Times New Roman" w:cs="Times New Roman"/>
          <w:color w:val="222222"/>
          <w:sz w:val="20"/>
          <w:szCs w:val="20"/>
          <w:lang w:val="en-GB" w:eastAsia="en-GB"/>
        </w:rPr>
        <w:t xml:space="preserve">. </w:t>
      </w:r>
      <w:r w:rsidR="002777E6" w:rsidRPr="002777E6">
        <w:rPr>
          <w:rFonts w:ascii="Times New Roman" w:eastAsia="Times New Roman" w:hAnsi="Times New Roman" w:cs="Times New Roman"/>
          <w:color w:val="222222"/>
          <w:sz w:val="20"/>
          <w:szCs w:val="20"/>
          <w:lang w:val="en-GB" w:eastAsia="en-GB"/>
        </w:rPr>
        <w:t>Oxford</w:t>
      </w:r>
      <w:r w:rsidR="002777E6">
        <w:rPr>
          <w:rFonts w:ascii="Times New Roman" w:eastAsia="Times New Roman" w:hAnsi="Times New Roman" w:cs="Times New Roman"/>
          <w:color w:val="222222"/>
          <w:sz w:val="20"/>
          <w:szCs w:val="20"/>
          <w:lang w:val="en-GB" w:eastAsia="en-GB"/>
        </w:rPr>
        <w:t xml:space="preserve">: </w:t>
      </w:r>
      <w:r w:rsidRPr="002777E6">
        <w:rPr>
          <w:rFonts w:ascii="Times New Roman" w:eastAsia="Times New Roman" w:hAnsi="Times New Roman" w:cs="Times New Roman"/>
          <w:color w:val="222222"/>
          <w:sz w:val="20"/>
          <w:szCs w:val="20"/>
          <w:lang w:val="en-GB" w:eastAsia="en-GB"/>
        </w:rPr>
        <w:t>O</w:t>
      </w:r>
      <w:r w:rsidR="002777E6">
        <w:rPr>
          <w:rFonts w:ascii="Times New Roman" w:eastAsia="Times New Roman" w:hAnsi="Times New Roman" w:cs="Times New Roman"/>
          <w:color w:val="222222"/>
          <w:sz w:val="20"/>
          <w:szCs w:val="20"/>
          <w:lang w:val="en-GB" w:eastAsia="en-GB"/>
        </w:rPr>
        <w:t xml:space="preserve">xford </w:t>
      </w:r>
      <w:r w:rsidRPr="002777E6">
        <w:rPr>
          <w:rFonts w:ascii="Times New Roman" w:eastAsia="Times New Roman" w:hAnsi="Times New Roman" w:cs="Times New Roman"/>
          <w:color w:val="222222"/>
          <w:sz w:val="20"/>
          <w:szCs w:val="20"/>
          <w:lang w:val="en-GB" w:eastAsia="en-GB"/>
        </w:rPr>
        <w:t>U</w:t>
      </w:r>
      <w:r w:rsidR="002777E6">
        <w:rPr>
          <w:rFonts w:ascii="Times New Roman" w:eastAsia="Times New Roman" w:hAnsi="Times New Roman" w:cs="Times New Roman"/>
          <w:color w:val="222222"/>
          <w:sz w:val="20"/>
          <w:szCs w:val="20"/>
          <w:lang w:val="en-GB" w:eastAsia="en-GB"/>
        </w:rPr>
        <w:t xml:space="preserve">niversity </w:t>
      </w:r>
      <w:r w:rsidRPr="002777E6">
        <w:rPr>
          <w:rFonts w:ascii="Times New Roman" w:eastAsia="Times New Roman" w:hAnsi="Times New Roman" w:cs="Times New Roman"/>
          <w:color w:val="222222"/>
          <w:sz w:val="20"/>
          <w:szCs w:val="20"/>
          <w:lang w:val="en-GB" w:eastAsia="en-GB"/>
        </w:rPr>
        <w:t>P</w:t>
      </w:r>
      <w:r w:rsidR="002777E6">
        <w:rPr>
          <w:rFonts w:ascii="Times New Roman" w:eastAsia="Times New Roman" w:hAnsi="Times New Roman" w:cs="Times New Roman"/>
          <w:color w:val="222222"/>
          <w:sz w:val="20"/>
          <w:szCs w:val="20"/>
          <w:lang w:val="en-GB" w:eastAsia="en-GB"/>
        </w:rPr>
        <w:t>ress</w:t>
      </w:r>
      <w:r w:rsidRPr="002777E6">
        <w:rPr>
          <w:rFonts w:ascii="Times New Roman" w:eastAsia="Times New Roman" w:hAnsi="Times New Roman" w:cs="Times New Roman"/>
          <w:color w:val="222222"/>
          <w:sz w:val="20"/>
          <w:szCs w:val="20"/>
          <w:lang w:val="en-GB" w:eastAsia="en-GB"/>
        </w:rPr>
        <w:t>, 1999.</w:t>
      </w:r>
    </w:p>
    <w:p w14:paraId="45866BA1" w14:textId="2AB0E6C8" w:rsidR="00010772" w:rsidRPr="0006003D" w:rsidRDefault="00010772" w:rsidP="00B044A1">
      <w:pPr>
        <w:widowControl w:val="0"/>
        <w:jc w:val="both"/>
        <w:rPr>
          <w:rFonts w:ascii="Times New Roman" w:eastAsia="Arial" w:hAnsi="Times New Roman" w:cs="Times New Roman"/>
          <w:sz w:val="20"/>
          <w:szCs w:val="20"/>
        </w:rPr>
      </w:pPr>
    </w:p>
    <w:p w14:paraId="7FC33041" w14:textId="67AB9803" w:rsidR="003B3A50" w:rsidRPr="0006003D" w:rsidRDefault="003B3A50" w:rsidP="0006003D">
      <w:pPr>
        <w:ind w:right="68"/>
        <w:rPr>
          <w:rFonts w:ascii="Times New Roman" w:hAnsi="Times New Roman" w:cs="Times New Roman"/>
          <w:sz w:val="20"/>
          <w:szCs w:val="20"/>
        </w:rPr>
        <w:sectPr w:rsidR="003B3A50" w:rsidRPr="0006003D" w:rsidSect="0006003D">
          <w:footerReference w:type="default" r:id="rId13"/>
          <w:pgSz w:w="12240" w:h="15840"/>
          <w:pgMar w:top="1786" w:right="2635" w:bottom="1555" w:left="2635" w:header="1786" w:footer="1195" w:gutter="0"/>
          <w:cols w:space="720"/>
          <w:docGrid w:linePitch="326"/>
        </w:sectPr>
      </w:pPr>
      <w:r w:rsidRPr="0006003D">
        <w:rPr>
          <w:rFonts w:ascii="Times New Roman" w:eastAsia="Arial" w:hAnsi="Times New Roman" w:cs="Times New Roman"/>
          <w:spacing w:val="-29"/>
          <w:position w:val="7"/>
          <w:sz w:val="20"/>
          <w:szCs w:val="20"/>
        </w:rPr>
        <w:t xml:space="preserve"> </w:t>
      </w:r>
    </w:p>
    <w:p w14:paraId="3D904E35" w14:textId="61B0C8D4" w:rsidR="00E15901" w:rsidRPr="00E15901" w:rsidRDefault="00E15901" w:rsidP="00E15901">
      <w:pPr>
        <w:widowControl w:val="0"/>
        <w:ind w:left="100" w:right="62"/>
        <w:jc w:val="center"/>
        <w:rPr>
          <w:rFonts w:ascii="Times New Roman" w:eastAsia="Arial" w:hAnsi="Times New Roman" w:cs="Times New Roman"/>
          <w:smallCaps/>
          <w:spacing w:val="-5"/>
          <w:sz w:val="20"/>
          <w:szCs w:val="20"/>
        </w:rPr>
      </w:pPr>
      <w:r w:rsidRPr="00E15901">
        <w:rPr>
          <w:rFonts w:ascii="Times New Roman" w:eastAsia="Arial" w:hAnsi="Times New Roman" w:cs="Times New Roman"/>
          <w:smallCaps/>
          <w:spacing w:val="-5"/>
          <w:sz w:val="20"/>
          <w:szCs w:val="20"/>
        </w:rPr>
        <w:lastRenderedPageBreak/>
        <w:t>Table A.1</w:t>
      </w:r>
    </w:p>
    <w:p w14:paraId="2BF20FC4" w14:textId="0EAFD328" w:rsidR="003B3A50" w:rsidRPr="0006003D" w:rsidRDefault="003B3A50" w:rsidP="00E15901">
      <w:pPr>
        <w:widowControl w:val="0"/>
        <w:ind w:left="100" w:right="62"/>
        <w:jc w:val="center"/>
        <w:rPr>
          <w:rFonts w:ascii="Times New Roman" w:eastAsia="Arial" w:hAnsi="Times New Roman" w:cs="Times New Roman"/>
          <w:spacing w:val="-5"/>
          <w:sz w:val="20"/>
          <w:szCs w:val="20"/>
        </w:rPr>
      </w:pPr>
      <w:r w:rsidRPr="0006003D">
        <w:rPr>
          <w:rFonts w:ascii="Times New Roman" w:eastAsia="Arial" w:hAnsi="Times New Roman" w:cs="Times New Roman"/>
          <w:spacing w:val="-5"/>
          <w:sz w:val="20"/>
          <w:szCs w:val="20"/>
        </w:rPr>
        <w:t>COLONIAL RETURNS 1872</w:t>
      </w:r>
      <w:r w:rsidR="00E15901">
        <w:rPr>
          <w:rFonts w:ascii="Times New Roman" w:eastAsia="Arial" w:hAnsi="Times New Roman" w:cs="Times New Roman"/>
          <w:spacing w:val="-5"/>
          <w:sz w:val="20"/>
          <w:szCs w:val="20"/>
        </w:rPr>
        <w:t>–</w:t>
      </w:r>
      <w:r w:rsidRPr="0006003D">
        <w:rPr>
          <w:rFonts w:ascii="Times New Roman" w:eastAsia="Arial" w:hAnsi="Times New Roman" w:cs="Times New Roman"/>
          <w:spacing w:val="-5"/>
          <w:sz w:val="20"/>
          <w:szCs w:val="20"/>
        </w:rPr>
        <w:t>1909; BID-ASK-SORTED PORTFOLIOS</w:t>
      </w:r>
    </w:p>
    <w:p w14:paraId="5E7BAE5A" w14:textId="77777777" w:rsidR="00EE394B" w:rsidRPr="0006003D" w:rsidRDefault="00EE394B" w:rsidP="0006003D">
      <w:pPr>
        <w:widowControl w:val="0"/>
        <w:ind w:left="100" w:right="62"/>
        <w:rPr>
          <w:rFonts w:ascii="Times New Roman" w:eastAsia="Arial" w:hAnsi="Times New Roman" w:cs="Times New Roman"/>
          <w:spacing w:val="-5"/>
          <w:sz w:val="20"/>
          <w:szCs w:val="20"/>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85"/>
        <w:gridCol w:w="973"/>
        <w:gridCol w:w="1005"/>
        <w:gridCol w:w="1006"/>
        <w:gridCol w:w="1004"/>
        <w:gridCol w:w="1009"/>
        <w:gridCol w:w="1004"/>
      </w:tblGrid>
      <w:tr w:rsidR="007215E7" w:rsidRPr="0006003D" w14:paraId="7A117B98" w14:textId="77777777" w:rsidTr="002227B1">
        <w:tc>
          <w:tcPr>
            <w:tcW w:w="1085" w:type="dxa"/>
            <w:tcBorders>
              <w:top w:val="double" w:sz="4" w:space="0" w:color="auto"/>
              <w:bottom w:val="single" w:sz="4" w:space="0" w:color="auto"/>
            </w:tcBorders>
          </w:tcPr>
          <w:p w14:paraId="0C13A54F" w14:textId="77777777" w:rsidR="00EE394B" w:rsidRPr="00E15901" w:rsidRDefault="00EE394B" w:rsidP="0006003D">
            <w:pPr>
              <w:pStyle w:val="FootnoteText"/>
              <w:rPr>
                <w:rFonts w:ascii="Times New Roman" w:eastAsia="Arial" w:hAnsi="Times New Roman" w:cs="Times New Roman"/>
                <w:sz w:val="18"/>
                <w:szCs w:val="18"/>
              </w:rPr>
            </w:pPr>
          </w:p>
        </w:tc>
        <w:tc>
          <w:tcPr>
            <w:tcW w:w="973" w:type="dxa"/>
            <w:tcBorders>
              <w:top w:val="double" w:sz="4" w:space="0" w:color="auto"/>
              <w:bottom w:val="single" w:sz="4" w:space="0" w:color="auto"/>
            </w:tcBorders>
          </w:tcPr>
          <w:p w14:paraId="68B988BC" w14:textId="150E415B"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(1)</w:t>
            </w:r>
          </w:p>
        </w:tc>
        <w:tc>
          <w:tcPr>
            <w:tcW w:w="1005" w:type="dxa"/>
            <w:tcBorders>
              <w:top w:val="double" w:sz="4" w:space="0" w:color="auto"/>
              <w:bottom w:val="single" w:sz="4" w:space="0" w:color="auto"/>
            </w:tcBorders>
          </w:tcPr>
          <w:p w14:paraId="30BF879D" w14:textId="5EEDFEB2"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(2)</w:t>
            </w:r>
          </w:p>
        </w:tc>
        <w:tc>
          <w:tcPr>
            <w:tcW w:w="1006" w:type="dxa"/>
            <w:tcBorders>
              <w:top w:val="double" w:sz="4" w:space="0" w:color="auto"/>
              <w:bottom w:val="single" w:sz="4" w:space="0" w:color="auto"/>
            </w:tcBorders>
          </w:tcPr>
          <w:p w14:paraId="3EC25A6B" w14:textId="6B50ED2B"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(3)</w:t>
            </w:r>
          </w:p>
        </w:tc>
        <w:tc>
          <w:tcPr>
            <w:tcW w:w="1004" w:type="dxa"/>
            <w:tcBorders>
              <w:top w:val="double" w:sz="4" w:space="0" w:color="auto"/>
              <w:bottom w:val="single" w:sz="4" w:space="0" w:color="auto"/>
            </w:tcBorders>
          </w:tcPr>
          <w:p w14:paraId="4113802E" w14:textId="1AA78A27"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(4)</w:t>
            </w:r>
          </w:p>
        </w:tc>
        <w:tc>
          <w:tcPr>
            <w:tcW w:w="1009" w:type="dxa"/>
            <w:tcBorders>
              <w:top w:val="double" w:sz="4" w:space="0" w:color="auto"/>
              <w:bottom w:val="single" w:sz="4" w:space="0" w:color="auto"/>
            </w:tcBorders>
          </w:tcPr>
          <w:p w14:paraId="24293F3A" w14:textId="286BB3A4"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(5)</w:t>
            </w:r>
          </w:p>
        </w:tc>
        <w:tc>
          <w:tcPr>
            <w:tcW w:w="1004" w:type="dxa"/>
            <w:tcBorders>
              <w:top w:val="double" w:sz="4" w:space="0" w:color="auto"/>
              <w:bottom w:val="single" w:sz="4" w:space="0" w:color="auto"/>
            </w:tcBorders>
          </w:tcPr>
          <w:p w14:paraId="5D6B57BB" w14:textId="46D75A44"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(6)</w:t>
            </w:r>
          </w:p>
        </w:tc>
      </w:tr>
      <w:tr w:rsidR="007215E7" w:rsidRPr="0006003D" w14:paraId="25D4FB15" w14:textId="77777777" w:rsidTr="002227B1">
        <w:tc>
          <w:tcPr>
            <w:tcW w:w="1085" w:type="dxa"/>
            <w:tcBorders>
              <w:top w:val="single" w:sz="4" w:space="0" w:color="auto"/>
              <w:bottom w:val="single" w:sz="4" w:space="0" w:color="auto"/>
            </w:tcBorders>
          </w:tcPr>
          <w:p w14:paraId="0BBF6E2F" w14:textId="25E0EADD" w:rsidR="00EE394B" w:rsidRPr="00E15901" w:rsidRDefault="007215E7" w:rsidP="0006003D">
            <w:pPr>
              <w:pStyle w:val="FootnoteText"/>
              <w:rPr>
                <w:rFonts w:ascii="Times New Roman" w:eastAsia="Arial" w:hAnsi="Times New Roman" w:cs="Times New Roman"/>
                <w:sz w:val="18"/>
                <w:szCs w:val="18"/>
              </w:rPr>
            </w:pPr>
            <w:r w:rsidRPr="00E15901">
              <w:rPr>
                <w:rFonts w:ascii="Times New Roman" w:eastAsia="Arial" w:hAnsi="Times New Roman" w:cs="Times New Roman"/>
                <w:sz w:val="18"/>
                <w:szCs w:val="18"/>
              </w:rPr>
              <w:t>Portfolio:</w:t>
            </w:r>
          </w:p>
        </w:tc>
        <w:tc>
          <w:tcPr>
            <w:tcW w:w="973" w:type="dxa"/>
            <w:tcBorders>
              <w:top w:val="single" w:sz="4" w:space="0" w:color="auto"/>
              <w:bottom w:val="single" w:sz="4" w:space="0" w:color="auto"/>
            </w:tcBorders>
          </w:tcPr>
          <w:p w14:paraId="49F2AD35" w14:textId="73A4F300"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Illiquid</w:t>
            </w:r>
          </w:p>
        </w:tc>
        <w:tc>
          <w:tcPr>
            <w:tcW w:w="1005" w:type="dxa"/>
            <w:tcBorders>
              <w:top w:val="single" w:sz="4" w:space="0" w:color="auto"/>
              <w:bottom w:val="single" w:sz="4" w:space="0" w:color="auto"/>
            </w:tcBorders>
          </w:tcPr>
          <w:p w14:paraId="7DEBA391" w14:textId="22C8980C"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2</w:t>
            </w:r>
          </w:p>
        </w:tc>
        <w:tc>
          <w:tcPr>
            <w:tcW w:w="1006" w:type="dxa"/>
            <w:tcBorders>
              <w:top w:val="single" w:sz="4" w:space="0" w:color="auto"/>
              <w:bottom w:val="single" w:sz="4" w:space="0" w:color="auto"/>
            </w:tcBorders>
          </w:tcPr>
          <w:p w14:paraId="53EEDF4C" w14:textId="047DC2EE"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3</w:t>
            </w:r>
          </w:p>
        </w:tc>
        <w:tc>
          <w:tcPr>
            <w:tcW w:w="1004" w:type="dxa"/>
            <w:tcBorders>
              <w:top w:val="single" w:sz="4" w:space="0" w:color="auto"/>
              <w:bottom w:val="single" w:sz="4" w:space="0" w:color="auto"/>
            </w:tcBorders>
          </w:tcPr>
          <w:p w14:paraId="0DF93690" w14:textId="67ABCB46"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4</w:t>
            </w:r>
          </w:p>
        </w:tc>
        <w:tc>
          <w:tcPr>
            <w:tcW w:w="1009" w:type="dxa"/>
            <w:tcBorders>
              <w:top w:val="single" w:sz="4" w:space="0" w:color="auto"/>
              <w:bottom w:val="single" w:sz="4" w:space="0" w:color="auto"/>
            </w:tcBorders>
          </w:tcPr>
          <w:p w14:paraId="2CAEDE86" w14:textId="44A219B7"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Liquid</w:t>
            </w:r>
          </w:p>
        </w:tc>
        <w:tc>
          <w:tcPr>
            <w:tcW w:w="1004" w:type="dxa"/>
            <w:tcBorders>
              <w:top w:val="single" w:sz="4" w:space="0" w:color="auto"/>
              <w:bottom w:val="single" w:sz="4" w:space="0" w:color="auto"/>
            </w:tcBorders>
          </w:tcPr>
          <w:p w14:paraId="4B9B7499" w14:textId="7D476DF8" w:rsidR="00EE394B" w:rsidRPr="00E15901" w:rsidRDefault="00EE394B" w:rsidP="0006003D">
            <w:pPr>
              <w:pStyle w:val="FootnoteText"/>
              <w:jc w:val="center"/>
              <w:rPr>
                <w:rFonts w:ascii="Times New Roman" w:eastAsia="Arial" w:hAnsi="Times New Roman" w:cs="Times New Roman"/>
                <w:sz w:val="18"/>
                <w:szCs w:val="18"/>
              </w:rPr>
            </w:pPr>
            <w:r w:rsidRPr="00E15901">
              <w:rPr>
                <w:rFonts w:ascii="Times New Roman" w:eastAsia="Arial" w:hAnsi="Times New Roman" w:cs="Times New Roman"/>
                <w:sz w:val="18"/>
                <w:szCs w:val="18"/>
              </w:rPr>
              <w:t>IM</w:t>
            </w:r>
            <w:r w:rsidR="00985551">
              <w:rPr>
                <w:rFonts w:ascii="Times New Roman" w:eastAsia="Arial" w:hAnsi="Times New Roman" w:cs="Times New Roman"/>
                <w:sz w:val="18"/>
                <w:szCs w:val="18"/>
              </w:rPr>
              <w:t>L</w:t>
            </w:r>
          </w:p>
        </w:tc>
      </w:tr>
      <w:tr w:rsidR="007215E7" w:rsidRPr="0006003D" w14:paraId="40C614E8" w14:textId="77777777" w:rsidTr="002227B1">
        <w:tc>
          <w:tcPr>
            <w:tcW w:w="1085" w:type="dxa"/>
            <w:vMerge w:val="restart"/>
            <w:tcBorders>
              <w:top w:val="single" w:sz="4" w:space="0" w:color="auto"/>
            </w:tcBorders>
          </w:tcPr>
          <w:p w14:paraId="76B124E0" w14:textId="1A0B44A8" w:rsidR="007215E7" w:rsidRPr="00E15901" w:rsidRDefault="007215E7" w:rsidP="0006003D">
            <w:pPr>
              <w:pStyle w:val="FootnoteText"/>
              <w:rPr>
                <w:rFonts w:ascii="Times New Roman" w:eastAsia="Arial" w:hAnsi="Times New Roman" w:cs="Times New Roman"/>
                <w:sz w:val="18"/>
                <w:szCs w:val="18"/>
              </w:rPr>
            </w:pPr>
            <w:r w:rsidRPr="00E15901">
              <w:rPr>
                <w:rFonts w:ascii="Times New Roman" w:eastAsia="Arial" w:hAnsi="Times New Roman" w:cs="Times New Roman"/>
                <w:sz w:val="18"/>
                <w:szCs w:val="18"/>
              </w:rPr>
              <w:t>Liquidity (Colonial)</w:t>
            </w:r>
          </w:p>
        </w:tc>
        <w:tc>
          <w:tcPr>
            <w:tcW w:w="973" w:type="dxa"/>
            <w:tcBorders>
              <w:top w:val="single" w:sz="4" w:space="0" w:color="auto"/>
            </w:tcBorders>
          </w:tcPr>
          <w:p w14:paraId="04E093D3" w14:textId="669F6D99"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0.001***</w:t>
            </w:r>
          </w:p>
        </w:tc>
        <w:tc>
          <w:tcPr>
            <w:tcW w:w="1005" w:type="dxa"/>
            <w:tcBorders>
              <w:top w:val="single" w:sz="4" w:space="0" w:color="auto"/>
            </w:tcBorders>
          </w:tcPr>
          <w:p w14:paraId="3693AF3D" w14:textId="2C8DE8B5"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0.001***</w:t>
            </w:r>
          </w:p>
        </w:tc>
        <w:tc>
          <w:tcPr>
            <w:tcW w:w="1006" w:type="dxa"/>
            <w:tcBorders>
              <w:top w:val="single" w:sz="4" w:space="0" w:color="auto"/>
            </w:tcBorders>
          </w:tcPr>
          <w:p w14:paraId="5AB689BB" w14:textId="1B39F752"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0.001***</w:t>
            </w:r>
          </w:p>
        </w:tc>
        <w:tc>
          <w:tcPr>
            <w:tcW w:w="1004" w:type="dxa"/>
            <w:tcBorders>
              <w:top w:val="single" w:sz="4" w:space="0" w:color="auto"/>
            </w:tcBorders>
          </w:tcPr>
          <w:p w14:paraId="27CEAB38" w14:textId="1EAACDF6"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 xml:space="preserve">0.001**  </w:t>
            </w:r>
          </w:p>
        </w:tc>
        <w:tc>
          <w:tcPr>
            <w:tcW w:w="1009" w:type="dxa"/>
            <w:tcBorders>
              <w:top w:val="single" w:sz="4" w:space="0" w:color="auto"/>
            </w:tcBorders>
          </w:tcPr>
          <w:p w14:paraId="3E8B467B" w14:textId="7066930C"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0.002***</w:t>
            </w:r>
          </w:p>
        </w:tc>
        <w:tc>
          <w:tcPr>
            <w:tcW w:w="1004" w:type="dxa"/>
            <w:tcBorders>
              <w:top w:val="single" w:sz="4" w:space="0" w:color="auto"/>
            </w:tcBorders>
          </w:tcPr>
          <w:p w14:paraId="001BACF0" w14:textId="6D88B2D0"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0.001***</w:t>
            </w:r>
          </w:p>
        </w:tc>
      </w:tr>
      <w:tr w:rsidR="007215E7" w:rsidRPr="0006003D" w14:paraId="5F82B624" w14:textId="77777777" w:rsidTr="002227B1">
        <w:tc>
          <w:tcPr>
            <w:tcW w:w="1085" w:type="dxa"/>
            <w:vMerge/>
          </w:tcPr>
          <w:p w14:paraId="3189E777" w14:textId="77777777" w:rsidR="007215E7" w:rsidRPr="00E15901" w:rsidRDefault="007215E7" w:rsidP="0006003D">
            <w:pPr>
              <w:pStyle w:val="FootnoteText"/>
              <w:rPr>
                <w:rFonts w:ascii="Times New Roman" w:eastAsia="Arial" w:hAnsi="Times New Roman" w:cs="Times New Roman"/>
                <w:sz w:val="18"/>
                <w:szCs w:val="18"/>
              </w:rPr>
            </w:pPr>
          </w:p>
        </w:tc>
        <w:tc>
          <w:tcPr>
            <w:tcW w:w="973" w:type="dxa"/>
          </w:tcPr>
          <w:p w14:paraId="12817C07" w14:textId="273BAFA3"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(3.08)</w:t>
            </w:r>
          </w:p>
        </w:tc>
        <w:tc>
          <w:tcPr>
            <w:tcW w:w="1005" w:type="dxa"/>
          </w:tcPr>
          <w:p w14:paraId="0C7FCA13" w14:textId="775CD0E1"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(2.77)</w:t>
            </w:r>
          </w:p>
        </w:tc>
        <w:tc>
          <w:tcPr>
            <w:tcW w:w="1006" w:type="dxa"/>
          </w:tcPr>
          <w:p w14:paraId="1D77F0DA" w14:textId="5EBD29C6"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(2.69)</w:t>
            </w:r>
          </w:p>
        </w:tc>
        <w:tc>
          <w:tcPr>
            <w:tcW w:w="1004" w:type="dxa"/>
          </w:tcPr>
          <w:p w14:paraId="1D5FACA5" w14:textId="2A0C2898"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(2.28)</w:t>
            </w:r>
          </w:p>
        </w:tc>
        <w:tc>
          <w:tcPr>
            <w:tcW w:w="1009" w:type="dxa"/>
          </w:tcPr>
          <w:p w14:paraId="7A6EFA6C" w14:textId="595F7FA3"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(4.95)</w:t>
            </w:r>
          </w:p>
        </w:tc>
        <w:tc>
          <w:tcPr>
            <w:tcW w:w="1004" w:type="dxa"/>
          </w:tcPr>
          <w:p w14:paraId="0E8A0230" w14:textId="42838FE1"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3.93)</w:t>
            </w:r>
          </w:p>
        </w:tc>
      </w:tr>
      <w:tr w:rsidR="007215E7" w:rsidRPr="0006003D" w14:paraId="23F1E4E9" w14:textId="77777777" w:rsidTr="002227B1">
        <w:tc>
          <w:tcPr>
            <w:tcW w:w="1085" w:type="dxa"/>
            <w:vMerge w:val="restart"/>
          </w:tcPr>
          <w:p w14:paraId="0A1CD816" w14:textId="3D55AC09" w:rsidR="007215E7" w:rsidRPr="00E15901" w:rsidRDefault="007215E7" w:rsidP="0006003D">
            <w:pPr>
              <w:pStyle w:val="FootnoteText"/>
              <w:rPr>
                <w:rFonts w:ascii="Times New Roman" w:eastAsia="Arial" w:hAnsi="Times New Roman" w:cs="Times New Roman"/>
                <w:sz w:val="18"/>
                <w:szCs w:val="18"/>
              </w:rPr>
            </w:pPr>
            <w:r w:rsidRPr="00E15901">
              <w:rPr>
                <w:rFonts w:ascii="Times New Roman" w:eastAsia="Arial" w:hAnsi="Times New Roman" w:cs="Times New Roman"/>
                <w:sz w:val="18"/>
                <w:szCs w:val="18"/>
              </w:rPr>
              <w:t>Credit (Export)</w:t>
            </w:r>
          </w:p>
        </w:tc>
        <w:tc>
          <w:tcPr>
            <w:tcW w:w="973" w:type="dxa"/>
          </w:tcPr>
          <w:p w14:paraId="0F9A70A7" w14:textId="7D8A1734"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0.007</w:t>
            </w:r>
          </w:p>
        </w:tc>
        <w:tc>
          <w:tcPr>
            <w:tcW w:w="1005" w:type="dxa"/>
          </w:tcPr>
          <w:p w14:paraId="32E07409" w14:textId="15FCA217"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0.001</w:t>
            </w:r>
          </w:p>
        </w:tc>
        <w:tc>
          <w:tcPr>
            <w:tcW w:w="1006" w:type="dxa"/>
          </w:tcPr>
          <w:p w14:paraId="67D04E0A" w14:textId="6D3B9E82"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0.018</w:t>
            </w:r>
          </w:p>
        </w:tc>
        <w:tc>
          <w:tcPr>
            <w:tcW w:w="1004" w:type="dxa"/>
          </w:tcPr>
          <w:p w14:paraId="3D4ECE7E" w14:textId="0A3A8A41"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0.028</w:t>
            </w:r>
          </w:p>
        </w:tc>
        <w:tc>
          <w:tcPr>
            <w:tcW w:w="1009" w:type="dxa"/>
          </w:tcPr>
          <w:p w14:paraId="13549117" w14:textId="479F7C5A"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0.045**</w:t>
            </w:r>
          </w:p>
        </w:tc>
        <w:tc>
          <w:tcPr>
            <w:tcW w:w="1004" w:type="dxa"/>
          </w:tcPr>
          <w:p w14:paraId="2E4EE69D" w14:textId="358570D0"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0.036**</w:t>
            </w:r>
          </w:p>
        </w:tc>
      </w:tr>
      <w:tr w:rsidR="007215E7" w:rsidRPr="0006003D" w14:paraId="4758B3A9" w14:textId="77777777" w:rsidTr="002227B1">
        <w:tc>
          <w:tcPr>
            <w:tcW w:w="1085" w:type="dxa"/>
            <w:vMerge/>
          </w:tcPr>
          <w:p w14:paraId="34ECED70" w14:textId="77777777" w:rsidR="007215E7" w:rsidRPr="00E15901" w:rsidRDefault="007215E7" w:rsidP="0006003D">
            <w:pPr>
              <w:pStyle w:val="FootnoteText"/>
              <w:rPr>
                <w:rFonts w:ascii="Times New Roman" w:eastAsia="Arial" w:hAnsi="Times New Roman" w:cs="Times New Roman"/>
                <w:sz w:val="18"/>
                <w:szCs w:val="18"/>
              </w:rPr>
            </w:pPr>
          </w:p>
        </w:tc>
        <w:tc>
          <w:tcPr>
            <w:tcW w:w="973" w:type="dxa"/>
          </w:tcPr>
          <w:p w14:paraId="005D9E89" w14:textId="32AED4EB"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0.49)</w:t>
            </w:r>
          </w:p>
        </w:tc>
        <w:tc>
          <w:tcPr>
            <w:tcW w:w="1005" w:type="dxa"/>
          </w:tcPr>
          <w:p w14:paraId="22978DC4" w14:textId="5563A6EC"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(0.08)</w:t>
            </w:r>
          </w:p>
        </w:tc>
        <w:tc>
          <w:tcPr>
            <w:tcW w:w="1006" w:type="dxa"/>
          </w:tcPr>
          <w:p w14:paraId="2B266130" w14:textId="6CE9C106"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1.35)</w:t>
            </w:r>
          </w:p>
        </w:tc>
        <w:tc>
          <w:tcPr>
            <w:tcW w:w="1004" w:type="dxa"/>
          </w:tcPr>
          <w:p w14:paraId="7A6B2D26" w14:textId="7FA44AB1"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1.51)</w:t>
            </w:r>
          </w:p>
        </w:tc>
        <w:tc>
          <w:tcPr>
            <w:tcW w:w="1009" w:type="dxa"/>
          </w:tcPr>
          <w:p w14:paraId="7CB00C47" w14:textId="58FEED2D"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2.11)</w:t>
            </w:r>
          </w:p>
        </w:tc>
        <w:tc>
          <w:tcPr>
            <w:tcW w:w="1004" w:type="dxa"/>
          </w:tcPr>
          <w:p w14:paraId="08D3FB34" w14:textId="0FF76E60"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(2.11)</w:t>
            </w:r>
          </w:p>
        </w:tc>
      </w:tr>
      <w:tr w:rsidR="007215E7" w:rsidRPr="0006003D" w14:paraId="34FF536E" w14:textId="77777777" w:rsidTr="002227B1">
        <w:tc>
          <w:tcPr>
            <w:tcW w:w="1085" w:type="dxa"/>
            <w:vMerge w:val="restart"/>
          </w:tcPr>
          <w:p w14:paraId="11E78A40" w14:textId="1AB5A84B" w:rsidR="007215E7" w:rsidRPr="00E15901" w:rsidRDefault="007215E7" w:rsidP="0006003D">
            <w:pPr>
              <w:pStyle w:val="FootnoteText"/>
              <w:rPr>
                <w:rFonts w:ascii="Times New Roman" w:eastAsia="Arial" w:hAnsi="Times New Roman" w:cs="Times New Roman"/>
                <w:sz w:val="18"/>
                <w:szCs w:val="18"/>
              </w:rPr>
            </w:pPr>
            <w:r w:rsidRPr="00E15901">
              <w:rPr>
                <w:rFonts w:ascii="Times New Roman" w:eastAsia="Arial" w:hAnsi="Times New Roman" w:cs="Times New Roman"/>
                <w:sz w:val="18"/>
                <w:szCs w:val="18"/>
              </w:rPr>
              <w:t>Credit (Deficit)</w:t>
            </w:r>
          </w:p>
        </w:tc>
        <w:tc>
          <w:tcPr>
            <w:tcW w:w="973" w:type="dxa"/>
          </w:tcPr>
          <w:p w14:paraId="7AAF774A" w14:textId="26B7375A"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0.038**</w:t>
            </w:r>
          </w:p>
        </w:tc>
        <w:tc>
          <w:tcPr>
            <w:tcW w:w="1005" w:type="dxa"/>
          </w:tcPr>
          <w:p w14:paraId="38803B02" w14:textId="547A2AA6"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0.029</w:t>
            </w:r>
          </w:p>
        </w:tc>
        <w:tc>
          <w:tcPr>
            <w:tcW w:w="1006" w:type="dxa"/>
          </w:tcPr>
          <w:p w14:paraId="2A648F93" w14:textId="113867A1"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0.042**</w:t>
            </w:r>
          </w:p>
        </w:tc>
        <w:tc>
          <w:tcPr>
            <w:tcW w:w="1004" w:type="dxa"/>
          </w:tcPr>
          <w:p w14:paraId="6EE4B7B1" w14:textId="0FC37CBF"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0.028</w:t>
            </w:r>
          </w:p>
        </w:tc>
        <w:tc>
          <w:tcPr>
            <w:tcW w:w="1009" w:type="dxa"/>
          </w:tcPr>
          <w:p w14:paraId="5767F178" w14:textId="43FCD7ED"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0.029</w:t>
            </w:r>
          </w:p>
        </w:tc>
        <w:tc>
          <w:tcPr>
            <w:tcW w:w="1004" w:type="dxa"/>
          </w:tcPr>
          <w:p w14:paraId="49A75F49" w14:textId="7209F58F" w:rsidR="007215E7"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0.0051</w:t>
            </w:r>
          </w:p>
        </w:tc>
      </w:tr>
      <w:tr w:rsidR="007215E7" w:rsidRPr="0006003D" w14:paraId="69A21980" w14:textId="77777777" w:rsidTr="002227B1">
        <w:tc>
          <w:tcPr>
            <w:tcW w:w="1085" w:type="dxa"/>
            <w:vMerge/>
          </w:tcPr>
          <w:p w14:paraId="4543636E" w14:textId="77777777" w:rsidR="007215E7" w:rsidRPr="00E15901" w:rsidRDefault="007215E7" w:rsidP="0006003D">
            <w:pPr>
              <w:pStyle w:val="FootnoteText"/>
              <w:rPr>
                <w:rFonts w:ascii="Times New Roman" w:eastAsia="Arial" w:hAnsi="Times New Roman" w:cs="Times New Roman"/>
                <w:sz w:val="18"/>
                <w:szCs w:val="18"/>
              </w:rPr>
            </w:pPr>
          </w:p>
        </w:tc>
        <w:tc>
          <w:tcPr>
            <w:tcW w:w="973" w:type="dxa"/>
          </w:tcPr>
          <w:p w14:paraId="454A4D66" w14:textId="0E00110D"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2.53)</w:t>
            </w:r>
          </w:p>
        </w:tc>
        <w:tc>
          <w:tcPr>
            <w:tcW w:w="1005" w:type="dxa"/>
          </w:tcPr>
          <w:p w14:paraId="4E88251C" w14:textId="1DAF4266"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(1.52)</w:t>
            </w:r>
          </w:p>
        </w:tc>
        <w:tc>
          <w:tcPr>
            <w:tcW w:w="1006" w:type="dxa"/>
          </w:tcPr>
          <w:p w14:paraId="580481F4" w14:textId="74715648"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2.58)</w:t>
            </w:r>
          </w:p>
        </w:tc>
        <w:tc>
          <w:tcPr>
            <w:tcW w:w="1004" w:type="dxa"/>
          </w:tcPr>
          <w:p w14:paraId="3FFA653A" w14:textId="54F75857"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1.21)</w:t>
            </w:r>
          </w:p>
        </w:tc>
        <w:tc>
          <w:tcPr>
            <w:tcW w:w="1009" w:type="dxa"/>
          </w:tcPr>
          <w:p w14:paraId="040A3804" w14:textId="1E3DC775"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1.38)</w:t>
            </w:r>
          </w:p>
        </w:tc>
        <w:tc>
          <w:tcPr>
            <w:tcW w:w="1004" w:type="dxa"/>
          </w:tcPr>
          <w:p w14:paraId="1713B20B" w14:textId="429AD154" w:rsidR="007215E7"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0.27)</w:t>
            </w:r>
          </w:p>
        </w:tc>
      </w:tr>
      <w:tr w:rsidR="007215E7" w:rsidRPr="0006003D" w14:paraId="6A40C0E8" w14:textId="77777777" w:rsidTr="002227B1">
        <w:tc>
          <w:tcPr>
            <w:tcW w:w="1085" w:type="dxa"/>
          </w:tcPr>
          <w:p w14:paraId="4230699E" w14:textId="4606029D" w:rsidR="00EE394B" w:rsidRPr="00E15901" w:rsidRDefault="00EE394B" w:rsidP="0006003D">
            <w:pPr>
              <w:pStyle w:val="FootnoteText"/>
              <w:rPr>
                <w:rFonts w:ascii="Times New Roman" w:eastAsia="Arial" w:hAnsi="Times New Roman" w:cs="Times New Roman"/>
                <w:sz w:val="18"/>
                <w:szCs w:val="18"/>
              </w:rPr>
            </w:pPr>
            <w:r w:rsidRPr="00E15901">
              <w:rPr>
                <w:rFonts w:ascii="Times New Roman" w:eastAsia="Arial" w:hAnsi="Times New Roman" w:cs="Times New Roman"/>
                <w:sz w:val="18"/>
                <w:szCs w:val="18"/>
              </w:rPr>
              <w:t>Term</w:t>
            </w:r>
          </w:p>
        </w:tc>
        <w:tc>
          <w:tcPr>
            <w:tcW w:w="973" w:type="dxa"/>
          </w:tcPr>
          <w:p w14:paraId="5650B740" w14:textId="0CA47E82"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0.200***</w:t>
            </w:r>
          </w:p>
        </w:tc>
        <w:tc>
          <w:tcPr>
            <w:tcW w:w="1005" w:type="dxa"/>
          </w:tcPr>
          <w:p w14:paraId="7192FED2" w14:textId="5A2339B6"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0.211***</w:t>
            </w:r>
          </w:p>
        </w:tc>
        <w:tc>
          <w:tcPr>
            <w:tcW w:w="1006" w:type="dxa"/>
          </w:tcPr>
          <w:p w14:paraId="2F469FB2" w14:textId="40B63AB0"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0.152***</w:t>
            </w:r>
          </w:p>
        </w:tc>
        <w:tc>
          <w:tcPr>
            <w:tcW w:w="1004" w:type="dxa"/>
          </w:tcPr>
          <w:p w14:paraId="43694E99" w14:textId="3FAE9C57"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0.233***</w:t>
            </w:r>
          </w:p>
        </w:tc>
        <w:tc>
          <w:tcPr>
            <w:tcW w:w="1009" w:type="dxa"/>
          </w:tcPr>
          <w:p w14:paraId="39F922BE" w14:textId="270C7470"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0.205***</w:t>
            </w:r>
          </w:p>
        </w:tc>
        <w:tc>
          <w:tcPr>
            <w:tcW w:w="1004" w:type="dxa"/>
          </w:tcPr>
          <w:p w14:paraId="25B6A0BA" w14:textId="4348D869" w:rsidR="00EE394B"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0.005</w:t>
            </w:r>
          </w:p>
        </w:tc>
      </w:tr>
      <w:tr w:rsidR="007215E7" w:rsidRPr="0006003D" w14:paraId="40600688" w14:textId="77777777" w:rsidTr="002227B1">
        <w:tc>
          <w:tcPr>
            <w:tcW w:w="1085" w:type="dxa"/>
          </w:tcPr>
          <w:p w14:paraId="73DFA2D2" w14:textId="77777777" w:rsidR="00EE394B" w:rsidRPr="00E15901" w:rsidRDefault="00EE394B" w:rsidP="0006003D">
            <w:pPr>
              <w:pStyle w:val="FootnoteText"/>
              <w:rPr>
                <w:rFonts w:ascii="Times New Roman" w:eastAsia="Arial" w:hAnsi="Times New Roman" w:cs="Times New Roman"/>
                <w:sz w:val="18"/>
                <w:szCs w:val="18"/>
              </w:rPr>
            </w:pPr>
          </w:p>
        </w:tc>
        <w:tc>
          <w:tcPr>
            <w:tcW w:w="973" w:type="dxa"/>
          </w:tcPr>
          <w:p w14:paraId="65763857" w14:textId="6AFE4DDB"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(7.27)</w:t>
            </w:r>
          </w:p>
        </w:tc>
        <w:tc>
          <w:tcPr>
            <w:tcW w:w="1005" w:type="dxa"/>
          </w:tcPr>
          <w:p w14:paraId="035C4ABC" w14:textId="596AF0F2"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(6.19)</w:t>
            </w:r>
          </w:p>
        </w:tc>
        <w:tc>
          <w:tcPr>
            <w:tcW w:w="1006" w:type="dxa"/>
          </w:tcPr>
          <w:p w14:paraId="06ABBBB5" w14:textId="3B080E6E"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(5.43)</w:t>
            </w:r>
          </w:p>
        </w:tc>
        <w:tc>
          <w:tcPr>
            <w:tcW w:w="1004" w:type="dxa"/>
          </w:tcPr>
          <w:p w14:paraId="054CC515" w14:textId="195E98B3"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(6.76)</w:t>
            </w:r>
          </w:p>
        </w:tc>
        <w:tc>
          <w:tcPr>
            <w:tcW w:w="1009" w:type="dxa"/>
          </w:tcPr>
          <w:p w14:paraId="6D315E30" w14:textId="431998E3"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(5.63)</w:t>
            </w:r>
          </w:p>
        </w:tc>
        <w:tc>
          <w:tcPr>
            <w:tcW w:w="1004" w:type="dxa"/>
          </w:tcPr>
          <w:p w14:paraId="19F7540C" w14:textId="77A9BF37" w:rsidR="00EE394B" w:rsidRPr="00E15901" w:rsidRDefault="007215E7" w:rsidP="00E15901">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w:t>
            </w:r>
            <w:r w:rsidR="00E15901">
              <w:rPr>
                <w:rFonts w:ascii="Times New Roman" w:eastAsia="Arial" w:hAnsi="Times New Roman" w:cs="Times New Roman"/>
                <w:sz w:val="18"/>
                <w:szCs w:val="18"/>
              </w:rPr>
              <w:t>–</w:t>
            </w:r>
            <w:r w:rsidRPr="00E15901">
              <w:rPr>
                <w:rFonts w:ascii="Times New Roman" w:eastAsia="Arial" w:hAnsi="Times New Roman" w:cs="Times New Roman"/>
                <w:sz w:val="18"/>
                <w:szCs w:val="18"/>
              </w:rPr>
              <w:t>0.16)</w:t>
            </w:r>
          </w:p>
        </w:tc>
      </w:tr>
      <w:tr w:rsidR="007215E7" w:rsidRPr="0006003D" w14:paraId="261B8F92" w14:textId="77777777" w:rsidTr="002227B1">
        <w:tc>
          <w:tcPr>
            <w:tcW w:w="1085" w:type="dxa"/>
          </w:tcPr>
          <w:p w14:paraId="51356D1B" w14:textId="6F9F11CE" w:rsidR="00EE394B" w:rsidRPr="00E15901" w:rsidRDefault="00EE394B" w:rsidP="0006003D">
            <w:pPr>
              <w:pStyle w:val="FootnoteText"/>
              <w:rPr>
                <w:rFonts w:ascii="Times New Roman" w:eastAsia="Arial" w:hAnsi="Times New Roman" w:cs="Times New Roman"/>
                <w:sz w:val="18"/>
                <w:szCs w:val="18"/>
              </w:rPr>
            </w:pPr>
            <w:r w:rsidRPr="00E15901">
              <w:rPr>
                <w:rFonts w:ascii="Times New Roman" w:eastAsia="Arial" w:hAnsi="Times New Roman" w:cs="Times New Roman"/>
                <w:sz w:val="18"/>
                <w:szCs w:val="18"/>
              </w:rPr>
              <w:t>Market</w:t>
            </w:r>
          </w:p>
        </w:tc>
        <w:tc>
          <w:tcPr>
            <w:tcW w:w="973" w:type="dxa"/>
          </w:tcPr>
          <w:p w14:paraId="09A78312" w14:textId="37AC7272"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0.071***</w:t>
            </w:r>
          </w:p>
        </w:tc>
        <w:tc>
          <w:tcPr>
            <w:tcW w:w="1005" w:type="dxa"/>
          </w:tcPr>
          <w:p w14:paraId="7A5C1058" w14:textId="4F7FB9FD"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0.098***</w:t>
            </w:r>
          </w:p>
        </w:tc>
        <w:tc>
          <w:tcPr>
            <w:tcW w:w="1006" w:type="dxa"/>
          </w:tcPr>
          <w:p w14:paraId="38EBF2C2" w14:textId="43E829BB"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0.081***</w:t>
            </w:r>
          </w:p>
        </w:tc>
        <w:tc>
          <w:tcPr>
            <w:tcW w:w="1004" w:type="dxa"/>
          </w:tcPr>
          <w:p w14:paraId="4ECCE0CE" w14:textId="303A827E"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0.074***</w:t>
            </w:r>
          </w:p>
        </w:tc>
        <w:tc>
          <w:tcPr>
            <w:tcW w:w="1009" w:type="dxa"/>
          </w:tcPr>
          <w:p w14:paraId="24D920FE" w14:textId="3A03D1F3"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0.082***</w:t>
            </w:r>
          </w:p>
        </w:tc>
        <w:tc>
          <w:tcPr>
            <w:tcW w:w="1004" w:type="dxa"/>
          </w:tcPr>
          <w:p w14:paraId="38D3882A" w14:textId="5D91B91E" w:rsidR="00EE394B" w:rsidRPr="00E15901" w:rsidRDefault="00E1590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E15901">
              <w:rPr>
                <w:rFonts w:ascii="Times New Roman" w:eastAsia="Arial" w:hAnsi="Times New Roman" w:cs="Times New Roman"/>
                <w:sz w:val="18"/>
                <w:szCs w:val="18"/>
              </w:rPr>
              <w:t>0.011</w:t>
            </w:r>
          </w:p>
        </w:tc>
      </w:tr>
      <w:tr w:rsidR="007215E7" w:rsidRPr="0006003D" w14:paraId="5069589D" w14:textId="77777777" w:rsidTr="002227B1">
        <w:tc>
          <w:tcPr>
            <w:tcW w:w="1085" w:type="dxa"/>
          </w:tcPr>
          <w:p w14:paraId="1A200EBC" w14:textId="77777777" w:rsidR="00EE394B" w:rsidRPr="00E15901" w:rsidRDefault="00EE394B" w:rsidP="0006003D">
            <w:pPr>
              <w:pStyle w:val="FootnoteText"/>
              <w:rPr>
                <w:rFonts w:ascii="Times New Roman" w:eastAsia="Arial" w:hAnsi="Times New Roman" w:cs="Times New Roman"/>
                <w:sz w:val="18"/>
                <w:szCs w:val="18"/>
              </w:rPr>
            </w:pPr>
          </w:p>
        </w:tc>
        <w:tc>
          <w:tcPr>
            <w:tcW w:w="973" w:type="dxa"/>
          </w:tcPr>
          <w:p w14:paraId="5AE20549" w14:textId="2FA5C031"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(4.39)</w:t>
            </w:r>
          </w:p>
        </w:tc>
        <w:tc>
          <w:tcPr>
            <w:tcW w:w="1005" w:type="dxa"/>
          </w:tcPr>
          <w:p w14:paraId="2BF19AD6" w14:textId="7B1E6401"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(4.58)</w:t>
            </w:r>
          </w:p>
        </w:tc>
        <w:tc>
          <w:tcPr>
            <w:tcW w:w="1006" w:type="dxa"/>
          </w:tcPr>
          <w:p w14:paraId="6ECDCAFF" w14:textId="09C6C14E"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(4.60)</w:t>
            </w:r>
          </w:p>
        </w:tc>
        <w:tc>
          <w:tcPr>
            <w:tcW w:w="1004" w:type="dxa"/>
          </w:tcPr>
          <w:p w14:paraId="67F18EDF" w14:textId="4669F5BE"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(3.44)</w:t>
            </w:r>
          </w:p>
        </w:tc>
        <w:tc>
          <w:tcPr>
            <w:tcW w:w="1009" w:type="dxa"/>
          </w:tcPr>
          <w:p w14:paraId="3902F321" w14:textId="58B3D78D"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(3.63)</w:t>
            </w:r>
          </w:p>
        </w:tc>
        <w:tc>
          <w:tcPr>
            <w:tcW w:w="1004" w:type="dxa"/>
          </w:tcPr>
          <w:p w14:paraId="413604F7" w14:textId="51089B50"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(0.58)</w:t>
            </w:r>
          </w:p>
        </w:tc>
      </w:tr>
      <w:tr w:rsidR="007215E7" w:rsidRPr="0006003D" w14:paraId="5D1BF837" w14:textId="77777777" w:rsidTr="002227B1">
        <w:tc>
          <w:tcPr>
            <w:tcW w:w="1085" w:type="dxa"/>
          </w:tcPr>
          <w:p w14:paraId="0A5FA57D" w14:textId="447B04B2" w:rsidR="00EE394B" w:rsidRPr="00E15901" w:rsidRDefault="00EE394B" w:rsidP="0006003D">
            <w:pPr>
              <w:pStyle w:val="FootnoteText"/>
              <w:rPr>
                <w:rFonts w:ascii="Times New Roman" w:eastAsia="Arial" w:hAnsi="Times New Roman" w:cs="Times New Roman"/>
                <w:sz w:val="18"/>
                <w:szCs w:val="18"/>
              </w:rPr>
            </w:pPr>
            <w:r w:rsidRPr="00E15901">
              <w:rPr>
                <w:rFonts w:ascii="Times New Roman" w:eastAsia="Arial" w:hAnsi="Times New Roman" w:cs="Times New Roman"/>
                <w:sz w:val="18"/>
                <w:szCs w:val="18"/>
              </w:rPr>
              <w:t>Constant</w:t>
            </w:r>
          </w:p>
        </w:tc>
        <w:tc>
          <w:tcPr>
            <w:tcW w:w="973" w:type="dxa"/>
          </w:tcPr>
          <w:p w14:paraId="125C70E6" w14:textId="3D9B891C"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0.002***</w:t>
            </w:r>
          </w:p>
        </w:tc>
        <w:tc>
          <w:tcPr>
            <w:tcW w:w="1005" w:type="dxa"/>
          </w:tcPr>
          <w:p w14:paraId="7F63DBC7" w14:textId="6423B290"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0.001***</w:t>
            </w:r>
          </w:p>
        </w:tc>
        <w:tc>
          <w:tcPr>
            <w:tcW w:w="1006" w:type="dxa"/>
          </w:tcPr>
          <w:p w14:paraId="34F35249" w14:textId="2925504F"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0.001***</w:t>
            </w:r>
          </w:p>
        </w:tc>
        <w:tc>
          <w:tcPr>
            <w:tcW w:w="1004" w:type="dxa"/>
          </w:tcPr>
          <w:p w14:paraId="75A8910F" w14:textId="13C4D3F5"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0.001***</w:t>
            </w:r>
          </w:p>
        </w:tc>
        <w:tc>
          <w:tcPr>
            <w:tcW w:w="1009" w:type="dxa"/>
          </w:tcPr>
          <w:p w14:paraId="5ED1E4C8" w14:textId="740C3C15"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0.0006*</w:t>
            </w:r>
          </w:p>
        </w:tc>
        <w:tc>
          <w:tcPr>
            <w:tcW w:w="1004" w:type="dxa"/>
          </w:tcPr>
          <w:p w14:paraId="3542C212" w14:textId="704B54FB"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0.001***</w:t>
            </w:r>
          </w:p>
        </w:tc>
      </w:tr>
      <w:tr w:rsidR="007215E7" w:rsidRPr="0006003D" w14:paraId="1B4F2296" w14:textId="77777777" w:rsidTr="002227B1">
        <w:tc>
          <w:tcPr>
            <w:tcW w:w="1085" w:type="dxa"/>
            <w:tcBorders>
              <w:bottom w:val="single" w:sz="4" w:space="0" w:color="auto"/>
            </w:tcBorders>
          </w:tcPr>
          <w:p w14:paraId="35479EB6" w14:textId="77777777" w:rsidR="007215E7" w:rsidRPr="00E15901" w:rsidRDefault="007215E7" w:rsidP="0006003D">
            <w:pPr>
              <w:pStyle w:val="FootnoteText"/>
              <w:rPr>
                <w:rFonts w:ascii="Times New Roman" w:eastAsia="Arial" w:hAnsi="Times New Roman" w:cs="Times New Roman"/>
                <w:sz w:val="18"/>
                <w:szCs w:val="18"/>
              </w:rPr>
            </w:pPr>
          </w:p>
        </w:tc>
        <w:tc>
          <w:tcPr>
            <w:tcW w:w="973" w:type="dxa"/>
            <w:tcBorders>
              <w:bottom w:val="single" w:sz="4" w:space="0" w:color="auto"/>
            </w:tcBorders>
          </w:tcPr>
          <w:p w14:paraId="17A06BF5" w14:textId="45EE881E"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(9.65)</w:t>
            </w:r>
          </w:p>
        </w:tc>
        <w:tc>
          <w:tcPr>
            <w:tcW w:w="1005" w:type="dxa"/>
            <w:tcBorders>
              <w:bottom w:val="single" w:sz="4" w:space="0" w:color="auto"/>
            </w:tcBorders>
          </w:tcPr>
          <w:p w14:paraId="005A668E" w14:textId="461043ED"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(5.57)</w:t>
            </w:r>
          </w:p>
        </w:tc>
        <w:tc>
          <w:tcPr>
            <w:tcW w:w="1006" w:type="dxa"/>
            <w:tcBorders>
              <w:bottom w:val="single" w:sz="4" w:space="0" w:color="auto"/>
            </w:tcBorders>
          </w:tcPr>
          <w:p w14:paraId="271D132E" w14:textId="7A2C0A03"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(6.30)</w:t>
            </w:r>
          </w:p>
        </w:tc>
        <w:tc>
          <w:tcPr>
            <w:tcW w:w="1004" w:type="dxa"/>
            <w:tcBorders>
              <w:bottom w:val="single" w:sz="4" w:space="0" w:color="auto"/>
            </w:tcBorders>
          </w:tcPr>
          <w:p w14:paraId="21758B07" w14:textId="0FCAF4EE"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(5.29)</w:t>
            </w:r>
          </w:p>
        </w:tc>
        <w:tc>
          <w:tcPr>
            <w:tcW w:w="1009" w:type="dxa"/>
            <w:tcBorders>
              <w:bottom w:val="single" w:sz="4" w:space="0" w:color="auto"/>
            </w:tcBorders>
          </w:tcPr>
          <w:p w14:paraId="35636010" w14:textId="2D137C6B"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(1.87)</w:t>
            </w:r>
          </w:p>
        </w:tc>
        <w:tc>
          <w:tcPr>
            <w:tcW w:w="1004" w:type="dxa"/>
            <w:tcBorders>
              <w:bottom w:val="single" w:sz="4" w:space="0" w:color="auto"/>
            </w:tcBorders>
          </w:tcPr>
          <w:p w14:paraId="40691B75" w14:textId="266C6F15" w:rsidR="007215E7"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(5.63)</w:t>
            </w:r>
          </w:p>
        </w:tc>
      </w:tr>
      <w:tr w:rsidR="007215E7" w:rsidRPr="0006003D" w14:paraId="1928E876" w14:textId="77777777" w:rsidTr="002227B1">
        <w:tc>
          <w:tcPr>
            <w:tcW w:w="1085" w:type="dxa"/>
            <w:tcBorders>
              <w:top w:val="single" w:sz="4" w:space="0" w:color="auto"/>
            </w:tcBorders>
          </w:tcPr>
          <w:p w14:paraId="1CD5E558" w14:textId="073CB521" w:rsidR="00EE394B" w:rsidRPr="00E15901" w:rsidRDefault="00EE394B" w:rsidP="0006003D">
            <w:pPr>
              <w:pStyle w:val="FootnoteText"/>
              <w:rPr>
                <w:rFonts w:ascii="Times New Roman" w:eastAsia="Arial" w:hAnsi="Times New Roman" w:cs="Times New Roman"/>
                <w:sz w:val="18"/>
                <w:szCs w:val="18"/>
              </w:rPr>
            </w:pPr>
            <w:r w:rsidRPr="00E15901">
              <w:rPr>
                <w:rFonts w:ascii="Times New Roman" w:eastAsia="Arial" w:hAnsi="Times New Roman" w:cs="Times New Roman"/>
                <w:sz w:val="18"/>
                <w:szCs w:val="18"/>
              </w:rPr>
              <w:t>N</w:t>
            </w:r>
          </w:p>
        </w:tc>
        <w:tc>
          <w:tcPr>
            <w:tcW w:w="973" w:type="dxa"/>
            <w:tcBorders>
              <w:top w:val="single" w:sz="4" w:space="0" w:color="auto"/>
            </w:tcBorders>
          </w:tcPr>
          <w:p w14:paraId="54CC14F8" w14:textId="0B060499"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431</w:t>
            </w:r>
          </w:p>
        </w:tc>
        <w:tc>
          <w:tcPr>
            <w:tcW w:w="1005" w:type="dxa"/>
            <w:tcBorders>
              <w:top w:val="single" w:sz="4" w:space="0" w:color="auto"/>
            </w:tcBorders>
          </w:tcPr>
          <w:p w14:paraId="344D4A2F" w14:textId="4B1AC931"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429</w:t>
            </w:r>
          </w:p>
        </w:tc>
        <w:tc>
          <w:tcPr>
            <w:tcW w:w="1006" w:type="dxa"/>
            <w:tcBorders>
              <w:top w:val="single" w:sz="4" w:space="0" w:color="auto"/>
            </w:tcBorders>
          </w:tcPr>
          <w:p w14:paraId="1423A99F" w14:textId="38D74683"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430</w:t>
            </w:r>
          </w:p>
        </w:tc>
        <w:tc>
          <w:tcPr>
            <w:tcW w:w="1004" w:type="dxa"/>
            <w:tcBorders>
              <w:top w:val="single" w:sz="4" w:space="0" w:color="auto"/>
            </w:tcBorders>
          </w:tcPr>
          <w:p w14:paraId="372EE33F" w14:textId="34946F8F"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430</w:t>
            </w:r>
          </w:p>
        </w:tc>
        <w:tc>
          <w:tcPr>
            <w:tcW w:w="1009" w:type="dxa"/>
            <w:tcBorders>
              <w:top w:val="single" w:sz="4" w:space="0" w:color="auto"/>
            </w:tcBorders>
          </w:tcPr>
          <w:p w14:paraId="1CD0C15B" w14:textId="22B66D10"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429</w:t>
            </w:r>
          </w:p>
        </w:tc>
        <w:tc>
          <w:tcPr>
            <w:tcW w:w="1004" w:type="dxa"/>
            <w:tcBorders>
              <w:top w:val="single" w:sz="4" w:space="0" w:color="auto"/>
            </w:tcBorders>
          </w:tcPr>
          <w:p w14:paraId="0F966EE4" w14:textId="785271E7"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428</w:t>
            </w:r>
          </w:p>
        </w:tc>
      </w:tr>
      <w:tr w:rsidR="007215E7" w:rsidRPr="0006003D" w14:paraId="2B1CB446" w14:textId="77777777" w:rsidTr="002227B1">
        <w:tc>
          <w:tcPr>
            <w:tcW w:w="1085" w:type="dxa"/>
            <w:tcBorders>
              <w:bottom w:val="single" w:sz="4" w:space="0" w:color="auto"/>
            </w:tcBorders>
          </w:tcPr>
          <w:p w14:paraId="0E959119" w14:textId="3EFD6258" w:rsidR="00EE394B" w:rsidRPr="0058291C" w:rsidRDefault="00EE394B" w:rsidP="0006003D">
            <w:pPr>
              <w:pStyle w:val="FootnoteText"/>
              <w:rPr>
                <w:rFonts w:ascii="Times New Roman" w:eastAsia="Arial" w:hAnsi="Times New Roman" w:cs="Times New Roman"/>
                <w:i/>
                <w:sz w:val="18"/>
                <w:szCs w:val="18"/>
              </w:rPr>
            </w:pPr>
            <w:r w:rsidRPr="0058291C">
              <w:rPr>
                <w:rFonts w:ascii="Times New Roman" w:eastAsia="Arial" w:hAnsi="Times New Roman" w:cs="Times New Roman"/>
                <w:i/>
                <w:sz w:val="18"/>
                <w:szCs w:val="18"/>
              </w:rPr>
              <w:t>R</w:t>
            </w:r>
            <w:r w:rsidRPr="0058291C">
              <w:rPr>
                <w:rFonts w:ascii="Times New Roman" w:eastAsia="Arial" w:hAnsi="Times New Roman" w:cs="Times New Roman"/>
                <w:i/>
                <w:sz w:val="18"/>
                <w:szCs w:val="18"/>
                <w:vertAlign w:val="superscript"/>
              </w:rPr>
              <w:t>2</w:t>
            </w:r>
          </w:p>
        </w:tc>
        <w:tc>
          <w:tcPr>
            <w:tcW w:w="973" w:type="dxa"/>
            <w:tcBorders>
              <w:bottom w:val="single" w:sz="4" w:space="0" w:color="auto"/>
            </w:tcBorders>
          </w:tcPr>
          <w:p w14:paraId="1AEC2AA6" w14:textId="64E160A4"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0.295</w:t>
            </w:r>
          </w:p>
        </w:tc>
        <w:tc>
          <w:tcPr>
            <w:tcW w:w="1005" w:type="dxa"/>
            <w:tcBorders>
              <w:bottom w:val="single" w:sz="4" w:space="0" w:color="auto"/>
            </w:tcBorders>
          </w:tcPr>
          <w:p w14:paraId="712CEF7A" w14:textId="3E9793AD"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0.252</w:t>
            </w:r>
          </w:p>
        </w:tc>
        <w:tc>
          <w:tcPr>
            <w:tcW w:w="1006" w:type="dxa"/>
            <w:tcBorders>
              <w:bottom w:val="single" w:sz="4" w:space="0" w:color="auto"/>
            </w:tcBorders>
          </w:tcPr>
          <w:p w14:paraId="63EC1EF8" w14:textId="3A97E8EA"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0.227</w:t>
            </w:r>
          </w:p>
        </w:tc>
        <w:tc>
          <w:tcPr>
            <w:tcW w:w="1004" w:type="dxa"/>
            <w:tcBorders>
              <w:bottom w:val="single" w:sz="4" w:space="0" w:color="auto"/>
            </w:tcBorders>
          </w:tcPr>
          <w:p w14:paraId="746CEF79" w14:textId="3D8BE1A5"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0.229</w:t>
            </w:r>
          </w:p>
        </w:tc>
        <w:tc>
          <w:tcPr>
            <w:tcW w:w="1009" w:type="dxa"/>
            <w:tcBorders>
              <w:bottom w:val="single" w:sz="4" w:space="0" w:color="auto"/>
            </w:tcBorders>
          </w:tcPr>
          <w:p w14:paraId="122BFDEE" w14:textId="5F4E04C5"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0.260</w:t>
            </w:r>
          </w:p>
        </w:tc>
        <w:tc>
          <w:tcPr>
            <w:tcW w:w="1004" w:type="dxa"/>
            <w:tcBorders>
              <w:bottom w:val="single" w:sz="4" w:space="0" w:color="auto"/>
            </w:tcBorders>
          </w:tcPr>
          <w:p w14:paraId="3CB94870" w14:textId="5DFD5AC9" w:rsidR="00EE394B" w:rsidRPr="00E15901" w:rsidRDefault="007215E7" w:rsidP="0006003D">
            <w:pPr>
              <w:pStyle w:val="FootnoteText"/>
              <w:jc w:val="right"/>
              <w:rPr>
                <w:rFonts w:ascii="Times New Roman" w:eastAsia="Arial" w:hAnsi="Times New Roman" w:cs="Times New Roman"/>
                <w:sz w:val="18"/>
                <w:szCs w:val="18"/>
              </w:rPr>
            </w:pPr>
            <w:r w:rsidRPr="00E15901">
              <w:rPr>
                <w:rFonts w:ascii="Times New Roman" w:eastAsia="Arial" w:hAnsi="Times New Roman" w:cs="Times New Roman"/>
                <w:sz w:val="18"/>
                <w:szCs w:val="18"/>
              </w:rPr>
              <w:t>0.0655</w:t>
            </w:r>
          </w:p>
        </w:tc>
      </w:tr>
    </w:tbl>
    <w:p w14:paraId="453207AC" w14:textId="77777777" w:rsidR="002227B1" w:rsidRPr="002227B1" w:rsidRDefault="002227B1" w:rsidP="002227B1">
      <w:pPr>
        <w:ind w:right="62"/>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 </w:t>
      </w:r>
      <w:r w:rsidRPr="002227B1">
        <w:rPr>
          <w:rFonts w:ascii="Times New Roman" w:eastAsia="Arial" w:hAnsi="Times New Roman" w:cs="Times New Roman"/>
          <w:sz w:val="18"/>
          <w:szCs w:val="18"/>
        </w:rPr>
        <w:t>Significant at the 10 percent level</w:t>
      </w:r>
      <w:r w:rsidRPr="002227B1">
        <w:rPr>
          <w:rFonts w:ascii="Times New Roman" w:eastAsia="Arial" w:hAnsi="Times New Roman" w:cs="Times New Roman"/>
          <w:i/>
          <w:sz w:val="18"/>
          <w:szCs w:val="18"/>
        </w:rPr>
        <w:t>.</w:t>
      </w:r>
    </w:p>
    <w:p w14:paraId="2B5D2794" w14:textId="77777777" w:rsidR="002227B1" w:rsidRPr="002227B1" w:rsidRDefault="002227B1" w:rsidP="002227B1">
      <w:pPr>
        <w:ind w:right="62"/>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w:t>
      </w:r>
      <w:r w:rsidRPr="002227B1">
        <w:rPr>
          <w:rFonts w:ascii="Times New Roman" w:eastAsia="Arial" w:hAnsi="Times New Roman" w:cs="Times New Roman"/>
          <w:sz w:val="18"/>
          <w:szCs w:val="18"/>
        </w:rPr>
        <w:t>Significant at the 5 percent level</w:t>
      </w:r>
      <w:r w:rsidRPr="002227B1">
        <w:rPr>
          <w:rFonts w:ascii="Times New Roman" w:eastAsia="Arial" w:hAnsi="Times New Roman" w:cs="Times New Roman"/>
          <w:i/>
          <w:sz w:val="18"/>
          <w:szCs w:val="18"/>
        </w:rPr>
        <w:t>.</w:t>
      </w:r>
    </w:p>
    <w:p w14:paraId="2FC4274B" w14:textId="77777777" w:rsidR="002227B1" w:rsidRPr="002227B1" w:rsidRDefault="002227B1" w:rsidP="002227B1">
      <w:pPr>
        <w:ind w:right="62"/>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 </w:t>
      </w:r>
      <w:r w:rsidRPr="002227B1">
        <w:rPr>
          <w:rFonts w:ascii="Times New Roman" w:eastAsia="Arial" w:hAnsi="Times New Roman" w:cs="Times New Roman"/>
          <w:sz w:val="18"/>
          <w:szCs w:val="18"/>
        </w:rPr>
        <w:t>Significant at the 1 percent level</w:t>
      </w:r>
      <w:r w:rsidRPr="002227B1">
        <w:rPr>
          <w:rFonts w:ascii="Times New Roman" w:eastAsia="Arial" w:hAnsi="Times New Roman" w:cs="Times New Roman"/>
          <w:i/>
          <w:sz w:val="18"/>
          <w:szCs w:val="18"/>
        </w:rPr>
        <w:t>.</w:t>
      </w:r>
    </w:p>
    <w:p w14:paraId="25ECC657" w14:textId="77777777" w:rsidR="002777E6" w:rsidRDefault="003B3A50" w:rsidP="009548F8">
      <w:pPr>
        <w:jc w:val="both"/>
        <w:rPr>
          <w:rFonts w:ascii="Times New Roman" w:eastAsia="Arial" w:hAnsi="Times New Roman" w:cs="Times New Roman"/>
          <w:sz w:val="18"/>
          <w:szCs w:val="18"/>
        </w:rPr>
      </w:pPr>
      <w:r w:rsidRPr="002227B1">
        <w:rPr>
          <w:rFonts w:ascii="Times New Roman" w:eastAsia="Arial" w:hAnsi="Times New Roman" w:cs="Times New Roman"/>
          <w:i/>
          <w:sz w:val="18"/>
          <w:szCs w:val="18"/>
        </w:rPr>
        <w:t>Notes</w:t>
      </w:r>
      <w:r w:rsidRPr="002227B1">
        <w:rPr>
          <w:rFonts w:ascii="Times New Roman" w:eastAsia="Arial" w:hAnsi="Times New Roman" w:cs="Times New Roman"/>
          <w:sz w:val="18"/>
          <w:szCs w:val="18"/>
        </w:rPr>
        <w:t xml:space="preserve">: This table shows results of a time-series OLS regression of average returns on five portfolios of colonial bonds against five aggregate risk factors. Returns are measured in excess of the return on the one-month Bill rate. Portfolios are assembled at the beginning of each year by sorting bonds into five groups depending on their bid-ask spread. </w:t>
      </w:r>
      <w:r w:rsidRPr="002227B1">
        <w:rPr>
          <w:rFonts w:ascii="Times New Roman" w:eastAsia="Arial" w:hAnsi="Times New Roman" w:cs="Times New Roman"/>
          <w:i/>
          <w:sz w:val="18"/>
          <w:szCs w:val="18"/>
        </w:rPr>
        <w:t>IML</w:t>
      </w:r>
      <w:r w:rsidRPr="002227B1">
        <w:rPr>
          <w:rFonts w:ascii="Times New Roman" w:eastAsia="Arial" w:hAnsi="Times New Roman" w:cs="Times New Roman"/>
          <w:sz w:val="18"/>
          <w:szCs w:val="18"/>
        </w:rPr>
        <w:t xml:space="preserve"> is the return on an investment long in the </w:t>
      </w:r>
      <w:r w:rsidRPr="002227B1">
        <w:rPr>
          <w:rFonts w:ascii="Times New Roman" w:eastAsia="Arial" w:hAnsi="Times New Roman" w:cs="Times New Roman"/>
          <w:i/>
          <w:sz w:val="18"/>
          <w:szCs w:val="18"/>
        </w:rPr>
        <w:t>Illiquid</w:t>
      </w:r>
      <w:r w:rsidRPr="002227B1">
        <w:rPr>
          <w:rFonts w:ascii="Times New Roman" w:eastAsia="Arial" w:hAnsi="Times New Roman" w:cs="Times New Roman"/>
          <w:sz w:val="18"/>
          <w:szCs w:val="18"/>
        </w:rPr>
        <w:t xml:space="preserve"> portfolio and short in the </w:t>
      </w:r>
      <w:r w:rsidRPr="002227B1">
        <w:rPr>
          <w:rFonts w:ascii="Times New Roman" w:eastAsia="Arial" w:hAnsi="Times New Roman" w:cs="Times New Roman"/>
          <w:i/>
          <w:sz w:val="18"/>
          <w:szCs w:val="18"/>
        </w:rPr>
        <w:t>Liquid</w:t>
      </w:r>
      <w:r w:rsidRPr="002227B1">
        <w:rPr>
          <w:rFonts w:ascii="Times New Roman" w:eastAsia="Arial" w:hAnsi="Times New Roman" w:cs="Times New Roman"/>
          <w:sz w:val="18"/>
          <w:szCs w:val="18"/>
        </w:rPr>
        <w:t xml:space="preserve"> portfolio. </w:t>
      </w:r>
      <w:r w:rsidRPr="002227B1">
        <w:rPr>
          <w:rFonts w:ascii="Times New Roman" w:eastAsia="Arial" w:hAnsi="Times New Roman" w:cs="Times New Roman"/>
          <w:i/>
          <w:sz w:val="18"/>
          <w:szCs w:val="18"/>
        </w:rPr>
        <w:t>Liquidity (Colonial)</w:t>
      </w:r>
      <w:r w:rsidRPr="002227B1">
        <w:rPr>
          <w:rFonts w:ascii="Times New Roman" w:eastAsia="Arial" w:hAnsi="Times New Roman" w:cs="Times New Roman"/>
          <w:sz w:val="18"/>
          <w:szCs w:val="18"/>
        </w:rPr>
        <w:t xml:space="preserve"> is the average bid-ask spread in colonial bonds. </w:t>
      </w:r>
      <w:r w:rsidRPr="002227B1">
        <w:rPr>
          <w:rFonts w:ascii="Times New Roman" w:eastAsia="Arial" w:hAnsi="Times New Roman" w:cs="Times New Roman"/>
          <w:i/>
          <w:sz w:val="18"/>
          <w:szCs w:val="18"/>
        </w:rPr>
        <w:t>Credit (Export)</w:t>
      </w:r>
      <w:r w:rsidRPr="002227B1">
        <w:rPr>
          <w:rFonts w:ascii="Times New Roman" w:eastAsia="Arial" w:hAnsi="Times New Roman" w:cs="Times New Roman"/>
          <w:sz w:val="18"/>
          <w:szCs w:val="18"/>
        </w:rPr>
        <w:t xml:space="preserve"> and </w:t>
      </w:r>
      <w:r w:rsidRPr="002227B1">
        <w:rPr>
          <w:rFonts w:ascii="Times New Roman" w:eastAsia="Arial" w:hAnsi="Times New Roman" w:cs="Times New Roman"/>
          <w:i/>
          <w:sz w:val="18"/>
          <w:szCs w:val="18"/>
        </w:rPr>
        <w:t>Credit (Deficit)</w:t>
      </w:r>
      <w:r w:rsidRPr="002227B1">
        <w:rPr>
          <w:rFonts w:ascii="Times New Roman" w:eastAsia="Arial" w:hAnsi="Times New Roman" w:cs="Times New Roman"/>
          <w:sz w:val="18"/>
          <w:szCs w:val="18"/>
        </w:rPr>
        <w:t xml:space="preserve"> correspond to the return differential between portfolios of most and least credit worthy issuers ranked in three groups using the export-to-GDP and deficit-to-GDP ratio, respectively. </w:t>
      </w:r>
      <w:r w:rsidRPr="002227B1">
        <w:rPr>
          <w:rFonts w:ascii="Times New Roman" w:eastAsia="Arial" w:hAnsi="Times New Roman" w:cs="Times New Roman"/>
          <w:i/>
          <w:sz w:val="18"/>
          <w:szCs w:val="18"/>
        </w:rPr>
        <w:t>Term</w:t>
      </w:r>
      <w:r w:rsidRPr="002227B1">
        <w:rPr>
          <w:rFonts w:ascii="Times New Roman" w:eastAsia="Arial" w:hAnsi="Times New Roman" w:cs="Times New Roman"/>
          <w:sz w:val="18"/>
          <w:szCs w:val="18"/>
        </w:rPr>
        <w:t xml:space="preserve"> corresponds to the return differential between British </w:t>
      </w:r>
      <w:proofErr w:type="spellStart"/>
      <w:r w:rsidRPr="002227B1">
        <w:rPr>
          <w:rFonts w:ascii="Times New Roman" w:eastAsia="Arial" w:hAnsi="Times New Roman" w:cs="Times New Roman"/>
          <w:sz w:val="18"/>
          <w:szCs w:val="18"/>
        </w:rPr>
        <w:t>Consols</w:t>
      </w:r>
      <w:proofErr w:type="spellEnd"/>
      <w:r w:rsidRPr="002227B1">
        <w:rPr>
          <w:rFonts w:ascii="Times New Roman" w:eastAsia="Arial" w:hAnsi="Times New Roman" w:cs="Times New Roman"/>
          <w:sz w:val="18"/>
          <w:szCs w:val="18"/>
        </w:rPr>
        <w:t xml:space="preserve"> and the bills rate. </w:t>
      </w:r>
      <w:r w:rsidRPr="002227B1">
        <w:rPr>
          <w:rFonts w:ascii="Times New Roman" w:eastAsia="Arial" w:hAnsi="Times New Roman" w:cs="Times New Roman"/>
          <w:i/>
          <w:sz w:val="18"/>
          <w:szCs w:val="18"/>
        </w:rPr>
        <w:t>Market</w:t>
      </w:r>
      <w:r w:rsidRPr="002227B1">
        <w:rPr>
          <w:rFonts w:ascii="Times New Roman" w:eastAsia="Arial" w:hAnsi="Times New Roman" w:cs="Times New Roman"/>
          <w:sz w:val="18"/>
          <w:szCs w:val="18"/>
        </w:rPr>
        <w:t xml:space="preserve"> corresponds to average stock market return</w:t>
      </w:r>
      <w:r w:rsidR="006B18D4" w:rsidRPr="002227B1">
        <w:rPr>
          <w:rFonts w:ascii="Times New Roman" w:eastAsia="Arial" w:hAnsi="Times New Roman" w:cs="Times New Roman"/>
          <w:sz w:val="18"/>
          <w:szCs w:val="18"/>
        </w:rPr>
        <w:t xml:space="preserve"> (from </w:t>
      </w:r>
      <w:proofErr w:type="spellStart"/>
      <w:r w:rsidR="006B18D4" w:rsidRPr="002227B1">
        <w:rPr>
          <w:rFonts w:ascii="Times New Roman" w:eastAsia="Arial" w:hAnsi="Times New Roman" w:cs="Times New Roman"/>
          <w:sz w:val="18"/>
          <w:szCs w:val="18"/>
        </w:rPr>
        <w:t>Alquist</w:t>
      </w:r>
      <w:proofErr w:type="spellEnd"/>
      <w:r w:rsidR="006B18D4" w:rsidRPr="002227B1">
        <w:rPr>
          <w:rFonts w:ascii="Times New Roman" w:eastAsia="Arial" w:hAnsi="Times New Roman" w:cs="Times New Roman"/>
          <w:sz w:val="18"/>
          <w:szCs w:val="18"/>
        </w:rPr>
        <w:t xml:space="preserve"> (2010))</w:t>
      </w:r>
      <w:r w:rsidRPr="002227B1">
        <w:rPr>
          <w:rFonts w:ascii="Times New Roman" w:eastAsia="Arial" w:hAnsi="Times New Roman" w:cs="Times New Roman"/>
          <w:sz w:val="18"/>
          <w:szCs w:val="18"/>
        </w:rPr>
        <w:t xml:space="preserve">. </w:t>
      </w:r>
    </w:p>
    <w:p w14:paraId="2DEE19FE" w14:textId="3216054B" w:rsidR="009548F8" w:rsidRPr="0006003D" w:rsidRDefault="009548F8" w:rsidP="009548F8">
      <w:pPr>
        <w:jc w:val="both"/>
        <w:rPr>
          <w:rFonts w:ascii="Times New Roman" w:eastAsia="Arial" w:hAnsi="Times New Roman" w:cs="Times New Roman"/>
          <w:spacing w:val="-5"/>
          <w:sz w:val="20"/>
          <w:szCs w:val="20"/>
        </w:rPr>
      </w:pPr>
      <w:r w:rsidRPr="009548F8">
        <w:rPr>
          <w:rFonts w:ascii="Times New Roman" w:eastAsia="Arial" w:hAnsi="Times New Roman" w:cs="Times New Roman"/>
          <w:i/>
          <w:spacing w:val="-5"/>
          <w:sz w:val="18"/>
          <w:szCs w:val="18"/>
        </w:rPr>
        <w:t>Source</w:t>
      </w:r>
      <w:r w:rsidRPr="009548F8">
        <w:rPr>
          <w:rFonts w:ascii="Times New Roman" w:eastAsia="Arial" w:hAnsi="Times New Roman" w:cs="Times New Roman"/>
          <w:spacing w:val="-5"/>
          <w:sz w:val="18"/>
          <w:szCs w:val="18"/>
        </w:rPr>
        <w:t xml:space="preserve">: Author’s database as collected from the </w:t>
      </w:r>
      <w:r w:rsidRPr="009548F8">
        <w:rPr>
          <w:rFonts w:ascii="Times New Roman" w:eastAsia="Arial" w:hAnsi="Times New Roman" w:cs="Times New Roman"/>
          <w:i/>
          <w:spacing w:val="-5"/>
          <w:sz w:val="18"/>
          <w:szCs w:val="18"/>
        </w:rPr>
        <w:t>Official List</w:t>
      </w:r>
      <w:r w:rsidRPr="009548F8">
        <w:rPr>
          <w:rFonts w:ascii="Times New Roman" w:eastAsia="Arial" w:hAnsi="Times New Roman" w:cs="Times New Roman"/>
          <w:spacing w:val="-5"/>
          <w:sz w:val="18"/>
          <w:szCs w:val="18"/>
        </w:rPr>
        <w:t>.</w:t>
      </w:r>
    </w:p>
    <w:p w14:paraId="7AFA3F0B" w14:textId="499D2DAD" w:rsidR="003B3A50" w:rsidRPr="002227B1" w:rsidRDefault="003B3A50" w:rsidP="002227B1">
      <w:pPr>
        <w:pStyle w:val="FootnoteText"/>
        <w:jc w:val="both"/>
        <w:rPr>
          <w:rFonts w:ascii="Times New Roman" w:eastAsia="Arial" w:hAnsi="Times New Roman" w:cs="Times New Roman"/>
          <w:sz w:val="18"/>
          <w:szCs w:val="18"/>
        </w:rPr>
      </w:pPr>
    </w:p>
    <w:p w14:paraId="6D5171E5" w14:textId="4552C54E" w:rsidR="007215E7" w:rsidRPr="0006003D" w:rsidRDefault="007215E7" w:rsidP="0006003D">
      <w:pPr>
        <w:rPr>
          <w:rFonts w:ascii="Times New Roman" w:hAnsi="Times New Roman" w:cs="Times New Roman"/>
          <w:sz w:val="20"/>
          <w:szCs w:val="20"/>
        </w:rPr>
      </w:pPr>
      <w:r w:rsidRPr="0006003D">
        <w:rPr>
          <w:rFonts w:ascii="Times New Roman" w:hAnsi="Times New Roman" w:cs="Times New Roman"/>
          <w:sz w:val="20"/>
          <w:szCs w:val="20"/>
        </w:rPr>
        <w:br w:type="page"/>
      </w:r>
    </w:p>
    <w:p w14:paraId="4FDEF399" w14:textId="62A9FBF3" w:rsidR="002227B1" w:rsidRPr="002227B1" w:rsidRDefault="007215E7" w:rsidP="002227B1">
      <w:pPr>
        <w:jc w:val="center"/>
        <w:rPr>
          <w:rFonts w:ascii="Times New Roman" w:eastAsia="Arial" w:hAnsi="Times New Roman" w:cs="Times New Roman"/>
          <w:smallCaps/>
          <w:spacing w:val="-5"/>
          <w:sz w:val="20"/>
          <w:szCs w:val="20"/>
        </w:rPr>
      </w:pPr>
      <w:r w:rsidRPr="002227B1">
        <w:rPr>
          <w:rFonts w:ascii="Times New Roman" w:eastAsia="Arial" w:hAnsi="Times New Roman" w:cs="Times New Roman"/>
          <w:smallCaps/>
          <w:spacing w:val="-5"/>
          <w:sz w:val="20"/>
          <w:szCs w:val="20"/>
        </w:rPr>
        <w:lastRenderedPageBreak/>
        <w:t xml:space="preserve">Table </w:t>
      </w:r>
      <w:r w:rsidR="00046B27" w:rsidRPr="002227B1">
        <w:rPr>
          <w:rFonts w:ascii="Times New Roman" w:eastAsia="Arial" w:hAnsi="Times New Roman" w:cs="Times New Roman"/>
          <w:smallCaps/>
          <w:spacing w:val="-5"/>
          <w:sz w:val="20"/>
          <w:szCs w:val="20"/>
        </w:rPr>
        <w:t>A.2</w:t>
      </w:r>
    </w:p>
    <w:p w14:paraId="48A51F50" w14:textId="37340B80" w:rsidR="007215E7" w:rsidRPr="0006003D" w:rsidRDefault="00046B27" w:rsidP="002227B1">
      <w:pPr>
        <w:jc w:val="center"/>
        <w:rPr>
          <w:rFonts w:ascii="Times New Roman" w:eastAsia="Arial" w:hAnsi="Times New Roman" w:cs="Times New Roman"/>
          <w:spacing w:val="-5"/>
          <w:sz w:val="20"/>
          <w:szCs w:val="20"/>
        </w:rPr>
      </w:pPr>
      <w:r w:rsidRPr="0006003D">
        <w:rPr>
          <w:rFonts w:ascii="Times New Roman" w:eastAsia="Arial" w:hAnsi="Times New Roman" w:cs="Times New Roman"/>
          <w:spacing w:val="-5"/>
          <w:sz w:val="20"/>
          <w:szCs w:val="20"/>
        </w:rPr>
        <w:t>SOVEREIGN</w:t>
      </w:r>
      <w:r w:rsidR="007215E7" w:rsidRPr="0006003D">
        <w:rPr>
          <w:rFonts w:ascii="Times New Roman" w:eastAsia="Arial" w:hAnsi="Times New Roman" w:cs="Times New Roman"/>
          <w:spacing w:val="-5"/>
          <w:sz w:val="20"/>
          <w:szCs w:val="20"/>
        </w:rPr>
        <w:t xml:space="preserve"> RETURNS 1872</w:t>
      </w:r>
      <w:r w:rsidR="002227B1">
        <w:rPr>
          <w:rFonts w:ascii="Times New Roman" w:eastAsia="Arial" w:hAnsi="Times New Roman" w:cs="Times New Roman"/>
          <w:spacing w:val="-5"/>
          <w:sz w:val="20"/>
          <w:szCs w:val="20"/>
        </w:rPr>
        <w:t>–</w:t>
      </w:r>
      <w:r w:rsidR="007215E7" w:rsidRPr="0006003D">
        <w:rPr>
          <w:rFonts w:ascii="Times New Roman" w:eastAsia="Arial" w:hAnsi="Times New Roman" w:cs="Times New Roman"/>
          <w:spacing w:val="-5"/>
          <w:sz w:val="20"/>
          <w:szCs w:val="20"/>
        </w:rPr>
        <w:t>1909; BID-ASK-SORTED PORTFOLIOS</w:t>
      </w:r>
    </w:p>
    <w:p w14:paraId="01AF1F4D" w14:textId="77777777" w:rsidR="007215E7" w:rsidRPr="0006003D" w:rsidRDefault="007215E7" w:rsidP="0006003D">
      <w:pPr>
        <w:widowControl w:val="0"/>
        <w:ind w:left="100" w:right="62"/>
        <w:rPr>
          <w:rFonts w:ascii="Times New Roman" w:eastAsia="Arial" w:hAnsi="Times New Roman" w:cs="Times New Roman"/>
          <w:spacing w:val="-5"/>
          <w:sz w:val="20"/>
          <w:szCs w:val="20"/>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62"/>
        <w:gridCol w:w="972"/>
        <w:gridCol w:w="1003"/>
        <w:gridCol w:w="1003"/>
        <w:gridCol w:w="1002"/>
        <w:gridCol w:w="1007"/>
        <w:gridCol w:w="937"/>
      </w:tblGrid>
      <w:tr w:rsidR="00BA4455" w:rsidRPr="0006003D" w14:paraId="6216D46C" w14:textId="77777777" w:rsidTr="002227B1">
        <w:tc>
          <w:tcPr>
            <w:tcW w:w="1162" w:type="dxa"/>
            <w:tcBorders>
              <w:top w:val="double" w:sz="4" w:space="0" w:color="auto"/>
              <w:bottom w:val="single" w:sz="4" w:space="0" w:color="auto"/>
            </w:tcBorders>
          </w:tcPr>
          <w:p w14:paraId="36507B47" w14:textId="77777777" w:rsidR="007215E7" w:rsidRPr="002227B1" w:rsidRDefault="007215E7" w:rsidP="0006003D">
            <w:pPr>
              <w:pStyle w:val="FootnoteText"/>
              <w:rPr>
                <w:rFonts w:ascii="Times New Roman" w:eastAsia="Arial" w:hAnsi="Times New Roman" w:cs="Times New Roman"/>
                <w:sz w:val="18"/>
                <w:szCs w:val="18"/>
              </w:rPr>
            </w:pPr>
          </w:p>
        </w:tc>
        <w:tc>
          <w:tcPr>
            <w:tcW w:w="972" w:type="dxa"/>
            <w:tcBorders>
              <w:top w:val="double" w:sz="4" w:space="0" w:color="auto"/>
              <w:bottom w:val="single" w:sz="4" w:space="0" w:color="auto"/>
            </w:tcBorders>
          </w:tcPr>
          <w:p w14:paraId="48963660"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(1)</w:t>
            </w:r>
          </w:p>
        </w:tc>
        <w:tc>
          <w:tcPr>
            <w:tcW w:w="1003" w:type="dxa"/>
            <w:tcBorders>
              <w:top w:val="double" w:sz="4" w:space="0" w:color="auto"/>
              <w:bottom w:val="single" w:sz="4" w:space="0" w:color="auto"/>
            </w:tcBorders>
          </w:tcPr>
          <w:p w14:paraId="45B0DAB7"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(2)</w:t>
            </w:r>
          </w:p>
        </w:tc>
        <w:tc>
          <w:tcPr>
            <w:tcW w:w="1003" w:type="dxa"/>
            <w:tcBorders>
              <w:top w:val="double" w:sz="4" w:space="0" w:color="auto"/>
              <w:bottom w:val="single" w:sz="4" w:space="0" w:color="auto"/>
            </w:tcBorders>
          </w:tcPr>
          <w:p w14:paraId="2CC37027"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(3)</w:t>
            </w:r>
          </w:p>
        </w:tc>
        <w:tc>
          <w:tcPr>
            <w:tcW w:w="1002" w:type="dxa"/>
            <w:tcBorders>
              <w:top w:val="double" w:sz="4" w:space="0" w:color="auto"/>
              <w:bottom w:val="single" w:sz="4" w:space="0" w:color="auto"/>
            </w:tcBorders>
          </w:tcPr>
          <w:p w14:paraId="60B2618E"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(4)</w:t>
            </w:r>
          </w:p>
        </w:tc>
        <w:tc>
          <w:tcPr>
            <w:tcW w:w="1007" w:type="dxa"/>
            <w:tcBorders>
              <w:top w:val="double" w:sz="4" w:space="0" w:color="auto"/>
              <w:bottom w:val="single" w:sz="4" w:space="0" w:color="auto"/>
            </w:tcBorders>
          </w:tcPr>
          <w:p w14:paraId="3655792D"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(5)</w:t>
            </w:r>
          </w:p>
        </w:tc>
        <w:tc>
          <w:tcPr>
            <w:tcW w:w="937" w:type="dxa"/>
            <w:tcBorders>
              <w:top w:val="double" w:sz="4" w:space="0" w:color="auto"/>
              <w:bottom w:val="single" w:sz="4" w:space="0" w:color="auto"/>
            </w:tcBorders>
          </w:tcPr>
          <w:p w14:paraId="08167F1B"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(6)</w:t>
            </w:r>
          </w:p>
        </w:tc>
      </w:tr>
      <w:tr w:rsidR="00BA4455" w:rsidRPr="0006003D" w14:paraId="549B9BBC" w14:textId="77777777" w:rsidTr="002227B1">
        <w:tc>
          <w:tcPr>
            <w:tcW w:w="1162" w:type="dxa"/>
            <w:tcBorders>
              <w:top w:val="single" w:sz="4" w:space="0" w:color="auto"/>
              <w:bottom w:val="single" w:sz="4" w:space="0" w:color="auto"/>
            </w:tcBorders>
          </w:tcPr>
          <w:p w14:paraId="20E0141E" w14:textId="77777777" w:rsidR="007215E7" w:rsidRPr="002227B1" w:rsidRDefault="007215E7"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Portfolio:</w:t>
            </w:r>
          </w:p>
        </w:tc>
        <w:tc>
          <w:tcPr>
            <w:tcW w:w="972" w:type="dxa"/>
            <w:tcBorders>
              <w:top w:val="single" w:sz="4" w:space="0" w:color="auto"/>
              <w:bottom w:val="single" w:sz="4" w:space="0" w:color="auto"/>
            </w:tcBorders>
          </w:tcPr>
          <w:p w14:paraId="4F70976B"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Illiquid</w:t>
            </w:r>
          </w:p>
        </w:tc>
        <w:tc>
          <w:tcPr>
            <w:tcW w:w="1003" w:type="dxa"/>
            <w:tcBorders>
              <w:top w:val="single" w:sz="4" w:space="0" w:color="auto"/>
              <w:bottom w:val="single" w:sz="4" w:space="0" w:color="auto"/>
            </w:tcBorders>
          </w:tcPr>
          <w:p w14:paraId="2D6DB984"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2</w:t>
            </w:r>
          </w:p>
        </w:tc>
        <w:tc>
          <w:tcPr>
            <w:tcW w:w="1003" w:type="dxa"/>
            <w:tcBorders>
              <w:top w:val="single" w:sz="4" w:space="0" w:color="auto"/>
              <w:bottom w:val="single" w:sz="4" w:space="0" w:color="auto"/>
            </w:tcBorders>
          </w:tcPr>
          <w:p w14:paraId="6572C808"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3</w:t>
            </w:r>
          </w:p>
        </w:tc>
        <w:tc>
          <w:tcPr>
            <w:tcW w:w="1002" w:type="dxa"/>
            <w:tcBorders>
              <w:top w:val="single" w:sz="4" w:space="0" w:color="auto"/>
              <w:bottom w:val="single" w:sz="4" w:space="0" w:color="auto"/>
            </w:tcBorders>
          </w:tcPr>
          <w:p w14:paraId="7F70B4E4"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4</w:t>
            </w:r>
          </w:p>
        </w:tc>
        <w:tc>
          <w:tcPr>
            <w:tcW w:w="1007" w:type="dxa"/>
            <w:tcBorders>
              <w:top w:val="single" w:sz="4" w:space="0" w:color="auto"/>
              <w:bottom w:val="single" w:sz="4" w:space="0" w:color="auto"/>
            </w:tcBorders>
          </w:tcPr>
          <w:p w14:paraId="21D894CD" w14:textId="7777777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Liquid</w:t>
            </w:r>
          </w:p>
        </w:tc>
        <w:tc>
          <w:tcPr>
            <w:tcW w:w="937" w:type="dxa"/>
            <w:tcBorders>
              <w:top w:val="single" w:sz="4" w:space="0" w:color="auto"/>
              <w:bottom w:val="single" w:sz="4" w:space="0" w:color="auto"/>
            </w:tcBorders>
          </w:tcPr>
          <w:p w14:paraId="0CD14DA0" w14:textId="3852C997" w:rsidR="007215E7" w:rsidRPr="002227B1" w:rsidRDefault="007215E7" w:rsidP="0006003D">
            <w:pPr>
              <w:pStyle w:val="FootnoteText"/>
              <w:jc w:val="center"/>
              <w:rPr>
                <w:rFonts w:ascii="Times New Roman" w:eastAsia="Arial" w:hAnsi="Times New Roman" w:cs="Times New Roman"/>
                <w:sz w:val="18"/>
                <w:szCs w:val="18"/>
              </w:rPr>
            </w:pPr>
            <w:r w:rsidRPr="002227B1">
              <w:rPr>
                <w:rFonts w:ascii="Times New Roman" w:eastAsia="Arial" w:hAnsi="Times New Roman" w:cs="Times New Roman"/>
                <w:sz w:val="18"/>
                <w:szCs w:val="18"/>
              </w:rPr>
              <w:t>IM</w:t>
            </w:r>
            <w:r w:rsidR="00985551">
              <w:rPr>
                <w:rFonts w:ascii="Times New Roman" w:eastAsia="Arial" w:hAnsi="Times New Roman" w:cs="Times New Roman"/>
                <w:sz w:val="18"/>
                <w:szCs w:val="18"/>
              </w:rPr>
              <w:t>L</w:t>
            </w:r>
          </w:p>
        </w:tc>
      </w:tr>
      <w:tr w:rsidR="007215E7" w:rsidRPr="0006003D" w14:paraId="3D6C52AB" w14:textId="77777777" w:rsidTr="002227B1">
        <w:tc>
          <w:tcPr>
            <w:tcW w:w="1162" w:type="dxa"/>
            <w:vMerge w:val="restart"/>
            <w:tcBorders>
              <w:top w:val="single" w:sz="4" w:space="0" w:color="auto"/>
            </w:tcBorders>
          </w:tcPr>
          <w:p w14:paraId="70B2665E" w14:textId="23DD1D7E" w:rsidR="007215E7" w:rsidRPr="002227B1" w:rsidRDefault="007215E7"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Liquidity (Sovereign)</w:t>
            </w:r>
          </w:p>
        </w:tc>
        <w:tc>
          <w:tcPr>
            <w:tcW w:w="972" w:type="dxa"/>
            <w:tcBorders>
              <w:top w:val="single" w:sz="4" w:space="0" w:color="auto"/>
            </w:tcBorders>
          </w:tcPr>
          <w:p w14:paraId="070E13A5" w14:textId="02EE48AF"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0.01</w:t>
            </w:r>
            <w:r w:rsidR="00827894" w:rsidRPr="002227B1">
              <w:rPr>
                <w:rFonts w:ascii="Times New Roman" w:eastAsia="Arial" w:hAnsi="Times New Roman" w:cs="Times New Roman"/>
                <w:sz w:val="18"/>
                <w:szCs w:val="18"/>
              </w:rPr>
              <w:t>3</w:t>
            </w:r>
            <w:r w:rsidRPr="002227B1">
              <w:rPr>
                <w:rFonts w:ascii="Times New Roman" w:eastAsia="Arial" w:hAnsi="Times New Roman" w:cs="Times New Roman"/>
                <w:sz w:val="18"/>
                <w:szCs w:val="18"/>
              </w:rPr>
              <w:t>***</w:t>
            </w:r>
          </w:p>
        </w:tc>
        <w:tc>
          <w:tcPr>
            <w:tcW w:w="1003" w:type="dxa"/>
            <w:tcBorders>
              <w:top w:val="single" w:sz="4" w:space="0" w:color="auto"/>
            </w:tcBorders>
          </w:tcPr>
          <w:p w14:paraId="42145F35" w14:textId="05AC0BC1"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0.006***</w:t>
            </w:r>
          </w:p>
        </w:tc>
        <w:tc>
          <w:tcPr>
            <w:tcW w:w="1003" w:type="dxa"/>
            <w:tcBorders>
              <w:top w:val="single" w:sz="4" w:space="0" w:color="auto"/>
            </w:tcBorders>
          </w:tcPr>
          <w:p w14:paraId="22954BEC" w14:textId="5332827C"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0.007***</w:t>
            </w:r>
          </w:p>
        </w:tc>
        <w:tc>
          <w:tcPr>
            <w:tcW w:w="1002" w:type="dxa"/>
            <w:tcBorders>
              <w:top w:val="single" w:sz="4" w:space="0" w:color="auto"/>
            </w:tcBorders>
          </w:tcPr>
          <w:p w14:paraId="548E6424" w14:textId="3C0E2CF0"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 xml:space="preserve">0.008***  </w:t>
            </w:r>
          </w:p>
        </w:tc>
        <w:tc>
          <w:tcPr>
            <w:tcW w:w="1007" w:type="dxa"/>
            <w:tcBorders>
              <w:top w:val="single" w:sz="4" w:space="0" w:color="auto"/>
            </w:tcBorders>
          </w:tcPr>
          <w:p w14:paraId="75A496E3" w14:textId="02F4D7EF"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w:t>
            </w:r>
            <w:r w:rsidR="00AE5D4B" w:rsidRPr="002227B1">
              <w:rPr>
                <w:rFonts w:ascii="Times New Roman" w:eastAsia="Arial" w:hAnsi="Times New Roman" w:cs="Times New Roman"/>
                <w:sz w:val="18"/>
                <w:szCs w:val="18"/>
              </w:rPr>
              <w:t>6</w:t>
            </w:r>
            <w:r w:rsidRPr="002227B1">
              <w:rPr>
                <w:rFonts w:ascii="Times New Roman" w:eastAsia="Arial" w:hAnsi="Times New Roman" w:cs="Times New Roman"/>
                <w:sz w:val="18"/>
                <w:szCs w:val="18"/>
              </w:rPr>
              <w:t>***</w:t>
            </w:r>
          </w:p>
        </w:tc>
        <w:tc>
          <w:tcPr>
            <w:tcW w:w="937" w:type="dxa"/>
            <w:tcBorders>
              <w:top w:val="single" w:sz="4" w:space="0" w:color="auto"/>
            </w:tcBorders>
          </w:tcPr>
          <w:p w14:paraId="463D6C30" w14:textId="037C745A"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w:t>
            </w:r>
            <w:r w:rsidR="00AE5D4B" w:rsidRPr="002227B1">
              <w:rPr>
                <w:rFonts w:ascii="Times New Roman" w:eastAsia="Arial" w:hAnsi="Times New Roman" w:cs="Times New Roman"/>
                <w:sz w:val="18"/>
                <w:szCs w:val="18"/>
              </w:rPr>
              <w:t>8</w:t>
            </w:r>
            <w:r w:rsidRPr="002227B1">
              <w:rPr>
                <w:rFonts w:ascii="Times New Roman" w:eastAsia="Arial" w:hAnsi="Times New Roman" w:cs="Times New Roman"/>
                <w:sz w:val="18"/>
                <w:szCs w:val="18"/>
              </w:rPr>
              <w:t>*</w:t>
            </w:r>
          </w:p>
        </w:tc>
      </w:tr>
      <w:tr w:rsidR="007215E7" w:rsidRPr="0006003D" w14:paraId="79CB9E24" w14:textId="77777777" w:rsidTr="002227B1">
        <w:trPr>
          <w:trHeight w:val="299"/>
        </w:trPr>
        <w:tc>
          <w:tcPr>
            <w:tcW w:w="1162" w:type="dxa"/>
            <w:vMerge/>
          </w:tcPr>
          <w:p w14:paraId="7FAC2CCE" w14:textId="77777777" w:rsidR="007215E7" w:rsidRPr="002227B1" w:rsidRDefault="007215E7" w:rsidP="0006003D">
            <w:pPr>
              <w:pStyle w:val="FootnoteText"/>
              <w:rPr>
                <w:rFonts w:ascii="Times New Roman" w:eastAsia="Arial" w:hAnsi="Times New Roman" w:cs="Times New Roman"/>
                <w:sz w:val="18"/>
                <w:szCs w:val="18"/>
              </w:rPr>
            </w:pPr>
          </w:p>
        </w:tc>
        <w:tc>
          <w:tcPr>
            <w:tcW w:w="972" w:type="dxa"/>
          </w:tcPr>
          <w:p w14:paraId="0B3FCE01" w14:textId="568C279B"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(3.</w:t>
            </w:r>
            <w:r w:rsidR="00AE5D4B" w:rsidRPr="002227B1">
              <w:rPr>
                <w:rFonts w:ascii="Times New Roman" w:eastAsia="Arial" w:hAnsi="Times New Roman" w:cs="Times New Roman"/>
                <w:sz w:val="18"/>
                <w:szCs w:val="18"/>
              </w:rPr>
              <w:t>35</w:t>
            </w:r>
            <w:r w:rsidRPr="002227B1">
              <w:rPr>
                <w:rFonts w:ascii="Times New Roman" w:eastAsia="Arial" w:hAnsi="Times New Roman" w:cs="Times New Roman"/>
                <w:sz w:val="18"/>
                <w:szCs w:val="18"/>
              </w:rPr>
              <w:t>)</w:t>
            </w:r>
          </w:p>
        </w:tc>
        <w:tc>
          <w:tcPr>
            <w:tcW w:w="1003" w:type="dxa"/>
          </w:tcPr>
          <w:p w14:paraId="29CEB6E2" w14:textId="4544259F" w:rsidR="007215E7" w:rsidRPr="002227B1" w:rsidRDefault="00AE5D4B"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(2.71</w:t>
            </w:r>
            <w:r w:rsidR="007215E7" w:rsidRPr="002227B1">
              <w:rPr>
                <w:rFonts w:ascii="Times New Roman" w:eastAsia="Arial" w:hAnsi="Times New Roman" w:cs="Times New Roman"/>
                <w:sz w:val="18"/>
                <w:szCs w:val="18"/>
              </w:rPr>
              <w:t>)</w:t>
            </w:r>
          </w:p>
        </w:tc>
        <w:tc>
          <w:tcPr>
            <w:tcW w:w="1003" w:type="dxa"/>
          </w:tcPr>
          <w:p w14:paraId="7A4AD09E" w14:textId="2C8231FF"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AE5D4B" w:rsidRPr="002227B1">
              <w:rPr>
                <w:rFonts w:ascii="Times New Roman" w:eastAsia="Arial" w:hAnsi="Times New Roman" w:cs="Times New Roman"/>
                <w:sz w:val="18"/>
                <w:szCs w:val="18"/>
              </w:rPr>
              <w:t>5.05</w:t>
            </w:r>
            <w:r w:rsidRPr="002227B1">
              <w:rPr>
                <w:rFonts w:ascii="Times New Roman" w:eastAsia="Arial" w:hAnsi="Times New Roman" w:cs="Times New Roman"/>
                <w:sz w:val="18"/>
                <w:szCs w:val="18"/>
              </w:rPr>
              <w:t>)</w:t>
            </w:r>
          </w:p>
        </w:tc>
        <w:tc>
          <w:tcPr>
            <w:tcW w:w="1002" w:type="dxa"/>
          </w:tcPr>
          <w:p w14:paraId="23323968" w14:textId="5E5D3B9D"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AE5D4B" w:rsidRPr="002227B1">
              <w:rPr>
                <w:rFonts w:ascii="Times New Roman" w:eastAsia="Arial" w:hAnsi="Times New Roman" w:cs="Times New Roman"/>
                <w:sz w:val="18"/>
                <w:szCs w:val="18"/>
              </w:rPr>
              <w:t>3.84</w:t>
            </w:r>
            <w:r w:rsidRPr="002227B1">
              <w:rPr>
                <w:rFonts w:ascii="Times New Roman" w:eastAsia="Arial" w:hAnsi="Times New Roman" w:cs="Times New Roman"/>
                <w:sz w:val="18"/>
                <w:szCs w:val="18"/>
              </w:rPr>
              <w:t>)</w:t>
            </w:r>
          </w:p>
        </w:tc>
        <w:tc>
          <w:tcPr>
            <w:tcW w:w="1007" w:type="dxa"/>
          </w:tcPr>
          <w:p w14:paraId="58D115EF" w14:textId="1D998690"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AE5D4B" w:rsidRPr="002227B1">
              <w:rPr>
                <w:rFonts w:ascii="Times New Roman" w:eastAsia="Arial" w:hAnsi="Times New Roman" w:cs="Times New Roman"/>
                <w:sz w:val="18"/>
                <w:szCs w:val="18"/>
              </w:rPr>
              <w:t>5.42</w:t>
            </w:r>
            <w:r w:rsidRPr="002227B1">
              <w:rPr>
                <w:rFonts w:ascii="Times New Roman" w:eastAsia="Arial" w:hAnsi="Times New Roman" w:cs="Times New Roman"/>
                <w:sz w:val="18"/>
                <w:szCs w:val="18"/>
              </w:rPr>
              <w:t>)</w:t>
            </w:r>
          </w:p>
        </w:tc>
        <w:tc>
          <w:tcPr>
            <w:tcW w:w="937" w:type="dxa"/>
          </w:tcPr>
          <w:p w14:paraId="684352C7" w14:textId="4142236D" w:rsidR="007215E7" w:rsidRPr="002227B1" w:rsidRDefault="00AE5D4B"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(1.91</w:t>
            </w:r>
            <w:r w:rsidR="007215E7" w:rsidRPr="002227B1">
              <w:rPr>
                <w:rFonts w:ascii="Times New Roman" w:eastAsia="Arial" w:hAnsi="Times New Roman" w:cs="Times New Roman"/>
                <w:sz w:val="18"/>
                <w:szCs w:val="18"/>
              </w:rPr>
              <w:t>)</w:t>
            </w:r>
          </w:p>
        </w:tc>
      </w:tr>
      <w:tr w:rsidR="007215E7" w:rsidRPr="0006003D" w14:paraId="673A677B" w14:textId="77777777" w:rsidTr="002227B1">
        <w:tc>
          <w:tcPr>
            <w:tcW w:w="1162" w:type="dxa"/>
            <w:vMerge w:val="restart"/>
          </w:tcPr>
          <w:p w14:paraId="137EC2F7" w14:textId="77777777" w:rsidR="007215E7" w:rsidRPr="002227B1" w:rsidRDefault="007215E7"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Credit (Export)</w:t>
            </w:r>
          </w:p>
        </w:tc>
        <w:tc>
          <w:tcPr>
            <w:tcW w:w="972" w:type="dxa"/>
          </w:tcPr>
          <w:p w14:paraId="010A4930" w14:textId="07D9ABCE"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2227B1">
              <w:rPr>
                <w:rFonts w:ascii="Times New Roman" w:eastAsia="Arial" w:hAnsi="Times New Roman" w:cs="Times New Roman"/>
                <w:sz w:val="18"/>
                <w:szCs w:val="18"/>
              </w:rPr>
              <w:t>0.</w:t>
            </w:r>
            <w:r w:rsidR="00AE5D4B" w:rsidRPr="002227B1">
              <w:rPr>
                <w:rFonts w:ascii="Times New Roman" w:eastAsia="Arial" w:hAnsi="Times New Roman" w:cs="Times New Roman"/>
                <w:sz w:val="18"/>
                <w:szCs w:val="18"/>
              </w:rPr>
              <w:t>250</w:t>
            </w:r>
          </w:p>
        </w:tc>
        <w:tc>
          <w:tcPr>
            <w:tcW w:w="1003" w:type="dxa"/>
          </w:tcPr>
          <w:p w14:paraId="02A6668C" w14:textId="376BF04B"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AE5D4B" w:rsidRPr="002227B1">
              <w:rPr>
                <w:rFonts w:ascii="Times New Roman" w:eastAsia="Arial" w:hAnsi="Times New Roman" w:cs="Times New Roman"/>
                <w:sz w:val="18"/>
                <w:szCs w:val="18"/>
              </w:rPr>
              <w:t>0.063</w:t>
            </w:r>
          </w:p>
        </w:tc>
        <w:tc>
          <w:tcPr>
            <w:tcW w:w="1003" w:type="dxa"/>
          </w:tcPr>
          <w:p w14:paraId="44B8AD80" w14:textId="39EE4B98"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2227B1">
              <w:rPr>
                <w:rFonts w:ascii="Times New Roman" w:eastAsia="Arial" w:hAnsi="Times New Roman" w:cs="Times New Roman"/>
                <w:sz w:val="18"/>
                <w:szCs w:val="18"/>
              </w:rPr>
              <w:t>0.01</w:t>
            </w:r>
            <w:r w:rsidR="00AE5D4B" w:rsidRPr="002227B1">
              <w:rPr>
                <w:rFonts w:ascii="Times New Roman" w:eastAsia="Arial" w:hAnsi="Times New Roman" w:cs="Times New Roman"/>
                <w:sz w:val="18"/>
                <w:szCs w:val="18"/>
              </w:rPr>
              <w:t>1</w:t>
            </w:r>
          </w:p>
        </w:tc>
        <w:tc>
          <w:tcPr>
            <w:tcW w:w="1002" w:type="dxa"/>
          </w:tcPr>
          <w:p w14:paraId="7BE4E604" w14:textId="05DEB3B5"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AE5D4B" w:rsidRPr="002227B1">
              <w:rPr>
                <w:rFonts w:ascii="Times New Roman" w:eastAsia="Arial" w:hAnsi="Times New Roman" w:cs="Times New Roman"/>
                <w:sz w:val="18"/>
                <w:szCs w:val="18"/>
              </w:rPr>
              <w:t>0.043</w:t>
            </w:r>
          </w:p>
        </w:tc>
        <w:tc>
          <w:tcPr>
            <w:tcW w:w="1007" w:type="dxa"/>
          </w:tcPr>
          <w:p w14:paraId="1759293B" w14:textId="578DCAA9"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AE5D4B" w:rsidRPr="002227B1">
              <w:rPr>
                <w:rFonts w:ascii="Times New Roman" w:eastAsia="Arial" w:hAnsi="Times New Roman" w:cs="Times New Roman"/>
                <w:sz w:val="18"/>
                <w:szCs w:val="18"/>
              </w:rPr>
              <w:t>0.036</w:t>
            </w:r>
            <w:r w:rsidR="007215E7" w:rsidRPr="002227B1">
              <w:rPr>
                <w:rFonts w:ascii="Times New Roman" w:eastAsia="Arial" w:hAnsi="Times New Roman" w:cs="Times New Roman"/>
                <w:sz w:val="18"/>
                <w:szCs w:val="18"/>
              </w:rPr>
              <w:t>**</w:t>
            </w:r>
          </w:p>
        </w:tc>
        <w:tc>
          <w:tcPr>
            <w:tcW w:w="937" w:type="dxa"/>
          </w:tcPr>
          <w:p w14:paraId="528F86FD" w14:textId="3ABF9C75"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AE5D4B" w:rsidRPr="002227B1">
              <w:rPr>
                <w:rFonts w:ascii="Times New Roman" w:eastAsia="Arial" w:hAnsi="Times New Roman" w:cs="Times New Roman"/>
                <w:sz w:val="18"/>
                <w:szCs w:val="18"/>
              </w:rPr>
              <w:t>0.215</w:t>
            </w:r>
          </w:p>
        </w:tc>
      </w:tr>
      <w:tr w:rsidR="007215E7" w:rsidRPr="0006003D" w14:paraId="30717113" w14:textId="77777777" w:rsidTr="002227B1">
        <w:tc>
          <w:tcPr>
            <w:tcW w:w="1162" w:type="dxa"/>
            <w:vMerge/>
          </w:tcPr>
          <w:p w14:paraId="46A0D624" w14:textId="77777777" w:rsidR="007215E7" w:rsidRPr="002227B1" w:rsidRDefault="007215E7" w:rsidP="0006003D">
            <w:pPr>
              <w:pStyle w:val="FootnoteText"/>
              <w:rPr>
                <w:rFonts w:ascii="Times New Roman" w:eastAsia="Arial" w:hAnsi="Times New Roman" w:cs="Times New Roman"/>
                <w:sz w:val="18"/>
                <w:szCs w:val="18"/>
              </w:rPr>
            </w:pPr>
          </w:p>
        </w:tc>
        <w:tc>
          <w:tcPr>
            <w:tcW w:w="972" w:type="dxa"/>
          </w:tcPr>
          <w:p w14:paraId="2343F19B" w14:textId="64F86DA3" w:rsidR="007215E7" w:rsidRPr="002227B1" w:rsidRDefault="00BA4455"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Pr="002227B1">
              <w:rPr>
                <w:rFonts w:ascii="Times New Roman" w:eastAsia="Arial" w:hAnsi="Times New Roman" w:cs="Times New Roman"/>
                <w:sz w:val="18"/>
                <w:szCs w:val="18"/>
              </w:rPr>
              <w:t>1.40</w:t>
            </w:r>
            <w:r w:rsidR="007215E7" w:rsidRPr="002227B1">
              <w:rPr>
                <w:rFonts w:ascii="Times New Roman" w:eastAsia="Arial" w:hAnsi="Times New Roman" w:cs="Times New Roman"/>
                <w:sz w:val="18"/>
                <w:szCs w:val="18"/>
              </w:rPr>
              <w:t>)</w:t>
            </w:r>
          </w:p>
        </w:tc>
        <w:tc>
          <w:tcPr>
            <w:tcW w:w="1003" w:type="dxa"/>
          </w:tcPr>
          <w:p w14:paraId="00988893" w14:textId="49861009" w:rsidR="007215E7" w:rsidRPr="002227B1" w:rsidRDefault="007215E7"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1</w:t>
            </w:r>
            <w:r w:rsidRPr="002227B1">
              <w:rPr>
                <w:rFonts w:ascii="Times New Roman" w:eastAsia="Arial" w:hAnsi="Times New Roman" w:cs="Times New Roman"/>
                <w:sz w:val="18"/>
                <w:szCs w:val="18"/>
              </w:rPr>
              <w:t>.08)</w:t>
            </w:r>
          </w:p>
        </w:tc>
        <w:tc>
          <w:tcPr>
            <w:tcW w:w="1003" w:type="dxa"/>
          </w:tcPr>
          <w:p w14:paraId="76BC2AE4" w14:textId="1F2D9352" w:rsidR="007215E7" w:rsidRPr="002227B1" w:rsidRDefault="00BA4455"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Pr="002227B1">
              <w:rPr>
                <w:rFonts w:ascii="Times New Roman" w:eastAsia="Arial" w:hAnsi="Times New Roman" w:cs="Times New Roman"/>
                <w:sz w:val="18"/>
                <w:szCs w:val="18"/>
              </w:rPr>
              <w:t>0</w:t>
            </w:r>
            <w:r w:rsidR="007215E7" w:rsidRPr="002227B1">
              <w:rPr>
                <w:rFonts w:ascii="Times New Roman" w:eastAsia="Arial" w:hAnsi="Times New Roman" w:cs="Times New Roman"/>
                <w:sz w:val="18"/>
                <w:szCs w:val="18"/>
              </w:rPr>
              <w:t>.</w:t>
            </w:r>
            <w:r w:rsidRPr="002227B1">
              <w:rPr>
                <w:rFonts w:ascii="Times New Roman" w:eastAsia="Arial" w:hAnsi="Times New Roman" w:cs="Times New Roman"/>
                <w:sz w:val="18"/>
                <w:szCs w:val="18"/>
              </w:rPr>
              <w:t>24</w:t>
            </w:r>
            <w:r w:rsidR="007215E7" w:rsidRPr="002227B1">
              <w:rPr>
                <w:rFonts w:ascii="Times New Roman" w:eastAsia="Arial" w:hAnsi="Times New Roman" w:cs="Times New Roman"/>
                <w:sz w:val="18"/>
                <w:szCs w:val="18"/>
              </w:rPr>
              <w:t>)</w:t>
            </w:r>
          </w:p>
        </w:tc>
        <w:tc>
          <w:tcPr>
            <w:tcW w:w="1002" w:type="dxa"/>
          </w:tcPr>
          <w:p w14:paraId="2BC67593" w14:textId="743462DD" w:rsidR="007215E7" w:rsidRPr="002227B1" w:rsidRDefault="00BA4455"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Pr="002227B1">
              <w:rPr>
                <w:rFonts w:ascii="Times New Roman" w:eastAsia="Arial" w:hAnsi="Times New Roman" w:cs="Times New Roman"/>
                <w:sz w:val="18"/>
                <w:szCs w:val="18"/>
              </w:rPr>
              <w:t>1.16</w:t>
            </w:r>
            <w:r w:rsidR="007215E7" w:rsidRPr="002227B1">
              <w:rPr>
                <w:rFonts w:ascii="Times New Roman" w:eastAsia="Arial" w:hAnsi="Times New Roman" w:cs="Times New Roman"/>
                <w:sz w:val="18"/>
                <w:szCs w:val="18"/>
              </w:rPr>
              <w:t>)</w:t>
            </w:r>
          </w:p>
        </w:tc>
        <w:tc>
          <w:tcPr>
            <w:tcW w:w="1007" w:type="dxa"/>
          </w:tcPr>
          <w:p w14:paraId="77995A72" w14:textId="46F20D21" w:rsidR="007215E7" w:rsidRPr="002227B1" w:rsidRDefault="007215E7"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0.70</w:t>
            </w:r>
            <w:r w:rsidRPr="002227B1">
              <w:rPr>
                <w:rFonts w:ascii="Times New Roman" w:eastAsia="Arial" w:hAnsi="Times New Roman" w:cs="Times New Roman"/>
                <w:sz w:val="18"/>
                <w:szCs w:val="18"/>
              </w:rPr>
              <w:t>)</w:t>
            </w:r>
          </w:p>
        </w:tc>
        <w:tc>
          <w:tcPr>
            <w:tcW w:w="937" w:type="dxa"/>
          </w:tcPr>
          <w:p w14:paraId="512FC3A5" w14:textId="727275F5" w:rsidR="007215E7" w:rsidRPr="002227B1" w:rsidRDefault="007215E7"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1.28</w:t>
            </w:r>
            <w:r w:rsidRPr="002227B1">
              <w:rPr>
                <w:rFonts w:ascii="Times New Roman" w:eastAsia="Arial" w:hAnsi="Times New Roman" w:cs="Times New Roman"/>
                <w:sz w:val="18"/>
                <w:szCs w:val="18"/>
              </w:rPr>
              <w:t>)</w:t>
            </w:r>
          </w:p>
        </w:tc>
      </w:tr>
      <w:tr w:rsidR="007215E7" w:rsidRPr="0006003D" w14:paraId="4A07E701" w14:textId="77777777" w:rsidTr="002227B1">
        <w:tc>
          <w:tcPr>
            <w:tcW w:w="1162" w:type="dxa"/>
            <w:vMerge w:val="restart"/>
          </w:tcPr>
          <w:p w14:paraId="0B0BC178" w14:textId="77777777" w:rsidR="007215E7" w:rsidRPr="002227B1" w:rsidRDefault="007215E7"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Credit (Deficit)</w:t>
            </w:r>
          </w:p>
        </w:tc>
        <w:tc>
          <w:tcPr>
            <w:tcW w:w="972" w:type="dxa"/>
          </w:tcPr>
          <w:p w14:paraId="5D09CAB8" w14:textId="04455845"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2227B1">
              <w:rPr>
                <w:rFonts w:ascii="Times New Roman" w:eastAsia="Arial" w:hAnsi="Times New Roman" w:cs="Times New Roman"/>
                <w:sz w:val="18"/>
                <w:szCs w:val="18"/>
              </w:rPr>
              <w:t>0.</w:t>
            </w:r>
            <w:r w:rsidR="00BA4455" w:rsidRPr="002227B1">
              <w:rPr>
                <w:rFonts w:ascii="Times New Roman" w:eastAsia="Arial" w:hAnsi="Times New Roman" w:cs="Times New Roman"/>
                <w:sz w:val="18"/>
                <w:szCs w:val="18"/>
              </w:rPr>
              <w:t>277</w:t>
            </w:r>
            <w:r w:rsidR="007215E7" w:rsidRPr="002227B1">
              <w:rPr>
                <w:rFonts w:ascii="Times New Roman" w:eastAsia="Arial" w:hAnsi="Times New Roman" w:cs="Times New Roman"/>
                <w:sz w:val="18"/>
                <w:szCs w:val="18"/>
              </w:rPr>
              <w:t>*</w:t>
            </w:r>
          </w:p>
        </w:tc>
        <w:tc>
          <w:tcPr>
            <w:tcW w:w="1003" w:type="dxa"/>
          </w:tcPr>
          <w:p w14:paraId="5BB2E28A" w14:textId="2F81F379"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0.17</w:t>
            </w:r>
            <w:r w:rsidR="007215E7" w:rsidRPr="002227B1">
              <w:rPr>
                <w:rFonts w:ascii="Times New Roman" w:eastAsia="Arial" w:hAnsi="Times New Roman" w:cs="Times New Roman"/>
                <w:sz w:val="18"/>
                <w:szCs w:val="18"/>
              </w:rPr>
              <w:t>9</w:t>
            </w:r>
            <w:r w:rsidR="00BA4455" w:rsidRPr="002227B1">
              <w:rPr>
                <w:rFonts w:ascii="Times New Roman" w:eastAsia="Arial" w:hAnsi="Times New Roman" w:cs="Times New Roman"/>
                <w:sz w:val="18"/>
                <w:szCs w:val="18"/>
              </w:rPr>
              <w:t>***</w:t>
            </w:r>
          </w:p>
        </w:tc>
        <w:tc>
          <w:tcPr>
            <w:tcW w:w="1003" w:type="dxa"/>
          </w:tcPr>
          <w:p w14:paraId="78A99EF9" w14:textId="7AB70071"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0.175*</w:t>
            </w:r>
            <w:r w:rsidR="007215E7" w:rsidRPr="002227B1">
              <w:rPr>
                <w:rFonts w:ascii="Times New Roman" w:eastAsia="Arial" w:hAnsi="Times New Roman" w:cs="Times New Roman"/>
                <w:sz w:val="18"/>
                <w:szCs w:val="18"/>
              </w:rPr>
              <w:t>**</w:t>
            </w:r>
          </w:p>
        </w:tc>
        <w:tc>
          <w:tcPr>
            <w:tcW w:w="1002" w:type="dxa"/>
          </w:tcPr>
          <w:p w14:paraId="1E44A44E" w14:textId="072BE43C" w:rsidR="007215E7"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0.0109</w:t>
            </w:r>
          </w:p>
        </w:tc>
        <w:tc>
          <w:tcPr>
            <w:tcW w:w="1007" w:type="dxa"/>
          </w:tcPr>
          <w:p w14:paraId="4A6002E7" w14:textId="1B21B364" w:rsidR="007215E7"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0.0212</w:t>
            </w:r>
          </w:p>
        </w:tc>
        <w:tc>
          <w:tcPr>
            <w:tcW w:w="937" w:type="dxa"/>
          </w:tcPr>
          <w:p w14:paraId="605C2518" w14:textId="0234561C" w:rsidR="007215E7"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7215E7" w:rsidRPr="002227B1">
              <w:rPr>
                <w:rFonts w:ascii="Times New Roman" w:eastAsia="Arial" w:hAnsi="Times New Roman" w:cs="Times New Roman"/>
                <w:sz w:val="18"/>
                <w:szCs w:val="18"/>
              </w:rPr>
              <w:t>0.</w:t>
            </w:r>
            <w:r w:rsidR="00BA4455" w:rsidRPr="002227B1">
              <w:rPr>
                <w:rFonts w:ascii="Times New Roman" w:eastAsia="Arial" w:hAnsi="Times New Roman" w:cs="Times New Roman"/>
                <w:sz w:val="18"/>
                <w:szCs w:val="18"/>
              </w:rPr>
              <w:t>296**</w:t>
            </w:r>
          </w:p>
        </w:tc>
      </w:tr>
      <w:tr w:rsidR="007215E7" w:rsidRPr="0006003D" w14:paraId="7369D40E" w14:textId="77777777" w:rsidTr="002227B1">
        <w:tc>
          <w:tcPr>
            <w:tcW w:w="1162" w:type="dxa"/>
            <w:vMerge/>
          </w:tcPr>
          <w:p w14:paraId="2C35F0AC" w14:textId="77777777" w:rsidR="007215E7" w:rsidRPr="002227B1" w:rsidRDefault="007215E7" w:rsidP="0006003D">
            <w:pPr>
              <w:pStyle w:val="FootnoteText"/>
              <w:rPr>
                <w:rFonts w:ascii="Times New Roman" w:eastAsia="Arial" w:hAnsi="Times New Roman" w:cs="Times New Roman"/>
                <w:sz w:val="18"/>
                <w:szCs w:val="18"/>
              </w:rPr>
            </w:pPr>
          </w:p>
        </w:tc>
        <w:tc>
          <w:tcPr>
            <w:tcW w:w="972" w:type="dxa"/>
          </w:tcPr>
          <w:p w14:paraId="2C5ED220" w14:textId="104158DF" w:rsidR="007215E7" w:rsidRPr="002227B1" w:rsidRDefault="00BA4455"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Pr="002227B1">
              <w:rPr>
                <w:rFonts w:ascii="Times New Roman" w:eastAsia="Arial" w:hAnsi="Times New Roman" w:cs="Times New Roman"/>
                <w:sz w:val="18"/>
                <w:szCs w:val="18"/>
              </w:rPr>
              <w:t>1.91</w:t>
            </w:r>
            <w:r w:rsidR="007215E7" w:rsidRPr="002227B1">
              <w:rPr>
                <w:rFonts w:ascii="Times New Roman" w:eastAsia="Arial" w:hAnsi="Times New Roman" w:cs="Times New Roman"/>
                <w:sz w:val="18"/>
                <w:szCs w:val="18"/>
              </w:rPr>
              <w:t>)</w:t>
            </w:r>
          </w:p>
        </w:tc>
        <w:tc>
          <w:tcPr>
            <w:tcW w:w="1003" w:type="dxa"/>
          </w:tcPr>
          <w:p w14:paraId="4CAFCEB8" w14:textId="185706B5" w:rsidR="007215E7" w:rsidRPr="002227B1" w:rsidRDefault="007215E7"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3.08</w:t>
            </w:r>
            <w:r w:rsidRPr="002227B1">
              <w:rPr>
                <w:rFonts w:ascii="Times New Roman" w:eastAsia="Arial" w:hAnsi="Times New Roman" w:cs="Times New Roman"/>
                <w:sz w:val="18"/>
                <w:szCs w:val="18"/>
              </w:rPr>
              <w:t>)</w:t>
            </w:r>
          </w:p>
        </w:tc>
        <w:tc>
          <w:tcPr>
            <w:tcW w:w="1003" w:type="dxa"/>
          </w:tcPr>
          <w:p w14:paraId="0F9A526C" w14:textId="5C3BF5A1" w:rsidR="007215E7" w:rsidRPr="002227B1" w:rsidRDefault="007215E7"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4.26</w:t>
            </w:r>
            <w:r w:rsidRPr="002227B1">
              <w:rPr>
                <w:rFonts w:ascii="Times New Roman" w:eastAsia="Arial" w:hAnsi="Times New Roman" w:cs="Times New Roman"/>
                <w:sz w:val="18"/>
                <w:szCs w:val="18"/>
              </w:rPr>
              <w:t>)</w:t>
            </w:r>
          </w:p>
        </w:tc>
        <w:tc>
          <w:tcPr>
            <w:tcW w:w="1002" w:type="dxa"/>
          </w:tcPr>
          <w:p w14:paraId="2E58AA17" w14:textId="12B5EF6E" w:rsidR="007215E7" w:rsidRPr="002227B1" w:rsidRDefault="007215E7"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0.23</w:t>
            </w:r>
            <w:r w:rsidRPr="002227B1">
              <w:rPr>
                <w:rFonts w:ascii="Times New Roman" w:eastAsia="Arial" w:hAnsi="Times New Roman" w:cs="Times New Roman"/>
                <w:sz w:val="18"/>
                <w:szCs w:val="18"/>
              </w:rPr>
              <w:t>)</w:t>
            </w:r>
          </w:p>
        </w:tc>
        <w:tc>
          <w:tcPr>
            <w:tcW w:w="1007" w:type="dxa"/>
          </w:tcPr>
          <w:p w14:paraId="1A81F851" w14:textId="5B07832C" w:rsidR="007215E7"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(0.40</w:t>
            </w:r>
            <w:r w:rsidR="007215E7" w:rsidRPr="002227B1">
              <w:rPr>
                <w:rFonts w:ascii="Times New Roman" w:eastAsia="Arial" w:hAnsi="Times New Roman" w:cs="Times New Roman"/>
                <w:sz w:val="18"/>
                <w:szCs w:val="18"/>
              </w:rPr>
              <w:t>)</w:t>
            </w:r>
          </w:p>
        </w:tc>
        <w:tc>
          <w:tcPr>
            <w:tcW w:w="937" w:type="dxa"/>
          </w:tcPr>
          <w:p w14:paraId="07200B9A" w14:textId="79BA160A" w:rsidR="007215E7" w:rsidRPr="002227B1" w:rsidRDefault="007215E7"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2.14</w:t>
            </w:r>
            <w:r w:rsidRPr="002227B1">
              <w:rPr>
                <w:rFonts w:ascii="Times New Roman" w:eastAsia="Arial" w:hAnsi="Times New Roman" w:cs="Times New Roman"/>
                <w:sz w:val="18"/>
                <w:szCs w:val="18"/>
              </w:rPr>
              <w:t>)</w:t>
            </w:r>
          </w:p>
        </w:tc>
      </w:tr>
      <w:tr w:rsidR="00BA4455" w:rsidRPr="0006003D" w14:paraId="24930D8E" w14:textId="77777777" w:rsidTr="002227B1">
        <w:tc>
          <w:tcPr>
            <w:tcW w:w="1162" w:type="dxa"/>
          </w:tcPr>
          <w:p w14:paraId="3DF9175F" w14:textId="77777777" w:rsidR="00BA4455" w:rsidRPr="002227B1" w:rsidRDefault="00BA4455"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Term</w:t>
            </w:r>
          </w:p>
        </w:tc>
        <w:tc>
          <w:tcPr>
            <w:tcW w:w="972" w:type="dxa"/>
          </w:tcPr>
          <w:p w14:paraId="18025BC6" w14:textId="599C6CA5"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0.301</w:t>
            </w:r>
          </w:p>
        </w:tc>
        <w:tc>
          <w:tcPr>
            <w:tcW w:w="1003" w:type="dxa"/>
          </w:tcPr>
          <w:p w14:paraId="2D87809D" w14:textId="1385620C"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0.164*</w:t>
            </w:r>
          </w:p>
        </w:tc>
        <w:tc>
          <w:tcPr>
            <w:tcW w:w="1003" w:type="dxa"/>
          </w:tcPr>
          <w:p w14:paraId="425DDE07" w14:textId="1F661B4B"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0.266***</w:t>
            </w:r>
          </w:p>
        </w:tc>
        <w:tc>
          <w:tcPr>
            <w:tcW w:w="1002" w:type="dxa"/>
          </w:tcPr>
          <w:p w14:paraId="261B87F7" w14:textId="738918ED"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0.226***</w:t>
            </w:r>
          </w:p>
        </w:tc>
        <w:tc>
          <w:tcPr>
            <w:tcW w:w="1007" w:type="dxa"/>
          </w:tcPr>
          <w:p w14:paraId="093BC4E8" w14:textId="61FAE287"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0.181*</w:t>
            </w:r>
          </w:p>
        </w:tc>
        <w:tc>
          <w:tcPr>
            <w:tcW w:w="937" w:type="dxa"/>
          </w:tcPr>
          <w:p w14:paraId="54FDB845" w14:textId="6511B63C"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0.0913*</w:t>
            </w:r>
          </w:p>
        </w:tc>
      </w:tr>
      <w:tr w:rsidR="00BA4455" w:rsidRPr="0006003D" w14:paraId="25BCC4BD" w14:textId="77777777" w:rsidTr="002227B1">
        <w:tc>
          <w:tcPr>
            <w:tcW w:w="1162" w:type="dxa"/>
          </w:tcPr>
          <w:p w14:paraId="387BB5F0" w14:textId="77777777" w:rsidR="00BA4455" w:rsidRPr="002227B1" w:rsidRDefault="00BA4455" w:rsidP="0006003D">
            <w:pPr>
              <w:pStyle w:val="FootnoteText"/>
              <w:rPr>
                <w:rFonts w:ascii="Times New Roman" w:eastAsia="Arial" w:hAnsi="Times New Roman" w:cs="Times New Roman"/>
                <w:sz w:val="18"/>
                <w:szCs w:val="18"/>
              </w:rPr>
            </w:pPr>
          </w:p>
        </w:tc>
        <w:tc>
          <w:tcPr>
            <w:tcW w:w="972" w:type="dxa"/>
          </w:tcPr>
          <w:p w14:paraId="7CFF783F" w14:textId="4284CF3C"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(1.19)</w:t>
            </w:r>
          </w:p>
        </w:tc>
        <w:tc>
          <w:tcPr>
            <w:tcW w:w="1003" w:type="dxa"/>
          </w:tcPr>
          <w:p w14:paraId="6FB514B3" w14:textId="581B84CC"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(1.73)</w:t>
            </w:r>
          </w:p>
        </w:tc>
        <w:tc>
          <w:tcPr>
            <w:tcW w:w="1003" w:type="dxa"/>
          </w:tcPr>
          <w:p w14:paraId="10E81523" w14:textId="034B16D4"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(3.77)</w:t>
            </w:r>
          </w:p>
        </w:tc>
        <w:tc>
          <w:tcPr>
            <w:tcW w:w="1002" w:type="dxa"/>
          </w:tcPr>
          <w:p w14:paraId="327F87CD" w14:textId="77AA42AE"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(2.73)</w:t>
            </w:r>
          </w:p>
        </w:tc>
        <w:tc>
          <w:tcPr>
            <w:tcW w:w="1007" w:type="dxa"/>
          </w:tcPr>
          <w:p w14:paraId="6189A421" w14:textId="4EEE8F04"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(1.81)</w:t>
            </w:r>
          </w:p>
        </w:tc>
        <w:tc>
          <w:tcPr>
            <w:tcW w:w="937" w:type="dxa"/>
          </w:tcPr>
          <w:p w14:paraId="786A6BF6" w14:textId="376955C7"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(0.36)</w:t>
            </w:r>
          </w:p>
        </w:tc>
      </w:tr>
      <w:tr w:rsidR="00BA4455" w:rsidRPr="0006003D" w14:paraId="052E2407" w14:textId="77777777" w:rsidTr="002227B1">
        <w:tc>
          <w:tcPr>
            <w:tcW w:w="1162" w:type="dxa"/>
          </w:tcPr>
          <w:p w14:paraId="55D4509D" w14:textId="77777777" w:rsidR="00BA4455" w:rsidRPr="002227B1" w:rsidRDefault="00BA4455"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Market</w:t>
            </w:r>
          </w:p>
        </w:tc>
        <w:tc>
          <w:tcPr>
            <w:tcW w:w="972" w:type="dxa"/>
          </w:tcPr>
          <w:p w14:paraId="4D257B97" w14:textId="7F85E974" w:rsidR="00BA4455"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0.140</w:t>
            </w:r>
          </w:p>
        </w:tc>
        <w:tc>
          <w:tcPr>
            <w:tcW w:w="1003" w:type="dxa"/>
          </w:tcPr>
          <w:p w14:paraId="3203208E" w14:textId="0A2373F0"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0.442***</w:t>
            </w:r>
          </w:p>
        </w:tc>
        <w:tc>
          <w:tcPr>
            <w:tcW w:w="1003" w:type="dxa"/>
          </w:tcPr>
          <w:p w14:paraId="3D04B31D" w14:textId="289C10DA"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0.183***</w:t>
            </w:r>
          </w:p>
        </w:tc>
        <w:tc>
          <w:tcPr>
            <w:tcW w:w="1002" w:type="dxa"/>
          </w:tcPr>
          <w:p w14:paraId="78583CF8" w14:textId="635D3CE7"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0.282***</w:t>
            </w:r>
          </w:p>
        </w:tc>
        <w:tc>
          <w:tcPr>
            <w:tcW w:w="1007" w:type="dxa"/>
          </w:tcPr>
          <w:p w14:paraId="6C27E356" w14:textId="04E27793"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0.254***</w:t>
            </w:r>
          </w:p>
        </w:tc>
        <w:tc>
          <w:tcPr>
            <w:tcW w:w="937" w:type="dxa"/>
          </w:tcPr>
          <w:p w14:paraId="51495426" w14:textId="726871BB" w:rsidR="00BA4455" w:rsidRPr="002227B1" w:rsidRDefault="002227B1" w:rsidP="0006003D">
            <w:pPr>
              <w:pStyle w:val="FootnoteText"/>
              <w:jc w:val="right"/>
              <w:rPr>
                <w:rFonts w:ascii="Times New Roman" w:eastAsia="Arial" w:hAnsi="Times New Roman" w:cs="Times New Roman"/>
                <w:sz w:val="18"/>
                <w:szCs w:val="18"/>
              </w:rPr>
            </w:pPr>
            <w:r>
              <w:rPr>
                <w:rFonts w:ascii="Times New Roman" w:eastAsia="Arial" w:hAnsi="Times New Roman" w:cs="Times New Roman"/>
                <w:sz w:val="18"/>
                <w:szCs w:val="18"/>
              </w:rPr>
              <w:t>–</w:t>
            </w:r>
            <w:r w:rsidR="00BA4455" w:rsidRPr="002227B1">
              <w:rPr>
                <w:rFonts w:ascii="Times New Roman" w:eastAsia="Arial" w:hAnsi="Times New Roman" w:cs="Times New Roman"/>
                <w:sz w:val="18"/>
                <w:szCs w:val="18"/>
              </w:rPr>
              <w:t>0.383</w:t>
            </w:r>
          </w:p>
        </w:tc>
      </w:tr>
      <w:tr w:rsidR="00BA4455" w:rsidRPr="0006003D" w14:paraId="5B49DC26" w14:textId="77777777" w:rsidTr="002227B1">
        <w:tc>
          <w:tcPr>
            <w:tcW w:w="1162" w:type="dxa"/>
          </w:tcPr>
          <w:p w14:paraId="5628DB70" w14:textId="77777777" w:rsidR="00BA4455" w:rsidRPr="002227B1" w:rsidRDefault="00BA4455" w:rsidP="0006003D">
            <w:pPr>
              <w:pStyle w:val="FootnoteText"/>
              <w:rPr>
                <w:rFonts w:ascii="Times New Roman" w:eastAsia="Arial" w:hAnsi="Times New Roman" w:cs="Times New Roman"/>
                <w:sz w:val="18"/>
                <w:szCs w:val="18"/>
              </w:rPr>
            </w:pPr>
          </w:p>
        </w:tc>
        <w:tc>
          <w:tcPr>
            <w:tcW w:w="972" w:type="dxa"/>
          </w:tcPr>
          <w:p w14:paraId="787728AF" w14:textId="4C2EC8D6" w:rsidR="00BA4455" w:rsidRPr="002227B1" w:rsidRDefault="00BA4455"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Pr="002227B1">
              <w:rPr>
                <w:rFonts w:ascii="Times New Roman" w:eastAsia="Arial" w:hAnsi="Times New Roman" w:cs="Times New Roman"/>
                <w:sz w:val="18"/>
                <w:szCs w:val="18"/>
              </w:rPr>
              <w:t>0.22)</w:t>
            </w:r>
          </w:p>
        </w:tc>
        <w:tc>
          <w:tcPr>
            <w:tcW w:w="1003" w:type="dxa"/>
          </w:tcPr>
          <w:p w14:paraId="0E60A8FB" w14:textId="69AC199E"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(3.61)</w:t>
            </w:r>
          </w:p>
        </w:tc>
        <w:tc>
          <w:tcPr>
            <w:tcW w:w="1003" w:type="dxa"/>
          </w:tcPr>
          <w:p w14:paraId="2D3F4BC6" w14:textId="7FE5134E"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(3.74)</w:t>
            </w:r>
          </w:p>
        </w:tc>
        <w:tc>
          <w:tcPr>
            <w:tcW w:w="1002" w:type="dxa"/>
          </w:tcPr>
          <w:p w14:paraId="704AB34F" w14:textId="02BC2729"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(5.01)</w:t>
            </w:r>
          </w:p>
        </w:tc>
        <w:tc>
          <w:tcPr>
            <w:tcW w:w="1007" w:type="dxa"/>
          </w:tcPr>
          <w:p w14:paraId="7CCDC95E" w14:textId="2947B0E4"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(3.74)</w:t>
            </w:r>
          </w:p>
        </w:tc>
        <w:tc>
          <w:tcPr>
            <w:tcW w:w="937" w:type="dxa"/>
          </w:tcPr>
          <w:p w14:paraId="7DB31C19" w14:textId="4EEBF038" w:rsidR="00BA4455" w:rsidRPr="002227B1" w:rsidRDefault="00BA4455" w:rsidP="002227B1">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w:t>
            </w:r>
            <w:r w:rsidR="002227B1">
              <w:rPr>
                <w:rFonts w:ascii="Times New Roman" w:eastAsia="Arial" w:hAnsi="Times New Roman" w:cs="Times New Roman"/>
                <w:sz w:val="18"/>
                <w:szCs w:val="18"/>
              </w:rPr>
              <w:t>–</w:t>
            </w:r>
            <w:r w:rsidRPr="002227B1">
              <w:rPr>
                <w:rFonts w:ascii="Times New Roman" w:eastAsia="Arial" w:hAnsi="Times New Roman" w:cs="Times New Roman"/>
                <w:sz w:val="18"/>
                <w:szCs w:val="18"/>
              </w:rPr>
              <w:t>0.60)</w:t>
            </w:r>
          </w:p>
        </w:tc>
      </w:tr>
      <w:tr w:rsidR="00BA4455" w:rsidRPr="0006003D" w14:paraId="6B30AF18" w14:textId="77777777" w:rsidTr="002227B1">
        <w:tc>
          <w:tcPr>
            <w:tcW w:w="1162" w:type="dxa"/>
          </w:tcPr>
          <w:p w14:paraId="3B8F7B64" w14:textId="77777777" w:rsidR="00BA4455" w:rsidRPr="002227B1" w:rsidRDefault="00BA4455"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Constant</w:t>
            </w:r>
          </w:p>
        </w:tc>
        <w:tc>
          <w:tcPr>
            <w:tcW w:w="972" w:type="dxa"/>
          </w:tcPr>
          <w:p w14:paraId="0A7D8027" w14:textId="23906095"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w:t>
            </w:r>
            <w:r w:rsidR="00827894" w:rsidRPr="002227B1">
              <w:rPr>
                <w:rFonts w:ascii="Times New Roman" w:eastAsia="Arial" w:hAnsi="Times New Roman" w:cs="Times New Roman"/>
                <w:sz w:val="18"/>
                <w:szCs w:val="18"/>
              </w:rPr>
              <w:t>10</w:t>
            </w:r>
            <w:r w:rsidRPr="002227B1">
              <w:rPr>
                <w:rFonts w:ascii="Times New Roman" w:eastAsia="Arial" w:hAnsi="Times New Roman" w:cs="Times New Roman"/>
                <w:sz w:val="18"/>
                <w:szCs w:val="18"/>
              </w:rPr>
              <w:t>**</w:t>
            </w:r>
          </w:p>
        </w:tc>
        <w:tc>
          <w:tcPr>
            <w:tcW w:w="1003" w:type="dxa"/>
          </w:tcPr>
          <w:p w14:paraId="0BA9FCF6" w14:textId="4D1D373D"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0.001</w:t>
            </w:r>
            <w:r w:rsidR="00827894" w:rsidRPr="002227B1">
              <w:rPr>
                <w:rFonts w:ascii="Times New Roman" w:eastAsia="Arial" w:hAnsi="Times New Roman" w:cs="Times New Roman"/>
                <w:sz w:val="18"/>
                <w:szCs w:val="18"/>
              </w:rPr>
              <w:t>8</w:t>
            </w:r>
            <w:r w:rsidRPr="002227B1">
              <w:rPr>
                <w:rFonts w:ascii="Times New Roman" w:eastAsia="Arial" w:hAnsi="Times New Roman" w:cs="Times New Roman"/>
                <w:sz w:val="18"/>
                <w:szCs w:val="18"/>
              </w:rPr>
              <w:t>*</w:t>
            </w:r>
          </w:p>
        </w:tc>
        <w:tc>
          <w:tcPr>
            <w:tcW w:w="1003" w:type="dxa"/>
          </w:tcPr>
          <w:p w14:paraId="135A23F7" w14:textId="530C6D6E"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w:t>
            </w:r>
            <w:r w:rsidR="00827894" w:rsidRPr="002227B1">
              <w:rPr>
                <w:rFonts w:ascii="Times New Roman" w:eastAsia="Arial" w:hAnsi="Times New Roman" w:cs="Times New Roman"/>
                <w:sz w:val="18"/>
                <w:szCs w:val="18"/>
              </w:rPr>
              <w:t>1</w:t>
            </w:r>
          </w:p>
        </w:tc>
        <w:tc>
          <w:tcPr>
            <w:tcW w:w="1002" w:type="dxa"/>
          </w:tcPr>
          <w:p w14:paraId="04226FDC" w14:textId="290E0817"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0.004***</w:t>
            </w:r>
          </w:p>
        </w:tc>
        <w:tc>
          <w:tcPr>
            <w:tcW w:w="1007" w:type="dxa"/>
          </w:tcPr>
          <w:p w14:paraId="3829F615" w14:textId="11B32C10"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0.002**</w:t>
            </w:r>
          </w:p>
        </w:tc>
        <w:tc>
          <w:tcPr>
            <w:tcW w:w="937" w:type="dxa"/>
          </w:tcPr>
          <w:p w14:paraId="3CD24F15" w14:textId="51944A3B"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0.008*</w:t>
            </w:r>
          </w:p>
        </w:tc>
      </w:tr>
      <w:tr w:rsidR="00BA4455" w:rsidRPr="0006003D" w14:paraId="34BB7D18" w14:textId="77777777" w:rsidTr="002227B1">
        <w:tc>
          <w:tcPr>
            <w:tcW w:w="1162" w:type="dxa"/>
            <w:tcBorders>
              <w:bottom w:val="single" w:sz="4" w:space="0" w:color="auto"/>
            </w:tcBorders>
          </w:tcPr>
          <w:p w14:paraId="45BA1D16" w14:textId="77777777" w:rsidR="00BA4455" w:rsidRPr="002227B1" w:rsidRDefault="00BA4455" w:rsidP="0006003D">
            <w:pPr>
              <w:pStyle w:val="FootnoteText"/>
              <w:rPr>
                <w:rFonts w:ascii="Times New Roman" w:eastAsia="Arial" w:hAnsi="Times New Roman" w:cs="Times New Roman"/>
                <w:sz w:val="18"/>
                <w:szCs w:val="18"/>
              </w:rPr>
            </w:pPr>
          </w:p>
        </w:tc>
        <w:tc>
          <w:tcPr>
            <w:tcW w:w="972" w:type="dxa"/>
            <w:tcBorders>
              <w:bottom w:val="single" w:sz="4" w:space="0" w:color="auto"/>
            </w:tcBorders>
          </w:tcPr>
          <w:p w14:paraId="0FFAA817" w14:textId="3C1F4127"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(2.31)</w:t>
            </w:r>
          </w:p>
        </w:tc>
        <w:tc>
          <w:tcPr>
            <w:tcW w:w="1003" w:type="dxa"/>
            <w:tcBorders>
              <w:bottom w:val="single" w:sz="4" w:space="0" w:color="auto"/>
            </w:tcBorders>
          </w:tcPr>
          <w:p w14:paraId="1E0F3EB1" w14:textId="07C9A2BC"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(1.74)</w:t>
            </w:r>
          </w:p>
        </w:tc>
        <w:tc>
          <w:tcPr>
            <w:tcW w:w="1003" w:type="dxa"/>
            <w:tcBorders>
              <w:bottom w:val="single" w:sz="4" w:space="0" w:color="auto"/>
            </w:tcBorders>
          </w:tcPr>
          <w:p w14:paraId="49E4D8F4" w14:textId="10E1D0F5"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(1.10)</w:t>
            </w:r>
          </w:p>
        </w:tc>
        <w:tc>
          <w:tcPr>
            <w:tcW w:w="1002" w:type="dxa"/>
            <w:tcBorders>
              <w:bottom w:val="single" w:sz="4" w:space="0" w:color="auto"/>
            </w:tcBorders>
          </w:tcPr>
          <w:p w14:paraId="6B63DB82" w14:textId="039DE8A8"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(5.52)</w:t>
            </w:r>
          </w:p>
        </w:tc>
        <w:tc>
          <w:tcPr>
            <w:tcW w:w="1007" w:type="dxa"/>
            <w:tcBorders>
              <w:bottom w:val="single" w:sz="4" w:space="0" w:color="auto"/>
            </w:tcBorders>
          </w:tcPr>
          <w:p w14:paraId="70E90661" w14:textId="7DF0A5DD"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(2.53)</w:t>
            </w:r>
          </w:p>
        </w:tc>
        <w:tc>
          <w:tcPr>
            <w:tcW w:w="937" w:type="dxa"/>
            <w:tcBorders>
              <w:bottom w:val="single" w:sz="4" w:space="0" w:color="auto"/>
            </w:tcBorders>
          </w:tcPr>
          <w:p w14:paraId="36A6B6B1" w14:textId="61AED598"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(1.83)</w:t>
            </w:r>
          </w:p>
        </w:tc>
      </w:tr>
      <w:tr w:rsidR="00BA4455" w:rsidRPr="0006003D" w14:paraId="15A16A6B" w14:textId="77777777" w:rsidTr="002227B1">
        <w:tc>
          <w:tcPr>
            <w:tcW w:w="1162" w:type="dxa"/>
            <w:tcBorders>
              <w:top w:val="single" w:sz="4" w:space="0" w:color="auto"/>
            </w:tcBorders>
          </w:tcPr>
          <w:p w14:paraId="17BABE90" w14:textId="77777777" w:rsidR="00BA4455" w:rsidRPr="002227B1" w:rsidRDefault="00BA4455"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N</w:t>
            </w:r>
          </w:p>
        </w:tc>
        <w:tc>
          <w:tcPr>
            <w:tcW w:w="972" w:type="dxa"/>
            <w:tcBorders>
              <w:top w:val="single" w:sz="4" w:space="0" w:color="auto"/>
            </w:tcBorders>
          </w:tcPr>
          <w:p w14:paraId="722D60AB" w14:textId="7EDE5AA5"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430</w:t>
            </w:r>
          </w:p>
        </w:tc>
        <w:tc>
          <w:tcPr>
            <w:tcW w:w="1003" w:type="dxa"/>
            <w:tcBorders>
              <w:top w:val="single" w:sz="4" w:space="0" w:color="auto"/>
            </w:tcBorders>
          </w:tcPr>
          <w:p w14:paraId="51E26F77" w14:textId="77777777"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429</w:t>
            </w:r>
          </w:p>
        </w:tc>
        <w:tc>
          <w:tcPr>
            <w:tcW w:w="1003" w:type="dxa"/>
            <w:tcBorders>
              <w:top w:val="single" w:sz="4" w:space="0" w:color="auto"/>
            </w:tcBorders>
          </w:tcPr>
          <w:p w14:paraId="76DAFF12" w14:textId="77777777"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430</w:t>
            </w:r>
          </w:p>
        </w:tc>
        <w:tc>
          <w:tcPr>
            <w:tcW w:w="1002" w:type="dxa"/>
            <w:tcBorders>
              <w:top w:val="single" w:sz="4" w:space="0" w:color="auto"/>
            </w:tcBorders>
          </w:tcPr>
          <w:p w14:paraId="4A784362" w14:textId="780457BE"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429</w:t>
            </w:r>
          </w:p>
        </w:tc>
        <w:tc>
          <w:tcPr>
            <w:tcW w:w="1007" w:type="dxa"/>
            <w:tcBorders>
              <w:top w:val="single" w:sz="4" w:space="0" w:color="auto"/>
            </w:tcBorders>
          </w:tcPr>
          <w:p w14:paraId="02BDEB89" w14:textId="635E100E"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430</w:t>
            </w:r>
          </w:p>
        </w:tc>
        <w:tc>
          <w:tcPr>
            <w:tcW w:w="937" w:type="dxa"/>
            <w:tcBorders>
              <w:top w:val="single" w:sz="4" w:space="0" w:color="auto"/>
            </w:tcBorders>
          </w:tcPr>
          <w:p w14:paraId="4B018D95" w14:textId="3A7ABBD5"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429</w:t>
            </w:r>
          </w:p>
        </w:tc>
      </w:tr>
      <w:tr w:rsidR="00BA4455" w:rsidRPr="0006003D" w14:paraId="641DA199" w14:textId="77777777" w:rsidTr="002227B1">
        <w:tc>
          <w:tcPr>
            <w:tcW w:w="1162" w:type="dxa"/>
            <w:tcBorders>
              <w:bottom w:val="single" w:sz="4" w:space="0" w:color="auto"/>
            </w:tcBorders>
          </w:tcPr>
          <w:p w14:paraId="6C7C5AD1" w14:textId="5B0C817E" w:rsidR="00BA4455" w:rsidRPr="002227B1" w:rsidRDefault="00703B72" w:rsidP="0006003D">
            <w:pPr>
              <w:pStyle w:val="FootnoteText"/>
              <w:rPr>
                <w:rFonts w:ascii="Times New Roman" w:eastAsia="Arial" w:hAnsi="Times New Roman" w:cs="Times New Roman"/>
                <w:sz w:val="18"/>
                <w:szCs w:val="18"/>
              </w:rPr>
            </w:pPr>
            <w:r w:rsidRPr="00A27831">
              <w:rPr>
                <w:rFonts w:ascii="Times New Roman" w:eastAsia="Arial" w:hAnsi="Times New Roman" w:cs="Times New Roman"/>
                <w:i/>
                <w:sz w:val="18"/>
                <w:szCs w:val="18"/>
              </w:rPr>
              <w:t>R</w:t>
            </w:r>
            <w:r w:rsidRPr="00A27831">
              <w:rPr>
                <w:rFonts w:ascii="Times New Roman" w:eastAsia="Arial" w:hAnsi="Times New Roman" w:cs="Times New Roman"/>
                <w:i/>
                <w:sz w:val="18"/>
                <w:szCs w:val="18"/>
                <w:vertAlign w:val="superscript"/>
              </w:rPr>
              <w:t>2</w:t>
            </w:r>
          </w:p>
        </w:tc>
        <w:tc>
          <w:tcPr>
            <w:tcW w:w="972" w:type="dxa"/>
            <w:tcBorders>
              <w:bottom w:val="single" w:sz="4" w:space="0" w:color="auto"/>
            </w:tcBorders>
          </w:tcPr>
          <w:p w14:paraId="79B4FCDB" w14:textId="460467E4"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0.043</w:t>
            </w:r>
          </w:p>
        </w:tc>
        <w:tc>
          <w:tcPr>
            <w:tcW w:w="1003" w:type="dxa"/>
            <w:tcBorders>
              <w:bottom w:val="single" w:sz="4" w:space="0" w:color="auto"/>
            </w:tcBorders>
          </w:tcPr>
          <w:p w14:paraId="2F55645B" w14:textId="7B63FD96"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0.218</w:t>
            </w:r>
          </w:p>
        </w:tc>
        <w:tc>
          <w:tcPr>
            <w:tcW w:w="1003" w:type="dxa"/>
            <w:tcBorders>
              <w:bottom w:val="single" w:sz="4" w:space="0" w:color="auto"/>
            </w:tcBorders>
          </w:tcPr>
          <w:p w14:paraId="79F7C834" w14:textId="3492DCDB"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0.380</w:t>
            </w:r>
          </w:p>
        </w:tc>
        <w:tc>
          <w:tcPr>
            <w:tcW w:w="1002" w:type="dxa"/>
            <w:tcBorders>
              <w:bottom w:val="single" w:sz="4" w:space="0" w:color="auto"/>
            </w:tcBorders>
          </w:tcPr>
          <w:p w14:paraId="31C8683B" w14:textId="7B6116C8"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0.374</w:t>
            </w:r>
          </w:p>
        </w:tc>
        <w:tc>
          <w:tcPr>
            <w:tcW w:w="1007" w:type="dxa"/>
            <w:tcBorders>
              <w:bottom w:val="single" w:sz="4" w:space="0" w:color="auto"/>
            </w:tcBorders>
          </w:tcPr>
          <w:p w14:paraId="7053644A" w14:textId="25004838"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0.226</w:t>
            </w:r>
          </w:p>
        </w:tc>
        <w:tc>
          <w:tcPr>
            <w:tcW w:w="937" w:type="dxa"/>
            <w:tcBorders>
              <w:bottom w:val="single" w:sz="4" w:space="0" w:color="auto"/>
            </w:tcBorders>
          </w:tcPr>
          <w:p w14:paraId="4A3B6850" w14:textId="2FE528F4" w:rsidR="00BA4455" w:rsidRPr="002227B1" w:rsidRDefault="00BA4455" w:rsidP="0006003D">
            <w:pPr>
              <w:pStyle w:val="FootnoteText"/>
              <w:jc w:val="right"/>
              <w:rPr>
                <w:rFonts w:ascii="Times New Roman" w:eastAsia="Arial" w:hAnsi="Times New Roman" w:cs="Times New Roman"/>
                <w:sz w:val="18"/>
                <w:szCs w:val="18"/>
              </w:rPr>
            </w:pPr>
            <w:r w:rsidRPr="002227B1">
              <w:rPr>
                <w:rFonts w:ascii="Times New Roman" w:eastAsia="Arial" w:hAnsi="Times New Roman" w:cs="Times New Roman"/>
                <w:sz w:val="18"/>
                <w:szCs w:val="18"/>
              </w:rPr>
              <w:t>0.0175</w:t>
            </w:r>
          </w:p>
        </w:tc>
      </w:tr>
    </w:tbl>
    <w:p w14:paraId="4BA4DA89" w14:textId="77777777" w:rsidR="002227B1" w:rsidRPr="002227B1" w:rsidRDefault="002227B1" w:rsidP="002227B1">
      <w:pPr>
        <w:ind w:right="62"/>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 </w:t>
      </w:r>
      <w:r w:rsidRPr="002227B1">
        <w:rPr>
          <w:rFonts w:ascii="Times New Roman" w:eastAsia="Arial" w:hAnsi="Times New Roman" w:cs="Times New Roman"/>
          <w:sz w:val="18"/>
          <w:szCs w:val="18"/>
        </w:rPr>
        <w:t>Significant at the 10 percent level</w:t>
      </w:r>
      <w:r w:rsidRPr="002227B1">
        <w:rPr>
          <w:rFonts w:ascii="Times New Roman" w:eastAsia="Arial" w:hAnsi="Times New Roman" w:cs="Times New Roman"/>
          <w:i/>
          <w:sz w:val="18"/>
          <w:szCs w:val="18"/>
        </w:rPr>
        <w:t>.</w:t>
      </w:r>
    </w:p>
    <w:p w14:paraId="0E60A239" w14:textId="77777777" w:rsidR="002227B1" w:rsidRPr="002227B1" w:rsidRDefault="002227B1" w:rsidP="002227B1">
      <w:pPr>
        <w:ind w:right="62"/>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w:t>
      </w:r>
      <w:r w:rsidRPr="002227B1">
        <w:rPr>
          <w:rFonts w:ascii="Times New Roman" w:eastAsia="Arial" w:hAnsi="Times New Roman" w:cs="Times New Roman"/>
          <w:sz w:val="18"/>
          <w:szCs w:val="18"/>
        </w:rPr>
        <w:t>Significant at the 5 percent level</w:t>
      </w:r>
      <w:r w:rsidRPr="002227B1">
        <w:rPr>
          <w:rFonts w:ascii="Times New Roman" w:eastAsia="Arial" w:hAnsi="Times New Roman" w:cs="Times New Roman"/>
          <w:i/>
          <w:sz w:val="18"/>
          <w:szCs w:val="18"/>
        </w:rPr>
        <w:t>.</w:t>
      </w:r>
    </w:p>
    <w:p w14:paraId="2C3C2020" w14:textId="77777777" w:rsidR="002227B1" w:rsidRPr="002227B1" w:rsidRDefault="002227B1" w:rsidP="002227B1">
      <w:pPr>
        <w:ind w:right="62"/>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 </w:t>
      </w:r>
      <w:r w:rsidRPr="002227B1">
        <w:rPr>
          <w:rFonts w:ascii="Times New Roman" w:eastAsia="Arial" w:hAnsi="Times New Roman" w:cs="Times New Roman"/>
          <w:sz w:val="18"/>
          <w:szCs w:val="18"/>
        </w:rPr>
        <w:t>Significant at the 1 percent level</w:t>
      </w:r>
      <w:r w:rsidRPr="002227B1">
        <w:rPr>
          <w:rFonts w:ascii="Times New Roman" w:eastAsia="Arial" w:hAnsi="Times New Roman" w:cs="Times New Roman"/>
          <w:i/>
          <w:sz w:val="18"/>
          <w:szCs w:val="18"/>
        </w:rPr>
        <w:t>.</w:t>
      </w:r>
    </w:p>
    <w:p w14:paraId="17A0B2DE" w14:textId="77777777" w:rsidR="002777E6" w:rsidRDefault="007215E7" w:rsidP="009548F8">
      <w:pPr>
        <w:jc w:val="both"/>
        <w:rPr>
          <w:rFonts w:ascii="Times New Roman" w:eastAsia="Arial" w:hAnsi="Times New Roman" w:cs="Times New Roman"/>
          <w:sz w:val="18"/>
          <w:szCs w:val="18"/>
        </w:rPr>
      </w:pPr>
      <w:r w:rsidRPr="002227B1">
        <w:rPr>
          <w:rFonts w:ascii="Times New Roman" w:eastAsia="Arial" w:hAnsi="Times New Roman" w:cs="Times New Roman"/>
          <w:i/>
          <w:sz w:val="18"/>
          <w:szCs w:val="18"/>
        </w:rPr>
        <w:t>Notes</w:t>
      </w:r>
      <w:r w:rsidRPr="002227B1">
        <w:rPr>
          <w:rFonts w:ascii="Times New Roman" w:eastAsia="Arial" w:hAnsi="Times New Roman" w:cs="Times New Roman"/>
          <w:sz w:val="18"/>
          <w:szCs w:val="18"/>
        </w:rPr>
        <w:t xml:space="preserve">: </w:t>
      </w:r>
      <w:r w:rsidR="00046B27" w:rsidRPr="002227B1">
        <w:rPr>
          <w:rFonts w:ascii="Times New Roman" w:eastAsia="Arial" w:hAnsi="Times New Roman" w:cs="Times New Roman"/>
          <w:sz w:val="18"/>
          <w:szCs w:val="18"/>
        </w:rPr>
        <w:t xml:space="preserve">This table shows results of a time-series OLS regression of average returns on five portfolios of sovereign bonds against five aggregate risk factors. Returns are measured in excess of the return on the one-month Bill rate. Portfolios are assembled at the beginning of each year by sorting bonds into five groups depending on their bid-ask spread. </w:t>
      </w:r>
      <w:r w:rsidR="00046B27" w:rsidRPr="002227B1">
        <w:rPr>
          <w:rFonts w:ascii="Times New Roman" w:eastAsia="Arial" w:hAnsi="Times New Roman" w:cs="Times New Roman"/>
          <w:i/>
          <w:sz w:val="18"/>
          <w:szCs w:val="18"/>
        </w:rPr>
        <w:t>IML</w:t>
      </w:r>
      <w:r w:rsidR="00046B27" w:rsidRPr="002227B1">
        <w:rPr>
          <w:rFonts w:ascii="Times New Roman" w:eastAsia="Arial" w:hAnsi="Times New Roman" w:cs="Times New Roman"/>
          <w:sz w:val="18"/>
          <w:szCs w:val="18"/>
        </w:rPr>
        <w:t xml:space="preserve"> is the return on an investment long in the </w:t>
      </w:r>
      <w:r w:rsidR="00046B27" w:rsidRPr="002227B1">
        <w:rPr>
          <w:rFonts w:ascii="Times New Roman" w:eastAsia="Arial" w:hAnsi="Times New Roman" w:cs="Times New Roman"/>
          <w:i/>
          <w:sz w:val="18"/>
          <w:szCs w:val="18"/>
        </w:rPr>
        <w:t>Illiquid</w:t>
      </w:r>
      <w:r w:rsidR="00046B27" w:rsidRPr="002227B1">
        <w:rPr>
          <w:rFonts w:ascii="Times New Roman" w:eastAsia="Arial" w:hAnsi="Times New Roman" w:cs="Times New Roman"/>
          <w:sz w:val="18"/>
          <w:szCs w:val="18"/>
        </w:rPr>
        <w:t xml:space="preserve"> portfolio and short in the </w:t>
      </w:r>
      <w:r w:rsidR="00046B27" w:rsidRPr="002227B1">
        <w:rPr>
          <w:rFonts w:ascii="Times New Roman" w:eastAsia="Arial" w:hAnsi="Times New Roman" w:cs="Times New Roman"/>
          <w:i/>
          <w:sz w:val="18"/>
          <w:szCs w:val="18"/>
        </w:rPr>
        <w:t>Liquid</w:t>
      </w:r>
      <w:r w:rsidR="00046B27" w:rsidRPr="002227B1">
        <w:rPr>
          <w:rFonts w:ascii="Times New Roman" w:eastAsia="Arial" w:hAnsi="Times New Roman" w:cs="Times New Roman"/>
          <w:sz w:val="18"/>
          <w:szCs w:val="18"/>
        </w:rPr>
        <w:t xml:space="preserve"> </w:t>
      </w:r>
      <w:r w:rsidR="00971345" w:rsidRPr="002227B1">
        <w:rPr>
          <w:rFonts w:ascii="Times New Roman" w:eastAsia="Arial" w:hAnsi="Times New Roman" w:cs="Times New Roman"/>
          <w:sz w:val="18"/>
          <w:szCs w:val="18"/>
        </w:rPr>
        <w:t>portfolio.</w:t>
      </w:r>
      <w:r w:rsidR="00046B27" w:rsidRPr="002227B1">
        <w:rPr>
          <w:rFonts w:ascii="Times New Roman" w:eastAsia="Arial" w:hAnsi="Times New Roman" w:cs="Times New Roman"/>
          <w:sz w:val="18"/>
          <w:szCs w:val="18"/>
        </w:rPr>
        <w:t xml:space="preserve"> </w:t>
      </w:r>
      <w:r w:rsidR="00046B27" w:rsidRPr="002227B1">
        <w:rPr>
          <w:rFonts w:ascii="Times New Roman" w:eastAsia="Arial" w:hAnsi="Times New Roman" w:cs="Times New Roman"/>
          <w:i/>
          <w:sz w:val="18"/>
          <w:szCs w:val="18"/>
        </w:rPr>
        <w:t>Liquidity (Sovereign)</w:t>
      </w:r>
      <w:r w:rsidR="00046B27" w:rsidRPr="002227B1">
        <w:rPr>
          <w:rFonts w:ascii="Times New Roman" w:eastAsia="Arial" w:hAnsi="Times New Roman" w:cs="Times New Roman"/>
          <w:sz w:val="18"/>
          <w:szCs w:val="18"/>
        </w:rPr>
        <w:t xml:space="preserve"> is the average bid-ask spread in sovereign bonds. </w:t>
      </w:r>
      <w:r w:rsidR="00046B27" w:rsidRPr="002227B1">
        <w:rPr>
          <w:rFonts w:ascii="Times New Roman" w:eastAsia="Arial" w:hAnsi="Times New Roman" w:cs="Times New Roman"/>
          <w:i/>
          <w:sz w:val="18"/>
          <w:szCs w:val="18"/>
        </w:rPr>
        <w:t>Default (Export)</w:t>
      </w:r>
      <w:r w:rsidR="00046B27" w:rsidRPr="002227B1">
        <w:rPr>
          <w:rFonts w:ascii="Times New Roman" w:eastAsia="Arial" w:hAnsi="Times New Roman" w:cs="Times New Roman"/>
          <w:sz w:val="18"/>
          <w:szCs w:val="18"/>
        </w:rPr>
        <w:t xml:space="preserve"> and </w:t>
      </w:r>
      <w:r w:rsidR="00046B27" w:rsidRPr="002227B1">
        <w:rPr>
          <w:rFonts w:ascii="Times New Roman" w:eastAsia="Arial" w:hAnsi="Times New Roman" w:cs="Times New Roman"/>
          <w:i/>
          <w:sz w:val="18"/>
          <w:szCs w:val="18"/>
        </w:rPr>
        <w:t>Default (Deficit)</w:t>
      </w:r>
      <w:r w:rsidR="00046B27" w:rsidRPr="002227B1">
        <w:rPr>
          <w:rFonts w:ascii="Times New Roman" w:eastAsia="Arial" w:hAnsi="Times New Roman" w:cs="Times New Roman"/>
          <w:sz w:val="18"/>
          <w:szCs w:val="18"/>
        </w:rPr>
        <w:t xml:space="preserve"> correspond to the return differential between portfolios of most and least credit worthy issuers ranked in three groups using the export-to-GDP and deficit-to-GDP ratio, respectively. </w:t>
      </w:r>
      <w:r w:rsidR="00046B27" w:rsidRPr="002227B1">
        <w:rPr>
          <w:rFonts w:ascii="Times New Roman" w:eastAsia="Arial" w:hAnsi="Times New Roman" w:cs="Times New Roman"/>
          <w:i/>
          <w:sz w:val="18"/>
          <w:szCs w:val="18"/>
        </w:rPr>
        <w:t>Term</w:t>
      </w:r>
      <w:r w:rsidR="00046B27" w:rsidRPr="002227B1">
        <w:rPr>
          <w:rFonts w:ascii="Times New Roman" w:eastAsia="Arial" w:hAnsi="Times New Roman" w:cs="Times New Roman"/>
          <w:sz w:val="18"/>
          <w:szCs w:val="18"/>
        </w:rPr>
        <w:t xml:space="preserve"> corresponds to the return differential between British </w:t>
      </w:r>
      <w:proofErr w:type="spellStart"/>
      <w:r w:rsidR="00046B27" w:rsidRPr="002227B1">
        <w:rPr>
          <w:rFonts w:ascii="Times New Roman" w:eastAsia="Arial" w:hAnsi="Times New Roman" w:cs="Times New Roman"/>
          <w:sz w:val="18"/>
          <w:szCs w:val="18"/>
        </w:rPr>
        <w:t>Consols</w:t>
      </w:r>
      <w:proofErr w:type="spellEnd"/>
      <w:r w:rsidR="00046B27" w:rsidRPr="002227B1">
        <w:rPr>
          <w:rFonts w:ascii="Times New Roman" w:eastAsia="Arial" w:hAnsi="Times New Roman" w:cs="Times New Roman"/>
          <w:sz w:val="18"/>
          <w:szCs w:val="18"/>
        </w:rPr>
        <w:t xml:space="preserve"> and the bills rate. </w:t>
      </w:r>
      <w:r w:rsidR="00046B27" w:rsidRPr="002227B1">
        <w:rPr>
          <w:rFonts w:ascii="Times New Roman" w:eastAsia="Arial" w:hAnsi="Times New Roman" w:cs="Times New Roman"/>
          <w:i/>
          <w:sz w:val="18"/>
          <w:szCs w:val="18"/>
        </w:rPr>
        <w:t>Market</w:t>
      </w:r>
      <w:r w:rsidR="00046B27" w:rsidRPr="002227B1">
        <w:rPr>
          <w:rFonts w:ascii="Times New Roman" w:eastAsia="Arial" w:hAnsi="Times New Roman" w:cs="Times New Roman"/>
          <w:sz w:val="18"/>
          <w:szCs w:val="18"/>
        </w:rPr>
        <w:t xml:space="preserve"> corresponds to average stock market return</w:t>
      </w:r>
      <w:r w:rsidR="006B18D4" w:rsidRPr="002227B1">
        <w:rPr>
          <w:rFonts w:ascii="Times New Roman" w:eastAsia="Arial" w:hAnsi="Times New Roman" w:cs="Times New Roman"/>
          <w:sz w:val="18"/>
          <w:szCs w:val="18"/>
        </w:rPr>
        <w:t xml:space="preserve"> (from </w:t>
      </w:r>
      <w:proofErr w:type="spellStart"/>
      <w:r w:rsidR="006B18D4" w:rsidRPr="002227B1">
        <w:rPr>
          <w:rFonts w:ascii="Times New Roman" w:eastAsia="Arial" w:hAnsi="Times New Roman" w:cs="Times New Roman"/>
          <w:sz w:val="18"/>
          <w:szCs w:val="18"/>
        </w:rPr>
        <w:t>Alquist</w:t>
      </w:r>
      <w:proofErr w:type="spellEnd"/>
      <w:r w:rsidR="006B18D4" w:rsidRPr="002227B1">
        <w:rPr>
          <w:rFonts w:ascii="Times New Roman" w:eastAsia="Arial" w:hAnsi="Times New Roman" w:cs="Times New Roman"/>
          <w:sz w:val="18"/>
          <w:szCs w:val="18"/>
        </w:rPr>
        <w:t xml:space="preserve"> (2010))</w:t>
      </w:r>
      <w:r w:rsidR="00046B27" w:rsidRPr="002227B1">
        <w:rPr>
          <w:rFonts w:ascii="Times New Roman" w:eastAsia="Arial" w:hAnsi="Times New Roman" w:cs="Times New Roman"/>
          <w:sz w:val="18"/>
          <w:szCs w:val="18"/>
        </w:rPr>
        <w:t xml:space="preserve">. </w:t>
      </w:r>
    </w:p>
    <w:p w14:paraId="2267FE71" w14:textId="0AFAB768" w:rsidR="009548F8" w:rsidRPr="0006003D" w:rsidRDefault="009548F8" w:rsidP="009548F8">
      <w:pPr>
        <w:jc w:val="both"/>
        <w:rPr>
          <w:rFonts w:ascii="Times New Roman" w:eastAsia="Arial" w:hAnsi="Times New Roman" w:cs="Times New Roman"/>
          <w:spacing w:val="-5"/>
          <w:sz w:val="20"/>
          <w:szCs w:val="20"/>
        </w:rPr>
      </w:pPr>
      <w:r w:rsidRPr="009548F8">
        <w:rPr>
          <w:rFonts w:ascii="Times New Roman" w:eastAsia="Arial" w:hAnsi="Times New Roman" w:cs="Times New Roman"/>
          <w:i/>
          <w:spacing w:val="-5"/>
          <w:sz w:val="18"/>
          <w:szCs w:val="18"/>
        </w:rPr>
        <w:t>Source</w:t>
      </w:r>
      <w:r w:rsidRPr="009548F8">
        <w:rPr>
          <w:rFonts w:ascii="Times New Roman" w:eastAsia="Arial" w:hAnsi="Times New Roman" w:cs="Times New Roman"/>
          <w:spacing w:val="-5"/>
          <w:sz w:val="18"/>
          <w:szCs w:val="18"/>
        </w:rPr>
        <w:t xml:space="preserve">: Author’s database as collected from the </w:t>
      </w:r>
      <w:r w:rsidRPr="009548F8">
        <w:rPr>
          <w:rFonts w:ascii="Times New Roman" w:eastAsia="Arial" w:hAnsi="Times New Roman" w:cs="Times New Roman"/>
          <w:i/>
          <w:spacing w:val="-5"/>
          <w:sz w:val="18"/>
          <w:szCs w:val="18"/>
        </w:rPr>
        <w:t>Official List</w:t>
      </w:r>
      <w:r w:rsidRPr="009548F8">
        <w:rPr>
          <w:rFonts w:ascii="Times New Roman" w:eastAsia="Arial" w:hAnsi="Times New Roman" w:cs="Times New Roman"/>
          <w:spacing w:val="-5"/>
          <w:sz w:val="18"/>
          <w:szCs w:val="18"/>
        </w:rPr>
        <w:t>.</w:t>
      </w:r>
    </w:p>
    <w:p w14:paraId="3DB44AC4" w14:textId="19A9470A" w:rsidR="009D5E4A" w:rsidRPr="002227B1" w:rsidRDefault="009D5E4A" w:rsidP="002227B1">
      <w:pPr>
        <w:pStyle w:val="FootnoteText"/>
        <w:jc w:val="both"/>
        <w:rPr>
          <w:rFonts w:ascii="Times New Roman" w:eastAsia="Arial" w:hAnsi="Times New Roman" w:cs="Times New Roman"/>
          <w:sz w:val="18"/>
          <w:szCs w:val="18"/>
        </w:rPr>
      </w:pPr>
    </w:p>
    <w:p w14:paraId="1A5472FE" w14:textId="77777777" w:rsidR="009D5E4A" w:rsidRPr="002227B1" w:rsidRDefault="009D5E4A" w:rsidP="002227B1">
      <w:pPr>
        <w:jc w:val="both"/>
        <w:rPr>
          <w:rFonts w:ascii="Times New Roman" w:eastAsia="Arial" w:hAnsi="Times New Roman" w:cs="Times New Roman"/>
          <w:sz w:val="18"/>
          <w:szCs w:val="18"/>
        </w:rPr>
      </w:pPr>
      <w:r w:rsidRPr="002227B1">
        <w:rPr>
          <w:rFonts w:ascii="Times New Roman" w:eastAsia="Arial" w:hAnsi="Times New Roman" w:cs="Times New Roman"/>
          <w:sz w:val="18"/>
          <w:szCs w:val="18"/>
        </w:rPr>
        <w:br w:type="page"/>
      </w:r>
    </w:p>
    <w:p w14:paraId="28876233" w14:textId="77777777" w:rsidR="009D5E4A" w:rsidRPr="0006003D" w:rsidRDefault="009D5E4A" w:rsidP="0006003D">
      <w:pPr>
        <w:keepNext/>
        <w:widowControl w:val="0"/>
        <w:autoSpaceDE w:val="0"/>
        <w:autoSpaceDN w:val="0"/>
        <w:adjustRightInd w:val="0"/>
        <w:rPr>
          <w:rFonts w:ascii="Times New Roman" w:hAnsi="Times New Roman" w:cs="Times New Roman"/>
          <w:sz w:val="20"/>
          <w:szCs w:val="20"/>
        </w:rPr>
        <w:sectPr w:rsidR="009D5E4A" w:rsidRPr="0006003D" w:rsidSect="0006003D">
          <w:footerReference w:type="default" r:id="rId14"/>
          <w:pgSz w:w="12240" w:h="15840"/>
          <w:pgMar w:top="1786" w:right="2635" w:bottom="1555" w:left="2635" w:header="1786" w:footer="1195" w:gutter="0"/>
          <w:cols w:space="720"/>
          <w:docGrid w:linePitch="326"/>
        </w:sectPr>
      </w:pPr>
    </w:p>
    <w:p w14:paraId="0E171531" w14:textId="4C0A9099" w:rsidR="002227B1" w:rsidRPr="002227B1" w:rsidRDefault="002227B1" w:rsidP="002227B1">
      <w:pPr>
        <w:keepNext/>
        <w:widowControl w:val="0"/>
        <w:autoSpaceDE w:val="0"/>
        <w:autoSpaceDN w:val="0"/>
        <w:adjustRightInd w:val="0"/>
        <w:jc w:val="center"/>
        <w:rPr>
          <w:rFonts w:ascii="Times New Roman" w:hAnsi="Times New Roman" w:cs="Times New Roman"/>
          <w:smallCaps/>
          <w:sz w:val="20"/>
          <w:szCs w:val="20"/>
        </w:rPr>
      </w:pPr>
      <w:r w:rsidRPr="002227B1">
        <w:rPr>
          <w:rFonts w:ascii="Times New Roman" w:hAnsi="Times New Roman" w:cs="Times New Roman"/>
          <w:smallCaps/>
          <w:sz w:val="20"/>
          <w:szCs w:val="20"/>
        </w:rPr>
        <w:lastRenderedPageBreak/>
        <w:t>Table A.3</w:t>
      </w:r>
    </w:p>
    <w:p w14:paraId="34CC44D4" w14:textId="3952441C" w:rsidR="009D5E4A" w:rsidRPr="0006003D" w:rsidRDefault="009D5E4A" w:rsidP="002227B1">
      <w:pPr>
        <w:keepNext/>
        <w:widowControl w:val="0"/>
        <w:autoSpaceDE w:val="0"/>
        <w:autoSpaceDN w:val="0"/>
        <w:adjustRightInd w:val="0"/>
        <w:jc w:val="center"/>
        <w:rPr>
          <w:rFonts w:ascii="Times New Roman" w:hAnsi="Times New Roman" w:cs="Times New Roman"/>
          <w:sz w:val="20"/>
          <w:szCs w:val="20"/>
        </w:rPr>
      </w:pPr>
      <w:r w:rsidRPr="0006003D">
        <w:rPr>
          <w:rFonts w:ascii="Times New Roman" w:hAnsi="Times New Roman" w:cs="Times New Roman"/>
          <w:sz w:val="20"/>
          <w:szCs w:val="20"/>
        </w:rPr>
        <w:t>POOLED SOVEREIGN AND COLONIAL RETURNS 1872</w:t>
      </w:r>
      <w:r w:rsidR="002227B1">
        <w:rPr>
          <w:rFonts w:ascii="Times New Roman" w:hAnsi="Times New Roman" w:cs="Times New Roman"/>
          <w:sz w:val="20"/>
          <w:szCs w:val="20"/>
        </w:rPr>
        <w:t>–</w:t>
      </w:r>
      <w:r w:rsidRPr="0006003D">
        <w:rPr>
          <w:rFonts w:ascii="Times New Roman" w:hAnsi="Times New Roman" w:cs="Times New Roman"/>
          <w:sz w:val="20"/>
          <w:szCs w:val="20"/>
        </w:rPr>
        <w:t>1907; BID-ASK-SORTED PORTFOLIOS</w:t>
      </w:r>
    </w:p>
    <w:p w14:paraId="10588BCD" w14:textId="77777777" w:rsidR="009D5E4A" w:rsidRPr="0006003D" w:rsidRDefault="009D5E4A" w:rsidP="0006003D">
      <w:pPr>
        <w:keepNext/>
        <w:widowControl w:val="0"/>
        <w:autoSpaceDE w:val="0"/>
        <w:autoSpaceDN w:val="0"/>
        <w:adjustRightInd w:val="0"/>
        <w:rPr>
          <w:rFonts w:ascii="Times New Roman" w:hAnsi="Times New Roman" w:cs="Times New Roman"/>
          <w:sz w:val="20"/>
          <w:szCs w:val="20"/>
        </w:rPr>
      </w:pPr>
    </w:p>
    <w:tbl>
      <w:tblPr>
        <w:tblW w:w="13608" w:type="dxa"/>
        <w:jc w:val="center"/>
        <w:tblLayout w:type="fixed"/>
        <w:tblCellMar>
          <w:top w:w="57" w:type="dxa"/>
          <w:bottom w:w="57" w:type="dxa"/>
        </w:tblCellMar>
        <w:tblLook w:val="0000" w:firstRow="0" w:lastRow="0" w:firstColumn="0" w:lastColumn="0" w:noHBand="0" w:noVBand="0"/>
      </w:tblPr>
      <w:tblGrid>
        <w:gridCol w:w="1406"/>
        <w:gridCol w:w="1110"/>
        <w:gridCol w:w="1110"/>
        <w:gridCol w:w="1110"/>
        <w:gridCol w:w="1109"/>
        <w:gridCol w:w="1109"/>
        <w:gridCol w:w="1109"/>
        <w:gridCol w:w="1109"/>
        <w:gridCol w:w="1109"/>
        <w:gridCol w:w="1109"/>
        <w:gridCol w:w="1109"/>
        <w:gridCol w:w="1109"/>
      </w:tblGrid>
      <w:tr w:rsidR="009D5E4A" w:rsidRPr="0006003D" w14:paraId="74C724CC" w14:textId="77777777" w:rsidTr="008267B5">
        <w:trPr>
          <w:jc w:val="center"/>
        </w:trPr>
        <w:tc>
          <w:tcPr>
            <w:tcW w:w="1406" w:type="dxa"/>
            <w:tcBorders>
              <w:top w:val="double" w:sz="4" w:space="0" w:color="auto"/>
              <w:left w:val="nil"/>
              <w:bottom w:val="nil"/>
              <w:right w:val="nil"/>
            </w:tcBorders>
          </w:tcPr>
          <w:p w14:paraId="1B794898" w14:textId="77777777" w:rsidR="009D5E4A" w:rsidRPr="002227B1" w:rsidRDefault="009D5E4A" w:rsidP="0006003D">
            <w:pPr>
              <w:widowControl w:val="0"/>
              <w:autoSpaceDE w:val="0"/>
              <w:autoSpaceDN w:val="0"/>
              <w:adjustRightInd w:val="0"/>
              <w:rPr>
                <w:rFonts w:ascii="Times New Roman" w:hAnsi="Times New Roman" w:cs="Times New Roman"/>
                <w:sz w:val="18"/>
                <w:szCs w:val="18"/>
              </w:rPr>
            </w:pPr>
          </w:p>
        </w:tc>
        <w:tc>
          <w:tcPr>
            <w:tcW w:w="1110" w:type="dxa"/>
            <w:tcBorders>
              <w:top w:val="double" w:sz="4" w:space="0" w:color="auto"/>
              <w:left w:val="nil"/>
              <w:bottom w:val="nil"/>
              <w:right w:val="nil"/>
            </w:tcBorders>
          </w:tcPr>
          <w:p w14:paraId="16E29EF3"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(1)</w:t>
            </w:r>
          </w:p>
        </w:tc>
        <w:tc>
          <w:tcPr>
            <w:tcW w:w="1110" w:type="dxa"/>
            <w:tcBorders>
              <w:top w:val="double" w:sz="4" w:space="0" w:color="auto"/>
              <w:left w:val="nil"/>
              <w:bottom w:val="nil"/>
              <w:right w:val="nil"/>
            </w:tcBorders>
          </w:tcPr>
          <w:p w14:paraId="0EF89EC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(2)</w:t>
            </w:r>
          </w:p>
        </w:tc>
        <w:tc>
          <w:tcPr>
            <w:tcW w:w="1110" w:type="dxa"/>
            <w:tcBorders>
              <w:top w:val="double" w:sz="4" w:space="0" w:color="auto"/>
              <w:left w:val="nil"/>
              <w:bottom w:val="nil"/>
              <w:right w:val="nil"/>
            </w:tcBorders>
          </w:tcPr>
          <w:p w14:paraId="72F1061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(3)</w:t>
            </w:r>
          </w:p>
        </w:tc>
        <w:tc>
          <w:tcPr>
            <w:tcW w:w="1109" w:type="dxa"/>
            <w:tcBorders>
              <w:top w:val="double" w:sz="4" w:space="0" w:color="auto"/>
              <w:left w:val="nil"/>
              <w:bottom w:val="nil"/>
              <w:right w:val="nil"/>
            </w:tcBorders>
          </w:tcPr>
          <w:p w14:paraId="2383CEF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w:t>
            </w:r>
          </w:p>
        </w:tc>
        <w:tc>
          <w:tcPr>
            <w:tcW w:w="1109" w:type="dxa"/>
            <w:tcBorders>
              <w:top w:val="double" w:sz="4" w:space="0" w:color="auto"/>
              <w:left w:val="nil"/>
              <w:bottom w:val="nil"/>
              <w:right w:val="nil"/>
            </w:tcBorders>
          </w:tcPr>
          <w:p w14:paraId="12A6AFB9"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(5)</w:t>
            </w:r>
          </w:p>
        </w:tc>
        <w:tc>
          <w:tcPr>
            <w:tcW w:w="1109" w:type="dxa"/>
            <w:tcBorders>
              <w:top w:val="double" w:sz="4" w:space="0" w:color="auto"/>
              <w:left w:val="nil"/>
              <w:bottom w:val="nil"/>
              <w:right w:val="nil"/>
            </w:tcBorders>
          </w:tcPr>
          <w:p w14:paraId="1FAFFA3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(6)</w:t>
            </w:r>
          </w:p>
        </w:tc>
        <w:tc>
          <w:tcPr>
            <w:tcW w:w="1109" w:type="dxa"/>
            <w:tcBorders>
              <w:top w:val="double" w:sz="4" w:space="0" w:color="auto"/>
              <w:left w:val="nil"/>
              <w:bottom w:val="nil"/>
              <w:right w:val="nil"/>
            </w:tcBorders>
          </w:tcPr>
          <w:p w14:paraId="3D1ED7B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(7)</w:t>
            </w:r>
          </w:p>
        </w:tc>
        <w:tc>
          <w:tcPr>
            <w:tcW w:w="1109" w:type="dxa"/>
            <w:tcBorders>
              <w:top w:val="double" w:sz="4" w:space="0" w:color="auto"/>
              <w:left w:val="nil"/>
              <w:bottom w:val="nil"/>
              <w:right w:val="nil"/>
            </w:tcBorders>
          </w:tcPr>
          <w:p w14:paraId="63454E4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(8)</w:t>
            </w:r>
          </w:p>
        </w:tc>
        <w:tc>
          <w:tcPr>
            <w:tcW w:w="1109" w:type="dxa"/>
            <w:tcBorders>
              <w:top w:val="double" w:sz="4" w:space="0" w:color="auto"/>
              <w:left w:val="nil"/>
              <w:bottom w:val="nil"/>
              <w:right w:val="nil"/>
            </w:tcBorders>
          </w:tcPr>
          <w:p w14:paraId="74D8133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(9)</w:t>
            </w:r>
          </w:p>
        </w:tc>
        <w:tc>
          <w:tcPr>
            <w:tcW w:w="1109" w:type="dxa"/>
            <w:tcBorders>
              <w:top w:val="double" w:sz="4" w:space="0" w:color="auto"/>
              <w:left w:val="nil"/>
              <w:bottom w:val="nil"/>
              <w:right w:val="nil"/>
            </w:tcBorders>
          </w:tcPr>
          <w:p w14:paraId="20660BA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(10)</w:t>
            </w:r>
          </w:p>
        </w:tc>
        <w:tc>
          <w:tcPr>
            <w:tcW w:w="1109" w:type="dxa"/>
            <w:tcBorders>
              <w:top w:val="double" w:sz="4" w:space="0" w:color="auto"/>
              <w:left w:val="nil"/>
              <w:bottom w:val="nil"/>
              <w:right w:val="nil"/>
            </w:tcBorders>
          </w:tcPr>
          <w:p w14:paraId="05D91A0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(11)</w:t>
            </w:r>
          </w:p>
        </w:tc>
      </w:tr>
      <w:tr w:rsidR="009D5E4A" w:rsidRPr="0006003D" w14:paraId="648FA519" w14:textId="77777777" w:rsidTr="002227B1">
        <w:trPr>
          <w:jc w:val="center"/>
        </w:trPr>
        <w:tc>
          <w:tcPr>
            <w:tcW w:w="1406" w:type="dxa"/>
            <w:tcBorders>
              <w:top w:val="nil"/>
              <w:left w:val="nil"/>
              <w:bottom w:val="nil"/>
              <w:right w:val="nil"/>
            </w:tcBorders>
          </w:tcPr>
          <w:p w14:paraId="16DBAC29" w14:textId="29A5BD11" w:rsidR="009D5E4A" w:rsidRPr="002227B1" w:rsidRDefault="009D5E4A" w:rsidP="0006003D">
            <w:pPr>
              <w:widowControl w:val="0"/>
              <w:autoSpaceDE w:val="0"/>
              <w:autoSpaceDN w:val="0"/>
              <w:adjustRightInd w:val="0"/>
              <w:rPr>
                <w:rFonts w:ascii="Times New Roman" w:hAnsi="Times New Roman" w:cs="Times New Roman"/>
                <w:sz w:val="18"/>
                <w:szCs w:val="18"/>
              </w:rPr>
            </w:pPr>
            <w:r w:rsidRPr="002227B1">
              <w:rPr>
                <w:rFonts w:ascii="Times New Roman" w:hAnsi="Times New Roman" w:cs="Times New Roman"/>
                <w:sz w:val="18"/>
                <w:szCs w:val="18"/>
              </w:rPr>
              <w:t>Portfolio:</w:t>
            </w:r>
          </w:p>
        </w:tc>
        <w:tc>
          <w:tcPr>
            <w:tcW w:w="1110" w:type="dxa"/>
            <w:tcBorders>
              <w:top w:val="nil"/>
              <w:left w:val="nil"/>
              <w:bottom w:val="nil"/>
              <w:right w:val="nil"/>
            </w:tcBorders>
          </w:tcPr>
          <w:p w14:paraId="046852B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Illiquid</w:t>
            </w:r>
          </w:p>
        </w:tc>
        <w:tc>
          <w:tcPr>
            <w:tcW w:w="1110" w:type="dxa"/>
            <w:tcBorders>
              <w:top w:val="nil"/>
              <w:left w:val="nil"/>
              <w:bottom w:val="nil"/>
              <w:right w:val="nil"/>
            </w:tcBorders>
          </w:tcPr>
          <w:p w14:paraId="313A550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2</w:t>
            </w:r>
          </w:p>
        </w:tc>
        <w:tc>
          <w:tcPr>
            <w:tcW w:w="1110" w:type="dxa"/>
            <w:tcBorders>
              <w:top w:val="nil"/>
              <w:left w:val="nil"/>
              <w:bottom w:val="nil"/>
              <w:right w:val="nil"/>
            </w:tcBorders>
          </w:tcPr>
          <w:p w14:paraId="25DCD4D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3</w:t>
            </w:r>
          </w:p>
        </w:tc>
        <w:tc>
          <w:tcPr>
            <w:tcW w:w="1109" w:type="dxa"/>
            <w:tcBorders>
              <w:top w:val="nil"/>
              <w:left w:val="nil"/>
              <w:bottom w:val="nil"/>
              <w:right w:val="nil"/>
            </w:tcBorders>
          </w:tcPr>
          <w:p w14:paraId="23DF34F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w:t>
            </w:r>
          </w:p>
        </w:tc>
        <w:tc>
          <w:tcPr>
            <w:tcW w:w="1109" w:type="dxa"/>
            <w:tcBorders>
              <w:top w:val="nil"/>
              <w:left w:val="nil"/>
              <w:bottom w:val="nil"/>
              <w:right w:val="nil"/>
            </w:tcBorders>
          </w:tcPr>
          <w:p w14:paraId="4500E723"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5</w:t>
            </w:r>
          </w:p>
        </w:tc>
        <w:tc>
          <w:tcPr>
            <w:tcW w:w="1109" w:type="dxa"/>
            <w:tcBorders>
              <w:top w:val="nil"/>
              <w:left w:val="nil"/>
              <w:bottom w:val="nil"/>
              <w:right w:val="nil"/>
            </w:tcBorders>
          </w:tcPr>
          <w:p w14:paraId="4EB01503"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6</w:t>
            </w:r>
          </w:p>
        </w:tc>
        <w:tc>
          <w:tcPr>
            <w:tcW w:w="1109" w:type="dxa"/>
            <w:tcBorders>
              <w:top w:val="nil"/>
              <w:left w:val="nil"/>
              <w:bottom w:val="nil"/>
              <w:right w:val="nil"/>
            </w:tcBorders>
          </w:tcPr>
          <w:p w14:paraId="5422F22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7</w:t>
            </w:r>
          </w:p>
        </w:tc>
        <w:tc>
          <w:tcPr>
            <w:tcW w:w="1109" w:type="dxa"/>
            <w:tcBorders>
              <w:top w:val="nil"/>
              <w:left w:val="nil"/>
              <w:bottom w:val="nil"/>
              <w:right w:val="nil"/>
            </w:tcBorders>
          </w:tcPr>
          <w:p w14:paraId="5BAF8DE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8</w:t>
            </w:r>
          </w:p>
        </w:tc>
        <w:tc>
          <w:tcPr>
            <w:tcW w:w="1109" w:type="dxa"/>
            <w:tcBorders>
              <w:top w:val="nil"/>
              <w:left w:val="nil"/>
              <w:bottom w:val="nil"/>
              <w:right w:val="nil"/>
            </w:tcBorders>
          </w:tcPr>
          <w:p w14:paraId="78E33C9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9</w:t>
            </w:r>
          </w:p>
        </w:tc>
        <w:tc>
          <w:tcPr>
            <w:tcW w:w="1109" w:type="dxa"/>
            <w:tcBorders>
              <w:top w:val="nil"/>
              <w:left w:val="nil"/>
              <w:bottom w:val="nil"/>
              <w:right w:val="nil"/>
            </w:tcBorders>
          </w:tcPr>
          <w:p w14:paraId="40995C9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Liquid</w:t>
            </w:r>
          </w:p>
        </w:tc>
        <w:tc>
          <w:tcPr>
            <w:tcW w:w="1109" w:type="dxa"/>
            <w:tcBorders>
              <w:top w:val="nil"/>
              <w:left w:val="nil"/>
              <w:bottom w:val="nil"/>
              <w:right w:val="nil"/>
            </w:tcBorders>
          </w:tcPr>
          <w:p w14:paraId="56826CAA" w14:textId="23532702"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IM</w:t>
            </w:r>
            <w:r w:rsidR="00985551">
              <w:rPr>
                <w:rFonts w:ascii="Times New Roman" w:hAnsi="Times New Roman" w:cs="Times New Roman"/>
                <w:sz w:val="18"/>
                <w:szCs w:val="18"/>
              </w:rPr>
              <w:t>L</w:t>
            </w:r>
          </w:p>
        </w:tc>
      </w:tr>
      <w:tr w:rsidR="009D5E4A" w:rsidRPr="0006003D" w14:paraId="2A68CE9D" w14:textId="77777777" w:rsidTr="002227B1">
        <w:trPr>
          <w:jc w:val="center"/>
        </w:trPr>
        <w:tc>
          <w:tcPr>
            <w:tcW w:w="1406" w:type="dxa"/>
            <w:vMerge w:val="restart"/>
            <w:tcBorders>
              <w:top w:val="single" w:sz="4" w:space="0" w:color="auto"/>
              <w:left w:val="nil"/>
              <w:right w:val="nil"/>
            </w:tcBorders>
          </w:tcPr>
          <w:p w14:paraId="75BDAD22" w14:textId="480C4EF1" w:rsidR="009D5E4A" w:rsidRPr="002227B1" w:rsidRDefault="009D5E4A"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Liquidity (</w:t>
            </w:r>
            <w:r w:rsidR="009337DB">
              <w:rPr>
                <w:rFonts w:ascii="Times New Roman" w:eastAsia="Arial" w:hAnsi="Times New Roman" w:cs="Times New Roman"/>
                <w:sz w:val="18"/>
                <w:szCs w:val="18"/>
              </w:rPr>
              <w:t>P</w:t>
            </w:r>
            <w:r w:rsidRPr="002227B1">
              <w:rPr>
                <w:rFonts w:ascii="Times New Roman" w:eastAsia="Arial" w:hAnsi="Times New Roman" w:cs="Times New Roman"/>
                <w:sz w:val="18"/>
                <w:szCs w:val="18"/>
              </w:rPr>
              <w:t xml:space="preserve">ooled) </w:t>
            </w:r>
          </w:p>
        </w:tc>
        <w:tc>
          <w:tcPr>
            <w:tcW w:w="1110" w:type="dxa"/>
            <w:tcBorders>
              <w:top w:val="single" w:sz="4" w:space="0" w:color="auto"/>
              <w:left w:val="nil"/>
              <w:right w:val="nil"/>
            </w:tcBorders>
          </w:tcPr>
          <w:p w14:paraId="08A7F7A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0.01**</w:t>
            </w:r>
          </w:p>
        </w:tc>
        <w:tc>
          <w:tcPr>
            <w:tcW w:w="1110" w:type="dxa"/>
            <w:tcBorders>
              <w:top w:val="single" w:sz="4" w:space="0" w:color="auto"/>
              <w:left w:val="nil"/>
              <w:right w:val="nil"/>
            </w:tcBorders>
          </w:tcPr>
          <w:p w14:paraId="2ED37BC9"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0.008***</w:t>
            </w:r>
          </w:p>
        </w:tc>
        <w:tc>
          <w:tcPr>
            <w:tcW w:w="1110" w:type="dxa"/>
            <w:tcBorders>
              <w:top w:val="single" w:sz="4" w:space="0" w:color="auto"/>
              <w:left w:val="nil"/>
              <w:right w:val="nil"/>
            </w:tcBorders>
          </w:tcPr>
          <w:p w14:paraId="02408C8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0.003***</w:t>
            </w:r>
          </w:p>
        </w:tc>
        <w:tc>
          <w:tcPr>
            <w:tcW w:w="1109" w:type="dxa"/>
            <w:tcBorders>
              <w:top w:val="single" w:sz="4" w:space="0" w:color="auto"/>
              <w:left w:val="nil"/>
              <w:right w:val="nil"/>
            </w:tcBorders>
          </w:tcPr>
          <w:p w14:paraId="015B43C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0.006***</w:t>
            </w:r>
          </w:p>
        </w:tc>
        <w:tc>
          <w:tcPr>
            <w:tcW w:w="1109" w:type="dxa"/>
            <w:tcBorders>
              <w:top w:val="single" w:sz="4" w:space="0" w:color="auto"/>
              <w:left w:val="nil"/>
              <w:right w:val="nil"/>
            </w:tcBorders>
          </w:tcPr>
          <w:p w14:paraId="2544CA8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0.003**</w:t>
            </w:r>
          </w:p>
        </w:tc>
        <w:tc>
          <w:tcPr>
            <w:tcW w:w="1109" w:type="dxa"/>
            <w:tcBorders>
              <w:top w:val="single" w:sz="4" w:space="0" w:color="auto"/>
              <w:left w:val="nil"/>
              <w:right w:val="nil"/>
            </w:tcBorders>
          </w:tcPr>
          <w:p w14:paraId="5B1A1FE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0.004***</w:t>
            </w:r>
          </w:p>
        </w:tc>
        <w:tc>
          <w:tcPr>
            <w:tcW w:w="1109" w:type="dxa"/>
            <w:tcBorders>
              <w:top w:val="single" w:sz="4" w:space="0" w:color="auto"/>
              <w:left w:val="nil"/>
              <w:right w:val="nil"/>
            </w:tcBorders>
          </w:tcPr>
          <w:p w14:paraId="14460A6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0.002***</w:t>
            </w:r>
          </w:p>
        </w:tc>
        <w:tc>
          <w:tcPr>
            <w:tcW w:w="1109" w:type="dxa"/>
            <w:tcBorders>
              <w:top w:val="single" w:sz="4" w:space="0" w:color="auto"/>
              <w:left w:val="nil"/>
              <w:right w:val="nil"/>
            </w:tcBorders>
          </w:tcPr>
          <w:p w14:paraId="5E0A567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0.002***</w:t>
            </w:r>
          </w:p>
        </w:tc>
        <w:tc>
          <w:tcPr>
            <w:tcW w:w="1109" w:type="dxa"/>
            <w:tcBorders>
              <w:top w:val="single" w:sz="4" w:space="0" w:color="auto"/>
              <w:left w:val="nil"/>
              <w:right w:val="nil"/>
            </w:tcBorders>
          </w:tcPr>
          <w:p w14:paraId="4DA47B9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0.002***</w:t>
            </w:r>
          </w:p>
        </w:tc>
        <w:tc>
          <w:tcPr>
            <w:tcW w:w="1109" w:type="dxa"/>
            <w:tcBorders>
              <w:top w:val="single" w:sz="4" w:space="0" w:color="auto"/>
              <w:left w:val="nil"/>
              <w:right w:val="nil"/>
            </w:tcBorders>
          </w:tcPr>
          <w:p w14:paraId="3A25E73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0.002***</w:t>
            </w:r>
          </w:p>
        </w:tc>
        <w:tc>
          <w:tcPr>
            <w:tcW w:w="1109" w:type="dxa"/>
            <w:tcBorders>
              <w:top w:val="single" w:sz="4" w:space="0" w:color="auto"/>
              <w:left w:val="nil"/>
              <w:right w:val="nil"/>
            </w:tcBorders>
          </w:tcPr>
          <w:p w14:paraId="5B24B60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0.006</w:t>
            </w:r>
          </w:p>
        </w:tc>
      </w:tr>
      <w:tr w:rsidR="009D5E4A" w:rsidRPr="0006003D" w14:paraId="44580DA8" w14:textId="77777777" w:rsidTr="002227B1">
        <w:trPr>
          <w:jc w:val="center"/>
        </w:trPr>
        <w:tc>
          <w:tcPr>
            <w:tcW w:w="1406" w:type="dxa"/>
            <w:vMerge/>
            <w:tcBorders>
              <w:left w:val="nil"/>
              <w:bottom w:val="nil"/>
              <w:right w:val="nil"/>
            </w:tcBorders>
          </w:tcPr>
          <w:p w14:paraId="11CB383A" w14:textId="77777777" w:rsidR="009D5E4A" w:rsidRPr="002227B1" w:rsidRDefault="009D5E4A" w:rsidP="0006003D">
            <w:pPr>
              <w:pStyle w:val="FootnoteText"/>
              <w:rPr>
                <w:rFonts w:ascii="Times New Roman" w:eastAsia="Arial" w:hAnsi="Times New Roman" w:cs="Times New Roman"/>
                <w:sz w:val="18"/>
                <w:szCs w:val="18"/>
              </w:rPr>
            </w:pPr>
          </w:p>
        </w:tc>
        <w:tc>
          <w:tcPr>
            <w:tcW w:w="1110" w:type="dxa"/>
            <w:tcBorders>
              <w:left w:val="nil"/>
              <w:bottom w:val="nil"/>
              <w:right w:val="nil"/>
            </w:tcBorders>
          </w:tcPr>
          <w:p w14:paraId="3C38BEB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(0.0038)</w:t>
            </w:r>
          </w:p>
        </w:tc>
        <w:tc>
          <w:tcPr>
            <w:tcW w:w="1110" w:type="dxa"/>
            <w:tcBorders>
              <w:left w:val="nil"/>
              <w:bottom w:val="nil"/>
              <w:right w:val="nil"/>
            </w:tcBorders>
          </w:tcPr>
          <w:p w14:paraId="67F974C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(0.0011)</w:t>
            </w:r>
          </w:p>
        </w:tc>
        <w:tc>
          <w:tcPr>
            <w:tcW w:w="1110" w:type="dxa"/>
            <w:tcBorders>
              <w:left w:val="nil"/>
              <w:bottom w:val="nil"/>
              <w:right w:val="nil"/>
            </w:tcBorders>
          </w:tcPr>
          <w:p w14:paraId="6801F19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(0.0012)</w:t>
            </w:r>
          </w:p>
        </w:tc>
        <w:tc>
          <w:tcPr>
            <w:tcW w:w="1109" w:type="dxa"/>
            <w:tcBorders>
              <w:left w:val="nil"/>
              <w:bottom w:val="nil"/>
              <w:right w:val="nil"/>
            </w:tcBorders>
          </w:tcPr>
          <w:p w14:paraId="2D9F603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(0.0011)</w:t>
            </w:r>
          </w:p>
        </w:tc>
        <w:tc>
          <w:tcPr>
            <w:tcW w:w="1109" w:type="dxa"/>
            <w:tcBorders>
              <w:left w:val="nil"/>
              <w:bottom w:val="nil"/>
              <w:right w:val="nil"/>
            </w:tcBorders>
          </w:tcPr>
          <w:p w14:paraId="563AF6B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(0.0018)</w:t>
            </w:r>
          </w:p>
        </w:tc>
        <w:tc>
          <w:tcPr>
            <w:tcW w:w="1109" w:type="dxa"/>
            <w:tcBorders>
              <w:left w:val="nil"/>
              <w:bottom w:val="nil"/>
              <w:right w:val="nil"/>
            </w:tcBorders>
          </w:tcPr>
          <w:p w14:paraId="2F16E6E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(0.0006)</w:t>
            </w:r>
          </w:p>
        </w:tc>
        <w:tc>
          <w:tcPr>
            <w:tcW w:w="1109" w:type="dxa"/>
            <w:tcBorders>
              <w:left w:val="nil"/>
              <w:bottom w:val="nil"/>
              <w:right w:val="nil"/>
            </w:tcBorders>
          </w:tcPr>
          <w:p w14:paraId="1CA4F666"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(0.0005)</w:t>
            </w:r>
          </w:p>
        </w:tc>
        <w:tc>
          <w:tcPr>
            <w:tcW w:w="1109" w:type="dxa"/>
            <w:tcBorders>
              <w:left w:val="nil"/>
              <w:bottom w:val="nil"/>
              <w:right w:val="nil"/>
            </w:tcBorders>
          </w:tcPr>
          <w:p w14:paraId="7F8D6FA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(0.0005)</w:t>
            </w:r>
          </w:p>
        </w:tc>
        <w:tc>
          <w:tcPr>
            <w:tcW w:w="1109" w:type="dxa"/>
            <w:tcBorders>
              <w:left w:val="nil"/>
              <w:bottom w:val="nil"/>
              <w:right w:val="nil"/>
            </w:tcBorders>
          </w:tcPr>
          <w:p w14:paraId="7001809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(0.0008)</w:t>
            </w:r>
          </w:p>
        </w:tc>
        <w:tc>
          <w:tcPr>
            <w:tcW w:w="1109" w:type="dxa"/>
            <w:tcBorders>
              <w:left w:val="nil"/>
              <w:bottom w:val="nil"/>
              <w:right w:val="nil"/>
            </w:tcBorders>
          </w:tcPr>
          <w:p w14:paraId="04AFAED3"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(0.0008)</w:t>
            </w:r>
          </w:p>
        </w:tc>
        <w:tc>
          <w:tcPr>
            <w:tcW w:w="1109" w:type="dxa"/>
            <w:tcBorders>
              <w:left w:val="nil"/>
              <w:bottom w:val="nil"/>
              <w:right w:val="nil"/>
            </w:tcBorders>
          </w:tcPr>
          <w:p w14:paraId="62D2998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(0.0037)</w:t>
            </w:r>
          </w:p>
        </w:tc>
      </w:tr>
      <w:tr w:rsidR="009D5E4A" w:rsidRPr="0006003D" w14:paraId="0BBD2079" w14:textId="77777777" w:rsidTr="002227B1">
        <w:trPr>
          <w:jc w:val="center"/>
        </w:trPr>
        <w:tc>
          <w:tcPr>
            <w:tcW w:w="1406" w:type="dxa"/>
            <w:vMerge w:val="restart"/>
            <w:tcBorders>
              <w:top w:val="nil"/>
              <w:left w:val="nil"/>
              <w:right w:val="nil"/>
            </w:tcBorders>
          </w:tcPr>
          <w:p w14:paraId="0110C26C" w14:textId="77777777" w:rsidR="009D5E4A" w:rsidRPr="002227B1" w:rsidRDefault="009D5E4A"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Credit (Export)</w:t>
            </w:r>
          </w:p>
        </w:tc>
        <w:tc>
          <w:tcPr>
            <w:tcW w:w="1110" w:type="dxa"/>
            <w:tcBorders>
              <w:top w:val="nil"/>
              <w:left w:val="nil"/>
              <w:bottom w:val="nil"/>
              <w:right w:val="nil"/>
            </w:tcBorders>
          </w:tcPr>
          <w:p w14:paraId="7AFF5B49" w14:textId="7319B604"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0.13</w:t>
            </w:r>
          </w:p>
        </w:tc>
        <w:tc>
          <w:tcPr>
            <w:tcW w:w="1110" w:type="dxa"/>
            <w:tcBorders>
              <w:top w:val="nil"/>
              <w:left w:val="nil"/>
              <w:bottom w:val="nil"/>
              <w:right w:val="nil"/>
            </w:tcBorders>
          </w:tcPr>
          <w:p w14:paraId="315DE640" w14:textId="5F43B341"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0.05</w:t>
            </w:r>
          </w:p>
        </w:tc>
        <w:tc>
          <w:tcPr>
            <w:tcW w:w="1110" w:type="dxa"/>
            <w:tcBorders>
              <w:top w:val="nil"/>
              <w:left w:val="nil"/>
              <w:bottom w:val="nil"/>
              <w:right w:val="nil"/>
            </w:tcBorders>
          </w:tcPr>
          <w:p w14:paraId="7A56E576" w14:textId="7F8B38BF"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0.02</w:t>
            </w:r>
          </w:p>
        </w:tc>
        <w:tc>
          <w:tcPr>
            <w:tcW w:w="1109" w:type="dxa"/>
            <w:tcBorders>
              <w:top w:val="nil"/>
              <w:left w:val="nil"/>
              <w:bottom w:val="nil"/>
              <w:right w:val="nil"/>
            </w:tcBorders>
          </w:tcPr>
          <w:p w14:paraId="72ADD34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0.03</w:t>
            </w:r>
          </w:p>
        </w:tc>
        <w:tc>
          <w:tcPr>
            <w:tcW w:w="1109" w:type="dxa"/>
            <w:tcBorders>
              <w:top w:val="nil"/>
              <w:left w:val="nil"/>
              <w:bottom w:val="nil"/>
              <w:right w:val="nil"/>
            </w:tcBorders>
          </w:tcPr>
          <w:p w14:paraId="118E5A5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0.01</w:t>
            </w:r>
          </w:p>
        </w:tc>
        <w:tc>
          <w:tcPr>
            <w:tcW w:w="1109" w:type="dxa"/>
            <w:tcBorders>
              <w:top w:val="nil"/>
              <w:left w:val="nil"/>
              <w:bottom w:val="nil"/>
              <w:right w:val="nil"/>
            </w:tcBorders>
          </w:tcPr>
          <w:p w14:paraId="1D2C09C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0.01</w:t>
            </w:r>
          </w:p>
        </w:tc>
        <w:tc>
          <w:tcPr>
            <w:tcW w:w="1109" w:type="dxa"/>
            <w:tcBorders>
              <w:top w:val="nil"/>
              <w:left w:val="nil"/>
              <w:bottom w:val="nil"/>
              <w:right w:val="nil"/>
            </w:tcBorders>
          </w:tcPr>
          <w:p w14:paraId="3D7FF926" w14:textId="7A0D5C43"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0.00</w:t>
            </w:r>
          </w:p>
        </w:tc>
        <w:tc>
          <w:tcPr>
            <w:tcW w:w="1109" w:type="dxa"/>
            <w:tcBorders>
              <w:top w:val="nil"/>
              <w:left w:val="nil"/>
              <w:bottom w:val="nil"/>
              <w:right w:val="nil"/>
            </w:tcBorders>
          </w:tcPr>
          <w:p w14:paraId="7186092F" w14:textId="412C4A64"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0.03</w:t>
            </w:r>
          </w:p>
        </w:tc>
        <w:tc>
          <w:tcPr>
            <w:tcW w:w="1109" w:type="dxa"/>
            <w:tcBorders>
              <w:top w:val="nil"/>
              <w:left w:val="nil"/>
              <w:bottom w:val="nil"/>
              <w:right w:val="nil"/>
            </w:tcBorders>
          </w:tcPr>
          <w:p w14:paraId="3E1B3CDF" w14:textId="644FEC67"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0.05</w:t>
            </w:r>
          </w:p>
        </w:tc>
        <w:tc>
          <w:tcPr>
            <w:tcW w:w="1109" w:type="dxa"/>
            <w:tcBorders>
              <w:top w:val="nil"/>
              <w:left w:val="nil"/>
              <w:bottom w:val="nil"/>
              <w:right w:val="nil"/>
            </w:tcBorders>
          </w:tcPr>
          <w:p w14:paraId="35FB06F6" w14:textId="646DD428"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0.00</w:t>
            </w:r>
          </w:p>
        </w:tc>
        <w:tc>
          <w:tcPr>
            <w:tcW w:w="1109" w:type="dxa"/>
            <w:tcBorders>
              <w:top w:val="nil"/>
              <w:left w:val="nil"/>
              <w:bottom w:val="nil"/>
              <w:right w:val="nil"/>
            </w:tcBorders>
          </w:tcPr>
          <w:p w14:paraId="7A46DDEF" w14:textId="5AFF0072"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0.13</w:t>
            </w:r>
          </w:p>
        </w:tc>
      </w:tr>
      <w:tr w:rsidR="009D5E4A" w:rsidRPr="0006003D" w14:paraId="2F203C0A" w14:textId="77777777" w:rsidTr="002227B1">
        <w:trPr>
          <w:jc w:val="center"/>
        </w:trPr>
        <w:tc>
          <w:tcPr>
            <w:tcW w:w="1406" w:type="dxa"/>
            <w:vMerge/>
            <w:tcBorders>
              <w:left w:val="nil"/>
              <w:bottom w:val="nil"/>
              <w:right w:val="nil"/>
            </w:tcBorders>
          </w:tcPr>
          <w:p w14:paraId="7193852A" w14:textId="77777777" w:rsidR="009D5E4A" w:rsidRPr="002227B1" w:rsidRDefault="009D5E4A" w:rsidP="0006003D">
            <w:pPr>
              <w:pStyle w:val="FootnoteText"/>
              <w:rPr>
                <w:rFonts w:ascii="Times New Roman" w:eastAsia="Arial" w:hAnsi="Times New Roman" w:cs="Times New Roman"/>
                <w:sz w:val="18"/>
                <w:szCs w:val="18"/>
              </w:rPr>
            </w:pPr>
          </w:p>
        </w:tc>
        <w:tc>
          <w:tcPr>
            <w:tcW w:w="1110" w:type="dxa"/>
            <w:tcBorders>
              <w:top w:val="nil"/>
              <w:left w:val="nil"/>
              <w:bottom w:val="nil"/>
              <w:right w:val="nil"/>
            </w:tcBorders>
          </w:tcPr>
          <w:p w14:paraId="436899D6"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(0.12)</w:t>
            </w:r>
          </w:p>
        </w:tc>
        <w:tc>
          <w:tcPr>
            <w:tcW w:w="1110" w:type="dxa"/>
            <w:tcBorders>
              <w:top w:val="nil"/>
              <w:left w:val="nil"/>
              <w:bottom w:val="nil"/>
              <w:right w:val="nil"/>
            </w:tcBorders>
          </w:tcPr>
          <w:p w14:paraId="1EE2911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(0.041)</w:t>
            </w:r>
          </w:p>
        </w:tc>
        <w:tc>
          <w:tcPr>
            <w:tcW w:w="1110" w:type="dxa"/>
            <w:tcBorders>
              <w:top w:val="nil"/>
              <w:left w:val="nil"/>
              <w:bottom w:val="nil"/>
              <w:right w:val="nil"/>
            </w:tcBorders>
          </w:tcPr>
          <w:p w14:paraId="74E40959"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(0.042)</w:t>
            </w:r>
          </w:p>
        </w:tc>
        <w:tc>
          <w:tcPr>
            <w:tcW w:w="1109" w:type="dxa"/>
            <w:tcBorders>
              <w:top w:val="nil"/>
              <w:left w:val="nil"/>
              <w:bottom w:val="nil"/>
              <w:right w:val="nil"/>
            </w:tcBorders>
          </w:tcPr>
          <w:p w14:paraId="6B4782C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(0.027)</w:t>
            </w:r>
          </w:p>
        </w:tc>
        <w:tc>
          <w:tcPr>
            <w:tcW w:w="1109" w:type="dxa"/>
            <w:tcBorders>
              <w:top w:val="nil"/>
              <w:left w:val="nil"/>
              <w:bottom w:val="nil"/>
              <w:right w:val="nil"/>
            </w:tcBorders>
          </w:tcPr>
          <w:p w14:paraId="3172133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(0.022)</w:t>
            </w:r>
          </w:p>
        </w:tc>
        <w:tc>
          <w:tcPr>
            <w:tcW w:w="1109" w:type="dxa"/>
            <w:tcBorders>
              <w:top w:val="nil"/>
              <w:left w:val="nil"/>
              <w:bottom w:val="nil"/>
              <w:right w:val="nil"/>
            </w:tcBorders>
          </w:tcPr>
          <w:p w14:paraId="00573079"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(0.020)</w:t>
            </w:r>
          </w:p>
        </w:tc>
        <w:tc>
          <w:tcPr>
            <w:tcW w:w="1109" w:type="dxa"/>
            <w:tcBorders>
              <w:top w:val="nil"/>
              <w:left w:val="nil"/>
              <w:bottom w:val="nil"/>
              <w:right w:val="nil"/>
            </w:tcBorders>
          </w:tcPr>
          <w:p w14:paraId="2BEB342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(0.017)</w:t>
            </w:r>
          </w:p>
        </w:tc>
        <w:tc>
          <w:tcPr>
            <w:tcW w:w="1109" w:type="dxa"/>
            <w:tcBorders>
              <w:top w:val="nil"/>
              <w:left w:val="nil"/>
              <w:bottom w:val="nil"/>
              <w:right w:val="nil"/>
            </w:tcBorders>
          </w:tcPr>
          <w:p w14:paraId="793B82D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(0.025)</w:t>
            </w:r>
          </w:p>
        </w:tc>
        <w:tc>
          <w:tcPr>
            <w:tcW w:w="1109" w:type="dxa"/>
            <w:tcBorders>
              <w:top w:val="nil"/>
              <w:left w:val="nil"/>
              <w:bottom w:val="nil"/>
              <w:right w:val="nil"/>
            </w:tcBorders>
          </w:tcPr>
          <w:p w14:paraId="7B1885A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(0.031)</w:t>
            </w:r>
          </w:p>
        </w:tc>
        <w:tc>
          <w:tcPr>
            <w:tcW w:w="1109" w:type="dxa"/>
            <w:tcBorders>
              <w:top w:val="nil"/>
              <w:left w:val="nil"/>
              <w:bottom w:val="nil"/>
              <w:right w:val="nil"/>
            </w:tcBorders>
          </w:tcPr>
          <w:p w14:paraId="76CCD73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(0.033)</w:t>
            </w:r>
          </w:p>
        </w:tc>
        <w:tc>
          <w:tcPr>
            <w:tcW w:w="1109" w:type="dxa"/>
            <w:tcBorders>
              <w:top w:val="nil"/>
              <w:left w:val="nil"/>
              <w:bottom w:val="nil"/>
              <w:right w:val="nil"/>
            </w:tcBorders>
          </w:tcPr>
          <w:p w14:paraId="2B6A7BE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(0.12)</w:t>
            </w:r>
          </w:p>
        </w:tc>
      </w:tr>
      <w:tr w:rsidR="009D5E4A" w:rsidRPr="0006003D" w14:paraId="6D8A3099" w14:textId="77777777" w:rsidTr="002227B1">
        <w:trPr>
          <w:jc w:val="center"/>
        </w:trPr>
        <w:tc>
          <w:tcPr>
            <w:tcW w:w="1406" w:type="dxa"/>
            <w:vMerge w:val="restart"/>
            <w:tcBorders>
              <w:top w:val="nil"/>
              <w:left w:val="nil"/>
              <w:right w:val="nil"/>
            </w:tcBorders>
          </w:tcPr>
          <w:p w14:paraId="02AC0D6D" w14:textId="77777777" w:rsidR="009D5E4A" w:rsidRPr="002227B1" w:rsidRDefault="009D5E4A"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Credit (Deficit)</w:t>
            </w:r>
          </w:p>
        </w:tc>
        <w:tc>
          <w:tcPr>
            <w:tcW w:w="1110" w:type="dxa"/>
            <w:tcBorders>
              <w:top w:val="nil"/>
              <w:left w:val="nil"/>
              <w:bottom w:val="nil"/>
              <w:right w:val="nil"/>
            </w:tcBorders>
          </w:tcPr>
          <w:p w14:paraId="1D8BAE25" w14:textId="16DF0ADA"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0.23**</w:t>
            </w:r>
          </w:p>
        </w:tc>
        <w:tc>
          <w:tcPr>
            <w:tcW w:w="1110" w:type="dxa"/>
            <w:tcBorders>
              <w:top w:val="nil"/>
              <w:left w:val="nil"/>
              <w:bottom w:val="nil"/>
              <w:right w:val="nil"/>
            </w:tcBorders>
          </w:tcPr>
          <w:p w14:paraId="12A486FB" w14:textId="2233AC7E"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0.14***</w:t>
            </w:r>
          </w:p>
        </w:tc>
        <w:tc>
          <w:tcPr>
            <w:tcW w:w="1110" w:type="dxa"/>
            <w:tcBorders>
              <w:top w:val="nil"/>
              <w:left w:val="nil"/>
              <w:bottom w:val="nil"/>
              <w:right w:val="nil"/>
            </w:tcBorders>
          </w:tcPr>
          <w:p w14:paraId="4CDB04E1" w14:textId="5C88C1E8"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0.15***</w:t>
            </w:r>
          </w:p>
        </w:tc>
        <w:tc>
          <w:tcPr>
            <w:tcW w:w="1109" w:type="dxa"/>
            <w:tcBorders>
              <w:top w:val="nil"/>
              <w:left w:val="nil"/>
              <w:bottom w:val="nil"/>
              <w:right w:val="nil"/>
            </w:tcBorders>
          </w:tcPr>
          <w:p w14:paraId="09570056" w14:textId="2CFE5FC9"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0.12***</w:t>
            </w:r>
          </w:p>
        </w:tc>
        <w:tc>
          <w:tcPr>
            <w:tcW w:w="1109" w:type="dxa"/>
            <w:tcBorders>
              <w:top w:val="nil"/>
              <w:left w:val="nil"/>
              <w:bottom w:val="nil"/>
              <w:right w:val="nil"/>
            </w:tcBorders>
          </w:tcPr>
          <w:p w14:paraId="69B4997D" w14:textId="576D8705"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0.02</w:t>
            </w:r>
          </w:p>
        </w:tc>
        <w:tc>
          <w:tcPr>
            <w:tcW w:w="1109" w:type="dxa"/>
            <w:tcBorders>
              <w:top w:val="nil"/>
              <w:left w:val="nil"/>
              <w:bottom w:val="nil"/>
              <w:right w:val="nil"/>
            </w:tcBorders>
          </w:tcPr>
          <w:p w14:paraId="50713DBB" w14:textId="31A40E1B"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0.03</w:t>
            </w:r>
          </w:p>
        </w:tc>
        <w:tc>
          <w:tcPr>
            <w:tcW w:w="1109" w:type="dxa"/>
            <w:tcBorders>
              <w:top w:val="nil"/>
              <w:left w:val="nil"/>
              <w:bottom w:val="nil"/>
              <w:right w:val="nil"/>
            </w:tcBorders>
          </w:tcPr>
          <w:p w14:paraId="235A094D" w14:textId="316B9B01"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0.02</w:t>
            </w:r>
          </w:p>
        </w:tc>
        <w:tc>
          <w:tcPr>
            <w:tcW w:w="1109" w:type="dxa"/>
            <w:tcBorders>
              <w:top w:val="nil"/>
              <w:left w:val="nil"/>
              <w:bottom w:val="nil"/>
              <w:right w:val="nil"/>
            </w:tcBorders>
          </w:tcPr>
          <w:p w14:paraId="502384B2" w14:textId="2895EFBA"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0.10***</w:t>
            </w:r>
          </w:p>
        </w:tc>
        <w:tc>
          <w:tcPr>
            <w:tcW w:w="1109" w:type="dxa"/>
            <w:tcBorders>
              <w:top w:val="nil"/>
              <w:left w:val="nil"/>
              <w:bottom w:val="nil"/>
              <w:right w:val="nil"/>
            </w:tcBorders>
          </w:tcPr>
          <w:p w14:paraId="7DA68391" w14:textId="7FF8BD98"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0.02</w:t>
            </w:r>
          </w:p>
        </w:tc>
        <w:tc>
          <w:tcPr>
            <w:tcW w:w="1109" w:type="dxa"/>
            <w:tcBorders>
              <w:top w:val="nil"/>
              <w:left w:val="nil"/>
              <w:bottom w:val="nil"/>
              <w:right w:val="nil"/>
            </w:tcBorders>
          </w:tcPr>
          <w:p w14:paraId="781248E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w:t>
            </w:r>
          </w:p>
        </w:tc>
        <w:tc>
          <w:tcPr>
            <w:tcW w:w="1109" w:type="dxa"/>
            <w:tcBorders>
              <w:top w:val="nil"/>
              <w:left w:val="nil"/>
              <w:bottom w:val="nil"/>
              <w:right w:val="nil"/>
            </w:tcBorders>
          </w:tcPr>
          <w:p w14:paraId="70830600" w14:textId="1F2B19CF"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0.24**</w:t>
            </w:r>
          </w:p>
        </w:tc>
      </w:tr>
      <w:tr w:rsidR="009D5E4A" w:rsidRPr="0006003D" w14:paraId="501807EE" w14:textId="77777777" w:rsidTr="002227B1">
        <w:trPr>
          <w:jc w:val="center"/>
        </w:trPr>
        <w:tc>
          <w:tcPr>
            <w:tcW w:w="1406" w:type="dxa"/>
            <w:vMerge/>
            <w:tcBorders>
              <w:left w:val="nil"/>
              <w:bottom w:val="nil"/>
              <w:right w:val="nil"/>
            </w:tcBorders>
          </w:tcPr>
          <w:p w14:paraId="69774E7F" w14:textId="77777777" w:rsidR="009D5E4A" w:rsidRPr="002227B1" w:rsidRDefault="009D5E4A" w:rsidP="0006003D">
            <w:pPr>
              <w:pStyle w:val="FootnoteText"/>
              <w:rPr>
                <w:rFonts w:ascii="Times New Roman" w:eastAsia="Arial" w:hAnsi="Times New Roman" w:cs="Times New Roman"/>
                <w:sz w:val="18"/>
                <w:szCs w:val="18"/>
              </w:rPr>
            </w:pPr>
          </w:p>
        </w:tc>
        <w:tc>
          <w:tcPr>
            <w:tcW w:w="1110" w:type="dxa"/>
            <w:tcBorders>
              <w:top w:val="nil"/>
              <w:left w:val="nil"/>
              <w:bottom w:val="nil"/>
              <w:right w:val="nil"/>
            </w:tcBorders>
          </w:tcPr>
          <w:p w14:paraId="210B542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(0.11)</w:t>
            </w:r>
          </w:p>
        </w:tc>
        <w:tc>
          <w:tcPr>
            <w:tcW w:w="1110" w:type="dxa"/>
            <w:tcBorders>
              <w:top w:val="nil"/>
              <w:left w:val="nil"/>
              <w:bottom w:val="nil"/>
              <w:right w:val="nil"/>
            </w:tcBorders>
          </w:tcPr>
          <w:p w14:paraId="4AA812D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(0.047)</w:t>
            </w:r>
          </w:p>
        </w:tc>
        <w:tc>
          <w:tcPr>
            <w:tcW w:w="1110" w:type="dxa"/>
            <w:tcBorders>
              <w:top w:val="nil"/>
              <w:left w:val="nil"/>
              <w:bottom w:val="nil"/>
              <w:right w:val="nil"/>
            </w:tcBorders>
          </w:tcPr>
          <w:p w14:paraId="2CE8990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(0.044)</w:t>
            </w:r>
          </w:p>
        </w:tc>
        <w:tc>
          <w:tcPr>
            <w:tcW w:w="1109" w:type="dxa"/>
            <w:tcBorders>
              <w:top w:val="nil"/>
              <w:left w:val="nil"/>
              <w:bottom w:val="nil"/>
              <w:right w:val="nil"/>
            </w:tcBorders>
          </w:tcPr>
          <w:p w14:paraId="72446FB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(0.032)</w:t>
            </w:r>
          </w:p>
        </w:tc>
        <w:tc>
          <w:tcPr>
            <w:tcW w:w="1109" w:type="dxa"/>
            <w:tcBorders>
              <w:top w:val="nil"/>
              <w:left w:val="nil"/>
              <w:bottom w:val="nil"/>
              <w:right w:val="nil"/>
            </w:tcBorders>
          </w:tcPr>
          <w:p w14:paraId="467EEA8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(0.023)</w:t>
            </w:r>
          </w:p>
        </w:tc>
        <w:tc>
          <w:tcPr>
            <w:tcW w:w="1109" w:type="dxa"/>
            <w:tcBorders>
              <w:top w:val="nil"/>
              <w:left w:val="nil"/>
              <w:bottom w:val="nil"/>
              <w:right w:val="nil"/>
            </w:tcBorders>
          </w:tcPr>
          <w:p w14:paraId="0DF8A45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(0.020)</w:t>
            </w:r>
          </w:p>
        </w:tc>
        <w:tc>
          <w:tcPr>
            <w:tcW w:w="1109" w:type="dxa"/>
            <w:tcBorders>
              <w:top w:val="nil"/>
              <w:left w:val="nil"/>
              <w:bottom w:val="nil"/>
              <w:right w:val="nil"/>
            </w:tcBorders>
          </w:tcPr>
          <w:p w14:paraId="16C5B99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(0.024)</w:t>
            </w:r>
          </w:p>
        </w:tc>
        <w:tc>
          <w:tcPr>
            <w:tcW w:w="1109" w:type="dxa"/>
            <w:tcBorders>
              <w:top w:val="nil"/>
              <w:left w:val="nil"/>
              <w:bottom w:val="nil"/>
              <w:right w:val="nil"/>
            </w:tcBorders>
          </w:tcPr>
          <w:p w14:paraId="3A6E4FE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(0.028)</w:t>
            </w:r>
          </w:p>
        </w:tc>
        <w:tc>
          <w:tcPr>
            <w:tcW w:w="1109" w:type="dxa"/>
            <w:tcBorders>
              <w:top w:val="nil"/>
              <w:left w:val="nil"/>
              <w:bottom w:val="nil"/>
              <w:right w:val="nil"/>
            </w:tcBorders>
          </w:tcPr>
          <w:p w14:paraId="34FBBCD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(0.032)</w:t>
            </w:r>
          </w:p>
        </w:tc>
        <w:tc>
          <w:tcPr>
            <w:tcW w:w="1109" w:type="dxa"/>
            <w:tcBorders>
              <w:top w:val="nil"/>
              <w:left w:val="nil"/>
              <w:bottom w:val="nil"/>
              <w:right w:val="nil"/>
            </w:tcBorders>
          </w:tcPr>
          <w:p w14:paraId="388843D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(0.043)</w:t>
            </w:r>
          </w:p>
        </w:tc>
        <w:tc>
          <w:tcPr>
            <w:tcW w:w="1109" w:type="dxa"/>
            <w:tcBorders>
              <w:top w:val="nil"/>
              <w:left w:val="nil"/>
              <w:bottom w:val="nil"/>
              <w:right w:val="nil"/>
            </w:tcBorders>
          </w:tcPr>
          <w:p w14:paraId="5EA08B9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(0.11)</w:t>
            </w:r>
          </w:p>
        </w:tc>
      </w:tr>
      <w:tr w:rsidR="009D5E4A" w:rsidRPr="0006003D" w14:paraId="1A98106A" w14:textId="77777777" w:rsidTr="002227B1">
        <w:trPr>
          <w:jc w:val="center"/>
        </w:trPr>
        <w:tc>
          <w:tcPr>
            <w:tcW w:w="1406" w:type="dxa"/>
            <w:tcBorders>
              <w:top w:val="nil"/>
              <w:left w:val="nil"/>
              <w:bottom w:val="nil"/>
              <w:right w:val="nil"/>
            </w:tcBorders>
          </w:tcPr>
          <w:p w14:paraId="44F51AC4" w14:textId="77777777" w:rsidR="009D5E4A" w:rsidRPr="002227B1" w:rsidRDefault="009D5E4A"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Term</w:t>
            </w:r>
          </w:p>
        </w:tc>
        <w:tc>
          <w:tcPr>
            <w:tcW w:w="1110" w:type="dxa"/>
            <w:tcBorders>
              <w:top w:val="nil"/>
              <w:left w:val="nil"/>
              <w:bottom w:val="nil"/>
              <w:right w:val="nil"/>
            </w:tcBorders>
          </w:tcPr>
          <w:p w14:paraId="0A109AD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0.35*</w:t>
            </w:r>
          </w:p>
        </w:tc>
        <w:tc>
          <w:tcPr>
            <w:tcW w:w="1110" w:type="dxa"/>
            <w:tcBorders>
              <w:top w:val="nil"/>
              <w:left w:val="nil"/>
              <w:bottom w:val="nil"/>
              <w:right w:val="nil"/>
            </w:tcBorders>
          </w:tcPr>
          <w:p w14:paraId="3A11B29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0.33***</w:t>
            </w:r>
          </w:p>
        </w:tc>
        <w:tc>
          <w:tcPr>
            <w:tcW w:w="1110" w:type="dxa"/>
            <w:tcBorders>
              <w:top w:val="nil"/>
              <w:left w:val="nil"/>
              <w:bottom w:val="nil"/>
              <w:right w:val="nil"/>
            </w:tcBorders>
          </w:tcPr>
          <w:p w14:paraId="53FD9F2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0.25***</w:t>
            </w:r>
          </w:p>
        </w:tc>
        <w:tc>
          <w:tcPr>
            <w:tcW w:w="1109" w:type="dxa"/>
            <w:tcBorders>
              <w:top w:val="nil"/>
              <w:left w:val="nil"/>
              <w:bottom w:val="nil"/>
              <w:right w:val="nil"/>
            </w:tcBorders>
          </w:tcPr>
          <w:p w14:paraId="43CE7F0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0.28***</w:t>
            </w:r>
          </w:p>
        </w:tc>
        <w:tc>
          <w:tcPr>
            <w:tcW w:w="1109" w:type="dxa"/>
            <w:tcBorders>
              <w:top w:val="nil"/>
              <w:left w:val="nil"/>
              <w:bottom w:val="nil"/>
              <w:right w:val="nil"/>
            </w:tcBorders>
          </w:tcPr>
          <w:p w14:paraId="63EBA7F9"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0.23***</w:t>
            </w:r>
          </w:p>
        </w:tc>
        <w:tc>
          <w:tcPr>
            <w:tcW w:w="1109" w:type="dxa"/>
            <w:tcBorders>
              <w:top w:val="nil"/>
              <w:left w:val="nil"/>
              <w:bottom w:val="nil"/>
              <w:right w:val="nil"/>
            </w:tcBorders>
          </w:tcPr>
          <w:p w14:paraId="6297EE6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0.18***</w:t>
            </w:r>
          </w:p>
        </w:tc>
        <w:tc>
          <w:tcPr>
            <w:tcW w:w="1109" w:type="dxa"/>
            <w:tcBorders>
              <w:top w:val="nil"/>
              <w:left w:val="nil"/>
              <w:bottom w:val="nil"/>
              <w:right w:val="nil"/>
            </w:tcBorders>
          </w:tcPr>
          <w:p w14:paraId="79A18AF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0.22***</w:t>
            </w:r>
          </w:p>
        </w:tc>
        <w:tc>
          <w:tcPr>
            <w:tcW w:w="1109" w:type="dxa"/>
            <w:tcBorders>
              <w:top w:val="nil"/>
              <w:left w:val="nil"/>
              <w:bottom w:val="nil"/>
              <w:right w:val="nil"/>
            </w:tcBorders>
          </w:tcPr>
          <w:p w14:paraId="455CB2E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0.26***</w:t>
            </w:r>
          </w:p>
        </w:tc>
        <w:tc>
          <w:tcPr>
            <w:tcW w:w="1109" w:type="dxa"/>
            <w:tcBorders>
              <w:top w:val="nil"/>
              <w:left w:val="nil"/>
              <w:bottom w:val="nil"/>
              <w:right w:val="nil"/>
            </w:tcBorders>
          </w:tcPr>
          <w:p w14:paraId="1048BA0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0.26***</w:t>
            </w:r>
          </w:p>
        </w:tc>
        <w:tc>
          <w:tcPr>
            <w:tcW w:w="1109" w:type="dxa"/>
            <w:tcBorders>
              <w:top w:val="nil"/>
              <w:left w:val="nil"/>
              <w:bottom w:val="nil"/>
              <w:right w:val="nil"/>
            </w:tcBorders>
          </w:tcPr>
          <w:p w14:paraId="5114DA5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0.16**</w:t>
            </w:r>
          </w:p>
        </w:tc>
        <w:tc>
          <w:tcPr>
            <w:tcW w:w="1109" w:type="dxa"/>
            <w:tcBorders>
              <w:top w:val="nil"/>
              <w:left w:val="nil"/>
              <w:bottom w:val="nil"/>
              <w:right w:val="nil"/>
            </w:tcBorders>
          </w:tcPr>
          <w:p w14:paraId="2809CA06"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0.19</w:t>
            </w:r>
          </w:p>
        </w:tc>
      </w:tr>
      <w:tr w:rsidR="009D5E4A" w:rsidRPr="0006003D" w14:paraId="058E5F5F" w14:textId="77777777" w:rsidTr="002227B1">
        <w:trPr>
          <w:jc w:val="center"/>
        </w:trPr>
        <w:tc>
          <w:tcPr>
            <w:tcW w:w="1406" w:type="dxa"/>
            <w:tcBorders>
              <w:top w:val="nil"/>
              <w:left w:val="nil"/>
              <w:bottom w:val="nil"/>
              <w:right w:val="nil"/>
            </w:tcBorders>
          </w:tcPr>
          <w:p w14:paraId="56BA69E1" w14:textId="77777777" w:rsidR="009D5E4A" w:rsidRPr="002227B1" w:rsidRDefault="009D5E4A" w:rsidP="0006003D">
            <w:pPr>
              <w:pStyle w:val="FootnoteText"/>
              <w:rPr>
                <w:rFonts w:ascii="Times New Roman" w:eastAsia="Arial" w:hAnsi="Times New Roman" w:cs="Times New Roman"/>
                <w:sz w:val="18"/>
                <w:szCs w:val="18"/>
              </w:rPr>
            </w:pPr>
          </w:p>
        </w:tc>
        <w:tc>
          <w:tcPr>
            <w:tcW w:w="1110" w:type="dxa"/>
            <w:tcBorders>
              <w:top w:val="nil"/>
              <w:left w:val="nil"/>
              <w:bottom w:val="nil"/>
              <w:right w:val="nil"/>
            </w:tcBorders>
          </w:tcPr>
          <w:p w14:paraId="487CBF7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(0.20)</w:t>
            </w:r>
          </w:p>
        </w:tc>
        <w:tc>
          <w:tcPr>
            <w:tcW w:w="1110" w:type="dxa"/>
            <w:tcBorders>
              <w:top w:val="nil"/>
              <w:left w:val="nil"/>
              <w:bottom w:val="nil"/>
              <w:right w:val="nil"/>
            </w:tcBorders>
          </w:tcPr>
          <w:p w14:paraId="74CB2E0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(0.079)</w:t>
            </w:r>
          </w:p>
        </w:tc>
        <w:tc>
          <w:tcPr>
            <w:tcW w:w="1110" w:type="dxa"/>
            <w:tcBorders>
              <w:top w:val="nil"/>
              <w:left w:val="nil"/>
              <w:bottom w:val="nil"/>
              <w:right w:val="nil"/>
            </w:tcBorders>
          </w:tcPr>
          <w:p w14:paraId="31B2641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(0.074)</w:t>
            </w:r>
          </w:p>
        </w:tc>
        <w:tc>
          <w:tcPr>
            <w:tcW w:w="1109" w:type="dxa"/>
            <w:tcBorders>
              <w:top w:val="nil"/>
              <w:left w:val="nil"/>
              <w:bottom w:val="nil"/>
              <w:right w:val="nil"/>
            </w:tcBorders>
          </w:tcPr>
          <w:p w14:paraId="23B5B49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(0.067)</w:t>
            </w:r>
          </w:p>
        </w:tc>
        <w:tc>
          <w:tcPr>
            <w:tcW w:w="1109" w:type="dxa"/>
            <w:tcBorders>
              <w:top w:val="nil"/>
              <w:left w:val="nil"/>
              <w:bottom w:val="nil"/>
              <w:right w:val="nil"/>
            </w:tcBorders>
          </w:tcPr>
          <w:p w14:paraId="0CDF067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(0.044)</w:t>
            </w:r>
          </w:p>
        </w:tc>
        <w:tc>
          <w:tcPr>
            <w:tcW w:w="1109" w:type="dxa"/>
            <w:tcBorders>
              <w:top w:val="nil"/>
              <w:left w:val="nil"/>
              <w:bottom w:val="nil"/>
              <w:right w:val="nil"/>
            </w:tcBorders>
          </w:tcPr>
          <w:p w14:paraId="6306C5E3"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(0.031)</w:t>
            </w:r>
          </w:p>
        </w:tc>
        <w:tc>
          <w:tcPr>
            <w:tcW w:w="1109" w:type="dxa"/>
            <w:tcBorders>
              <w:top w:val="nil"/>
              <w:left w:val="nil"/>
              <w:bottom w:val="nil"/>
              <w:right w:val="nil"/>
            </w:tcBorders>
          </w:tcPr>
          <w:p w14:paraId="15E26F1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(0.040)</w:t>
            </w:r>
          </w:p>
        </w:tc>
        <w:tc>
          <w:tcPr>
            <w:tcW w:w="1109" w:type="dxa"/>
            <w:tcBorders>
              <w:top w:val="nil"/>
              <w:left w:val="nil"/>
              <w:bottom w:val="nil"/>
              <w:right w:val="nil"/>
            </w:tcBorders>
          </w:tcPr>
          <w:p w14:paraId="2ACC3566"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(0.064)</w:t>
            </w:r>
          </w:p>
        </w:tc>
        <w:tc>
          <w:tcPr>
            <w:tcW w:w="1109" w:type="dxa"/>
            <w:tcBorders>
              <w:top w:val="nil"/>
              <w:left w:val="nil"/>
              <w:bottom w:val="nil"/>
              <w:right w:val="nil"/>
            </w:tcBorders>
          </w:tcPr>
          <w:p w14:paraId="7729497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(0.060)</w:t>
            </w:r>
          </w:p>
        </w:tc>
        <w:tc>
          <w:tcPr>
            <w:tcW w:w="1109" w:type="dxa"/>
            <w:tcBorders>
              <w:top w:val="nil"/>
              <w:left w:val="nil"/>
              <w:bottom w:val="nil"/>
              <w:right w:val="nil"/>
            </w:tcBorders>
          </w:tcPr>
          <w:p w14:paraId="05F3678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(0.072)</w:t>
            </w:r>
          </w:p>
        </w:tc>
        <w:tc>
          <w:tcPr>
            <w:tcW w:w="1109" w:type="dxa"/>
            <w:tcBorders>
              <w:top w:val="nil"/>
              <w:left w:val="nil"/>
              <w:bottom w:val="nil"/>
              <w:right w:val="nil"/>
            </w:tcBorders>
          </w:tcPr>
          <w:p w14:paraId="65D7095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(0.21)</w:t>
            </w:r>
          </w:p>
        </w:tc>
      </w:tr>
      <w:tr w:rsidR="009D5E4A" w:rsidRPr="0006003D" w14:paraId="4BAAFD54" w14:textId="77777777" w:rsidTr="002227B1">
        <w:trPr>
          <w:jc w:val="center"/>
        </w:trPr>
        <w:tc>
          <w:tcPr>
            <w:tcW w:w="1406" w:type="dxa"/>
            <w:tcBorders>
              <w:top w:val="nil"/>
              <w:left w:val="nil"/>
              <w:bottom w:val="nil"/>
              <w:right w:val="nil"/>
            </w:tcBorders>
          </w:tcPr>
          <w:p w14:paraId="41ED704A" w14:textId="77777777" w:rsidR="009D5E4A" w:rsidRPr="002227B1" w:rsidRDefault="009D5E4A"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Market</w:t>
            </w:r>
          </w:p>
        </w:tc>
        <w:tc>
          <w:tcPr>
            <w:tcW w:w="1110" w:type="dxa"/>
            <w:tcBorders>
              <w:top w:val="nil"/>
              <w:left w:val="nil"/>
              <w:bottom w:val="nil"/>
              <w:right w:val="nil"/>
            </w:tcBorders>
          </w:tcPr>
          <w:p w14:paraId="4CF9AA3D" w14:textId="4E192102"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0.08</w:t>
            </w:r>
          </w:p>
        </w:tc>
        <w:tc>
          <w:tcPr>
            <w:tcW w:w="1110" w:type="dxa"/>
            <w:tcBorders>
              <w:top w:val="nil"/>
              <w:left w:val="nil"/>
              <w:bottom w:val="nil"/>
              <w:right w:val="nil"/>
            </w:tcBorders>
          </w:tcPr>
          <w:p w14:paraId="2104BA7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0.22***</w:t>
            </w:r>
          </w:p>
        </w:tc>
        <w:tc>
          <w:tcPr>
            <w:tcW w:w="1110" w:type="dxa"/>
            <w:tcBorders>
              <w:top w:val="nil"/>
              <w:left w:val="nil"/>
              <w:bottom w:val="nil"/>
              <w:right w:val="nil"/>
            </w:tcBorders>
          </w:tcPr>
          <w:p w14:paraId="4D71DB3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0.31***</w:t>
            </w:r>
          </w:p>
        </w:tc>
        <w:tc>
          <w:tcPr>
            <w:tcW w:w="1109" w:type="dxa"/>
            <w:tcBorders>
              <w:top w:val="nil"/>
              <w:left w:val="nil"/>
              <w:bottom w:val="nil"/>
              <w:right w:val="nil"/>
            </w:tcBorders>
          </w:tcPr>
          <w:p w14:paraId="23F4B0F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0.19***</w:t>
            </w:r>
          </w:p>
        </w:tc>
        <w:tc>
          <w:tcPr>
            <w:tcW w:w="1109" w:type="dxa"/>
            <w:tcBorders>
              <w:top w:val="nil"/>
              <w:left w:val="nil"/>
              <w:bottom w:val="nil"/>
              <w:right w:val="nil"/>
            </w:tcBorders>
          </w:tcPr>
          <w:p w14:paraId="7D35CC9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0.12***</w:t>
            </w:r>
          </w:p>
        </w:tc>
        <w:tc>
          <w:tcPr>
            <w:tcW w:w="1109" w:type="dxa"/>
            <w:tcBorders>
              <w:top w:val="nil"/>
              <w:left w:val="nil"/>
              <w:bottom w:val="nil"/>
              <w:right w:val="nil"/>
            </w:tcBorders>
          </w:tcPr>
          <w:p w14:paraId="13F6CD6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0.11***</w:t>
            </w:r>
          </w:p>
        </w:tc>
        <w:tc>
          <w:tcPr>
            <w:tcW w:w="1109" w:type="dxa"/>
            <w:tcBorders>
              <w:top w:val="nil"/>
              <w:left w:val="nil"/>
              <w:bottom w:val="nil"/>
              <w:right w:val="nil"/>
            </w:tcBorders>
          </w:tcPr>
          <w:p w14:paraId="7E325E0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0.11***</w:t>
            </w:r>
          </w:p>
        </w:tc>
        <w:tc>
          <w:tcPr>
            <w:tcW w:w="1109" w:type="dxa"/>
            <w:tcBorders>
              <w:top w:val="nil"/>
              <w:left w:val="nil"/>
              <w:bottom w:val="nil"/>
              <w:right w:val="nil"/>
            </w:tcBorders>
          </w:tcPr>
          <w:p w14:paraId="6D4D1CA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0.18***</w:t>
            </w:r>
          </w:p>
        </w:tc>
        <w:tc>
          <w:tcPr>
            <w:tcW w:w="1109" w:type="dxa"/>
            <w:tcBorders>
              <w:top w:val="nil"/>
              <w:left w:val="nil"/>
              <w:bottom w:val="nil"/>
              <w:right w:val="nil"/>
            </w:tcBorders>
          </w:tcPr>
          <w:p w14:paraId="42525AF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0.21***</w:t>
            </w:r>
          </w:p>
        </w:tc>
        <w:tc>
          <w:tcPr>
            <w:tcW w:w="1109" w:type="dxa"/>
            <w:tcBorders>
              <w:top w:val="nil"/>
              <w:left w:val="nil"/>
              <w:bottom w:val="nil"/>
              <w:right w:val="nil"/>
            </w:tcBorders>
          </w:tcPr>
          <w:p w14:paraId="6C7967A9"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0.25***</w:t>
            </w:r>
          </w:p>
        </w:tc>
        <w:tc>
          <w:tcPr>
            <w:tcW w:w="1109" w:type="dxa"/>
            <w:tcBorders>
              <w:top w:val="nil"/>
              <w:left w:val="nil"/>
              <w:bottom w:val="nil"/>
              <w:right w:val="nil"/>
            </w:tcBorders>
          </w:tcPr>
          <w:p w14:paraId="088AB0BD" w14:textId="6ABDBF55" w:rsidR="009D5E4A" w:rsidRPr="002227B1" w:rsidRDefault="002227B1"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D5E4A" w:rsidRPr="002227B1">
              <w:rPr>
                <w:rFonts w:ascii="Times New Roman" w:hAnsi="Times New Roman" w:cs="Times New Roman"/>
                <w:sz w:val="18"/>
                <w:szCs w:val="18"/>
              </w:rPr>
              <w:t>0.33</w:t>
            </w:r>
          </w:p>
        </w:tc>
      </w:tr>
      <w:tr w:rsidR="009D5E4A" w:rsidRPr="0006003D" w14:paraId="316713F4" w14:textId="77777777" w:rsidTr="002227B1">
        <w:trPr>
          <w:jc w:val="center"/>
        </w:trPr>
        <w:tc>
          <w:tcPr>
            <w:tcW w:w="1406" w:type="dxa"/>
            <w:tcBorders>
              <w:top w:val="nil"/>
              <w:left w:val="nil"/>
              <w:bottom w:val="nil"/>
              <w:right w:val="nil"/>
            </w:tcBorders>
          </w:tcPr>
          <w:p w14:paraId="79C561F8" w14:textId="77777777" w:rsidR="009D5E4A" w:rsidRPr="002227B1" w:rsidRDefault="009D5E4A" w:rsidP="0006003D">
            <w:pPr>
              <w:pStyle w:val="FootnoteText"/>
              <w:rPr>
                <w:rFonts w:ascii="Times New Roman" w:eastAsia="Arial" w:hAnsi="Times New Roman" w:cs="Times New Roman"/>
                <w:sz w:val="18"/>
                <w:szCs w:val="18"/>
              </w:rPr>
            </w:pPr>
          </w:p>
        </w:tc>
        <w:tc>
          <w:tcPr>
            <w:tcW w:w="1110" w:type="dxa"/>
            <w:tcBorders>
              <w:top w:val="nil"/>
              <w:left w:val="nil"/>
              <w:bottom w:val="nil"/>
              <w:right w:val="nil"/>
            </w:tcBorders>
          </w:tcPr>
          <w:p w14:paraId="244C5AD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(0.47)</w:t>
            </w:r>
          </w:p>
        </w:tc>
        <w:tc>
          <w:tcPr>
            <w:tcW w:w="1110" w:type="dxa"/>
            <w:tcBorders>
              <w:top w:val="nil"/>
              <w:left w:val="nil"/>
              <w:bottom w:val="nil"/>
              <w:right w:val="nil"/>
            </w:tcBorders>
          </w:tcPr>
          <w:p w14:paraId="204675D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(0.047)</w:t>
            </w:r>
          </w:p>
        </w:tc>
        <w:tc>
          <w:tcPr>
            <w:tcW w:w="1110" w:type="dxa"/>
            <w:tcBorders>
              <w:top w:val="nil"/>
              <w:left w:val="nil"/>
              <w:bottom w:val="nil"/>
              <w:right w:val="nil"/>
            </w:tcBorders>
          </w:tcPr>
          <w:p w14:paraId="4A22F99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(0.063)</w:t>
            </w:r>
          </w:p>
        </w:tc>
        <w:tc>
          <w:tcPr>
            <w:tcW w:w="1109" w:type="dxa"/>
            <w:tcBorders>
              <w:top w:val="nil"/>
              <w:left w:val="nil"/>
              <w:bottom w:val="nil"/>
              <w:right w:val="nil"/>
            </w:tcBorders>
          </w:tcPr>
          <w:p w14:paraId="3ACD085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(0.050)</w:t>
            </w:r>
          </w:p>
        </w:tc>
        <w:tc>
          <w:tcPr>
            <w:tcW w:w="1109" w:type="dxa"/>
            <w:tcBorders>
              <w:top w:val="nil"/>
              <w:left w:val="nil"/>
              <w:bottom w:val="nil"/>
              <w:right w:val="nil"/>
            </w:tcBorders>
          </w:tcPr>
          <w:p w14:paraId="66C4E0B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(0.036)</w:t>
            </w:r>
          </w:p>
        </w:tc>
        <w:tc>
          <w:tcPr>
            <w:tcW w:w="1109" w:type="dxa"/>
            <w:tcBorders>
              <w:top w:val="nil"/>
              <w:left w:val="nil"/>
              <w:bottom w:val="nil"/>
              <w:right w:val="nil"/>
            </w:tcBorders>
          </w:tcPr>
          <w:p w14:paraId="29ECDB4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(0.023)</w:t>
            </w:r>
          </w:p>
        </w:tc>
        <w:tc>
          <w:tcPr>
            <w:tcW w:w="1109" w:type="dxa"/>
            <w:tcBorders>
              <w:top w:val="nil"/>
              <w:left w:val="nil"/>
              <w:bottom w:val="nil"/>
              <w:right w:val="nil"/>
            </w:tcBorders>
          </w:tcPr>
          <w:p w14:paraId="7EA487E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(0.029)</w:t>
            </w:r>
          </w:p>
        </w:tc>
        <w:tc>
          <w:tcPr>
            <w:tcW w:w="1109" w:type="dxa"/>
            <w:tcBorders>
              <w:top w:val="nil"/>
              <w:left w:val="nil"/>
              <w:bottom w:val="nil"/>
              <w:right w:val="nil"/>
            </w:tcBorders>
          </w:tcPr>
          <w:p w14:paraId="08FFB99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(0.036)</w:t>
            </w:r>
          </w:p>
        </w:tc>
        <w:tc>
          <w:tcPr>
            <w:tcW w:w="1109" w:type="dxa"/>
            <w:tcBorders>
              <w:top w:val="nil"/>
              <w:left w:val="nil"/>
              <w:bottom w:val="nil"/>
              <w:right w:val="nil"/>
            </w:tcBorders>
          </w:tcPr>
          <w:p w14:paraId="557E85C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(0.041)</w:t>
            </w:r>
          </w:p>
        </w:tc>
        <w:tc>
          <w:tcPr>
            <w:tcW w:w="1109" w:type="dxa"/>
            <w:tcBorders>
              <w:top w:val="nil"/>
              <w:left w:val="nil"/>
              <w:bottom w:val="nil"/>
              <w:right w:val="nil"/>
            </w:tcBorders>
          </w:tcPr>
          <w:p w14:paraId="71DF138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(0.045)</w:t>
            </w:r>
          </w:p>
        </w:tc>
        <w:tc>
          <w:tcPr>
            <w:tcW w:w="1109" w:type="dxa"/>
            <w:tcBorders>
              <w:top w:val="nil"/>
              <w:left w:val="nil"/>
              <w:bottom w:val="nil"/>
              <w:right w:val="nil"/>
            </w:tcBorders>
          </w:tcPr>
          <w:p w14:paraId="15FD4C5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(0.48)</w:t>
            </w:r>
          </w:p>
        </w:tc>
      </w:tr>
      <w:tr w:rsidR="009D5E4A" w:rsidRPr="0006003D" w14:paraId="116E3E59" w14:textId="77777777" w:rsidTr="002227B1">
        <w:trPr>
          <w:jc w:val="center"/>
        </w:trPr>
        <w:tc>
          <w:tcPr>
            <w:tcW w:w="1406" w:type="dxa"/>
            <w:tcBorders>
              <w:top w:val="nil"/>
              <w:left w:val="nil"/>
              <w:bottom w:val="nil"/>
              <w:right w:val="nil"/>
            </w:tcBorders>
          </w:tcPr>
          <w:p w14:paraId="5A7549C3" w14:textId="77777777" w:rsidR="009D5E4A" w:rsidRPr="002227B1" w:rsidRDefault="009D5E4A" w:rsidP="0006003D">
            <w:pPr>
              <w:pStyle w:val="FootnoteText"/>
              <w:rPr>
                <w:rFonts w:ascii="Times New Roman" w:eastAsia="Arial" w:hAnsi="Times New Roman" w:cs="Times New Roman"/>
                <w:sz w:val="18"/>
                <w:szCs w:val="18"/>
              </w:rPr>
            </w:pPr>
            <w:r w:rsidRPr="002227B1">
              <w:rPr>
                <w:rFonts w:ascii="Times New Roman" w:eastAsia="Arial" w:hAnsi="Times New Roman" w:cs="Times New Roman"/>
                <w:sz w:val="18"/>
                <w:szCs w:val="18"/>
              </w:rPr>
              <w:t>Constant</w:t>
            </w:r>
          </w:p>
        </w:tc>
        <w:tc>
          <w:tcPr>
            <w:tcW w:w="1110" w:type="dxa"/>
            <w:tcBorders>
              <w:top w:val="nil"/>
              <w:left w:val="nil"/>
              <w:bottom w:val="nil"/>
              <w:right w:val="nil"/>
            </w:tcBorders>
          </w:tcPr>
          <w:p w14:paraId="609B9AA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0.01**</w:t>
            </w:r>
          </w:p>
        </w:tc>
        <w:tc>
          <w:tcPr>
            <w:tcW w:w="1110" w:type="dxa"/>
            <w:tcBorders>
              <w:top w:val="nil"/>
              <w:left w:val="nil"/>
              <w:bottom w:val="nil"/>
              <w:right w:val="nil"/>
            </w:tcBorders>
          </w:tcPr>
          <w:p w14:paraId="4C89BAB6"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10" w:type="dxa"/>
            <w:tcBorders>
              <w:top w:val="nil"/>
              <w:left w:val="nil"/>
              <w:bottom w:val="nil"/>
              <w:right w:val="nil"/>
            </w:tcBorders>
          </w:tcPr>
          <w:p w14:paraId="5ACCA61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09" w:type="dxa"/>
            <w:tcBorders>
              <w:top w:val="nil"/>
              <w:left w:val="nil"/>
              <w:bottom w:val="nil"/>
              <w:right w:val="nil"/>
            </w:tcBorders>
          </w:tcPr>
          <w:p w14:paraId="780DAA1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09" w:type="dxa"/>
            <w:tcBorders>
              <w:top w:val="nil"/>
              <w:left w:val="nil"/>
              <w:bottom w:val="nil"/>
              <w:right w:val="nil"/>
            </w:tcBorders>
          </w:tcPr>
          <w:p w14:paraId="3F43CC83"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09" w:type="dxa"/>
            <w:tcBorders>
              <w:top w:val="nil"/>
              <w:left w:val="nil"/>
              <w:bottom w:val="nil"/>
              <w:right w:val="nil"/>
            </w:tcBorders>
          </w:tcPr>
          <w:p w14:paraId="27099D6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09" w:type="dxa"/>
            <w:tcBorders>
              <w:top w:val="nil"/>
              <w:left w:val="nil"/>
              <w:bottom w:val="nil"/>
              <w:right w:val="nil"/>
            </w:tcBorders>
          </w:tcPr>
          <w:p w14:paraId="36E91E4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09" w:type="dxa"/>
            <w:tcBorders>
              <w:top w:val="nil"/>
              <w:left w:val="nil"/>
              <w:bottom w:val="nil"/>
              <w:right w:val="nil"/>
            </w:tcBorders>
          </w:tcPr>
          <w:p w14:paraId="283BBF7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09" w:type="dxa"/>
            <w:tcBorders>
              <w:top w:val="nil"/>
              <w:left w:val="nil"/>
              <w:bottom w:val="nil"/>
              <w:right w:val="nil"/>
            </w:tcBorders>
          </w:tcPr>
          <w:p w14:paraId="172E30F9"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09" w:type="dxa"/>
            <w:tcBorders>
              <w:top w:val="nil"/>
              <w:left w:val="nil"/>
              <w:bottom w:val="nil"/>
              <w:right w:val="nil"/>
            </w:tcBorders>
          </w:tcPr>
          <w:p w14:paraId="62197F0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w:t>
            </w:r>
          </w:p>
        </w:tc>
        <w:tc>
          <w:tcPr>
            <w:tcW w:w="1109" w:type="dxa"/>
            <w:tcBorders>
              <w:top w:val="nil"/>
              <w:left w:val="nil"/>
              <w:bottom w:val="nil"/>
              <w:right w:val="nil"/>
            </w:tcBorders>
          </w:tcPr>
          <w:p w14:paraId="072AD65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0.01</w:t>
            </w:r>
          </w:p>
        </w:tc>
      </w:tr>
      <w:tr w:rsidR="009D5E4A" w:rsidRPr="0006003D" w14:paraId="0C1E15F5" w14:textId="77777777" w:rsidTr="002227B1">
        <w:trPr>
          <w:jc w:val="center"/>
        </w:trPr>
        <w:tc>
          <w:tcPr>
            <w:tcW w:w="1406" w:type="dxa"/>
            <w:tcBorders>
              <w:top w:val="nil"/>
              <w:left w:val="nil"/>
              <w:bottom w:val="single" w:sz="4" w:space="0" w:color="auto"/>
              <w:right w:val="nil"/>
            </w:tcBorders>
          </w:tcPr>
          <w:p w14:paraId="4D5A9547" w14:textId="77777777" w:rsidR="009D5E4A" w:rsidRPr="002227B1" w:rsidRDefault="009D5E4A" w:rsidP="0006003D">
            <w:pPr>
              <w:pStyle w:val="FootnoteText"/>
              <w:rPr>
                <w:rFonts w:ascii="Times New Roman" w:eastAsia="Arial" w:hAnsi="Times New Roman" w:cs="Times New Roman"/>
                <w:sz w:val="18"/>
                <w:szCs w:val="18"/>
              </w:rPr>
            </w:pPr>
          </w:p>
        </w:tc>
        <w:tc>
          <w:tcPr>
            <w:tcW w:w="1110" w:type="dxa"/>
            <w:tcBorders>
              <w:top w:val="nil"/>
              <w:left w:val="nil"/>
              <w:bottom w:val="single" w:sz="4" w:space="0" w:color="auto"/>
              <w:right w:val="nil"/>
            </w:tcBorders>
          </w:tcPr>
          <w:p w14:paraId="271DA06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(0.0032)</w:t>
            </w:r>
          </w:p>
        </w:tc>
        <w:tc>
          <w:tcPr>
            <w:tcW w:w="1110" w:type="dxa"/>
            <w:tcBorders>
              <w:top w:val="nil"/>
              <w:left w:val="nil"/>
              <w:bottom w:val="single" w:sz="4" w:space="0" w:color="auto"/>
              <w:right w:val="nil"/>
            </w:tcBorders>
          </w:tcPr>
          <w:p w14:paraId="36A07B6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(0.0006)</w:t>
            </w:r>
          </w:p>
        </w:tc>
        <w:tc>
          <w:tcPr>
            <w:tcW w:w="1110" w:type="dxa"/>
            <w:tcBorders>
              <w:top w:val="nil"/>
              <w:left w:val="nil"/>
              <w:bottom w:val="single" w:sz="4" w:space="0" w:color="auto"/>
              <w:right w:val="nil"/>
            </w:tcBorders>
          </w:tcPr>
          <w:p w14:paraId="45ABA17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(0.0007)</w:t>
            </w:r>
          </w:p>
        </w:tc>
        <w:tc>
          <w:tcPr>
            <w:tcW w:w="1109" w:type="dxa"/>
            <w:tcBorders>
              <w:top w:val="nil"/>
              <w:left w:val="nil"/>
              <w:bottom w:val="single" w:sz="4" w:space="0" w:color="auto"/>
              <w:right w:val="nil"/>
            </w:tcBorders>
          </w:tcPr>
          <w:p w14:paraId="645D69A1"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(0.0005)</w:t>
            </w:r>
          </w:p>
        </w:tc>
        <w:tc>
          <w:tcPr>
            <w:tcW w:w="1109" w:type="dxa"/>
            <w:tcBorders>
              <w:top w:val="nil"/>
              <w:left w:val="nil"/>
              <w:bottom w:val="single" w:sz="4" w:space="0" w:color="auto"/>
              <w:right w:val="nil"/>
            </w:tcBorders>
          </w:tcPr>
          <w:p w14:paraId="6EAA2FC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(0.0004)</w:t>
            </w:r>
          </w:p>
        </w:tc>
        <w:tc>
          <w:tcPr>
            <w:tcW w:w="1109" w:type="dxa"/>
            <w:tcBorders>
              <w:top w:val="nil"/>
              <w:left w:val="nil"/>
              <w:bottom w:val="single" w:sz="4" w:space="0" w:color="auto"/>
              <w:right w:val="nil"/>
            </w:tcBorders>
          </w:tcPr>
          <w:p w14:paraId="11F90EB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(0.0003)</w:t>
            </w:r>
          </w:p>
        </w:tc>
        <w:tc>
          <w:tcPr>
            <w:tcW w:w="1109" w:type="dxa"/>
            <w:tcBorders>
              <w:top w:val="nil"/>
              <w:left w:val="nil"/>
              <w:bottom w:val="single" w:sz="4" w:space="0" w:color="auto"/>
              <w:right w:val="nil"/>
            </w:tcBorders>
          </w:tcPr>
          <w:p w14:paraId="1AB729E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(0.0004)</w:t>
            </w:r>
          </w:p>
        </w:tc>
        <w:tc>
          <w:tcPr>
            <w:tcW w:w="1109" w:type="dxa"/>
            <w:tcBorders>
              <w:top w:val="nil"/>
              <w:left w:val="nil"/>
              <w:bottom w:val="single" w:sz="4" w:space="0" w:color="auto"/>
              <w:right w:val="nil"/>
            </w:tcBorders>
          </w:tcPr>
          <w:p w14:paraId="7FD02496"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(0.0004)</w:t>
            </w:r>
          </w:p>
        </w:tc>
        <w:tc>
          <w:tcPr>
            <w:tcW w:w="1109" w:type="dxa"/>
            <w:tcBorders>
              <w:top w:val="nil"/>
              <w:left w:val="nil"/>
              <w:bottom w:val="single" w:sz="4" w:space="0" w:color="auto"/>
              <w:right w:val="nil"/>
            </w:tcBorders>
          </w:tcPr>
          <w:p w14:paraId="6F18973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(0.0005)</w:t>
            </w:r>
          </w:p>
        </w:tc>
        <w:tc>
          <w:tcPr>
            <w:tcW w:w="1109" w:type="dxa"/>
            <w:tcBorders>
              <w:top w:val="nil"/>
              <w:left w:val="nil"/>
              <w:bottom w:val="single" w:sz="4" w:space="0" w:color="auto"/>
              <w:right w:val="nil"/>
            </w:tcBorders>
          </w:tcPr>
          <w:p w14:paraId="1D6EC5A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(0.0006)</w:t>
            </w:r>
          </w:p>
        </w:tc>
        <w:tc>
          <w:tcPr>
            <w:tcW w:w="1109" w:type="dxa"/>
            <w:tcBorders>
              <w:top w:val="nil"/>
              <w:left w:val="nil"/>
              <w:bottom w:val="single" w:sz="4" w:space="0" w:color="auto"/>
              <w:right w:val="nil"/>
            </w:tcBorders>
          </w:tcPr>
          <w:p w14:paraId="3DA2081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(0.003)</w:t>
            </w:r>
          </w:p>
        </w:tc>
      </w:tr>
      <w:tr w:rsidR="009D5E4A" w:rsidRPr="0006003D" w14:paraId="650690CD" w14:textId="77777777" w:rsidTr="002227B1">
        <w:trPr>
          <w:jc w:val="center"/>
        </w:trPr>
        <w:tc>
          <w:tcPr>
            <w:tcW w:w="1406" w:type="dxa"/>
            <w:tcBorders>
              <w:top w:val="single" w:sz="4" w:space="0" w:color="auto"/>
              <w:left w:val="nil"/>
              <w:bottom w:val="nil"/>
              <w:right w:val="nil"/>
            </w:tcBorders>
          </w:tcPr>
          <w:p w14:paraId="793D0E2D" w14:textId="77777777" w:rsidR="009D5E4A" w:rsidRPr="002227B1" w:rsidRDefault="009D5E4A" w:rsidP="0006003D">
            <w:pPr>
              <w:widowControl w:val="0"/>
              <w:autoSpaceDE w:val="0"/>
              <w:autoSpaceDN w:val="0"/>
              <w:adjustRightInd w:val="0"/>
              <w:rPr>
                <w:rFonts w:ascii="Times New Roman" w:hAnsi="Times New Roman" w:cs="Times New Roman"/>
                <w:sz w:val="18"/>
                <w:szCs w:val="18"/>
              </w:rPr>
            </w:pPr>
            <w:r w:rsidRPr="002227B1">
              <w:rPr>
                <w:rFonts w:ascii="Times New Roman" w:hAnsi="Times New Roman" w:cs="Times New Roman"/>
                <w:sz w:val="18"/>
                <w:szCs w:val="18"/>
              </w:rPr>
              <w:t>N</w:t>
            </w:r>
          </w:p>
        </w:tc>
        <w:tc>
          <w:tcPr>
            <w:tcW w:w="1110" w:type="dxa"/>
            <w:tcBorders>
              <w:top w:val="single" w:sz="4" w:space="0" w:color="auto"/>
              <w:left w:val="nil"/>
              <w:bottom w:val="nil"/>
              <w:right w:val="nil"/>
            </w:tcBorders>
          </w:tcPr>
          <w:p w14:paraId="3655BAB3"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431</w:t>
            </w:r>
          </w:p>
        </w:tc>
        <w:tc>
          <w:tcPr>
            <w:tcW w:w="1110" w:type="dxa"/>
            <w:tcBorders>
              <w:top w:val="single" w:sz="4" w:space="0" w:color="auto"/>
              <w:left w:val="nil"/>
              <w:bottom w:val="nil"/>
              <w:right w:val="nil"/>
            </w:tcBorders>
          </w:tcPr>
          <w:p w14:paraId="11E843A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430</w:t>
            </w:r>
          </w:p>
        </w:tc>
        <w:tc>
          <w:tcPr>
            <w:tcW w:w="1110" w:type="dxa"/>
            <w:tcBorders>
              <w:top w:val="single" w:sz="4" w:space="0" w:color="auto"/>
              <w:left w:val="nil"/>
              <w:bottom w:val="nil"/>
              <w:right w:val="nil"/>
            </w:tcBorders>
          </w:tcPr>
          <w:p w14:paraId="1678940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430</w:t>
            </w:r>
          </w:p>
        </w:tc>
        <w:tc>
          <w:tcPr>
            <w:tcW w:w="1109" w:type="dxa"/>
            <w:tcBorders>
              <w:top w:val="single" w:sz="4" w:space="0" w:color="auto"/>
              <w:left w:val="nil"/>
              <w:bottom w:val="nil"/>
              <w:right w:val="nil"/>
            </w:tcBorders>
          </w:tcPr>
          <w:p w14:paraId="2AD4482F"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431</w:t>
            </w:r>
          </w:p>
        </w:tc>
        <w:tc>
          <w:tcPr>
            <w:tcW w:w="1109" w:type="dxa"/>
            <w:tcBorders>
              <w:top w:val="single" w:sz="4" w:space="0" w:color="auto"/>
              <w:left w:val="nil"/>
              <w:bottom w:val="nil"/>
              <w:right w:val="nil"/>
            </w:tcBorders>
          </w:tcPr>
          <w:p w14:paraId="2CE1F2E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431</w:t>
            </w:r>
          </w:p>
        </w:tc>
        <w:tc>
          <w:tcPr>
            <w:tcW w:w="1109" w:type="dxa"/>
            <w:tcBorders>
              <w:top w:val="single" w:sz="4" w:space="0" w:color="auto"/>
              <w:left w:val="nil"/>
              <w:bottom w:val="nil"/>
              <w:right w:val="nil"/>
            </w:tcBorders>
          </w:tcPr>
          <w:p w14:paraId="7330CB8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431</w:t>
            </w:r>
          </w:p>
        </w:tc>
        <w:tc>
          <w:tcPr>
            <w:tcW w:w="1109" w:type="dxa"/>
            <w:tcBorders>
              <w:top w:val="single" w:sz="4" w:space="0" w:color="auto"/>
              <w:left w:val="nil"/>
              <w:bottom w:val="nil"/>
              <w:right w:val="nil"/>
            </w:tcBorders>
          </w:tcPr>
          <w:p w14:paraId="31FDEA8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431</w:t>
            </w:r>
          </w:p>
        </w:tc>
        <w:tc>
          <w:tcPr>
            <w:tcW w:w="1109" w:type="dxa"/>
            <w:tcBorders>
              <w:top w:val="single" w:sz="4" w:space="0" w:color="auto"/>
              <w:left w:val="nil"/>
              <w:bottom w:val="nil"/>
              <w:right w:val="nil"/>
            </w:tcBorders>
          </w:tcPr>
          <w:p w14:paraId="751B95F5"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429</w:t>
            </w:r>
          </w:p>
        </w:tc>
        <w:tc>
          <w:tcPr>
            <w:tcW w:w="1109" w:type="dxa"/>
            <w:tcBorders>
              <w:top w:val="single" w:sz="4" w:space="0" w:color="auto"/>
              <w:left w:val="nil"/>
              <w:bottom w:val="nil"/>
              <w:right w:val="nil"/>
            </w:tcBorders>
          </w:tcPr>
          <w:p w14:paraId="3E54D270"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430</w:t>
            </w:r>
          </w:p>
        </w:tc>
        <w:tc>
          <w:tcPr>
            <w:tcW w:w="1109" w:type="dxa"/>
            <w:tcBorders>
              <w:top w:val="single" w:sz="4" w:space="0" w:color="auto"/>
              <w:left w:val="nil"/>
              <w:bottom w:val="nil"/>
              <w:right w:val="nil"/>
            </w:tcBorders>
          </w:tcPr>
          <w:p w14:paraId="5719E50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430</w:t>
            </w:r>
          </w:p>
        </w:tc>
        <w:tc>
          <w:tcPr>
            <w:tcW w:w="1109" w:type="dxa"/>
            <w:tcBorders>
              <w:top w:val="single" w:sz="4" w:space="0" w:color="auto"/>
              <w:left w:val="nil"/>
              <w:bottom w:val="nil"/>
              <w:right w:val="nil"/>
            </w:tcBorders>
          </w:tcPr>
          <w:p w14:paraId="177455A6"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429</w:t>
            </w:r>
          </w:p>
        </w:tc>
      </w:tr>
      <w:tr w:rsidR="009D5E4A" w:rsidRPr="0006003D" w14:paraId="24BA2705" w14:textId="77777777" w:rsidTr="002227B1">
        <w:trPr>
          <w:jc w:val="center"/>
        </w:trPr>
        <w:tc>
          <w:tcPr>
            <w:tcW w:w="1406" w:type="dxa"/>
            <w:tcBorders>
              <w:top w:val="nil"/>
              <w:left w:val="nil"/>
              <w:bottom w:val="single" w:sz="4" w:space="0" w:color="auto"/>
              <w:right w:val="nil"/>
            </w:tcBorders>
          </w:tcPr>
          <w:p w14:paraId="47EDFDF6" w14:textId="1C472A8D" w:rsidR="009D5E4A" w:rsidRPr="002227B1" w:rsidRDefault="00703B72" w:rsidP="0006003D">
            <w:pPr>
              <w:widowControl w:val="0"/>
              <w:autoSpaceDE w:val="0"/>
              <w:autoSpaceDN w:val="0"/>
              <w:adjustRightInd w:val="0"/>
              <w:rPr>
                <w:rFonts w:ascii="Times New Roman" w:hAnsi="Times New Roman" w:cs="Times New Roman"/>
                <w:sz w:val="18"/>
                <w:szCs w:val="18"/>
              </w:rPr>
            </w:pPr>
            <w:r w:rsidRPr="00A27831">
              <w:rPr>
                <w:rFonts w:ascii="Times New Roman" w:eastAsia="Arial" w:hAnsi="Times New Roman" w:cs="Times New Roman"/>
                <w:i/>
                <w:sz w:val="18"/>
                <w:szCs w:val="18"/>
              </w:rPr>
              <w:t>R</w:t>
            </w:r>
            <w:r w:rsidRPr="00A27831">
              <w:rPr>
                <w:rFonts w:ascii="Times New Roman" w:eastAsia="Arial" w:hAnsi="Times New Roman" w:cs="Times New Roman"/>
                <w:i/>
                <w:sz w:val="18"/>
                <w:szCs w:val="18"/>
                <w:vertAlign w:val="superscript"/>
              </w:rPr>
              <w:t>2</w:t>
            </w:r>
          </w:p>
        </w:tc>
        <w:tc>
          <w:tcPr>
            <w:tcW w:w="1110" w:type="dxa"/>
            <w:tcBorders>
              <w:top w:val="nil"/>
              <w:left w:val="nil"/>
              <w:bottom w:val="single" w:sz="4" w:space="0" w:color="auto"/>
              <w:right w:val="nil"/>
            </w:tcBorders>
          </w:tcPr>
          <w:p w14:paraId="10349904"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0.02</w:t>
            </w:r>
          </w:p>
        </w:tc>
        <w:tc>
          <w:tcPr>
            <w:tcW w:w="1110" w:type="dxa"/>
            <w:tcBorders>
              <w:top w:val="nil"/>
              <w:left w:val="nil"/>
              <w:bottom w:val="single" w:sz="4" w:space="0" w:color="auto"/>
              <w:right w:val="nil"/>
            </w:tcBorders>
          </w:tcPr>
          <w:p w14:paraId="4CDEEF57"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0.20</w:t>
            </w:r>
          </w:p>
        </w:tc>
        <w:tc>
          <w:tcPr>
            <w:tcW w:w="1110" w:type="dxa"/>
            <w:tcBorders>
              <w:top w:val="nil"/>
              <w:left w:val="nil"/>
              <w:bottom w:val="single" w:sz="4" w:space="0" w:color="auto"/>
              <w:right w:val="nil"/>
            </w:tcBorders>
          </w:tcPr>
          <w:p w14:paraId="1F90C1F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0.26</w:t>
            </w:r>
          </w:p>
        </w:tc>
        <w:tc>
          <w:tcPr>
            <w:tcW w:w="1109" w:type="dxa"/>
            <w:tcBorders>
              <w:top w:val="nil"/>
              <w:left w:val="nil"/>
              <w:bottom w:val="single" w:sz="4" w:space="0" w:color="auto"/>
              <w:right w:val="nil"/>
            </w:tcBorders>
          </w:tcPr>
          <w:p w14:paraId="0F6EB12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0.22</w:t>
            </w:r>
          </w:p>
        </w:tc>
        <w:tc>
          <w:tcPr>
            <w:tcW w:w="1109" w:type="dxa"/>
            <w:tcBorders>
              <w:top w:val="nil"/>
              <w:left w:val="nil"/>
              <w:bottom w:val="single" w:sz="4" w:space="0" w:color="auto"/>
              <w:right w:val="nil"/>
            </w:tcBorders>
          </w:tcPr>
          <w:p w14:paraId="248FA98C"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0.28</w:t>
            </w:r>
          </w:p>
        </w:tc>
        <w:tc>
          <w:tcPr>
            <w:tcW w:w="1109" w:type="dxa"/>
            <w:tcBorders>
              <w:top w:val="nil"/>
              <w:left w:val="nil"/>
              <w:bottom w:val="single" w:sz="4" w:space="0" w:color="auto"/>
              <w:right w:val="nil"/>
            </w:tcBorders>
          </w:tcPr>
          <w:p w14:paraId="36681B0E"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0.19</w:t>
            </w:r>
          </w:p>
        </w:tc>
        <w:tc>
          <w:tcPr>
            <w:tcW w:w="1109" w:type="dxa"/>
            <w:tcBorders>
              <w:top w:val="nil"/>
              <w:left w:val="nil"/>
              <w:bottom w:val="single" w:sz="4" w:space="0" w:color="auto"/>
              <w:right w:val="nil"/>
            </w:tcBorders>
          </w:tcPr>
          <w:p w14:paraId="52E2AE98"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0.18</w:t>
            </w:r>
          </w:p>
        </w:tc>
        <w:tc>
          <w:tcPr>
            <w:tcW w:w="1109" w:type="dxa"/>
            <w:tcBorders>
              <w:top w:val="nil"/>
              <w:left w:val="nil"/>
              <w:bottom w:val="single" w:sz="4" w:space="0" w:color="auto"/>
              <w:right w:val="nil"/>
            </w:tcBorders>
          </w:tcPr>
          <w:p w14:paraId="5D50D422"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0.22</w:t>
            </w:r>
          </w:p>
        </w:tc>
        <w:tc>
          <w:tcPr>
            <w:tcW w:w="1109" w:type="dxa"/>
            <w:tcBorders>
              <w:top w:val="nil"/>
              <w:left w:val="nil"/>
              <w:bottom w:val="single" w:sz="4" w:space="0" w:color="auto"/>
              <w:right w:val="nil"/>
            </w:tcBorders>
          </w:tcPr>
          <w:p w14:paraId="00E7112B"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0.20</w:t>
            </w:r>
          </w:p>
        </w:tc>
        <w:tc>
          <w:tcPr>
            <w:tcW w:w="1109" w:type="dxa"/>
            <w:tcBorders>
              <w:top w:val="nil"/>
              <w:left w:val="nil"/>
              <w:bottom w:val="single" w:sz="4" w:space="0" w:color="auto"/>
              <w:right w:val="nil"/>
            </w:tcBorders>
          </w:tcPr>
          <w:p w14:paraId="3B8A58EA"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0.16</w:t>
            </w:r>
          </w:p>
        </w:tc>
        <w:tc>
          <w:tcPr>
            <w:tcW w:w="1109" w:type="dxa"/>
            <w:tcBorders>
              <w:top w:val="nil"/>
              <w:left w:val="nil"/>
              <w:bottom w:val="single" w:sz="4" w:space="0" w:color="auto"/>
              <w:right w:val="nil"/>
            </w:tcBorders>
          </w:tcPr>
          <w:p w14:paraId="4581EEFD" w14:textId="77777777" w:rsidR="009D5E4A" w:rsidRPr="002227B1" w:rsidRDefault="009D5E4A" w:rsidP="0006003D">
            <w:pPr>
              <w:widowControl w:val="0"/>
              <w:autoSpaceDE w:val="0"/>
              <w:autoSpaceDN w:val="0"/>
              <w:adjustRightInd w:val="0"/>
              <w:jc w:val="center"/>
              <w:rPr>
                <w:rFonts w:ascii="Times New Roman" w:hAnsi="Times New Roman" w:cs="Times New Roman"/>
                <w:sz w:val="18"/>
                <w:szCs w:val="18"/>
              </w:rPr>
            </w:pPr>
            <w:r w:rsidRPr="002227B1">
              <w:rPr>
                <w:rFonts w:ascii="Times New Roman" w:hAnsi="Times New Roman" w:cs="Times New Roman"/>
                <w:sz w:val="18"/>
                <w:szCs w:val="18"/>
              </w:rPr>
              <w:t>0.01</w:t>
            </w:r>
          </w:p>
        </w:tc>
      </w:tr>
    </w:tbl>
    <w:p w14:paraId="024349AC" w14:textId="77777777" w:rsidR="002227B1" w:rsidRPr="002227B1" w:rsidRDefault="002227B1" w:rsidP="002227B1">
      <w:pPr>
        <w:ind w:left="-1440" w:right="-1490"/>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 </w:t>
      </w:r>
      <w:r w:rsidRPr="002227B1">
        <w:rPr>
          <w:rFonts w:ascii="Times New Roman" w:eastAsia="Arial" w:hAnsi="Times New Roman" w:cs="Times New Roman"/>
          <w:sz w:val="18"/>
          <w:szCs w:val="18"/>
        </w:rPr>
        <w:t>Significant at the 10 percent level</w:t>
      </w:r>
      <w:r w:rsidRPr="002227B1">
        <w:rPr>
          <w:rFonts w:ascii="Times New Roman" w:eastAsia="Arial" w:hAnsi="Times New Roman" w:cs="Times New Roman"/>
          <w:i/>
          <w:sz w:val="18"/>
          <w:szCs w:val="18"/>
        </w:rPr>
        <w:t>.</w:t>
      </w:r>
    </w:p>
    <w:p w14:paraId="6A6E0B05" w14:textId="77777777" w:rsidR="002227B1" w:rsidRPr="002227B1" w:rsidRDefault="002227B1" w:rsidP="002227B1">
      <w:pPr>
        <w:ind w:left="-1440" w:right="-1490"/>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w:t>
      </w:r>
      <w:r w:rsidRPr="002227B1">
        <w:rPr>
          <w:rFonts w:ascii="Times New Roman" w:eastAsia="Arial" w:hAnsi="Times New Roman" w:cs="Times New Roman"/>
          <w:sz w:val="18"/>
          <w:szCs w:val="18"/>
        </w:rPr>
        <w:t>Significant at the 5 percent level</w:t>
      </w:r>
      <w:r w:rsidRPr="002227B1">
        <w:rPr>
          <w:rFonts w:ascii="Times New Roman" w:eastAsia="Arial" w:hAnsi="Times New Roman" w:cs="Times New Roman"/>
          <w:i/>
          <w:sz w:val="18"/>
          <w:szCs w:val="18"/>
        </w:rPr>
        <w:t>.</w:t>
      </w:r>
    </w:p>
    <w:p w14:paraId="1AA9C039" w14:textId="77777777" w:rsidR="002227B1" w:rsidRPr="002227B1" w:rsidRDefault="002227B1" w:rsidP="002227B1">
      <w:pPr>
        <w:ind w:left="-1440" w:right="-1490"/>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 </w:t>
      </w:r>
      <w:r w:rsidRPr="002227B1">
        <w:rPr>
          <w:rFonts w:ascii="Times New Roman" w:eastAsia="Arial" w:hAnsi="Times New Roman" w:cs="Times New Roman"/>
          <w:sz w:val="18"/>
          <w:szCs w:val="18"/>
        </w:rPr>
        <w:t>Significant at the 1 percent level</w:t>
      </w:r>
      <w:r w:rsidRPr="002227B1">
        <w:rPr>
          <w:rFonts w:ascii="Times New Roman" w:eastAsia="Arial" w:hAnsi="Times New Roman" w:cs="Times New Roman"/>
          <w:i/>
          <w:sz w:val="18"/>
          <w:szCs w:val="18"/>
        </w:rPr>
        <w:t>.</w:t>
      </w:r>
    </w:p>
    <w:p w14:paraId="4F5AD291" w14:textId="71382455" w:rsidR="002777E6" w:rsidRDefault="009D5E4A" w:rsidP="002227B1">
      <w:pPr>
        <w:pStyle w:val="FootnoteText"/>
        <w:ind w:left="-1440" w:right="-1490"/>
        <w:jc w:val="both"/>
        <w:rPr>
          <w:rFonts w:ascii="Times New Roman" w:eastAsia="Arial" w:hAnsi="Times New Roman" w:cs="Times New Roman"/>
          <w:sz w:val="18"/>
          <w:szCs w:val="18"/>
        </w:rPr>
      </w:pPr>
      <w:r w:rsidRPr="002227B1">
        <w:rPr>
          <w:rFonts w:ascii="Times New Roman" w:eastAsia="Arial" w:hAnsi="Times New Roman" w:cs="Times New Roman"/>
          <w:i/>
          <w:sz w:val="18"/>
          <w:szCs w:val="18"/>
        </w:rPr>
        <w:t>Notes</w:t>
      </w:r>
      <w:r w:rsidRPr="002227B1">
        <w:rPr>
          <w:rFonts w:ascii="Times New Roman" w:eastAsia="Arial" w:hAnsi="Times New Roman" w:cs="Times New Roman"/>
          <w:sz w:val="18"/>
          <w:szCs w:val="18"/>
        </w:rPr>
        <w:t xml:space="preserve">: This table shows results of a time-series OLS regression of average returns on ten portfolios of sovereign and colonial bonds against five aggregate risk factors. Returns are measured in excess of the return on the one-month Bill rate. Portfolios are assembled at the beginning of each year by sorting bonds into ten groups depending on their bid-ask spread. </w:t>
      </w:r>
      <w:r w:rsidRPr="002227B1">
        <w:rPr>
          <w:rFonts w:ascii="Times New Roman" w:eastAsia="Arial" w:hAnsi="Times New Roman" w:cs="Times New Roman"/>
          <w:i/>
          <w:sz w:val="18"/>
          <w:szCs w:val="18"/>
        </w:rPr>
        <w:t>IML</w:t>
      </w:r>
      <w:r w:rsidRPr="002227B1">
        <w:rPr>
          <w:rFonts w:ascii="Times New Roman" w:eastAsia="Arial" w:hAnsi="Times New Roman" w:cs="Times New Roman"/>
          <w:sz w:val="18"/>
          <w:szCs w:val="18"/>
        </w:rPr>
        <w:t xml:space="preserve"> is the return on an investment long in the </w:t>
      </w:r>
      <w:r w:rsidRPr="002227B1">
        <w:rPr>
          <w:rFonts w:ascii="Times New Roman" w:eastAsia="Arial" w:hAnsi="Times New Roman" w:cs="Times New Roman"/>
          <w:i/>
          <w:sz w:val="18"/>
          <w:szCs w:val="18"/>
        </w:rPr>
        <w:t>Illiquid</w:t>
      </w:r>
      <w:r w:rsidRPr="002227B1">
        <w:rPr>
          <w:rFonts w:ascii="Times New Roman" w:eastAsia="Arial" w:hAnsi="Times New Roman" w:cs="Times New Roman"/>
          <w:sz w:val="18"/>
          <w:szCs w:val="18"/>
        </w:rPr>
        <w:t xml:space="preserve"> portfolio and short in the </w:t>
      </w:r>
      <w:r w:rsidRPr="002227B1">
        <w:rPr>
          <w:rFonts w:ascii="Times New Roman" w:eastAsia="Arial" w:hAnsi="Times New Roman" w:cs="Times New Roman"/>
          <w:i/>
          <w:sz w:val="18"/>
          <w:szCs w:val="18"/>
        </w:rPr>
        <w:t>Liquid</w:t>
      </w:r>
      <w:r w:rsidRPr="002227B1">
        <w:rPr>
          <w:rFonts w:ascii="Times New Roman" w:eastAsia="Arial" w:hAnsi="Times New Roman" w:cs="Times New Roman"/>
          <w:sz w:val="18"/>
          <w:szCs w:val="18"/>
        </w:rPr>
        <w:t xml:space="preserve"> portfolio. </w:t>
      </w:r>
      <w:r w:rsidRPr="002227B1">
        <w:rPr>
          <w:rFonts w:ascii="Times New Roman" w:eastAsia="Arial" w:hAnsi="Times New Roman" w:cs="Times New Roman"/>
          <w:i/>
          <w:sz w:val="18"/>
          <w:szCs w:val="18"/>
        </w:rPr>
        <w:t>Liquidity (</w:t>
      </w:r>
      <w:r w:rsidR="009337DB">
        <w:rPr>
          <w:rFonts w:ascii="Times New Roman" w:eastAsia="Arial" w:hAnsi="Times New Roman" w:cs="Times New Roman"/>
          <w:i/>
          <w:sz w:val="18"/>
          <w:szCs w:val="18"/>
        </w:rPr>
        <w:t>P</w:t>
      </w:r>
      <w:r w:rsidRPr="002227B1">
        <w:rPr>
          <w:rFonts w:ascii="Times New Roman" w:eastAsia="Arial" w:hAnsi="Times New Roman" w:cs="Times New Roman"/>
          <w:i/>
          <w:sz w:val="18"/>
          <w:szCs w:val="18"/>
        </w:rPr>
        <w:t>ooled)</w:t>
      </w:r>
      <w:r w:rsidRPr="002227B1">
        <w:rPr>
          <w:rFonts w:ascii="Times New Roman" w:eastAsia="Arial" w:hAnsi="Times New Roman" w:cs="Times New Roman"/>
          <w:sz w:val="18"/>
          <w:szCs w:val="18"/>
        </w:rPr>
        <w:t xml:space="preserve"> is the residual from an </w:t>
      </w:r>
      <w:proofErr w:type="gramStart"/>
      <w:r w:rsidRPr="002227B1">
        <w:rPr>
          <w:rFonts w:ascii="Times New Roman" w:eastAsia="Arial" w:hAnsi="Times New Roman" w:cs="Times New Roman"/>
          <w:sz w:val="18"/>
          <w:szCs w:val="18"/>
        </w:rPr>
        <w:t>AR(</w:t>
      </w:r>
      <w:proofErr w:type="gramEnd"/>
      <w:r w:rsidRPr="002227B1">
        <w:rPr>
          <w:rFonts w:ascii="Times New Roman" w:eastAsia="Arial" w:hAnsi="Times New Roman" w:cs="Times New Roman"/>
          <w:sz w:val="18"/>
          <w:szCs w:val="18"/>
        </w:rPr>
        <w:t xml:space="preserve">2) model of the average bid-ask spread in sovereign and colonial bonds. </w:t>
      </w:r>
      <w:r w:rsidRPr="002227B1">
        <w:rPr>
          <w:rFonts w:ascii="Times New Roman" w:eastAsia="Arial" w:hAnsi="Times New Roman" w:cs="Times New Roman"/>
          <w:i/>
          <w:sz w:val="18"/>
          <w:szCs w:val="18"/>
        </w:rPr>
        <w:t>Default (Export)</w:t>
      </w:r>
      <w:r w:rsidRPr="002227B1">
        <w:rPr>
          <w:rFonts w:ascii="Times New Roman" w:eastAsia="Arial" w:hAnsi="Times New Roman" w:cs="Times New Roman"/>
          <w:sz w:val="18"/>
          <w:szCs w:val="18"/>
        </w:rPr>
        <w:t xml:space="preserve"> and </w:t>
      </w:r>
      <w:r w:rsidRPr="002227B1">
        <w:rPr>
          <w:rFonts w:ascii="Times New Roman" w:eastAsia="Arial" w:hAnsi="Times New Roman" w:cs="Times New Roman"/>
          <w:i/>
          <w:sz w:val="18"/>
          <w:szCs w:val="18"/>
        </w:rPr>
        <w:t>Default (Deficit)</w:t>
      </w:r>
      <w:r w:rsidRPr="002227B1">
        <w:rPr>
          <w:rFonts w:ascii="Times New Roman" w:eastAsia="Arial" w:hAnsi="Times New Roman" w:cs="Times New Roman"/>
          <w:sz w:val="18"/>
          <w:szCs w:val="18"/>
        </w:rPr>
        <w:t xml:space="preserve"> correspond to the return differential between portfolios of most and least credit worthy issuers ranked in three groups using the export-to-GDP and deficit-to-GDP ratio, respectively. </w:t>
      </w:r>
      <w:r w:rsidRPr="002227B1">
        <w:rPr>
          <w:rFonts w:ascii="Times New Roman" w:eastAsia="Arial" w:hAnsi="Times New Roman" w:cs="Times New Roman"/>
          <w:i/>
          <w:sz w:val="18"/>
          <w:szCs w:val="18"/>
        </w:rPr>
        <w:t>Term</w:t>
      </w:r>
      <w:r w:rsidRPr="002227B1">
        <w:rPr>
          <w:rFonts w:ascii="Times New Roman" w:eastAsia="Arial" w:hAnsi="Times New Roman" w:cs="Times New Roman"/>
          <w:sz w:val="18"/>
          <w:szCs w:val="18"/>
        </w:rPr>
        <w:t xml:space="preserve"> corresponds to the return differential between British </w:t>
      </w:r>
      <w:proofErr w:type="spellStart"/>
      <w:r w:rsidRPr="002227B1">
        <w:rPr>
          <w:rFonts w:ascii="Times New Roman" w:eastAsia="Arial" w:hAnsi="Times New Roman" w:cs="Times New Roman"/>
          <w:sz w:val="18"/>
          <w:szCs w:val="18"/>
        </w:rPr>
        <w:t>Consols</w:t>
      </w:r>
      <w:proofErr w:type="spellEnd"/>
      <w:r w:rsidRPr="002227B1">
        <w:rPr>
          <w:rFonts w:ascii="Times New Roman" w:eastAsia="Arial" w:hAnsi="Times New Roman" w:cs="Times New Roman"/>
          <w:sz w:val="18"/>
          <w:szCs w:val="18"/>
        </w:rPr>
        <w:t xml:space="preserve"> and the bills rate. </w:t>
      </w:r>
      <w:r w:rsidRPr="002227B1">
        <w:rPr>
          <w:rFonts w:ascii="Times New Roman" w:eastAsia="Arial" w:hAnsi="Times New Roman" w:cs="Times New Roman"/>
          <w:i/>
          <w:sz w:val="18"/>
          <w:szCs w:val="18"/>
        </w:rPr>
        <w:t>Market</w:t>
      </w:r>
      <w:r w:rsidRPr="002227B1">
        <w:rPr>
          <w:rFonts w:ascii="Times New Roman" w:eastAsia="Arial" w:hAnsi="Times New Roman" w:cs="Times New Roman"/>
          <w:sz w:val="18"/>
          <w:szCs w:val="18"/>
        </w:rPr>
        <w:t xml:space="preserve"> corresponds to average stock market return (from </w:t>
      </w:r>
      <w:proofErr w:type="spellStart"/>
      <w:r w:rsidRPr="002227B1">
        <w:rPr>
          <w:rFonts w:ascii="Times New Roman" w:eastAsia="Arial" w:hAnsi="Times New Roman" w:cs="Times New Roman"/>
          <w:sz w:val="18"/>
          <w:szCs w:val="18"/>
        </w:rPr>
        <w:t>Alquist</w:t>
      </w:r>
      <w:proofErr w:type="spellEnd"/>
      <w:r w:rsidRPr="002227B1">
        <w:rPr>
          <w:rFonts w:ascii="Times New Roman" w:eastAsia="Arial" w:hAnsi="Times New Roman" w:cs="Times New Roman"/>
          <w:sz w:val="18"/>
          <w:szCs w:val="18"/>
        </w:rPr>
        <w:t xml:space="preserve"> (2010)</w:t>
      </w:r>
      <w:proofErr w:type="gramStart"/>
      <w:r w:rsidRPr="002227B1">
        <w:rPr>
          <w:rFonts w:ascii="Times New Roman" w:eastAsia="Arial" w:hAnsi="Times New Roman" w:cs="Times New Roman"/>
          <w:sz w:val="18"/>
          <w:szCs w:val="18"/>
        </w:rPr>
        <w:t>)</w:t>
      </w:r>
      <w:r w:rsidR="009548F8">
        <w:rPr>
          <w:rFonts w:ascii="Times New Roman" w:eastAsia="Arial" w:hAnsi="Times New Roman" w:cs="Times New Roman"/>
          <w:sz w:val="18"/>
          <w:szCs w:val="18"/>
        </w:rPr>
        <w:t xml:space="preserve"> </w:t>
      </w:r>
      <w:r w:rsidRPr="002227B1">
        <w:rPr>
          <w:rFonts w:ascii="Times New Roman" w:eastAsia="Arial" w:hAnsi="Times New Roman" w:cs="Times New Roman"/>
          <w:sz w:val="18"/>
          <w:szCs w:val="18"/>
        </w:rPr>
        <w:t>.</w:t>
      </w:r>
      <w:proofErr w:type="gramEnd"/>
      <w:r w:rsidR="009548F8" w:rsidRPr="009548F8">
        <w:rPr>
          <w:rFonts w:ascii="Times New Roman" w:eastAsia="Arial" w:hAnsi="Times New Roman" w:cs="Times New Roman"/>
          <w:sz w:val="18"/>
          <w:szCs w:val="18"/>
        </w:rPr>
        <w:t xml:space="preserve"> </w:t>
      </w:r>
    </w:p>
    <w:p w14:paraId="190EDE61" w14:textId="6A4CF0F2" w:rsidR="002227B1" w:rsidRDefault="009548F8" w:rsidP="002227B1">
      <w:pPr>
        <w:pStyle w:val="FootnoteText"/>
        <w:ind w:left="-1440" w:right="-1490"/>
        <w:jc w:val="both"/>
        <w:rPr>
          <w:rFonts w:ascii="Times New Roman" w:eastAsia="Arial" w:hAnsi="Times New Roman" w:cs="Times New Roman"/>
          <w:sz w:val="18"/>
          <w:szCs w:val="18"/>
        </w:rPr>
      </w:pPr>
      <w:r w:rsidRPr="002777E6">
        <w:rPr>
          <w:rFonts w:ascii="Times New Roman" w:eastAsia="Arial" w:hAnsi="Times New Roman" w:cs="Times New Roman"/>
          <w:i/>
          <w:spacing w:val="-5"/>
          <w:sz w:val="18"/>
          <w:szCs w:val="18"/>
        </w:rPr>
        <w:t>Source</w:t>
      </w:r>
      <w:r w:rsidRPr="002777E6">
        <w:rPr>
          <w:rFonts w:ascii="Times New Roman" w:eastAsia="Arial" w:hAnsi="Times New Roman" w:cs="Times New Roman"/>
          <w:spacing w:val="-5"/>
          <w:sz w:val="18"/>
          <w:szCs w:val="18"/>
        </w:rPr>
        <w:t xml:space="preserve">: Author’s database as collected from the </w:t>
      </w:r>
      <w:r w:rsidRPr="002777E6">
        <w:rPr>
          <w:rFonts w:ascii="Times New Roman" w:eastAsia="Arial" w:hAnsi="Times New Roman" w:cs="Times New Roman"/>
          <w:i/>
          <w:spacing w:val="-5"/>
          <w:sz w:val="18"/>
          <w:szCs w:val="18"/>
        </w:rPr>
        <w:t>Official List</w:t>
      </w:r>
      <w:r w:rsidRPr="002777E6">
        <w:rPr>
          <w:rFonts w:ascii="Times New Roman" w:eastAsia="Arial" w:hAnsi="Times New Roman" w:cs="Times New Roman"/>
          <w:spacing w:val="-5"/>
          <w:sz w:val="18"/>
          <w:szCs w:val="18"/>
        </w:rPr>
        <w:t>.</w:t>
      </w:r>
    </w:p>
    <w:p w14:paraId="6F4742EF" w14:textId="6A75E8EE" w:rsidR="00403E33" w:rsidRPr="002227B1" w:rsidRDefault="009D5E4A" w:rsidP="002227B1">
      <w:pPr>
        <w:pStyle w:val="FootnoteText"/>
        <w:jc w:val="both"/>
        <w:rPr>
          <w:rFonts w:ascii="Times New Roman" w:eastAsia="Arial" w:hAnsi="Times New Roman" w:cs="Times New Roman"/>
          <w:sz w:val="18"/>
          <w:szCs w:val="18"/>
        </w:rPr>
        <w:sectPr w:rsidR="00403E33" w:rsidRPr="002227B1" w:rsidSect="0006003D">
          <w:pgSz w:w="15840" w:h="12240" w:orient="landscape"/>
          <w:pgMar w:top="1786" w:right="2635" w:bottom="1555" w:left="2635" w:header="1786" w:footer="1195" w:gutter="0"/>
          <w:cols w:space="720"/>
          <w:docGrid w:linePitch="326"/>
        </w:sectPr>
      </w:pPr>
      <w:r w:rsidRPr="002227B1">
        <w:rPr>
          <w:rFonts w:ascii="Times New Roman" w:eastAsia="Arial" w:hAnsi="Times New Roman" w:cs="Times New Roman"/>
          <w:sz w:val="18"/>
          <w:szCs w:val="18"/>
        </w:rPr>
        <w:t xml:space="preserve"> </w:t>
      </w:r>
    </w:p>
    <w:p w14:paraId="4E2B3BF5" w14:textId="3C1791F5" w:rsidR="009D5E4A" w:rsidRPr="0006003D" w:rsidRDefault="009D5E4A" w:rsidP="0006003D">
      <w:pPr>
        <w:widowControl w:val="0"/>
        <w:autoSpaceDE w:val="0"/>
        <w:autoSpaceDN w:val="0"/>
        <w:adjustRightInd w:val="0"/>
        <w:rPr>
          <w:rFonts w:ascii="Times New Roman" w:hAnsi="Times New Roman" w:cs="Times New Roman"/>
          <w:sz w:val="20"/>
          <w:szCs w:val="20"/>
        </w:rPr>
      </w:pPr>
    </w:p>
    <w:p w14:paraId="526BAEBB" w14:textId="77777777" w:rsidR="008267B5" w:rsidRPr="008267B5" w:rsidRDefault="008267B5" w:rsidP="008267B5">
      <w:pPr>
        <w:keepNext/>
        <w:widowControl w:val="0"/>
        <w:autoSpaceDE w:val="0"/>
        <w:autoSpaceDN w:val="0"/>
        <w:adjustRightInd w:val="0"/>
        <w:jc w:val="center"/>
        <w:rPr>
          <w:rFonts w:ascii="Times New Roman" w:hAnsi="Times New Roman" w:cs="Times New Roman"/>
          <w:smallCaps/>
          <w:sz w:val="20"/>
          <w:szCs w:val="20"/>
        </w:rPr>
      </w:pPr>
      <w:r w:rsidRPr="008267B5">
        <w:rPr>
          <w:rFonts w:ascii="Times New Roman" w:hAnsi="Times New Roman" w:cs="Times New Roman"/>
          <w:smallCaps/>
          <w:sz w:val="20"/>
          <w:szCs w:val="20"/>
        </w:rPr>
        <w:t>Table A.4</w:t>
      </w:r>
    </w:p>
    <w:p w14:paraId="37557314" w14:textId="191D7F7A" w:rsidR="00440325" w:rsidRPr="0006003D" w:rsidRDefault="00440325" w:rsidP="008267B5">
      <w:pPr>
        <w:keepNext/>
        <w:widowControl w:val="0"/>
        <w:autoSpaceDE w:val="0"/>
        <w:autoSpaceDN w:val="0"/>
        <w:adjustRightInd w:val="0"/>
        <w:jc w:val="center"/>
        <w:rPr>
          <w:rFonts w:ascii="Times New Roman" w:hAnsi="Times New Roman" w:cs="Times New Roman"/>
          <w:sz w:val="20"/>
          <w:szCs w:val="20"/>
        </w:rPr>
      </w:pPr>
      <w:r w:rsidRPr="0006003D">
        <w:rPr>
          <w:rFonts w:ascii="Times New Roman" w:hAnsi="Times New Roman" w:cs="Times New Roman"/>
          <w:sz w:val="20"/>
          <w:szCs w:val="20"/>
        </w:rPr>
        <w:t>COLONIAL RETURNS 1872</w:t>
      </w:r>
      <w:r w:rsidR="008267B5">
        <w:rPr>
          <w:rFonts w:ascii="Times New Roman" w:hAnsi="Times New Roman" w:cs="Times New Roman"/>
          <w:sz w:val="20"/>
          <w:szCs w:val="20"/>
        </w:rPr>
        <w:t>–</w:t>
      </w:r>
      <w:r w:rsidRPr="0006003D">
        <w:rPr>
          <w:rFonts w:ascii="Times New Roman" w:hAnsi="Times New Roman" w:cs="Times New Roman"/>
          <w:sz w:val="20"/>
          <w:szCs w:val="20"/>
        </w:rPr>
        <w:t>1907; BID-ASK-SORTED PORTFOLIOS</w:t>
      </w:r>
    </w:p>
    <w:p w14:paraId="3C1ED63C" w14:textId="77777777" w:rsidR="00440325" w:rsidRPr="0006003D" w:rsidRDefault="00440325" w:rsidP="0006003D">
      <w:pPr>
        <w:keepNext/>
        <w:widowControl w:val="0"/>
        <w:autoSpaceDE w:val="0"/>
        <w:autoSpaceDN w:val="0"/>
        <w:adjustRightInd w:val="0"/>
        <w:rPr>
          <w:rFonts w:ascii="Times New Roman" w:hAnsi="Times New Roman" w:cs="Times New Roman"/>
          <w:sz w:val="20"/>
          <w:szCs w:val="20"/>
        </w:rPr>
      </w:pPr>
    </w:p>
    <w:tbl>
      <w:tblPr>
        <w:tblW w:w="9072" w:type="dxa"/>
        <w:tblInd w:w="-795" w:type="dxa"/>
        <w:tblLayout w:type="fixed"/>
        <w:tblCellMar>
          <w:top w:w="57" w:type="dxa"/>
          <w:bottom w:w="57" w:type="dxa"/>
        </w:tblCellMar>
        <w:tblLook w:val="0000" w:firstRow="0" w:lastRow="0" w:firstColumn="0" w:lastColumn="0" w:noHBand="0" w:noVBand="0"/>
      </w:tblPr>
      <w:tblGrid>
        <w:gridCol w:w="1590"/>
        <w:gridCol w:w="1247"/>
        <w:gridCol w:w="1247"/>
        <w:gridCol w:w="1247"/>
        <w:gridCol w:w="1247"/>
        <w:gridCol w:w="1247"/>
        <w:gridCol w:w="1247"/>
      </w:tblGrid>
      <w:tr w:rsidR="00440325" w:rsidRPr="008267B5" w14:paraId="40B815E4" w14:textId="77777777" w:rsidTr="008267B5">
        <w:tc>
          <w:tcPr>
            <w:tcW w:w="1590" w:type="dxa"/>
            <w:tcBorders>
              <w:top w:val="double" w:sz="4" w:space="0" w:color="auto"/>
              <w:left w:val="nil"/>
              <w:bottom w:val="nil"/>
              <w:right w:val="nil"/>
            </w:tcBorders>
          </w:tcPr>
          <w:p w14:paraId="642C9503"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double" w:sz="4" w:space="0" w:color="auto"/>
              <w:left w:val="nil"/>
              <w:bottom w:val="nil"/>
              <w:right w:val="nil"/>
            </w:tcBorders>
          </w:tcPr>
          <w:p w14:paraId="1D5D90A0"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(1)</w:t>
            </w:r>
          </w:p>
        </w:tc>
        <w:tc>
          <w:tcPr>
            <w:tcW w:w="1247" w:type="dxa"/>
            <w:tcBorders>
              <w:top w:val="double" w:sz="4" w:space="0" w:color="auto"/>
              <w:left w:val="nil"/>
              <w:bottom w:val="nil"/>
              <w:right w:val="nil"/>
            </w:tcBorders>
          </w:tcPr>
          <w:p w14:paraId="2981F942"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(2)</w:t>
            </w:r>
          </w:p>
        </w:tc>
        <w:tc>
          <w:tcPr>
            <w:tcW w:w="1247" w:type="dxa"/>
            <w:tcBorders>
              <w:top w:val="double" w:sz="4" w:space="0" w:color="auto"/>
              <w:left w:val="nil"/>
              <w:bottom w:val="nil"/>
              <w:right w:val="nil"/>
            </w:tcBorders>
          </w:tcPr>
          <w:p w14:paraId="7A44161D"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(3)</w:t>
            </w:r>
          </w:p>
        </w:tc>
        <w:tc>
          <w:tcPr>
            <w:tcW w:w="1247" w:type="dxa"/>
            <w:tcBorders>
              <w:top w:val="double" w:sz="4" w:space="0" w:color="auto"/>
              <w:left w:val="nil"/>
              <w:bottom w:val="nil"/>
              <w:right w:val="nil"/>
            </w:tcBorders>
          </w:tcPr>
          <w:p w14:paraId="21115F22"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(4)</w:t>
            </w:r>
          </w:p>
        </w:tc>
        <w:tc>
          <w:tcPr>
            <w:tcW w:w="1247" w:type="dxa"/>
            <w:tcBorders>
              <w:top w:val="double" w:sz="4" w:space="0" w:color="auto"/>
              <w:left w:val="nil"/>
              <w:bottom w:val="nil"/>
              <w:right w:val="nil"/>
            </w:tcBorders>
          </w:tcPr>
          <w:p w14:paraId="327B53EC"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(5)</w:t>
            </w:r>
          </w:p>
        </w:tc>
        <w:tc>
          <w:tcPr>
            <w:tcW w:w="1247" w:type="dxa"/>
            <w:tcBorders>
              <w:top w:val="double" w:sz="4" w:space="0" w:color="auto"/>
              <w:left w:val="nil"/>
              <w:bottom w:val="nil"/>
              <w:right w:val="nil"/>
            </w:tcBorders>
          </w:tcPr>
          <w:p w14:paraId="404F63E5"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(6)</w:t>
            </w:r>
          </w:p>
        </w:tc>
      </w:tr>
      <w:tr w:rsidR="00440325" w:rsidRPr="008267B5" w14:paraId="28F3C31E" w14:textId="77777777" w:rsidTr="008267B5">
        <w:tc>
          <w:tcPr>
            <w:tcW w:w="1590" w:type="dxa"/>
            <w:tcBorders>
              <w:top w:val="nil"/>
              <w:left w:val="nil"/>
              <w:bottom w:val="nil"/>
              <w:right w:val="nil"/>
            </w:tcBorders>
          </w:tcPr>
          <w:p w14:paraId="712CB387"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nil"/>
              <w:left w:val="nil"/>
              <w:bottom w:val="nil"/>
              <w:right w:val="nil"/>
            </w:tcBorders>
          </w:tcPr>
          <w:p w14:paraId="5AF02ADE"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Illiquid</w:t>
            </w:r>
          </w:p>
        </w:tc>
        <w:tc>
          <w:tcPr>
            <w:tcW w:w="1247" w:type="dxa"/>
            <w:tcBorders>
              <w:top w:val="nil"/>
              <w:left w:val="nil"/>
              <w:bottom w:val="nil"/>
              <w:right w:val="nil"/>
            </w:tcBorders>
          </w:tcPr>
          <w:p w14:paraId="4AA964FC"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2</w:t>
            </w:r>
          </w:p>
        </w:tc>
        <w:tc>
          <w:tcPr>
            <w:tcW w:w="1247" w:type="dxa"/>
            <w:tcBorders>
              <w:top w:val="nil"/>
              <w:left w:val="nil"/>
              <w:bottom w:val="nil"/>
              <w:right w:val="nil"/>
            </w:tcBorders>
          </w:tcPr>
          <w:p w14:paraId="5F93E552"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3</w:t>
            </w:r>
          </w:p>
        </w:tc>
        <w:tc>
          <w:tcPr>
            <w:tcW w:w="1247" w:type="dxa"/>
            <w:tcBorders>
              <w:top w:val="nil"/>
              <w:left w:val="nil"/>
              <w:bottom w:val="nil"/>
              <w:right w:val="nil"/>
            </w:tcBorders>
          </w:tcPr>
          <w:p w14:paraId="47D16975"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4</w:t>
            </w:r>
          </w:p>
        </w:tc>
        <w:tc>
          <w:tcPr>
            <w:tcW w:w="1247" w:type="dxa"/>
            <w:tcBorders>
              <w:top w:val="nil"/>
              <w:left w:val="nil"/>
              <w:bottom w:val="nil"/>
              <w:right w:val="nil"/>
            </w:tcBorders>
          </w:tcPr>
          <w:p w14:paraId="47C79235"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Liquid</w:t>
            </w:r>
          </w:p>
        </w:tc>
        <w:tc>
          <w:tcPr>
            <w:tcW w:w="1247" w:type="dxa"/>
            <w:tcBorders>
              <w:top w:val="nil"/>
              <w:left w:val="nil"/>
              <w:bottom w:val="nil"/>
              <w:right w:val="nil"/>
            </w:tcBorders>
          </w:tcPr>
          <w:p w14:paraId="4E40D9E3" w14:textId="11D6CB2A" w:rsidR="00440325" w:rsidRPr="008267B5" w:rsidRDefault="00440325" w:rsidP="00985551">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IM</w:t>
            </w:r>
            <w:r w:rsidR="00985551">
              <w:rPr>
                <w:rFonts w:ascii="Times New Roman" w:hAnsi="Times New Roman" w:cs="Times New Roman"/>
                <w:sz w:val="18"/>
                <w:szCs w:val="18"/>
              </w:rPr>
              <w:t>L</w:t>
            </w:r>
          </w:p>
        </w:tc>
      </w:tr>
      <w:tr w:rsidR="00440325" w:rsidRPr="008267B5" w14:paraId="198E29B7" w14:textId="77777777" w:rsidTr="008267B5">
        <w:tc>
          <w:tcPr>
            <w:tcW w:w="1590" w:type="dxa"/>
            <w:vMerge w:val="restart"/>
            <w:tcBorders>
              <w:top w:val="single" w:sz="4" w:space="0" w:color="auto"/>
              <w:left w:val="nil"/>
              <w:right w:val="nil"/>
            </w:tcBorders>
          </w:tcPr>
          <w:p w14:paraId="2A910DB9" w14:textId="783CCE84" w:rsidR="00440325" w:rsidRPr="008267B5" w:rsidRDefault="008267B5" w:rsidP="008267B5">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L</w:t>
            </w:r>
            <w:r w:rsidR="00440325" w:rsidRPr="008267B5">
              <w:rPr>
                <w:rFonts w:ascii="Times New Roman" w:hAnsi="Times New Roman" w:cs="Times New Roman"/>
                <w:sz w:val="18"/>
                <w:szCs w:val="18"/>
              </w:rPr>
              <w:t>iquidity</w:t>
            </w:r>
            <w:r w:rsidR="009337DB">
              <w:rPr>
                <w:rFonts w:ascii="Times New Roman" w:hAnsi="Times New Roman" w:cs="Times New Roman"/>
                <w:sz w:val="18"/>
                <w:szCs w:val="18"/>
              </w:rPr>
              <w:t xml:space="preserve"> (C</w:t>
            </w:r>
            <w:r w:rsidR="00985551">
              <w:rPr>
                <w:rFonts w:ascii="Times New Roman" w:hAnsi="Times New Roman" w:cs="Times New Roman"/>
                <w:sz w:val="18"/>
                <w:szCs w:val="18"/>
              </w:rPr>
              <w:t>olonial)</w:t>
            </w:r>
          </w:p>
        </w:tc>
        <w:tc>
          <w:tcPr>
            <w:tcW w:w="1247" w:type="dxa"/>
            <w:tcBorders>
              <w:top w:val="single" w:sz="4" w:space="0" w:color="auto"/>
              <w:left w:val="nil"/>
              <w:bottom w:val="nil"/>
              <w:right w:val="nil"/>
            </w:tcBorders>
          </w:tcPr>
          <w:p w14:paraId="19C8320C" w14:textId="13B935B1"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0.0006**</w:t>
            </w:r>
          </w:p>
        </w:tc>
        <w:tc>
          <w:tcPr>
            <w:tcW w:w="1247" w:type="dxa"/>
            <w:tcBorders>
              <w:top w:val="single" w:sz="4" w:space="0" w:color="auto"/>
              <w:left w:val="nil"/>
              <w:bottom w:val="nil"/>
              <w:right w:val="nil"/>
            </w:tcBorders>
          </w:tcPr>
          <w:p w14:paraId="3034C6E9" w14:textId="434D856B"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0.0006**</w:t>
            </w:r>
          </w:p>
        </w:tc>
        <w:tc>
          <w:tcPr>
            <w:tcW w:w="1247" w:type="dxa"/>
            <w:tcBorders>
              <w:top w:val="single" w:sz="4" w:space="0" w:color="auto"/>
              <w:left w:val="nil"/>
              <w:bottom w:val="nil"/>
              <w:right w:val="nil"/>
            </w:tcBorders>
          </w:tcPr>
          <w:p w14:paraId="73BF963C" w14:textId="1004239B"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0.0005**</w:t>
            </w:r>
          </w:p>
        </w:tc>
        <w:tc>
          <w:tcPr>
            <w:tcW w:w="1247" w:type="dxa"/>
            <w:tcBorders>
              <w:top w:val="single" w:sz="4" w:space="0" w:color="auto"/>
              <w:left w:val="nil"/>
              <w:bottom w:val="nil"/>
              <w:right w:val="nil"/>
            </w:tcBorders>
          </w:tcPr>
          <w:p w14:paraId="17F3617A" w14:textId="09D69A99"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0.0008**</w:t>
            </w:r>
          </w:p>
        </w:tc>
        <w:tc>
          <w:tcPr>
            <w:tcW w:w="1247" w:type="dxa"/>
            <w:tcBorders>
              <w:top w:val="single" w:sz="4" w:space="0" w:color="auto"/>
              <w:left w:val="nil"/>
              <w:bottom w:val="nil"/>
              <w:right w:val="nil"/>
            </w:tcBorders>
          </w:tcPr>
          <w:p w14:paraId="6EEF4B87" w14:textId="08F59649"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0.001***</w:t>
            </w:r>
          </w:p>
        </w:tc>
        <w:tc>
          <w:tcPr>
            <w:tcW w:w="1247" w:type="dxa"/>
            <w:tcBorders>
              <w:top w:val="single" w:sz="4" w:space="0" w:color="auto"/>
              <w:left w:val="nil"/>
              <w:bottom w:val="nil"/>
              <w:right w:val="nil"/>
            </w:tcBorders>
          </w:tcPr>
          <w:p w14:paraId="6D315B73" w14:textId="10ED3B3C"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0.0009***</w:t>
            </w:r>
          </w:p>
        </w:tc>
      </w:tr>
      <w:tr w:rsidR="00440325" w:rsidRPr="008267B5" w14:paraId="20CC58C8" w14:textId="77777777" w:rsidTr="008267B5">
        <w:tc>
          <w:tcPr>
            <w:tcW w:w="1590" w:type="dxa"/>
            <w:vMerge/>
            <w:tcBorders>
              <w:left w:val="nil"/>
              <w:bottom w:val="nil"/>
              <w:right w:val="nil"/>
            </w:tcBorders>
          </w:tcPr>
          <w:p w14:paraId="7DE30A59"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nil"/>
              <w:left w:val="nil"/>
              <w:bottom w:val="nil"/>
              <w:right w:val="nil"/>
            </w:tcBorders>
          </w:tcPr>
          <w:p w14:paraId="0A10F35E"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47551A84"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26E70ABA"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08935412"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170CE97E"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65664E07"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r>
      <w:tr w:rsidR="00440325" w:rsidRPr="008267B5" w14:paraId="4F09A382" w14:textId="77777777" w:rsidTr="008267B5">
        <w:tc>
          <w:tcPr>
            <w:tcW w:w="1590" w:type="dxa"/>
            <w:vMerge w:val="restart"/>
            <w:tcBorders>
              <w:top w:val="nil"/>
              <w:left w:val="nil"/>
              <w:right w:val="nil"/>
            </w:tcBorders>
          </w:tcPr>
          <w:p w14:paraId="5A76BC42" w14:textId="4FCB8A00" w:rsidR="00440325" w:rsidRPr="008267B5" w:rsidRDefault="00440325" w:rsidP="0006003D">
            <w:pPr>
              <w:widowControl w:val="0"/>
              <w:autoSpaceDE w:val="0"/>
              <w:autoSpaceDN w:val="0"/>
              <w:adjustRightInd w:val="0"/>
              <w:rPr>
                <w:rFonts w:ascii="Times New Roman" w:hAnsi="Times New Roman" w:cs="Times New Roman"/>
                <w:sz w:val="18"/>
                <w:szCs w:val="18"/>
              </w:rPr>
            </w:pPr>
            <w:r w:rsidRPr="008267B5">
              <w:rPr>
                <w:rFonts w:ascii="Times New Roman" w:hAnsi="Times New Roman" w:cs="Times New Roman"/>
                <w:sz w:val="18"/>
                <w:szCs w:val="18"/>
              </w:rPr>
              <w:t>Liquidity</w:t>
            </w:r>
            <w:r w:rsidR="009337DB">
              <w:rPr>
                <w:rFonts w:ascii="Times New Roman" w:hAnsi="Times New Roman" w:cs="Times New Roman"/>
                <w:sz w:val="18"/>
                <w:szCs w:val="18"/>
              </w:rPr>
              <w:t xml:space="preserve"> (P</w:t>
            </w:r>
            <w:r w:rsidR="00985551">
              <w:rPr>
                <w:rFonts w:ascii="Times New Roman" w:hAnsi="Times New Roman" w:cs="Times New Roman"/>
                <w:sz w:val="18"/>
                <w:szCs w:val="18"/>
              </w:rPr>
              <w:t>ooled)</w:t>
            </w:r>
          </w:p>
        </w:tc>
        <w:tc>
          <w:tcPr>
            <w:tcW w:w="1247" w:type="dxa"/>
            <w:tcBorders>
              <w:top w:val="nil"/>
              <w:left w:val="nil"/>
              <w:bottom w:val="nil"/>
              <w:right w:val="nil"/>
            </w:tcBorders>
          </w:tcPr>
          <w:p w14:paraId="18211462" w14:textId="353BDFF3"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0.0003</w:t>
            </w:r>
          </w:p>
        </w:tc>
        <w:tc>
          <w:tcPr>
            <w:tcW w:w="1247" w:type="dxa"/>
            <w:tcBorders>
              <w:top w:val="nil"/>
              <w:left w:val="nil"/>
              <w:bottom w:val="nil"/>
              <w:right w:val="nil"/>
            </w:tcBorders>
          </w:tcPr>
          <w:p w14:paraId="4817B65D" w14:textId="550B4B9C"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0.0004</w:t>
            </w:r>
          </w:p>
        </w:tc>
        <w:tc>
          <w:tcPr>
            <w:tcW w:w="1247" w:type="dxa"/>
            <w:tcBorders>
              <w:top w:val="nil"/>
              <w:left w:val="nil"/>
              <w:bottom w:val="nil"/>
              <w:right w:val="nil"/>
            </w:tcBorders>
          </w:tcPr>
          <w:p w14:paraId="50BBE18E" w14:textId="2D6093D0"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0.0003</w:t>
            </w:r>
          </w:p>
        </w:tc>
        <w:tc>
          <w:tcPr>
            <w:tcW w:w="1247" w:type="dxa"/>
            <w:tcBorders>
              <w:top w:val="nil"/>
              <w:left w:val="nil"/>
              <w:bottom w:val="nil"/>
              <w:right w:val="nil"/>
            </w:tcBorders>
          </w:tcPr>
          <w:p w14:paraId="52C8E145" w14:textId="6D135ADE"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0.0003</w:t>
            </w:r>
          </w:p>
        </w:tc>
        <w:tc>
          <w:tcPr>
            <w:tcW w:w="1247" w:type="dxa"/>
            <w:tcBorders>
              <w:top w:val="nil"/>
              <w:left w:val="nil"/>
              <w:bottom w:val="nil"/>
              <w:right w:val="nil"/>
            </w:tcBorders>
          </w:tcPr>
          <w:p w14:paraId="7F77085A" w14:textId="1A91DB5B"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0.0008**</w:t>
            </w:r>
          </w:p>
        </w:tc>
        <w:tc>
          <w:tcPr>
            <w:tcW w:w="1247" w:type="dxa"/>
            <w:tcBorders>
              <w:top w:val="nil"/>
              <w:left w:val="nil"/>
              <w:bottom w:val="nil"/>
              <w:right w:val="nil"/>
            </w:tcBorders>
          </w:tcPr>
          <w:p w14:paraId="1488614E" w14:textId="1E364D6C"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0.0005**</w:t>
            </w:r>
          </w:p>
        </w:tc>
      </w:tr>
      <w:tr w:rsidR="00440325" w:rsidRPr="008267B5" w14:paraId="24B58BBE" w14:textId="77777777" w:rsidTr="008267B5">
        <w:tc>
          <w:tcPr>
            <w:tcW w:w="1590" w:type="dxa"/>
            <w:vMerge/>
            <w:tcBorders>
              <w:left w:val="nil"/>
              <w:bottom w:val="nil"/>
              <w:right w:val="nil"/>
            </w:tcBorders>
          </w:tcPr>
          <w:p w14:paraId="3FD29894"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nil"/>
              <w:left w:val="nil"/>
              <w:bottom w:val="nil"/>
              <w:right w:val="nil"/>
            </w:tcBorders>
          </w:tcPr>
          <w:p w14:paraId="0D344441"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292B26F7"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778291CB"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671FFE32"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5167C245"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14949F72"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r>
      <w:tr w:rsidR="00440325" w:rsidRPr="008267B5" w14:paraId="3D16042C" w14:textId="77777777" w:rsidTr="008267B5">
        <w:tc>
          <w:tcPr>
            <w:tcW w:w="1590" w:type="dxa"/>
            <w:vMerge w:val="restart"/>
            <w:tcBorders>
              <w:top w:val="nil"/>
              <w:left w:val="nil"/>
              <w:right w:val="nil"/>
            </w:tcBorders>
          </w:tcPr>
          <w:p w14:paraId="0AAAEDA9" w14:textId="1603F828" w:rsidR="00440325" w:rsidRPr="008267B5" w:rsidRDefault="00440325" w:rsidP="0006003D">
            <w:pPr>
              <w:widowControl w:val="0"/>
              <w:autoSpaceDE w:val="0"/>
              <w:autoSpaceDN w:val="0"/>
              <w:adjustRightInd w:val="0"/>
              <w:rPr>
                <w:rFonts w:ascii="Times New Roman" w:hAnsi="Times New Roman" w:cs="Times New Roman"/>
                <w:sz w:val="18"/>
                <w:szCs w:val="18"/>
              </w:rPr>
            </w:pPr>
            <w:r w:rsidRPr="008267B5">
              <w:rPr>
                <w:rFonts w:ascii="Times New Roman" w:eastAsia="Arial" w:hAnsi="Times New Roman" w:cs="Times New Roman"/>
                <w:sz w:val="18"/>
                <w:szCs w:val="18"/>
              </w:rPr>
              <w:t>Credit (Export)</w:t>
            </w:r>
          </w:p>
        </w:tc>
        <w:tc>
          <w:tcPr>
            <w:tcW w:w="1247" w:type="dxa"/>
            <w:tcBorders>
              <w:top w:val="nil"/>
              <w:left w:val="nil"/>
              <w:bottom w:val="nil"/>
              <w:right w:val="nil"/>
            </w:tcBorders>
          </w:tcPr>
          <w:p w14:paraId="5A6C0FD6" w14:textId="72C1B7C9"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0.01</w:t>
            </w:r>
          </w:p>
        </w:tc>
        <w:tc>
          <w:tcPr>
            <w:tcW w:w="1247" w:type="dxa"/>
            <w:tcBorders>
              <w:top w:val="nil"/>
              <w:left w:val="nil"/>
              <w:bottom w:val="nil"/>
              <w:right w:val="nil"/>
            </w:tcBorders>
          </w:tcPr>
          <w:p w14:paraId="7EA85B5B"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1BC5B15D" w14:textId="1DD0CA6A"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0.02</w:t>
            </w:r>
          </w:p>
        </w:tc>
        <w:tc>
          <w:tcPr>
            <w:tcW w:w="1247" w:type="dxa"/>
            <w:tcBorders>
              <w:top w:val="nil"/>
              <w:left w:val="nil"/>
              <w:bottom w:val="nil"/>
              <w:right w:val="nil"/>
            </w:tcBorders>
          </w:tcPr>
          <w:p w14:paraId="0A3207A4" w14:textId="0B8E38B9"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0.02</w:t>
            </w:r>
          </w:p>
        </w:tc>
        <w:tc>
          <w:tcPr>
            <w:tcW w:w="1247" w:type="dxa"/>
            <w:tcBorders>
              <w:top w:val="nil"/>
              <w:left w:val="nil"/>
              <w:bottom w:val="nil"/>
              <w:right w:val="nil"/>
            </w:tcBorders>
          </w:tcPr>
          <w:p w14:paraId="3C5BE3AA" w14:textId="2918966E"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0.05**</w:t>
            </w:r>
          </w:p>
        </w:tc>
        <w:tc>
          <w:tcPr>
            <w:tcW w:w="1247" w:type="dxa"/>
            <w:tcBorders>
              <w:top w:val="nil"/>
              <w:left w:val="nil"/>
              <w:bottom w:val="nil"/>
              <w:right w:val="nil"/>
            </w:tcBorders>
          </w:tcPr>
          <w:p w14:paraId="2C39B65E"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0.04**</w:t>
            </w:r>
          </w:p>
        </w:tc>
      </w:tr>
      <w:tr w:rsidR="00440325" w:rsidRPr="008267B5" w14:paraId="6B68DB0F" w14:textId="77777777" w:rsidTr="008267B5">
        <w:tc>
          <w:tcPr>
            <w:tcW w:w="1590" w:type="dxa"/>
            <w:vMerge/>
            <w:tcBorders>
              <w:left w:val="nil"/>
              <w:bottom w:val="nil"/>
              <w:right w:val="nil"/>
            </w:tcBorders>
          </w:tcPr>
          <w:p w14:paraId="10AAE587"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nil"/>
              <w:left w:val="nil"/>
              <w:bottom w:val="nil"/>
              <w:right w:val="nil"/>
            </w:tcBorders>
          </w:tcPr>
          <w:p w14:paraId="073421D8"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(0.01)</w:t>
            </w:r>
          </w:p>
        </w:tc>
        <w:tc>
          <w:tcPr>
            <w:tcW w:w="1247" w:type="dxa"/>
            <w:tcBorders>
              <w:top w:val="nil"/>
              <w:left w:val="nil"/>
              <w:bottom w:val="nil"/>
              <w:right w:val="nil"/>
            </w:tcBorders>
          </w:tcPr>
          <w:p w14:paraId="76031EFA"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70C84FE8"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(0.01)</w:t>
            </w:r>
          </w:p>
        </w:tc>
        <w:tc>
          <w:tcPr>
            <w:tcW w:w="1247" w:type="dxa"/>
            <w:tcBorders>
              <w:top w:val="nil"/>
              <w:left w:val="nil"/>
              <w:bottom w:val="nil"/>
              <w:right w:val="nil"/>
            </w:tcBorders>
          </w:tcPr>
          <w:p w14:paraId="4FAE777C"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732AA1CA"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458DC91B"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r>
      <w:tr w:rsidR="00440325" w:rsidRPr="008267B5" w14:paraId="5967312F" w14:textId="77777777" w:rsidTr="008267B5">
        <w:tc>
          <w:tcPr>
            <w:tcW w:w="1590" w:type="dxa"/>
            <w:vMerge w:val="restart"/>
            <w:tcBorders>
              <w:top w:val="nil"/>
              <w:left w:val="nil"/>
              <w:right w:val="nil"/>
            </w:tcBorders>
          </w:tcPr>
          <w:p w14:paraId="30A8CEE1" w14:textId="788788BB" w:rsidR="00440325" w:rsidRPr="008267B5" w:rsidRDefault="00440325" w:rsidP="0006003D">
            <w:pPr>
              <w:widowControl w:val="0"/>
              <w:autoSpaceDE w:val="0"/>
              <w:autoSpaceDN w:val="0"/>
              <w:adjustRightInd w:val="0"/>
              <w:rPr>
                <w:rFonts w:ascii="Times New Roman" w:hAnsi="Times New Roman" w:cs="Times New Roman"/>
                <w:sz w:val="18"/>
                <w:szCs w:val="18"/>
              </w:rPr>
            </w:pPr>
            <w:r w:rsidRPr="008267B5">
              <w:rPr>
                <w:rFonts w:ascii="Times New Roman" w:eastAsia="Arial" w:hAnsi="Times New Roman" w:cs="Times New Roman"/>
                <w:sz w:val="18"/>
                <w:szCs w:val="18"/>
              </w:rPr>
              <w:t>Credit (Deficit)</w:t>
            </w:r>
          </w:p>
        </w:tc>
        <w:tc>
          <w:tcPr>
            <w:tcW w:w="1247" w:type="dxa"/>
            <w:tcBorders>
              <w:top w:val="nil"/>
              <w:left w:val="nil"/>
              <w:bottom w:val="nil"/>
              <w:right w:val="nil"/>
            </w:tcBorders>
          </w:tcPr>
          <w:p w14:paraId="57154E1A" w14:textId="035D1EC5"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0.03**</w:t>
            </w:r>
          </w:p>
        </w:tc>
        <w:tc>
          <w:tcPr>
            <w:tcW w:w="1247" w:type="dxa"/>
            <w:tcBorders>
              <w:top w:val="nil"/>
              <w:left w:val="nil"/>
              <w:bottom w:val="nil"/>
              <w:right w:val="nil"/>
            </w:tcBorders>
          </w:tcPr>
          <w:p w14:paraId="67621668" w14:textId="0587BEDE"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0.03</w:t>
            </w:r>
          </w:p>
        </w:tc>
        <w:tc>
          <w:tcPr>
            <w:tcW w:w="1247" w:type="dxa"/>
            <w:tcBorders>
              <w:top w:val="nil"/>
              <w:left w:val="nil"/>
              <w:bottom w:val="nil"/>
              <w:right w:val="nil"/>
            </w:tcBorders>
          </w:tcPr>
          <w:p w14:paraId="39028141" w14:textId="762AF712"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0.04**</w:t>
            </w:r>
          </w:p>
        </w:tc>
        <w:tc>
          <w:tcPr>
            <w:tcW w:w="1247" w:type="dxa"/>
            <w:tcBorders>
              <w:top w:val="nil"/>
              <w:left w:val="nil"/>
              <w:bottom w:val="nil"/>
              <w:right w:val="nil"/>
            </w:tcBorders>
          </w:tcPr>
          <w:p w14:paraId="30255C8D" w14:textId="562A795A"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0.04*</w:t>
            </w:r>
          </w:p>
        </w:tc>
        <w:tc>
          <w:tcPr>
            <w:tcW w:w="1247" w:type="dxa"/>
            <w:tcBorders>
              <w:top w:val="nil"/>
              <w:left w:val="nil"/>
              <w:bottom w:val="nil"/>
              <w:right w:val="nil"/>
            </w:tcBorders>
          </w:tcPr>
          <w:p w14:paraId="245C6112" w14:textId="22F9229B"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0.03</w:t>
            </w:r>
          </w:p>
        </w:tc>
        <w:tc>
          <w:tcPr>
            <w:tcW w:w="1247" w:type="dxa"/>
            <w:tcBorders>
              <w:top w:val="nil"/>
              <w:left w:val="nil"/>
              <w:bottom w:val="nil"/>
              <w:right w:val="nil"/>
            </w:tcBorders>
          </w:tcPr>
          <w:p w14:paraId="0704ACD6" w14:textId="04177F7A"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0.01</w:t>
            </w:r>
          </w:p>
        </w:tc>
      </w:tr>
      <w:tr w:rsidR="00440325" w:rsidRPr="008267B5" w14:paraId="5DD4CFC7" w14:textId="77777777" w:rsidTr="008267B5">
        <w:tc>
          <w:tcPr>
            <w:tcW w:w="1590" w:type="dxa"/>
            <w:vMerge/>
            <w:tcBorders>
              <w:left w:val="nil"/>
              <w:bottom w:val="nil"/>
              <w:right w:val="nil"/>
            </w:tcBorders>
          </w:tcPr>
          <w:p w14:paraId="66D6AEB0"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nil"/>
              <w:left w:val="nil"/>
              <w:bottom w:val="nil"/>
              <w:right w:val="nil"/>
            </w:tcBorders>
          </w:tcPr>
          <w:p w14:paraId="54F8953D"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(0.01)</w:t>
            </w:r>
          </w:p>
        </w:tc>
        <w:tc>
          <w:tcPr>
            <w:tcW w:w="1247" w:type="dxa"/>
            <w:tcBorders>
              <w:top w:val="nil"/>
              <w:left w:val="nil"/>
              <w:bottom w:val="nil"/>
              <w:right w:val="nil"/>
            </w:tcBorders>
          </w:tcPr>
          <w:p w14:paraId="5F82364D"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216A0C74"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7C6C87DE"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6AA545A9"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616E4187"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r>
      <w:tr w:rsidR="00440325" w:rsidRPr="008267B5" w14:paraId="16FAB928" w14:textId="77777777" w:rsidTr="008267B5">
        <w:tc>
          <w:tcPr>
            <w:tcW w:w="1590" w:type="dxa"/>
            <w:tcBorders>
              <w:top w:val="nil"/>
              <w:left w:val="nil"/>
              <w:bottom w:val="nil"/>
              <w:right w:val="nil"/>
            </w:tcBorders>
          </w:tcPr>
          <w:p w14:paraId="4833E92C" w14:textId="35D512BF" w:rsidR="00440325" w:rsidRPr="008267B5" w:rsidRDefault="00440325" w:rsidP="0006003D">
            <w:pPr>
              <w:widowControl w:val="0"/>
              <w:autoSpaceDE w:val="0"/>
              <w:autoSpaceDN w:val="0"/>
              <w:adjustRightInd w:val="0"/>
              <w:rPr>
                <w:rFonts w:ascii="Times New Roman" w:hAnsi="Times New Roman" w:cs="Times New Roman"/>
                <w:sz w:val="18"/>
                <w:szCs w:val="18"/>
              </w:rPr>
            </w:pPr>
            <w:r w:rsidRPr="008267B5">
              <w:rPr>
                <w:rFonts w:ascii="Times New Roman" w:eastAsia="Arial" w:hAnsi="Times New Roman" w:cs="Times New Roman"/>
                <w:sz w:val="18"/>
                <w:szCs w:val="18"/>
              </w:rPr>
              <w:t>Term</w:t>
            </w:r>
          </w:p>
        </w:tc>
        <w:tc>
          <w:tcPr>
            <w:tcW w:w="1247" w:type="dxa"/>
            <w:tcBorders>
              <w:top w:val="nil"/>
              <w:left w:val="nil"/>
              <w:bottom w:val="nil"/>
              <w:right w:val="nil"/>
            </w:tcBorders>
          </w:tcPr>
          <w:p w14:paraId="0A851BB3"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0.20***</w:t>
            </w:r>
          </w:p>
        </w:tc>
        <w:tc>
          <w:tcPr>
            <w:tcW w:w="1247" w:type="dxa"/>
            <w:tcBorders>
              <w:top w:val="nil"/>
              <w:left w:val="nil"/>
              <w:bottom w:val="nil"/>
              <w:right w:val="nil"/>
            </w:tcBorders>
          </w:tcPr>
          <w:p w14:paraId="2F8445EB"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0.21***</w:t>
            </w:r>
          </w:p>
        </w:tc>
        <w:tc>
          <w:tcPr>
            <w:tcW w:w="1247" w:type="dxa"/>
            <w:tcBorders>
              <w:top w:val="nil"/>
              <w:left w:val="nil"/>
              <w:bottom w:val="nil"/>
              <w:right w:val="nil"/>
            </w:tcBorders>
          </w:tcPr>
          <w:p w14:paraId="007B2270"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0.15***</w:t>
            </w:r>
          </w:p>
        </w:tc>
        <w:tc>
          <w:tcPr>
            <w:tcW w:w="1247" w:type="dxa"/>
            <w:tcBorders>
              <w:top w:val="nil"/>
              <w:left w:val="nil"/>
              <w:bottom w:val="nil"/>
              <w:right w:val="nil"/>
            </w:tcBorders>
          </w:tcPr>
          <w:p w14:paraId="0EE4E2E8"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0.23***</w:t>
            </w:r>
          </w:p>
        </w:tc>
        <w:tc>
          <w:tcPr>
            <w:tcW w:w="1247" w:type="dxa"/>
            <w:tcBorders>
              <w:top w:val="nil"/>
              <w:left w:val="nil"/>
              <w:bottom w:val="nil"/>
              <w:right w:val="nil"/>
            </w:tcBorders>
          </w:tcPr>
          <w:p w14:paraId="7DE184F1"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0.20***</w:t>
            </w:r>
          </w:p>
        </w:tc>
        <w:tc>
          <w:tcPr>
            <w:tcW w:w="1247" w:type="dxa"/>
            <w:tcBorders>
              <w:top w:val="nil"/>
              <w:left w:val="nil"/>
              <w:bottom w:val="nil"/>
              <w:right w:val="nil"/>
            </w:tcBorders>
          </w:tcPr>
          <w:p w14:paraId="4FB612C4" w14:textId="60CCF3CB"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0.00</w:t>
            </w:r>
          </w:p>
        </w:tc>
      </w:tr>
      <w:tr w:rsidR="00440325" w:rsidRPr="008267B5" w14:paraId="0A3D3908" w14:textId="77777777" w:rsidTr="008267B5">
        <w:tc>
          <w:tcPr>
            <w:tcW w:w="1590" w:type="dxa"/>
            <w:tcBorders>
              <w:top w:val="nil"/>
              <w:left w:val="nil"/>
              <w:bottom w:val="nil"/>
              <w:right w:val="nil"/>
            </w:tcBorders>
          </w:tcPr>
          <w:p w14:paraId="2B9DDFBE"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nil"/>
              <w:left w:val="nil"/>
              <w:bottom w:val="nil"/>
              <w:right w:val="nil"/>
            </w:tcBorders>
          </w:tcPr>
          <w:p w14:paraId="629D35F1"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(0.03)</w:t>
            </w:r>
          </w:p>
        </w:tc>
        <w:tc>
          <w:tcPr>
            <w:tcW w:w="1247" w:type="dxa"/>
            <w:tcBorders>
              <w:top w:val="nil"/>
              <w:left w:val="nil"/>
              <w:bottom w:val="nil"/>
              <w:right w:val="nil"/>
            </w:tcBorders>
          </w:tcPr>
          <w:p w14:paraId="442B480D"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(0.03)</w:t>
            </w:r>
          </w:p>
        </w:tc>
        <w:tc>
          <w:tcPr>
            <w:tcW w:w="1247" w:type="dxa"/>
            <w:tcBorders>
              <w:top w:val="nil"/>
              <w:left w:val="nil"/>
              <w:bottom w:val="nil"/>
              <w:right w:val="nil"/>
            </w:tcBorders>
          </w:tcPr>
          <w:p w14:paraId="4B77EAF8"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(0.03)</w:t>
            </w:r>
          </w:p>
        </w:tc>
        <w:tc>
          <w:tcPr>
            <w:tcW w:w="1247" w:type="dxa"/>
            <w:tcBorders>
              <w:top w:val="nil"/>
              <w:left w:val="nil"/>
              <w:bottom w:val="nil"/>
              <w:right w:val="nil"/>
            </w:tcBorders>
          </w:tcPr>
          <w:p w14:paraId="527E1A8A"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(0.03)</w:t>
            </w:r>
          </w:p>
        </w:tc>
        <w:tc>
          <w:tcPr>
            <w:tcW w:w="1247" w:type="dxa"/>
            <w:tcBorders>
              <w:top w:val="nil"/>
              <w:left w:val="nil"/>
              <w:bottom w:val="nil"/>
              <w:right w:val="nil"/>
            </w:tcBorders>
          </w:tcPr>
          <w:p w14:paraId="4ACCEFEE"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(0.04)</w:t>
            </w:r>
          </w:p>
        </w:tc>
        <w:tc>
          <w:tcPr>
            <w:tcW w:w="1247" w:type="dxa"/>
            <w:tcBorders>
              <w:top w:val="nil"/>
              <w:left w:val="nil"/>
              <w:bottom w:val="nil"/>
              <w:right w:val="nil"/>
            </w:tcBorders>
          </w:tcPr>
          <w:p w14:paraId="331D6876"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(0.03)</w:t>
            </w:r>
          </w:p>
        </w:tc>
      </w:tr>
      <w:tr w:rsidR="00440325" w:rsidRPr="008267B5" w14:paraId="54EBFACD" w14:textId="77777777" w:rsidTr="008267B5">
        <w:tc>
          <w:tcPr>
            <w:tcW w:w="1590" w:type="dxa"/>
            <w:tcBorders>
              <w:top w:val="nil"/>
              <w:left w:val="nil"/>
              <w:bottom w:val="nil"/>
              <w:right w:val="nil"/>
            </w:tcBorders>
          </w:tcPr>
          <w:p w14:paraId="3FEB01EE" w14:textId="20BD5BBD" w:rsidR="00440325" w:rsidRPr="008267B5" w:rsidRDefault="00440325" w:rsidP="0006003D">
            <w:pPr>
              <w:widowControl w:val="0"/>
              <w:autoSpaceDE w:val="0"/>
              <w:autoSpaceDN w:val="0"/>
              <w:adjustRightInd w:val="0"/>
              <w:rPr>
                <w:rFonts w:ascii="Times New Roman" w:hAnsi="Times New Roman" w:cs="Times New Roman"/>
                <w:sz w:val="18"/>
                <w:szCs w:val="18"/>
              </w:rPr>
            </w:pPr>
            <w:r w:rsidRPr="008267B5">
              <w:rPr>
                <w:rFonts w:ascii="Times New Roman" w:eastAsia="Arial" w:hAnsi="Times New Roman" w:cs="Times New Roman"/>
                <w:sz w:val="18"/>
                <w:szCs w:val="18"/>
              </w:rPr>
              <w:t>Market</w:t>
            </w:r>
          </w:p>
        </w:tc>
        <w:tc>
          <w:tcPr>
            <w:tcW w:w="1247" w:type="dxa"/>
            <w:tcBorders>
              <w:top w:val="nil"/>
              <w:left w:val="nil"/>
              <w:bottom w:val="nil"/>
              <w:right w:val="nil"/>
            </w:tcBorders>
          </w:tcPr>
          <w:p w14:paraId="35B5D2C4" w14:textId="285E6E0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0.07***</w:t>
            </w:r>
          </w:p>
        </w:tc>
        <w:tc>
          <w:tcPr>
            <w:tcW w:w="1247" w:type="dxa"/>
            <w:tcBorders>
              <w:top w:val="nil"/>
              <w:left w:val="nil"/>
              <w:bottom w:val="nil"/>
              <w:right w:val="nil"/>
            </w:tcBorders>
          </w:tcPr>
          <w:p w14:paraId="1B6371BC" w14:textId="49AFCF32"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0.09***</w:t>
            </w:r>
          </w:p>
        </w:tc>
        <w:tc>
          <w:tcPr>
            <w:tcW w:w="1247" w:type="dxa"/>
            <w:tcBorders>
              <w:top w:val="nil"/>
              <w:left w:val="nil"/>
              <w:bottom w:val="nil"/>
              <w:right w:val="nil"/>
            </w:tcBorders>
          </w:tcPr>
          <w:p w14:paraId="510F0C8B" w14:textId="78AC8408"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0.08***</w:t>
            </w:r>
          </w:p>
        </w:tc>
        <w:tc>
          <w:tcPr>
            <w:tcW w:w="1247" w:type="dxa"/>
            <w:tcBorders>
              <w:top w:val="nil"/>
              <w:left w:val="nil"/>
              <w:bottom w:val="nil"/>
              <w:right w:val="nil"/>
            </w:tcBorders>
          </w:tcPr>
          <w:p w14:paraId="496102C4" w14:textId="0D522311"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0.08***</w:t>
            </w:r>
          </w:p>
        </w:tc>
        <w:tc>
          <w:tcPr>
            <w:tcW w:w="1247" w:type="dxa"/>
            <w:tcBorders>
              <w:top w:val="nil"/>
              <w:left w:val="nil"/>
              <w:bottom w:val="nil"/>
              <w:right w:val="nil"/>
            </w:tcBorders>
          </w:tcPr>
          <w:p w14:paraId="29B403FA" w14:textId="2317F5E8"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0.07***</w:t>
            </w:r>
          </w:p>
        </w:tc>
        <w:tc>
          <w:tcPr>
            <w:tcW w:w="1247" w:type="dxa"/>
            <w:tcBorders>
              <w:top w:val="nil"/>
              <w:left w:val="nil"/>
              <w:bottom w:val="nil"/>
              <w:right w:val="nil"/>
            </w:tcBorders>
          </w:tcPr>
          <w:p w14:paraId="7A096170" w14:textId="0798780F" w:rsidR="00440325" w:rsidRPr="008267B5" w:rsidRDefault="00154CA5" w:rsidP="0006003D">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440325" w:rsidRPr="008267B5">
              <w:rPr>
                <w:rFonts w:ascii="Times New Roman" w:hAnsi="Times New Roman" w:cs="Times New Roman"/>
                <w:sz w:val="18"/>
                <w:szCs w:val="18"/>
              </w:rPr>
              <w:t>0.01</w:t>
            </w:r>
          </w:p>
        </w:tc>
      </w:tr>
      <w:tr w:rsidR="00440325" w:rsidRPr="008267B5" w14:paraId="4030D0BF" w14:textId="77777777" w:rsidTr="008267B5">
        <w:tc>
          <w:tcPr>
            <w:tcW w:w="1590" w:type="dxa"/>
            <w:tcBorders>
              <w:top w:val="nil"/>
              <w:left w:val="nil"/>
              <w:bottom w:val="nil"/>
              <w:right w:val="nil"/>
            </w:tcBorders>
          </w:tcPr>
          <w:p w14:paraId="7076D1E0"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nil"/>
              <w:left w:val="nil"/>
              <w:bottom w:val="nil"/>
              <w:right w:val="nil"/>
            </w:tcBorders>
          </w:tcPr>
          <w:p w14:paraId="195E737E" w14:textId="0F975E1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578158A7" w14:textId="3D0162D6"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1832DB22" w14:textId="79397458"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720D605F" w14:textId="2C31548C"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0636FF1F" w14:textId="7B854D02"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c>
          <w:tcPr>
            <w:tcW w:w="1247" w:type="dxa"/>
            <w:tcBorders>
              <w:top w:val="nil"/>
              <w:left w:val="nil"/>
              <w:bottom w:val="nil"/>
              <w:right w:val="nil"/>
            </w:tcBorders>
          </w:tcPr>
          <w:p w14:paraId="06E5FD3D" w14:textId="43E830E0"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(0.02)</w:t>
            </w:r>
          </w:p>
        </w:tc>
      </w:tr>
      <w:tr w:rsidR="00440325" w:rsidRPr="008267B5" w14:paraId="01F49626" w14:textId="77777777" w:rsidTr="008267B5">
        <w:tc>
          <w:tcPr>
            <w:tcW w:w="1590" w:type="dxa"/>
            <w:tcBorders>
              <w:top w:val="nil"/>
              <w:left w:val="nil"/>
              <w:bottom w:val="nil"/>
              <w:right w:val="nil"/>
            </w:tcBorders>
          </w:tcPr>
          <w:p w14:paraId="69C1AA4A" w14:textId="7ACBF6EE" w:rsidR="00440325" w:rsidRPr="008267B5" w:rsidRDefault="00440325" w:rsidP="0006003D">
            <w:pPr>
              <w:widowControl w:val="0"/>
              <w:autoSpaceDE w:val="0"/>
              <w:autoSpaceDN w:val="0"/>
              <w:adjustRightInd w:val="0"/>
              <w:rPr>
                <w:rFonts w:ascii="Times New Roman" w:hAnsi="Times New Roman" w:cs="Times New Roman"/>
                <w:sz w:val="18"/>
                <w:szCs w:val="18"/>
              </w:rPr>
            </w:pPr>
            <w:r w:rsidRPr="008267B5">
              <w:rPr>
                <w:rFonts w:ascii="Times New Roman" w:eastAsia="Arial" w:hAnsi="Times New Roman" w:cs="Times New Roman"/>
                <w:sz w:val="18"/>
                <w:szCs w:val="18"/>
              </w:rPr>
              <w:t>Constant</w:t>
            </w:r>
          </w:p>
        </w:tc>
        <w:tc>
          <w:tcPr>
            <w:tcW w:w="1247" w:type="dxa"/>
            <w:tcBorders>
              <w:top w:val="nil"/>
              <w:left w:val="nil"/>
              <w:bottom w:val="nil"/>
              <w:right w:val="nil"/>
            </w:tcBorders>
          </w:tcPr>
          <w:p w14:paraId="45AED68A"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5F69370F"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62722CDD"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51300223"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39CEC91D"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nil"/>
              <w:right w:val="nil"/>
            </w:tcBorders>
          </w:tcPr>
          <w:p w14:paraId="4D06338D"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r>
      <w:tr w:rsidR="00440325" w:rsidRPr="008267B5" w14:paraId="7200DE94" w14:textId="77777777" w:rsidTr="008267B5">
        <w:tc>
          <w:tcPr>
            <w:tcW w:w="1590" w:type="dxa"/>
            <w:tcBorders>
              <w:top w:val="nil"/>
              <w:left w:val="nil"/>
              <w:bottom w:val="single" w:sz="4" w:space="0" w:color="auto"/>
              <w:right w:val="nil"/>
            </w:tcBorders>
          </w:tcPr>
          <w:p w14:paraId="1F30CED4"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p>
        </w:tc>
        <w:tc>
          <w:tcPr>
            <w:tcW w:w="1247" w:type="dxa"/>
            <w:tcBorders>
              <w:top w:val="nil"/>
              <w:left w:val="nil"/>
              <w:bottom w:val="single" w:sz="4" w:space="0" w:color="auto"/>
              <w:right w:val="nil"/>
            </w:tcBorders>
          </w:tcPr>
          <w:p w14:paraId="2E7B5623"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single" w:sz="4" w:space="0" w:color="auto"/>
              <w:right w:val="nil"/>
            </w:tcBorders>
          </w:tcPr>
          <w:p w14:paraId="4CA45342"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single" w:sz="4" w:space="0" w:color="auto"/>
              <w:right w:val="nil"/>
            </w:tcBorders>
          </w:tcPr>
          <w:p w14:paraId="571ADCF2"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single" w:sz="4" w:space="0" w:color="auto"/>
              <w:right w:val="nil"/>
            </w:tcBorders>
          </w:tcPr>
          <w:p w14:paraId="3C9B252D"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single" w:sz="4" w:space="0" w:color="auto"/>
              <w:right w:val="nil"/>
            </w:tcBorders>
          </w:tcPr>
          <w:p w14:paraId="26EE1374"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c>
          <w:tcPr>
            <w:tcW w:w="1247" w:type="dxa"/>
            <w:tcBorders>
              <w:top w:val="nil"/>
              <w:left w:val="nil"/>
              <w:bottom w:val="single" w:sz="4" w:space="0" w:color="auto"/>
              <w:right w:val="nil"/>
            </w:tcBorders>
          </w:tcPr>
          <w:p w14:paraId="166D1665"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(0.00)</w:t>
            </w:r>
          </w:p>
        </w:tc>
      </w:tr>
      <w:tr w:rsidR="00440325" w:rsidRPr="008267B5" w14:paraId="010FE165" w14:textId="77777777" w:rsidTr="008267B5">
        <w:tc>
          <w:tcPr>
            <w:tcW w:w="1590" w:type="dxa"/>
            <w:tcBorders>
              <w:top w:val="single" w:sz="4" w:space="0" w:color="auto"/>
              <w:left w:val="nil"/>
              <w:bottom w:val="nil"/>
              <w:right w:val="nil"/>
            </w:tcBorders>
          </w:tcPr>
          <w:p w14:paraId="2667D552" w14:textId="77777777" w:rsidR="00440325" w:rsidRPr="008267B5" w:rsidRDefault="00440325" w:rsidP="0006003D">
            <w:pPr>
              <w:widowControl w:val="0"/>
              <w:autoSpaceDE w:val="0"/>
              <w:autoSpaceDN w:val="0"/>
              <w:adjustRightInd w:val="0"/>
              <w:rPr>
                <w:rFonts w:ascii="Times New Roman" w:hAnsi="Times New Roman" w:cs="Times New Roman"/>
                <w:sz w:val="18"/>
                <w:szCs w:val="18"/>
              </w:rPr>
            </w:pPr>
            <w:r w:rsidRPr="008267B5">
              <w:rPr>
                <w:rFonts w:ascii="Times New Roman" w:hAnsi="Times New Roman" w:cs="Times New Roman"/>
                <w:sz w:val="18"/>
                <w:szCs w:val="18"/>
              </w:rPr>
              <w:t>N</w:t>
            </w:r>
          </w:p>
        </w:tc>
        <w:tc>
          <w:tcPr>
            <w:tcW w:w="1247" w:type="dxa"/>
            <w:tcBorders>
              <w:top w:val="single" w:sz="4" w:space="0" w:color="auto"/>
              <w:left w:val="nil"/>
              <w:bottom w:val="nil"/>
              <w:right w:val="nil"/>
            </w:tcBorders>
          </w:tcPr>
          <w:p w14:paraId="786F6082" w14:textId="5658FF80"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430</w:t>
            </w:r>
          </w:p>
        </w:tc>
        <w:tc>
          <w:tcPr>
            <w:tcW w:w="1247" w:type="dxa"/>
            <w:tcBorders>
              <w:top w:val="single" w:sz="4" w:space="0" w:color="auto"/>
              <w:left w:val="nil"/>
              <w:bottom w:val="nil"/>
              <w:right w:val="nil"/>
            </w:tcBorders>
          </w:tcPr>
          <w:p w14:paraId="63D6647E" w14:textId="4E0BA760"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429</w:t>
            </w:r>
          </w:p>
        </w:tc>
        <w:tc>
          <w:tcPr>
            <w:tcW w:w="1247" w:type="dxa"/>
            <w:tcBorders>
              <w:top w:val="single" w:sz="4" w:space="0" w:color="auto"/>
              <w:left w:val="nil"/>
              <w:bottom w:val="nil"/>
              <w:right w:val="nil"/>
            </w:tcBorders>
          </w:tcPr>
          <w:p w14:paraId="32DA2CFC" w14:textId="160EF70F"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430</w:t>
            </w:r>
          </w:p>
        </w:tc>
        <w:tc>
          <w:tcPr>
            <w:tcW w:w="1247" w:type="dxa"/>
            <w:tcBorders>
              <w:top w:val="single" w:sz="4" w:space="0" w:color="auto"/>
              <w:left w:val="nil"/>
              <w:bottom w:val="nil"/>
              <w:right w:val="nil"/>
            </w:tcBorders>
          </w:tcPr>
          <w:p w14:paraId="76FC9902" w14:textId="3DC03962"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429</w:t>
            </w:r>
          </w:p>
        </w:tc>
        <w:tc>
          <w:tcPr>
            <w:tcW w:w="1247" w:type="dxa"/>
            <w:tcBorders>
              <w:top w:val="single" w:sz="4" w:space="0" w:color="auto"/>
              <w:left w:val="nil"/>
              <w:bottom w:val="nil"/>
              <w:right w:val="nil"/>
            </w:tcBorders>
          </w:tcPr>
          <w:p w14:paraId="5386DD48" w14:textId="613B9ED6"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429</w:t>
            </w:r>
          </w:p>
        </w:tc>
        <w:tc>
          <w:tcPr>
            <w:tcW w:w="1247" w:type="dxa"/>
            <w:tcBorders>
              <w:top w:val="single" w:sz="4" w:space="0" w:color="auto"/>
              <w:left w:val="nil"/>
              <w:bottom w:val="nil"/>
              <w:right w:val="nil"/>
            </w:tcBorders>
          </w:tcPr>
          <w:p w14:paraId="77E40139" w14:textId="571675FC"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428</w:t>
            </w:r>
          </w:p>
        </w:tc>
      </w:tr>
      <w:tr w:rsidR="00440325" w:rsidRPr="008267B5" w14:paraId="59451A62" w14:textId="77777777" w:rsidTr="008267B5">
        <w:tc>
          <w:tcPr>
            <w:tcW w:w="1590" w:type="dxa"/>
            <w:tcBorders>
              <w:top w:val="nil"/>
              <w:left w:val="nil"/>
              <w:bottom w:val="single" w:sz="4" w:space="0" w:color="auto"/>
              <w:right w:val="nil"/>
            </w:tcBorders>
          </w:tcPr>
          <w:p w14:paraId="59469291" w14:textId="65C93294" w:rsidR="00440325" w:rsidRPr="008267B5" w:rsidRDefault="003D07EB" w:rsidP="0006003D">
            <w:pPr>
              <w:widowControl w:val="0"/>
              <w:autoSpaceDE w:val="0"/>
              <w:autoSpaceDN w:val="0"/>
              <w:adjustRightInd w:val="0"/>
              <w:rPr>
                <w:rFonts w:ascii="Times New Roman" w:hAnsi="Times New Roman" w:cs="Times New Roman"/>
                <w:sz w:val="18"/>
                <w:szCs w:val="18"/>
              </w:rPr>
            </w:pPr>
            <w:r w:rsidRPr="008267B5">
              <w:rPr>
                <w:rFonts w:ascii="Times New Roman" w:eastAsia="Arial" w:hAnsi="Times New Roman" w:cs="Times New Roman"/>
                <w:i/>
                <w:spacing w:val="3"/>
                <w:sz w:val="18"/>
                <w:szCs w:val="18"/>
              </w:rPr>
              <w:t>R</w:t>
            </w:r>
            <w:r w:rsidRPr="008267B5">
              <w:rPr>
                <w:rFonts w:ascii="Times New Roman" w:eastAsia="Arial" w:hAnsi="Times New Roman" w:cs="Times New Roman"/>
                <w:position w:val="8"/>
                <w:sz w:val="18"/>
                <w:szCs w:val="18"/>
              </w:rPr>
              <w:t>2</w:t>
            </w:r>
          </w:p>
        </w:tc>
        <w:tc>
          <w:tcPr>
            <w:tcW w:w="1247" w:type="dxa"/>
            <w:tcBorders>
              <w:top w:val="nil"/>
              <w:left w:val="nil"/>
              <w:bottom w:val="single" w:sz="4" w:space="0" w:color="auto"/>
              <w:right w:val="nil"/>
            </w:tcBorders>
          </w:tcPr>
          <w:p w14:paraId="0371AB55"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0.30</w:t>
            </w:r>
          </w:p>
        </w:tc>
        <w:tc>
          <w:tcPr>
            <w:tcW w:w="1247" w:type="dxa"/>
            <w:tcBorders>
              <w:top w:val="nil"/>
              <w:left w:val="nil"/>
              <w:bottom w:val="single" w:sz="4" w:space="0" w:color="auto"/>
              <w:right w:val="nil"/>
            </w:tcBorders>
          </w:tcPr>
          <w:p w14:paraId="3AC694FA"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0.26</w:t>
            </w:r>
          </w:p>
        </w:tc>
        <w:tc>
          <w:tcPr>
            <w:tcW w:w="1247" w:type="dxa"/>
            <w:tcBorders>
              <w:top w:val="nil"/>
              <w:left w:val="nil"/>
              <w:bottom w:val="single" w:sz="4" w:space="0" w:color="auto"/>
              <w:right w:val="nil"/>
            </w:tcBorders>
          </w:tcPr>
          <w:p w14:paraId="6F4DFE07"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0.23</w:t>
            </w:r>
          </w:p>
        </w:tc>
        <w:tc>
          <w:tcPr>
            <w:tcW w:w="1247" w:type="dxa"/>
            <w:tcBorders>
              <w:top w:val="nil"/>
              <w:left w:val="nil"/>
              <w:bottom w:val="single" w:sz="4" w:space="0" w:color="auto"/>
              <w:right w:val="nil"/>
            </w:tcBorders>
          </w:tcPr>
          <w:p w14:paraId="1E175020"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0.24</w:t>
            </w:r>
          </w:p>
        </w:tc>
        <w:tc>
          <w:tcPr>
            <w:tcW w:w="1247" w:type="dxa"/>
            <w:tcBorders>
              <w:top w:val="nil"/>
              <w:left w:val="nil"/>
              <w:bottom w:val="single" w:sz="4" w:space="0" w:color="auto"/>
              <w:right w:val="nil"/>
            </w:tcBorders>
          </w:tcPr>
          <w:p w14:paraId="7F699F95"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0.27</w:t>
            </w:r>
          </w:p>
        </w:tc>
        <w:tc>
          <w:tcPr>
            <w:tcW w:w="1247" w:type="dxa"/>
            <w:tcBorders>
              <w:top w:val="nil"/>
              <w:left w:val="nil"/>
              <w:bottom w:val="single" w:sz="4" w:space="0" w:color="auto"/>
              <w:right w:val="nil"/>
            </w:tcBorders>
          </w:tcPr>
          <w:p w14:paraId="121C0DAB" w14:textId="77777777" w:rsidR="00440325" w:rsidRPr="008267B5" w:rsidRDefault="00440325" w:rsidP="0006003D">
            <w:pPr>
              <w:widowControl w:val="0"/>
              <w:autoSpaceDE w:val="0"/>
              <w:autoSpaceDN w:val="0"/>
              <w:adjustRightInd w:val="0"/>
              <w:jc w:val="center"/>
              <w:rPr>
                <w:rFonts w:ascii="Times New Roman" w:hAnsi="Times New Roman" w:cs="Times New Roman"/>
                <w:sz w:val="18"/>
                <w:szCs w:val="18"/>
              </w:rPr>
            </w:pPr>
            <w:r w:rsidRPr="008267B5">
              <w:rPr>
                <w:rFonts w:ascii="Times New Roman" w:hAnsi="Times New Roman" w:cs="Times New Roman"/>
                <w:sz w:val="18"/>
                <w:szCs w:val="18"/>
              </w:rPr>
              <w:t>0.07</w:t>
            </w:r>
          </w:p>
        </w:tc>
      </w:tr>
    </w:tbl>
    <w:p w14:paraId="6F26825E" w14:textId="77777777" w:rsidR="00985551" w:rsidRPr="002227B1" w:rsidRDefault="00985551" w:rsidP="00985551">
      <w:pPr>
        <w:ind w:left="-1440" w:right="-1490"/>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 </w:t>
      </w:r>
      <w:r w:rsidRPr="002227B1">
        <w:rPr>
          <w:rFonts w:ascii="Times New Roman" w:eastAsia="Arial" w:hAnsi="Times New Roman" w:cs="Times New Roman"/>
          <w:sz w:val="18"/>
          <w:szCs w:val="18"/>
        </w:rPr>
        <w:t>Significant at the 10 percent level</w:t>
      </w:r>
      <w:r w:rsidRPr="002227B1">
        <w:rPr>
          <w:rFonts w:ascii="Times New Roman" w:eastAsia="Arial" w:hAnsi="Times New Roman" w:cs="Times New Roman"/>
          <w:i/>
          <w:sz w:val="18"/>
          <w:szCs w:val="18"/>
        </w:rPr>
        <w:t>.</w:t>
      </w:r>
    </w:p>
    <w:p w14:paraId="3364305C" w14:textId="77777777" w:rsidR="00985551" w:rsidRPr="002227B1" w:rsidRDefault="00985551" w:rsidP="00985551">
      <w:pPr>
        <w:ind w:left="-1440" w:right="-1490"/>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w:t>
      </w:r>
      <w:r w:rsidRPr="002227B1">
        <w:rPr>
          <w:rFonts w:ascii="Times New Roman" w:eastAsia="Arial" w:hAnsi="Times New Roman" w:cs="Times New Roman"/>
          <w:sz w:val="18"/>
          <w:szCs w:val="18"/>
        </w:rPr>
        <w:t>Significant at the 5 percent level</w:t>
      </w:r>
      <w:r w:rsidRPr="002227B1">
        <w:rPr>
          <w:rFonts w:ascii="Times New Roman" w:eastAsia="Arial" w:hAnsi="Times New Roman" w:cs="Times New Roman"/>
          <w:i/>
          <w:sz w:val="18"/>
          <w:szCs w:val="18"/>
        </w:rPr>
        <w:t>.</w:t>
      </w:r>
    </w:p>
    <w:p w14:paraId="259FF597" w14:textId="77777777" w:rsidR="00985551" w:rsidRPr="002227B1" w:rsidRDefault="00985551" w:rsidP="00985551">
      <w:pPr>
        <w:ind w:left="-1440" w:right="-1490"/>
        <w:jc w:val="both"/>
        <w:rPr>
          <w:rFonts w:ascii="Times New Roman" w:eastAsia="Arial" w:hAnsi="Times New Roman" w:cs="Times New Roman"/>
          <w:i/>
          <w:sz w:val="18"/>
          <w:szCs w:val="18"/>
        </w:rPr>
      </w:pPr>
      <w:r w:rsidRPr="002227B1">
        <w:rPr>
          <w:rFonts w:ascii="Times New Roman" w:eastAsia="Arial" w:hAnsi="Times New Roman" w:cs="Times New Roman"/>
          <w:i/>
          <w:sz w:val="18"/>
          <w:szCs w:val="18"/>
        </w:rPr>
        <w:t xml:space="preserve">*** = </w:t>
      </w:r>
      <w:r w:rsidRPr="002227B1">
        <w:rPr>
          <w:rFonts w:ascii="Times New Roman" w:eastAsia="Arial" w:hAnsi="Times New Roman" w:cs="Times New Roman"/>
          <w:sz w:val="18"/>
          <w:szCs w:val="18"/>
        </w:rPr>
        <w:t>Significant at the 1 percent level</w:t>
      </w:r>
      <w:r w:rsidRPr="002227B1">
        <w:rPr>
          <w:rFonts w:ascii="Times New Roman" w:eastAsia="Arial" w:hAnsi="Times New Roman" w:cs="Times New Roman"/>
          <w:i/>
          <w:sz w:val="18"/>
          <w:szCs w:val="18"/>
        </w:rPr>
        <w:t>.</w:t>
      </w:r>
    </w:p>
    <w:p w14:paraId="049D763B" w14:textId="6272627B" w:rsidR="00985551" w:rsidRDefault="00985551" w:rsidP="00985551">
      <w:pPr>
        <w:pStyle w:val="FootnoteText"/>
        <w:ind w:left="-1440" w:right="-1490"/>
        <w:jc w:val="both"/>
        <w:rPr>
          <w:rFonts w:ascii="Times New Roman" w:eastAsia="Arial" w:hAnsi="Times New Roman" w:cs="Times New Roman"/>
          <w:sz w:val="18"/>
          <w:szCs w:val="18"/>
        </w:rPr>
      </w:pPr>
      <w:r w:rsidRPr="002227B1">
        <w:rPr>
          <w:rFonts w:ascii="Times New Roman" w:eastAsia="Arial" w:hAnsi="Times New Roman" w:cs="Times New Roman"/>
          <w:i/>
          <w:sz w:val="18"/>
          <w:szCs w:val="18"/>
        </w:rPr>
        <w:t>Notes</w:t>
      </w:r>
      <w:r w:rsidRPr="002227B1">
        <w:rPr>
          <w:rFonts w:ascii="Times New Roman" w:eastAsia="Arial" w:hAnsi="Times New Roman" w:cs="Times New Roman"/>
          <w:sz w:val="18"/>
          <w:szCs w:val="18"/>
        </w:rPr>
        <w:t xml:space="preserve">: This table shows results of a time-series OLS regression of average returns on </w:t>
      </w:r>
      <w:r>
        <w:rPr>
          <w:rFonts w:ascii="Times New Roman" w:eastAsia="Arial" w:hAnsi="Times New Roman" w:cs="Times New Roman"/>
          <w:sz w:val="18"/>
          <w:szCs w:val="18"/>
        </w:rPr>
        <w:t>five</w:t>
      </w:r>
      <w:r w:rsidRPr="002227B1">
        <w:rPr>
          <w:rFonts w:ascii="Times New Roman" w:eastAsia="Arial" w:hAnsi="Times New Roman" w:cs="Times New Roman"/>
          <w:sz w:val="18"/>
          <w:szCs w:val="18"/>
        </w:rPr>
        <w:t xml:space="preserve"> portfolios of colonial bonds against </w:t>
      </w:r>
      <w:r>
        <w:rPr>
          <w:rFonts w:ascii="Times New Roman" w:eastAsia="Arial" w:hAnsi="Times New Roman" w:cs="Times New Roman"/>
          <w:sz w:val="18"/>
          <w:szCs w:val="18"/>
        </w:rPr>
        <w:t>six</w:t>
      </w:r>
      <w:r w:rsidRPr="002227B1">
        <w:rPr>
          <w:rFonts w:ascii="Times New Roman" w:eastAsia="Arial" w:hAnsi="Times New Roman" w:cs="Times New Roman"/>
          <w:sz w:val="18"/>
          <w:szCs w:val="18"/>
        </w:rPr>
        <w:t xml:space="preserve"> aggregate risk factors. Returns are measured in excess of the return on the one-month Bill rate. Portfolios are assembled at the beginning of each year by sorting bonds into </w:t>
      </w:r>
      <w:r>
        <w:rPr>
          <w:rFonts w:ascii="Times New Roman" w:eastAsia="Arial" w:hAnsi="Times New Roman" w:cs="Times New Roman"/>
          <w:sz w:val="18"/>
          <w:szCs w:val="18"/>
        </w:rPr>
        <w:t>five</w:t>
      </w:r>
      <w:r w:rsidRPr="002227B1">
        <w:rPr>
          <w:rFonts w:ascii="Times New Roman" w:eastAsia="Arial" w:hAnsi="Times New Roman" w:cs="Times New Roman"/>
          <w:sz w:val="18"/>
          <w:szCs w:val="18"/>
        </w:rPr>
        <w:t xml:space="preserve"> groups depending on their bid-ask spread. </w:t>
      </w:r>
      <w:r w:rsidRPr="002227B1">
        <w:rPr>
          <w:rFonts w:ascii="Times New Roman" w:eastAsia="Arial" w:hAnsi="Times New Roman" w:cs="Times New Roman"/>
          <w:i/>
          <w:sz w:val="18"/>
          <w:szCs w:val="18"/>
        </w:rPr>
        <w:t>IML</w:t>
      </w:r>
      <w:r w:rsidRPr="002227B1">
        <w:rPr>
          <w:rFonts w:ascii="Times New Roman" w:eastAsia="Arial" w:hAnsi="Times New Roman" w:cs="Times New Roman"/>
          <w:sz w:val="18"/>
          <w:szCs w:val="18"/>
        </w:rPr>
        <w:t xml:space="preserve"> is the return on an investment long in the </w:t>
      </w:r>
      <w:r w:rsidRPr="002227B1">
        <w:rPr>
          <w:rFonts w:ascii="Times New Roman" w:eastAsia="Arial" w:hAnsi="Times New Roman" w:cs="Times New Roman"/>
          <w:i/>
          <w:sz w:val="18"/>
          <w:szCs w:val="18"/>
        </w:rPr>
        <w:t>Illiquid</w:t>
      </w:r>
      <w:r w:rsidRPr="002227B1">
        <w:rPr>
          <w:rFonts w:ascii="Times New Roman" w:eastAsia="Arial" w:hAnsi="Times New Roman" w:cs="Times New Roman"/>
          <w:sz w:val="18"/>
          <w:szCs w:val="18"/>
        </w:rPr>
        <w:t xml:space="preserve"> portfolio and short in the </w:t>
      </w:r>
      <w:r w:rsidRPr="002227B1">
        <w:rPr>
          <w:rFonts w:ascii="Times New Roman" w:eastAsia="Arial" w:hAnsi="Times New Roman" w:cs="Times New Roman"/>
          <w:i/>
          <w:sz w:val="18"/>
          <w:szCs w:val="18"/>
        </w:rPr>
        <w:t>Liquid</w:t>
      </w:r>
      <w:r w:rsidRPr="002227B1">
        <w:rPr>
          <w:rFonts w:ascii="Times New Roman" w:eastAsia="Arial" w:hAnsi="Times New Roman" w:cs="Times New Roman"/>
          <w:sz w:val="18"/>
          <w:szCs w:val="18"/>
        </w:rPr>
        <w:t xml:space="preserve"> portfolio. </w:t>
      </w:r>
      <w:r w:rsidR="009337DB">
        <w:rPr>
          <w:rFonts w:ascii="Times New Roman" w:eastAsia="Arial" w:hAnsi="Times New Roman" w:cs="Times New Roman"/>
          <w:i/>
          <w:sz w:val="18"/>
          <w:szCs w:val="18"/>
        </w:rPr>
        <w:t>Liquidity (P</w:t>
      </w:r>
      <w:r w:rsidRPr="002227B1">
        <w:rPr>
          <w:rFonts w:ascii="Times New Roman" w:eastAsia="Arial" w:hAnsi="Times New Roman" w:cs="Times New Roman"/>
          <w:i/>
          <w:sz w:val="18"/>
          <w:szCs w:val="18"/>
        </w:rPr>
        <w:t>ooled)</w:t>
      </w:r>
      <w:r w:rsidRPr="002227B1">
        <w:rPr>
          <w:rFonts w:ascii="Times New Roman" w:eastAsia="Arial" w:hAnsi="Times New Roman" w:cs="Times New Roman"/>
          <w:sz w:val="18"/>
          <w:szCs w:val="18"/>
        </w:rPr>
        <w:t xml:space="preserve"> is the residual from an </w:t>
      </w:r>
      <w:proofErr w:type="gramStart"/>
      <w:r w:rsidRPr="002227B1">
        <w:rPr>
          <w:rFonts w:ascii="Times New Roman" w:eastAsia="Arial" w:hAnsi="Times New Roman" w:cs="Times New Roman"/>
          <w:sz w:val="18"/>
          <w:szCs w:val="18"/>
        </w:rPr>
        <w:t>AR(</w:t>
      </w:r>
      <w:proofErr w:type="gramEnd"/>
      <w:r w:rsidRPr="002227B1">
        <w:rPr>
          <w:rFonts w:ascii="Times New Roman" w:eastAsia="Arial" w:hAnsi="Times New Roman" w:cs="Times New Roman"/>
          <w:sz w:val="18"/>
          <w:szCs w:val="18"/>
        </w:rPr>
        <w:t>2) model of the average bid-ask spread in sovereign and colonial bonds.</w:t>
      </w:r>
      <w:r>
        <w:rPr>
          <w:rFonts w:ascii="Times New Roman" w:eastAsia="Arial" w:hAnsi="Times New Roman" w:cs="Times New Roman"/>
          <w:sz w:val="18"/>
          <w:szCs w:val="18"/>
        </w:rPr>
        <w:t xml:space="preserve"> </w:t>
      </w:r>
      <w:r w:rsidRPr="002227B1">
        <w:rPr>
          <w:rFonts w:ascii="Times New Roman" w:eastAsia="Arial" w:hAnsi="Times New Roman" w:cs="Times New Roman"/>
          <w:i/>
          <w:sz w:val="18"/>
          <w:szCs w:val="18"/>
        </w:rPr>
        <w:t>Liquidity (</w:t>
      </w:r>
      <w:r w:rsidR="009337DB">
        <w:rPr>
          <w:rFonts w:ascii="Times New Roman" w:eastAsia="Arial" w:hAnsi="Times New Roman" w:cs="Times New Roman"/>
          <w:i/>
          <w:sz w:val="18"/>
          <w:szCs w:val="18"/>
        </w:rPr>
        <w:t>C</w:t>
      </w:r>
      <w:r>
        <w:rPr>
          <w:rFonts w:ascii="Times New Roman" w:eastAsia="Arial" w:hAnsi="Times New Roman" w:cs="Times New Roman"/>
          <w:i/>
          <w:sz w:val="18"/>
          <w:szCs w:val="18"/>
        </w:rPr>
        <w:t>olonial</w:t>
      </w:r>
      <w:r w:rsidRPr="002227B1">
        <w:rPr>
          <w:rFonts w:ascii="Times New Roman" w:eastAsia="Arial" w:hAnsi="Times New Roman" w:cs="Times New Roman"/>
          <w:i/>
          <w:sz w:val="18"/>
          <w:szCs w:val="18"/>
        </w:rPr>
        <w:t>)</w:t>
      </w:r>
      <w:r w:rsidRPr="002227B1">
        <w:rPr>
          <w:rFonts w:ascii="Times New Roman" w:eastAsia="Arial" w:hAnsi="Times New Roman" w:cs="Times New Roman"/>
          <w:sz w:val="18"/>
          <w:szCs w:val="18"/>
        </w:rPr>
        <w:t xml:space="preserve"> is the residual from an </w:t>
      </w:r>
      <w:proofErr w:type="gramStart"/>
      <w:r w:rsidRPr="002227B1">
        <w:rPr>
          <w:rFonts w:ascii="Times New Roman" w:eastAsia="Arial" w:hAnsi="Times New Roman" w:cs="Times New Roman"/>
          <w:sz w:val="18"/>
          <w:szCs w:val="18"/>
        </w:rPr>
        <w:t>AR(</w:t>
      </w:r>
      <w:proofErr w:type="gramEnd"/>
      <w:r w:rsidRPr="002227B1">
        <w:rPr>
          <w:rFonts w:ascii="Times New Roman" w:eastAsia="Arial" w:hAnsi="Times New Roman" w:cs="Times New Roman"/>
          <w:sz w:val="18"/>
          <w:szCs w:val="18"/>
        </w:rPr>
        <w:t xml:space="preserve">2) model of the average bid-ask spread in colonial bonds. </w:t>
      </w:r>
      <w:r w:rsidRPr="002227B1">
        <w:rPr>
          <w:rFonts w:ascii="Times New Roman" w:eastAsia="Arial" w:hAnsi="Times New Roman" w:cs="Times New Roman"/>
          <w:i/>
          <w:sz w:val="18"/>
          <w:szCs w:val="18"/>
        </w:rPr>
        <w:t>Default (Export)</w:t>
      </w:r>
      <w:r w:rsidRPr="002227B1">
        <w:rPr>
          <w:rFonts w:ascii="Times New Roman" w:eastAsia="Arial" w:hAnsi="Times New Roman" w:cs="Times New Roman"/>
          <w:sz w:val="18"/>
          <w:szCs w:val="18"/>
        </w:rPr>
        <w:t xml:space="preserve"> and </w:t>
      </w:r>
      <w:r w:rsidRPr="002227B1">
        <w:rPr>
          <w:rFonts w:ascii="Times New Roman" w:eastAsia="Arial" w:hAnsi="Times New Roman" w:cs="Times New Roman"/>
          <w:i/>
          <w:sz w:val="18"/>
          <w:szCs w:val="18"/>
        </w:rPr>
        <w:t>Default (Deficit)</w:t>
      </w:r>
      <w:r w:rsidRPr="002227B1">
        <w:rPr>
          <w:rFonts w:ascii="Times New Roman" w:eastAsia="Arial" w:hAnsi="Times New Roman" w:cs="Times New Roman"/>
          <w:sz w:val="18"/>
          <w:szCs w:val="18"/>
        </w:rPr>
        <w:t xml:space="preserve"> correspond to the return differential between portfolios of most and least credit worthy issuers ranked in three groups using the export-to-GDP and deficit-to-GDP ratio, respectively. </w:t>
      </w:r>
      <w:r w:rsidRPr="002227B1">
        <w:rPr>
          <w:rFonts w:ascii="Times New Roman" w:eastAsia="Arial" w:hAnsi="Times New Roman" w:cs="Times New Roman"/>
          <w:i/>
          <w:sz w:val="18"/>
          <w:szCs w:val="18"/>
        </w:rPr>
        <w:t>Term</w:t>
      </w:r>
      <w:r w:rsidRPr="002227B1">
        <w:rPr>
          <w:rFonts w:ascii="Times New Roman" w:eastAsia="Arial" w:hAnsi="Times New Roman" w:cs="Times New Roman"/>
          <w:sz w:val="18"/>
          <w:szCs w:val="18"/>
        </w:rPr>
        <w:t xml:space="preserve"> corresponds to the return differential between British </w:t>
      </w:r>
      <w:proofErr w:type="spellStart"/>
      <w:r w:rsidRPr="002227B1">
        <w:rPr>
          <w:rFonts w:ascii="Times New Roman" w:eastAsia="Arial" w:hAnsi="Times New Roman" w:cs="Times New Roman"/>
          <w:sz w:val="18"/>
          <w:szCs w:val="18"/>
        </w:rPr>
        <w:t>Consols</w:t>
      </w:r>
      <w:proofErr w:type="spellEnd"/>
      <w:r w:rsidRPr="002227B1">
        <w:rPr>
          <w:rFonts w:ascii="Times New Roman" w:eastAsia="Arial" w:hAnsi="Times New Roman" w:cs="Times New Roman"/>
          <w:sz w:val="18"/>
          <w:szCs w:val="18"/>
        </w:rPr>
        <w:t xml:space="preserve"> and the bills rate. </w:t>
      </w:r>
      <w:r w:rsidRPr="002227B1">
        <w:rPr>
          <w:rFonts w:ascii="Times New Roman" w:eastAsia="Arial" w:hAnsi="Times New Roman" w:cs="Times New Roman"/>
          <w:i/>
          <w:sz w:val="18"/>
          <w:szCs w:val="18"/>
        </w:rPr>
        <w:t>Market</w:t>
      </w:r>
      <w:r w:rsidRPr="002227B1">
        <w:rPr>
          <w:rFonts w:ascii="Times New Roman" w:eastAsia="Arial" w:hAnsi="Times New Roman" w:cs="Times New Roman"/>
          <w:sz w:val="18"/>
          <w:szCs w:val="18"/>
        </w:rPr>
        <w:t xml:space="preserve"> corresponds to average stock market return (from </w:t>
      </w:r>
      <w:proofErr w:type="spellStart"/>
      <w:r w:rsidRPr="002227B1">
        <w:rPr>
          <w:rFonts w:ascii="Times New Roman" w:eastAsia="Arial" w:hAnsi="Times New Roman" w:cs="Times New Roman"/>
          <w:sz w:val="18"/>
          <w:szCs w:val="18"/>
        </w:rPr>
        <w:t>Alquist</w:t>
      </w:r>
      <w:proofErr w:type="spellEnd"/>
      <w:r w:rsidRPr="002227B1">
        <w:rPr>
          <w:rFonts w:ascii="Times New Roman" w:eastAsia="Arial" w:hAnsi="Times New Roman" w:cs="Times New Roman"/>
          <w:sz w:val="18"/>
          <w:szCs w:val="18"/>
        </w:rPr>
        <w:t xml:space="preserve"> (2010)</w:t>
      </w:r>
      <w:proofErr w:type="gramStart"/>
      <w:r w:rsidRPr="002227B1">
        <w:rPr>
          <w:rFonts w:ascii="Times New Roman" w:eastAsia="Arial" w:hAnsi="Times New Roman" w:cs="Times New Roman"/>
          <w:sz w:val="18"/>
          <w:szCs w:val="18"/>
        </w:rPr>
        <w:t>)</w:t>
      </w:r>
      <w:r>
        <w:rPr>
          <w:rFonts w:ascii="Times New Roman" w:eastAsia="Arial" w:hAnsi="Times New Roman" w:cs="Times New Roman"/>
          <w:sz w:val="18"/>
          <w:szCs w:val="18"/>
        </w:rPr>
        <w:t xml:space="preserve"> </w:t>
      </w:r>
      <w:r w:rsidRPr="002227B1">
        <w:rPr>
          <w:rFonts w:ascii="Times New Roman" w:eastAsia="Arial" w:hAnsi="Times New Roman" w:cs="Times New Roman"/>
          <w:sz w:val="18"/>
          <w:szCs w:val="18"/>
        </w:rPr>
        <w:t>.</w:t>
      </w:r>
      <w:proofErr w:type="gramEnd"/>
      <w:r w:rsidRPr="009548F8">
        <w:rPr>
          <w:rFonts w:ascii="Times New Roman" w:eastAsia="Arial" w:hAnsi="Times New Roman" w:cs="Times New Roman"/>
          <w:sz w:val="18"/>
          <w:szCs w:val="18"/>
        </w:rPr>
        <w:t xml:space="preserve"> </w:t>
      </w:r>
    </w:p>
    <w:p w14:paraId="27CD56C7" w14:textId="77777777" w:rsidR="00985551" w:rsidRDefault="00985551" w:rsidP="00985551">
      <w:pPr>
        <w:pStyle w:val="FootnoteText"/>
        <w:ind w:left="-1440" w:right="-1490"/>
        <w:jc w:val="both"/>
        <w:rPr>
          <w:rFonts w:ascii="Times New Roman" w:eastAsia="Arial" w:hAnsi="Times New Roman" w:cs="Times New Roman"/>
          <w:sz w:val="18"/>
          <w:szCs w:val="18"/>
        </w:rPr>
      </w:pPr>
      <w:r w:rsidRPr="002777E6">
        <w:rPr>
          <w:rFonts w:ascii="Times New Roman" w:eastAsia="Arial" w:hAnsi="Times New Roman" w:cs="Times New Roman"/>
          <w:i/>
          <w:spacing w:val="-5"/>
          <w:sz w:val="18"/>
          <w:szCs w:val="18"/>
        </w:rPr>
        <w:t>Source</w:t>
      </w:r>
      <w:r w:rsidRPr="002777E6">
        <w:rPr>
          <w:rFonts w:ascii="Times New Roman" w:eastAsia="Arial" w:hAnsi="Times New Roman" w:cs="Times New Roman"/>
          <w:spacing w:val="-5"/>
          <w:sz w:val="18"/>
          <w:szCs w:val="18"/>
        </w:rPr>
        <w:t xml:space="preserve">: Author’s database as collected from the </w:t>
      </w:r>
      <w:r w:rsidRPr="002777E6">
        <w:rPr>
          <w:rFonts w:ascii="Times New Roman" w:eastAsia="Arial" w:hAnsi="Times New Roman" w:cs="Times New Roman"/>
          <w:i/>
          <w:spacing w:val="-5"/>
          <w:sz w:val="18"/>
          <w:szCs w:val="18"/>
        </w:rPr>
        <w:t>Official List</w:t>
      </w:r>
      <w:r w:rsidRPr="002777E6">
        <w:rPr>
          <w:rFonts w:ascii="Times New Roman" w:eastAsia="Arial" w:hAnsi="Times New Roman" w:cs="Times New Roman"/>
          <w:spacing w:val="-5"/>
          <w:sz w:val="18"/>
          <w:szCs w:val="18"/>
        </w:rPr>
        <w:t>.</w:t>
      </w:r>
    </w:p>
    <w:p w14:paraId="37976FE6" w14:textId="5AC8D780" w:rsidR="009E3FD9" w:rsidRPr="009548F8" w:rsidRDefault="009E3FD9" w:rsidP="00985551">
      <w:pPr>
        <w:ind w:left="-900"/>
        <w:rPr>
          <w:rFonts w:ascii="Times New Roman" w:hAnsi="Times New Roman" w:cs="Times New Roman"/>
          <w:sz w:val="18"/>
          <w:szCs w:val="18"/>
        </w:rPr>
      </w:pPr>
    </w:p>
    <w:sectPr w:rsidR="009E3FD9" w:rsidRPr="009548F8" w:rsidSect="0006003D">
      <w:pgSz w:w="11900" w:h="16840"/>
      <w:pgMar w:top="1786" w:right="2635" w:bottom="1555" w:left="2635" w:header="1786" w:footer="1195"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F05BE" w14:textId="77777777" w:rsidR="00B64F31" w:rsidRDefault="00B64F31" w:rsidP="003B3A50">
      <w:r>
        <w:separator/>
      </w:r>
    </w:p>
  </w:endnote>
  <w:endnote w:type="continuationSeparator" w:id="0">
    <w:p w14:paraId="63B1783A" w14:textId="77777777" w:rsidR="00B64F31" w:rsidRDefault="00B64F31" w:rsidP="003B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NewRomanPS-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DCDC" w14:textId="77777777" w:rsidR="00923BA2" w:rsidRPr="009A045F" w:rsidRDefault="00923BA2" w:rsidP="009548F8">
    <w:pPr>
      <w:pStyle w:val="Footer"/>
      <w:framePr w:wrap="none" w:vAnchor="text" w:hAnchor="margin" w:xAlign="center" w:y="1"/>
      <w:rPr>
        <w:rStyle w:val="PageNumber"/>
        <w:rFonts w:ascii="Times New Roman" w:hAnsi="Times New Roman" w:cs="Times New Roman"/>
        <w:sz w:val="24"/>
        <w:szCs w:val="24"/>
      </w:rPr>
    </w:pPr>
    <w:r w:rsidRPr="009A045F">
      <w:rPr>
        <w:rStyle w:val="PageNumber"/>
        <w:rFonts w:ascii="Times New Roman" w:hAnsi="Times New Roman" w:cs="Times New Roman"/>
        <w:sz w:val="24"/>
        <w:szCs w:val="24"/>
      </w:rPr>
      <w:fldChar w:fldCharType="begin"/>
    </w:r>
    <w:r w:rsidRPr="009A045F">
      <w:rPr>
        <w:rStyle w:val="PageNumber"/>
        <w:rFonts w:ascii="Times New Roman" w:hAnsi="Times New Roman" w:cs="Times New Roman"/>
        <w:sz w:val="24"/>
        <w:szCs w:val="24"/>
      </w:rPr>
      <w:instrText xml:space="preserve">PAGE  </w:instrText>
    </w:r>
    <w:r w:rsidRPr="009A045F">
      <w:rPr>
        <w:rStyle w:val="PageNumber"/>
        <w:rFonts w:ascii="Times New Roman" w:hAnsi="Times New Roman" w:cs="Times New Roman"/>
        <w:sz w:val="24"/>
        <w:szCs w:val="24"/>
      </w:rPr>
      <w:fldChar w:fldCharType="separate"/>
    </w:r>
    <w:r w:rsidR="0058291C">
      <w:rPr>
        <w:rStyle w:val="PageNumber"/>
        <w:rFonts w:ascii="Times New Roman" w:hAnsi="Times New Roman" w:cs="Times New Roman"/>
        <w:noProof/>
        <w:sz w:val="24"/>
        <w:szCs w:val="24"/>
      </w:rPr>
      <w:t>1</w:t>
    </w:r>
    <w:r w:rsidRPr="009A045F">
      <w:rPr>
        <w:rStyle w:val="PageNumber"/>
        <w:rFonts w:ascii="Times New Roman" w:hAnsi="Times New Roman" w:cs="Times New Roman"/>
        <w:sz w:val="24"/>
        <w:szCs w:val="24"/>
      </w:rPr>
      <w:fldChar w:fldCharType="end"/>
    </w:r>
  </w:p>
  <w:p w14:paraId="6A4949A2" w14:textId="77777777" w:rsidR="00923BA2" w:rsidRDefault="00923B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B578" w14:textId="50E098FF" w:rsidR="00923BA2" w:rsidRDefault="00923BA2">
    <w:pPr>
      <w:spacing w:line="200" w:lineRule="exact"/>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1109" w14:textId="51877B28" w:rsidR="00923BA2" w:rsidRDefault="00923BA2">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1D24B043" wp14:editId="6421054B">
              <wp:simplePos x="0" y="0"/>
              <wp:positionH relativeFrom="page">
                <wp:posOffset>1016000</wp:posOffset>
              </wp:positionH>
              <wp:positionV relativeFrom="page">
                <wp:posOffset>9152255</wp:posOffset>
              </wp:positionV>
              <wp:extent cx="5626100" cy="30035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0D70" w14:textId="77777777" w:rsidR="00923BA2" w:rsidRDefault="00923BA2">
                          <w:pPr>
                            <w:spacing w:before="16" w:line="220" w:lineRule="exact"/>
                            <w:ind w:left="20" w:right="-32" w:firstLine="173"/>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80pt;margin-top:720.65pt;width:443pt;height:2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NIrQIAAKs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" filled="f" stroked="f">
              <v:textbox inset="0,0,0,0">
                <w:txbxContent>
                  <w:p w14:paraId="7EEE0D70" w14:textId="77777777" w:rsidR="00923BA2" w:rsidRDefault="00923BA2">
                    <w:pPr>
                      <w:spacing w:before="16" w:line="220" w:lineRule="exact"/>
                      <w:ind w:left="20" w:right="-32" w:firstLine="173"/>
                      <w:rPr>
                        <w:rFonts w:ascii="Arial" w:eastAsia="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53F06" w14:textId="77777777" w:rsidR="00B64F31" w:rsidRDefault="00B64F31" w:rsidP="003B3A50">
      <w:r>
        <w:separator/>
      </w:r>
    </w:p>
  </w:footnote>
  <w:footnote w:type="continuationSeparator" w:id="0">
    <w:p w14:paraId="12D8E68D" w14:textId="77777777" w:rsidR="00B64F31" w:rsidRDefault="00B64F31" w:rsidP="003B3A50">
      <w:r>
        <w:continuationSeparator/>
      </w:r>
    </w:p>
  </w:footnote>
  <w:footnote w:id="1">
    <w:p w14:paraId="3665CCC6" w14:textId="35C9A2DC" w:rsidR="00923BA2" w:rsidRPr="005B1493" w:rsidRDefault="00923BA2" w:rsidP="005B1493">
      <w:pPr>
        <w:pStyle w:val="FootnoteText"/>
        <w:jc w:val="both"/>
        <w:rPr>
          <w:rFonts w:ascii="Times New Roman" w:hAnsi="Times New Roman" w:cs="Times New Roman"/>
          <w:lang w:val="en-GB"/>
        </w:rPr>
      </w:pPr>
      <w:r w:rsidRPr="005B1493">
        <w:rPr>
          <w:rStyle w:val="FootnoteReference"/>
          <w:rFonts w:ascii="Times New Roman" w:hAnsi="Times New Roman" w:cs="Times New Roman"/>
          <w:sz w:val="18"/>
          <w:szCs w:val="18"/>
        </w:rPr>
        <w:footnoteRef/>
      </w:r>
      <w:r w:rsidRPr="005B1493">
        <w:rPr>
          <w:rFonts w:ascii="Times New Roman" w:hAnsi="Times New Roman" w:cs="Times New Roman"/>
          <w:sz w:val="18"/>
          <w:szCs w:val="18"/>
        </w:rPr>
        <w:t xml:space="preserve"> Ron </w:t>
      </w:r>
      <w:proofErr w:type="spellStart"/>
      <w:r w:rsidRPr="005B1493">
        <w:rPr>
          <w:rFonts w:ascii="Times New Roman" w:eastAsia="Arial" w:hAnsi="Times New Roman" w:cs="Times New Roman"/>
          <w:sz w:val="18"/>
          <w:szCs w:val="18"/>
        </w:rPr>
        <w:t>Alquist</w:t>
      </w:r>
      <w:proofErr w:type="spellEnd"/>
      <w:r w:rsidRPr="005B1493">
        <w:rPr>
          <w:rFonts w:ascii="Times New Roman" w:eastAsia="Arial" w:hAnsi="Times New Roman" w:cs="Times New Roman"/>
          <w:sz w:val="18"/>
          <w:szCs w:val="18"/>
        </w:rPr>
        <w:t xml:space="preserve"> kindly shared his market factors. We thus use his market and term factors (which we had not collected ourselves).</w:t>
      </w:r>
      <w:r w:rsidRPr="005B1493">
        <w:rPr>
          <w:rFonts w:ascii="Times New Roman" w:hAnsi="Times New Roman" w:cs="Times New Roman"/>
          <w:sz w:val="18"/>
          <w:szCs w:val="18"/>
        </w:rPr>
        <w:t xml:space="preserve"> </w:t>
      </w:r>
      <w:proofErr w:type="spellStart"/>
      <w:r w:rsidRPr="005B1493">
        <w:rPr>
          <w:rFonts w:ascii="Times New Roman" w:eastAsia="Arial" w:hAnsi="Times New Roman" w:cs="Times New Roman"/>
          <w:sz w:val="18"/>
          <w:szCs w:val="18"/>
        </w:rPr>
        <w:t>Alquist</w:t>
      </w:r>
      <w:proofErr w:type="spellEnd"/>
      <w:r w:rsidRPr="005B1493">
        <w:rPr>
          <w:rFonts w:ascii="Times New Roman" w:eastAsia="Arial" w:hAnsi="Times New Roman" w:cs="Times New Roman"/>
          <w:sz w:val="18"/>
          <w:szCs w:val="18"/>
        </w:rPr>
        <w:t xml:space="preserve"> collected data at a 28-day frequency. We therefore converted his market factor to a 30-days equivalent using a simple linear approximation.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E76E" w14:textId="77777777" w:rsidR="00923BA2" w:rsidRPr="009A045F" w:rsidRDefault="00923BA2" w:rsidP="009548F8">
    <w:pPr>
      <w:pStyle w:val="Header"/>
      <w:framePr w:wrap="none" w:vAnchor="text" w:hAnchor="margin" w:xAlign="outside" w:y="1"/>
      <w:rPr>
        <w:rStyle w:val="PageNumber"/>
        <w:rFonts w:ascii="Times New Roman" w:hAnsi="Times New Roman" w:cs="Times New Roman"/>
        <w:sz w:val="24"/>
        <w:szCs w:val="24"/>
      </w:rPr>
    </w:pPr>
    <w:r w:rsidRPr="009A045F">
      <w:rPr>
        <w:rStyle w:val="PageNumber"/>
        <w:rFonts w:ascii="Times New Roman" w:hAnsi="Times New Roman" w:cs="Times New Roman"/>
        <w:sz w:val="24"/>
        <w:szCs w:val="24"/>
      </w:rPr>
      <w:fldChar w:fldCharType="begin"/>
    </w:r>
    <w:r w:rsidRPr="009A045F">
      <w:rPr>
        <w:rStyle w:val="PageNumber"/>
        <w:rFonts w:ascii="Times New Roman" w:hAnsi="Times New Roman" w:cs="Times New Roman"/>
        <w:sz w:val="24"/>
        <w:szCs w:val="24"/>
      </w:rPr>
      <w:instrText xml:space="preserve">PAGE  </w:instrText>
    </w:r>
    <w:r w:rsidRPr="009A045F">
      <w:rPr>
        <w:rStyle w:val="PageNumber"/>
        <w:rFonts w:ascii="Times New Roman" w:hAnsi="Times New Roman" w:cs="Times New Roman"/>
        <w:sz w:val="24"/>
        <w:szCs w:val="24"/>
      </w:rPr>
      <w:fldChar w:fldCharType="separate"/>
    </w:r>
    <w:r w:rsidR="0058291C">
      <w:rPr>
        <w:rStyle w:val="PageNumber"/>
        <w:rFonts w:ascii="Times New Roman" w:hAnsi="Times New Roman" w:cs="Times New Roman"/>
        <w:noProof/>
        <w:sz w:val="24"/>
        <w:szCs w:val="24"/>
      </w:rPr>
      <w:t>4</w:t>
    </w:r>
    <w:r w:rsidRPr="009A045F">
      <w:rPr>
        <w:rStyle w:val="PageNumber"/>
        <w:rFonts w:ascii="Times New Roman" w:hAnsi="Times New Roman" w:cs="Times New Roman"/>
        <w:sz w:val="24"/>
        <w:szCs w:val="24"/>
      </w:rPr>
      <w:fldChar w:fldCharType="end"/>
    </w:r>
  </w:p>
  <w:p w14:paraId="020AE8D0" w14:textId="143ADEBE" w:rsidR="00923BA2" w:rsidRDefault="00923BA2" w:rsidP="009A045F">
    <w:pPr>
      <w:pStyle w:val="Header"/>
      <w:ind w:right="360" w:firstLine="360"/>
      <w:jc w:val="center"/>
      <w:rPr>
        <w:rFonts w:ascii="Times New Roman" w:hAnsi="Times New Roman" w:cs="Times New Roman"/>
        <w:i/>
        <w:sz w:val="24"/>
        <w:szCs w:val="24"/>
      </w:rPr>
    </w:pPr>
    <w:proofErr w:type="spellStart"/>
    <w:r w:rsidRPr="009A045F">
      <w:rPr>
        <w:rFonts w:ascii="Times New Roman" w:hAnsi="Times New Roman" w:cs="Times New Roman"/>
        <w:i/>
        <w:sz w:val="24"/>
        <w:szCs w:val="24"/>
      </w:rPr>
      <w:t>Chavaz</w:t>
    </w:r>
    <w:proofErr w:type="spellEnd"/>
    <w:r w:rsidRPr="009A045F">
      <w:rPr>
        <w:rFonts w:ascii="Times New Roman" w:hAnsi="Times New Roman" w:cs="Times New Roman"/>
        <w:i/>
        <w:sz w:val="24"/>
        <w:szCs w:val="24"/>
      </w:rPr>
      <w:t xml:space="preserve"> and Flandreau</w:t>
    </w:r>
  </w:p>
  <w:p w14:paraId="317FEC33" w14:textId="77777777" w:rsidR="00923BA2" w:rsidRPr="009A045F" w:rsidRDefault="00923BA2" w:rsidP="009A045F">
    <w:pPr>
      <w:pStyle w:val="Header"/>
      <w:ind w:right="360" w:firstLine="360"/>
      <w:jc w:val="center"/>
      <w:rPr>
        <w:rFonts w:ascii="Times New Roman" w:hAnsi="Times New Roman" w:cs="Times New Roman"/>
        <w:i/>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34F6" w14:textId="77777777" w:rsidR="00923BA2" w:rsidRPr="009A045F" w:rsidRDefault="00923BA2" w:rsidP="009548F8">
    <w:pPr>
      <w:pStyle w:val="Header"/>
      <w:framePr w:wrap="none" w:vAnchor="text" w:hAnchor="margin" w:xAlign="outside" w:y="1"/>
      <w:rPr>
        <w:rStyle w:val="PageNumber"/>
        <w:rFonts w:ascii="Times New Roman" w:hAnsi="Times New Roman" w:cs="Times New Roman"/>
        <w:sz w:val="24"/>
        <w:szCs w:val="24"/>
      </w:rPr>
    </w:pPr>
    <w:r w:rsidRPr="009A045F">
      <w:rPr>
        <w:rStyle w:val="PageNumber"/>
        <w:rFonts w:ascii="Times New Roman" w:hAnsi="Times New Roman" w:cs="Times New Roman"/>
        <w:sz w:val="24"/>
        <w:szCs w:val="24"/>
      </w:rPr>
      <w:fldChar w:fldCharType="begin"/>
    </w:r>
    <w:r w:rsidRPr="009A045F">
      <w:rPr>
        <w:rStyle w:val="PageNumber"/>
        <w:rFonts w:ascii="Times New Roman" w:hAnsi="Times New Roman" w:cs="Times New Roman"/>
        <w:sz w:val="24"/>
        <w:szCs w:val="24"/>
      </w:rPr>
      <w:instrText xml:space="preserve">PAGE  </w:instrText>
    </w:r>
    <w:r w:rsidRPr="009A045F">
      <w:rPr>
        <w:rStyle w:val="PageNumber"/>
        <w:rFonts w:ascii="Times New Roman" w:hAnsi="Times New Roman" w:cs="Times New Roman"/>
        <w:sz w:val="24"/>
        <w:szCs w:val="24"/>
      </w:rPr>
      <w:fldChar w:fldCharType="separate"/>
    </w:r>
    <w:r w:rsidR="0058291C">
      <w:rPr>
        <w:rStyle w:val="PageNumber"/>
        <w:rFonts w:ascii="Times New Roman" w:hAnsi="Times New Roman" w:cs="Times New Roman"/>
        <w:noProof/>
        <w:sz w:val="24"/>
        <w:szCs w:val="24"/>
      </w:rPr>
      <w:t>3</w:t>
    </w:r>
    <w:r w:rsidRPr="009A045F">
      <w:rPr>
        <w:rStyle w:val="PageNumber"/>
        <w:rFonts w:ascii="Times New Roman" w:hAnsi="Times New Roman" w:cs="Times New Roman"/>
        <w:sz w:val="24"/>
        <w:szCs w:val="24"/>
      </w:rPr>
      <w:fldChar w:fldCharType="end"/>
    </w:r>
  </w:p>
  <w:p w14:paraId="3D57F7A7" w14:textId="24B2FB7B" w:rsidR="00923BA2" w:rsidRDefault="0058291C" w:rsidP="009A045F">
    <w:pPr>
      <w:pStyle w:val="RH-center"/>
      <w:rPr>
        <w:sz w:val="24"/>
        <w:szCs w:val="24"/>
      </w:rPr>
    </w:pPr>
    <w:r>
      <w:rPr>
        <w:sz w:val="24"/>
        <w:szCs w:val="24"/>
      </w:rPr>
      <w:t>Liquidity and Credit of Government Debts</w:t>
    </w:r>
  </w:p>
  <w:p w14:paraId="00AC6273" w14:textId="77777777" w:rsidR="00923BA2" w:rsidRPr="009A045F" w:rsidRDefault="00923BA2" w:rsidP="009A045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F025E"/>
    <w:multiLevelType w:val="hybridMultilevel"/>
    <w:tmpl w:val="CB24A3F0"/>
    <w:lvl w:ilvl="0" w:tplc="EC587270">
      <w:start w:val="3"/>
      <w:numFmt w:val="lowerLetter"/>
      <w:lvlText w:val="%1)"/>
      <w:lvlJc w:val="left"/>
      <w:pPr>
        <w:ind w:left="799" w:hanging="360"/>
      </w:pPr>
      <w:rPr>
        <w:rFonts w:hint="default"/>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
    <w:nsid w:val="31E844CE"/>
    <w:multiLevelType w:val="hybridMultilevel"/>
    <w:tmpl w:val="35E4EAA8"/>
    <w:lvl w:ilvl="0" w:tplc="0ABE681A">
      <w:start w:val="1"/>
      <w:numFmt w:val="upperLetter"/>
      <w:lvlText w:val="%1)"/>
      <w:lvlJc w:val="left"/>
      <w:pPr>
        <w:ind w:left="799" w:hanging="360"/>
      </w:pPr>
      <w:rPr>
        <w:rFonts w:hint="default"/>
      </w:rPr>
    </w:lvl>
    <w:lvl w:ilvl="1" w:tplc="040C0019" w:tentative="1">
      <w:start w:val="1"/>
      <w:numFmt w:val="lowerLetter"/>
      <w:lvlText w:val="%2."/>
      <w:lvlJc w:val="left"/>
      <w:pPr>
        <w:ind w:left="1519" w:hanging="360"/>
      </w:pPr>
    </w:lvl>
    <w:lvl w:ilvl="2" w:tplc="040C001B" w:tentative="1">
      <w:start w:val="1"/>
      <w:numFmt w:val="lowerRoman"/>
      <w:lvlText w:val="%3."/>
      <w:lvlJc w:val="right"/>
      <w:pPr>
        <w:ind w:left="2239" w:hanging="180"/>
      </w:pPr>
    </w:lvl>
    <w:lvl w:ilvl="3" w:tplc="040C000F" w:tentative="1">
      <w:start w:val="1"/>
      <w:numFmt w:val="decimal"/>
      <w:lvlText w:val="%4."/>
      <w:lvlJc w:val="left"/>
      <w:pPr>
        <w:ind w:left="2959" w:hanging="360"/>
      </w:pPr>
    </w:lvl>
    <w:lvl w:ilvl="4" w:tplc="040C0019" w:tentative="1">
      <w:start w:val="1"/>
      <w:numFmt w:val="lowerLetter"/>
      <w:lvlText w:val="%5."/>
      <w:lvlJc w:val="left"/>
      <w:pPr>
        <w:ind w:left="3679" w:hanging="360"/>
      </w:pPr>
    </w:lvl>
    <w:lvl w:ilvl="5" w:tplc="040C001B" w:tentative="1">
      <w:start w:val="1"/>
      <w:numFmt w:val="lowerRoman"/>
      <w:lvlText w:val="%6."/>
      <w:lvlJc w:val="right"/>
      <w:pPr>
        <w:ind w:left="4399" w:hanging="180"/>
      </w:pPr>
    </w:lvl>
    <w:lvl w:ilvl="6" w:tplc="040C000F" w:tentative="1">
      <w:start w:val="1"/>
      <w:numFmt w:val="decimal"/>
      <w:lvlText w:val="%7."/>
      <w:lvlJc w:val="left"/>
      <w:pPr>
        <w:ind w:left="5119" w:hanging="360"/>
      </w:pPr>
    </w:lvl>
    <w:lvl w:ilvl="7" w:tplc="040C0019" w:tentative="1">
      <w:start w:val="1"/>
      <w:numFmt w:val="lowerLetter"/>
      <w:lvlText w:val="%8."/>
      <w:lvlJc w:val="left"/>
      <w:pPr>
        <w:ind w:left="5839" w:hanging="360"/>
      </w:pPr>
    </w:lvl>
    <w:lvl w:ilvl="8" w:tplc="040C001B" w:tentative="1">
      <w:start w:val="1"/>
      <w:numFmt w:val="lowerRoman"/>
      <w:lvlText w:val="%9."/>
      <w:lvlJc w:val="right"/>
      <w:pPr>
        <w:ind w:left="6559" w:hanging="180"/>
      </w:pPr>
    </w:lvl>
  </w:abstractNum>
  <w:abstractNum w:abstractNumId="2">
    <w:nsid w:val="36D0089D"/>
    <w:multiLevelType w:val="hybridMultilevel"/>
    <w:tmpl w:val="3DFEC87E"/>
    <w:lvl w:ilvl="0" w:tplc="1F021572">
      <w:start w:val="1"/>
      <w:numFmt w:val="upperLetter"/>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3">
    <w:nsid w:val="4B3047E0"/>
    <w:multiLevelType w:val="hybridMultilevel"/>
    <w:tmpl w:val="35E4EAA8"/>
    <w:lvl w:ilvl="0" w:tplc="0ABE681A">
      <w:start w:val="1"/>
      <w:numFmt w:val="upperLetter"/>
      <w:lvlText w:val="%1)"/>
      <w:lvlJc w:val="left"/>
      <w:pPr>
        <w:ind w:left="799" w:hanging="360"/>
      </w:pPr>
      <w:rPr>
        <w:rFonts w:hint="default"/>
      </w:rPr>
    </w:lvl>
    <w:lvl w:ilvl="1" w:tplc="040C0019" w:tentative="1">
      <w:start w:val="1"/>
      <w:numFmt w:val="lowerLetter"/>
      <w:lvlText w:val="%2."/>
      <w:lvlJc w:val="left"/>
      <w:pPr>
        <w:ind w:left="1519" w:hanging="360"/>
      </w:pPr>
    </w:lvl>
    <w:lvl w:ilvl="2" w:tplc="040C001B" w:tentative="1">
      <w:start w:val="1"/>
      <w:numFmt w:val="lowerRoman"/>
      <w:lvlText w:val="%3."/>
      <w:lvlJc w:val="right"/>
      <w:pPr>
        <w:ind w:left="2239" w:hanging="180"/>
      </w:pPr>
    </w:lvl>
    <w:lvl w:ilvl="3" w:tplc="040C000F" w:tentative="1">
      <w:start w:val="1"/>
      <w:numFmt w:val="decimal"/>
      <w:lvlText w:val="%4."/>
      <w:lvlJc w:val="left"/>
      <w:pPr>
        <w:ind w:left="2959" w:hanging="360"/>
      </w:pPr>
    </w:lvl>
    <w:lvl w:ilvl="4" w:tplc="040C0019" w:tentative="1">
      <w:start w:val="1"/>
      <w:numFmt w:val="lowerLetter"/>
      <w:lvlText w:val="%5."/>
      <w:lvlJc w:val="left"/>
      <w:pPr>
        <w:ind w:left="3679" w:hanging="360"/>
      </w:pPr>
    </w:lvl>
    <w:lvl w:ilvl="5" w:tplc="040C001B" w:tentative="1">
      <w:start w:val="1"/>
      <w:numFmt w:val="lowerRoman"/>
      <w:lvlText w:val="%6."/>
      <w:lvlJc w:val="right"/>
      <w:pPr>
        <w:ind w:left="4399" w:hanging="180"/>
      </w:pPr>
    </w:lvl>
    <w:lvl w:ilvl="6" w:tplc="040C000F" w:tentative="1">
      <w:start w:val="1"/>
      <w:numFmt w:val="decimal"/>
      <w:lvlText w:val="%7."/>
      <w:lvlJc w:val="left"/>
      <w:pPr>
        <w:ind w:left="5119" w:hanging="360"/>
      </w:pPr>
    </w:lvl>
    <w:lvl w:ilvl="7" w:tplc="040C0019" w:tentative="1">
      <w:start w:val="1"/>
      <w:numFmt w:val="lowerLetter"/>
      <w:lvlText w:val="%8."/>
      <w:lvlJc w:val="left"/>
      <w:pPr>
        <w:ind w:left="5839" w:hanging="360"/>
      </w:pPr>
    </w:lvl>
    <w:lvl w:ilvl="8" w:tplc="040C001B" w:tentative="1">
      <w:start w:val="1"/>
      <w:numFmt w:val="lowerRoman"/>
      <w:lvlText w:val="%9."/>
      <w:lvlJc w:val="right"/>
      <w:pPr>
        <w:ind w:left="6559" w:hanging="180"/>
      </w:pPr>
    </w:lvl>
  </w:abstractNum>
  <w:abstractNum w:abstractNumId="4">
    <w:nsid w:val="59217F2B"/>
    <w:multiLevelType w:val="multilevel"/>
    <w:tmpl w:val="CB24A3F0"/>
    <w:lvl w:ilvl="0">
      <w:start w:val="3"/>
      <w:numFmt w:val="lowerLetter"/>
      <w:lvlText w:val="%1)"/>
      <w:lvlJc w:val="left"/>
      <w:pPr>
        <w:ind w:left="799" w:hanging="360"/>
      </w:pPr>
      <w:rPr>
        <w:rFonts w:hint="default"/>
      </w:rPr>
    </w:lvl>
    <w:lvl w:ilvl="1">
      <w:start w:val="1"/>
      <w:numFmt w:val="lowerLetter"/>
      <w:lvlText w:val="%2."/>
      <w:lvlJc w:val="left"/>
      <w:pPr>
        <w:ind w:left="1519" w:hanging="360"/>
      </w:pPr>
    </w:lvl>
    <w:lvl w:ilvl="2">
      <w:start w:val="1"/>
      <w:numFmt w:val="lowerRoman"/>
      <w:lvlText w:val="%3."/>
      <w:lvlJc w:val="right"/>
      <w:pPr>
        <w:ind w:left="2239" w:hanging="180"/>
      </w:pPr>
    </w:lvl>
    <w:lvl w:ilvl="3">
      <w:start w:val="1"/>
      <w:numFmt w:val="decimal"/>
      <w:lvlText w:val="%4."/>
      <w:lvlJc w:val="left"/>
      <w:pPr>
        <w:ind w:left="2959" w:hanging="360"/>
      </w:pPr>
    </w:lvl>
    <w:lvl w:ilvl="4">
      <w:start w:val="1"/>
      <w:numFmt w:val="lowerLetter"/>
      <w:lvlText w:val="%5."/>
      <w:lvlJc w:val="left"/>
      <w:pPr>
        <w:ind w:left="3679" w:hanging="360"/>
      </w:pPr>
    </w:lvl>
    <w:lvl w:ilvl="5">
      <w:start w:val="1"/>
      <w:numFmt w:val="lowerRoman"/>
      <w:lvlText w:val="%6."/>
      <w:lvlJc w:val="right"/>
      <w:pPr>
        <w:ind w:left="4399" w:hanging="180"/>
      </w:pPr>
    </w:lvl>
    <w:lvl w:ilvl="6">
      <w:start w:val="1"/>
      <w:numFmt w:val="decimal"/>
      <w:lvlText w:val="%7."/>
      <w:lvlJc w:val="left"/>
      <w:pPr>
        <w:ind w:left="5119" w:hanging="360"/>
      </w:pPr>
    </w:lvl>
    <w:lvl w:ilvl="7">
      <w:start w:val="1"/>
      <w:numFmt w:val="lowerLetter"/>
      <w:lvlText w:val="%8."/>
      <w:lvlJc w:val="left"/>
      <w:pPr>
        <w:ind w:left="5839" w:hanging="360"/>
      </w:pPr>
    </w:lvl>
    <w:lvl w:ilvl="8">
      <w:start w:val="1"/>
      <w:numFmt w:val="lowerRoman"/>
      <w:lvlText w:val="%9."/>
      <w:lvlJc w:val="right"/>
      <w:pPr>
        <w:ind w:left="6559" w:hanging="180"/>
      </w:pPr>
    </w:lvl>
  </w:abstractNum>
  <w:abstractNum w:abstractNumId="5">
    <w:nsid w:val="66063683"/>
    <w:multiLevelType w:val="hybridMultilevel"/>
    <w:tmpl w:val="35E4EAA8"/>
    <w:lvl w:ilvl="0" w:tplc="0ABE681A">
      <w:start w:val="1"/>
      <w:numFmt w:val="upperLetter"/>
      <w:lvlText w:val="%1)"/>
      <w:lvlJc w:val="left"/>
      <w:pPr>
        <w:ind w:left="799" w:hanging="360"/>
      </w:pPr>
      <w:rPr>
        <w:rFonts w:hint="default"/>
      </w:rPr>
    </w:lvl>
    <w:lvl w:ilvl="1" w:tplc="040C0019" w:tentative="1">
      <w:start w:val="1"/>
      <w:numFmt w:val="lowerLetter"/>
      <w:lvlText w:val="%2."/>
      <w:lvlJc w:val="left"/>
      <w:pPr>
        <w:ind w:left="1519" w:hanging="360"/>
      </w:pPr>
    </w:lvl>
    <w:lvl w:ilvl="2" w:tplc="040C001B" w:tentative="1">
      <w:start w:val="1"/>
      <w:numFmt w:val="lowerRoman"/>
      <w:lvlText w:val="%3."/>
      <w:lvlJc w:val="right"/>
      <w:pPr>
        <w:ind w:left="2239" w:hanging="180"/>
      </w:pPr>
    </w:lvl>
    <w:lvl w:ilvl="3" w:tplc="040C000F" w:tentative="1">
      <w:start w:val="1"/>
      <w:numFmt w:val="decimal"/>
      <w:lvlText w:val="%4."/>
      <w:lvlJc w:val="left"/>
      <w:pPr>
        <w:ind w:left="2959" w:hanging="360"/>
      </w:pPr>
    </w:lvl>
    <w:lvl w:ilvl="4" w:tplc="040C0019" w:tentative="1">
      <w:start w:val="1"/>
      <w:numFmt w:val="lowerLetter"/>
      <w:lvlText w:val="%5."/>
      <w:lvlJc w:val="left"/>
      <w:pPr>
        <w:ind w:left="3679" w:hanging="360"/>
      </w:pPr>
    </w:lvl>
    <w:lvl w:ilvl="5" w:tplc="040C001B" w:tentative="1">
      <w:start w:val="1"/>
      <w:numFmt w:val="lowerRoman"/>
      <w:lvlText w:val="%6."/>
      <w:lvlJc w:val="right"/>
      <w:pPr>
        <w:ind w:left="4399" w:hanging="180"/>
      </w:pPr>
    </w:lvl>
    <w:lvl w:ilvl="6" w:tplc="040C000F" w:tentative="1">
      <w:start w:val="1"/>
      <w:numFmt w:val="decimal"/>
      <w:lvlText w:val="%7."/>
      <w:lvlJc w:val="left"/>
      <w:pPr>
        <w:ind w:left="5119" w:hanging="360"/>
      </w:pPr>
    </w:lvl>
    <w:lvl w:ilvl="7" w:tplc="040C0019" w:tentative="1">
      <w:start w:val="1"/>
      <w:numFmt w:val="lowerLetter"/>
      <w:lvlText w:val="%8."/>
      <w:lvlJc w:val="left"/>
      <w:pPr>
        <w:ind w:left="5839" w:hanging="360"/>
      </w:pPr>
    </w:lvl>
    <w:lvl w:ilvl="8" w:tplc="040C001B" w:tentative="1">
      <w:start w:val="1"/>
      <w:numFmt w:val="lowerRoman"/>
      <w:lvlText w:val="%9."/>
      <w:lvlJc w:val="right"/>
      <w:pPr>
        <w:ind w:left="6559" w:hanging="180"/>
      </w:pPr>
    </w:lvl>
  </w:abstractNum>
  <w:abstractNum w:abstractNumId="6">
    <w:nsid w:val="6AB72F56"/>
    <w:multiLevelType w:val="hybridMultilevel"/>
    <w:tmpl w:val="78585934"/>
    <w:lvl w:ilvl="0" w:tplc="76A88BBE">
      <w:start w:val="1"/>
      <w:numFmt w:val="decimal"/>
      <w:lvlText w:val="%1"/>
      <w:lvlJc w:val="left"/>
      <w:pPr>
        <w:ind w:left="480" w:hanging="360"/>
      </w:pPr>
      <w:rPr>
        <w:rFonts w:hint="default"/>
        <w:b/>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50"/>
    <w:rsid w:val="00010772"/>
    <w:rsid w:val="00046B27"/>
    <w:rsid w:val="0006003D"/>
    <w:rsid w:val="00084074"/>
    <w:rsid w:val="000C0A0C"/>
    <w:rsid w:val="00120961"/>
    <w:rsid w:val="00154CA5"/>
    <w:rsid w:val="001B2E8E"/>
    <w:rsid w:val="001E4985"/>
    <w:rsid w:val="002227B1"/>
    <w:rsid w:val="002777E6"/>
    <w:rsid w:val="00283E92"/>
    <w:rsid w:val="002A72D4"/>
    <w:rsid w:val="002C644E"/>
    <w:rsid w:val="002D6B48"/>
    <w:rsid w:val="002F007A"/>
    <w:rsid w:val="00322EDD"/>
    <w:rsid w:val="00325256"/>
    <w:rsid w:val="00335EF4"/>
    <w:rsid w:val="003B3A50"/>
    <w:rsid w:val="003B764C"/>
    <w:rsid w:val="003D07EB"/>
    <w:rsid w:val="003D0E34"/>
    <w:rsid w:val="00403E33"/>
    <w:rsid w:val="00433BCF"/>
    <w:rsid w:val="00440325"/>
    <w:rsid w:val="00456B17"/>
    <w:rsid w:val="00481450"/>
    <w:rsid w:val="00534224"/>
    <w:rsid w:val="00542CA6"/>
    <w:rsid w:val="005461B4"/>
    <w:rsid w:val="00562E65"/>
    <w:rsid w:val="0058291C"/>
    <w:rsid w:val="005B1493"/>
    <w:rsid w:val="005C7D75"/>
    <w:rsid w:val="005F7137"/>
    <w:rsid w:val="00645FC1"/>
    <w:rsid w:val="00646DE3"/>
    <w:rsid w:val="00675A38"/>
    <w:rsid w:val="006B18D4"/>
    <w:rsid w:val="006F6228"/>
    <w:rsid w:val="00703B72"/>
    <w:rsid w:val="007048CA"/>
    <w:rsid w:val="007065EE"/>
    <w:rsid w:val="007215E7"/>
    <w:rsid w:val="00776D1E"/>
    <w:rsid w:val="00781BAA"/>
    <w:rsid w:val="00823C12"/>
    <w:rsid w:val="008267B5"/>
    <w:rsid w:val="00827894"/>
    <w:rsid w:val="008744A3"/>
    <w:rsid w:val="008904BE"/>
    <w:rsid w:val="00921961"/>
    <w:rsid w:val="00923BA2"/>
    <w:rsid w:val="00926DCE"/>
    <w:rsid w:val="009337DB"/>
    <w:rsid w:val="009548F8"/>
    <w:rsid w:val="00971345"/>
    <w:rsid w:val="00985551"/>
    <w:rsid w:val="009A045F"/>
    <w:rsid w:val="009A4622"/>
    <w:rsid w:val="009B2B73"/>
    <w:rsid w:val="009B336F"/>
    <w:rsid w:val="009D5E4A"/>
    <w:rsid w:val="009E3B08"/>
    <w:rsid w:val="009E3FD9"/>
    <w:rsid w:val="009F7CB8"/>
    <w:rsid w:val="00A040B1"/>
    <w:rsid w:val="00A16572"/>
    <w:rsid w:val="00A3480F"/>
    <w:rsid w:val="00A67DF9"/>
    <w:rsid w:val="00A74EF9"/>
    <w:rsid w:val="00A76BDD"/>
    <w:rsid w:val="00AB4C2A"/>
    <w:rsid w:val="00AE5D4B"/>
    <w:rsid w:val="00B044A1"/>
    <w:rsid w:val="00B21123"/>
    <w:rsid w:val="00B31709"/>
    <w:rsid w:val="00B34160"/>
    <w:rsid w:val="00B64F31"/>
    <w:rsid w:val="00BA0709"/>
    <w:rsid w:val="00BA4455"/>
    <w:rsid w:val="00BC2EB5"/>
    <w:rsid w:val="00C020D6"/>
    <w:rsid w:val="00C3304B"/>
    <w:rsid w:val="00C42ACD"/>
    <w:rsid w:val="00C87825"/>
    <w:rsid w:val="00CE7E12"/>
    <w:rsid w:val="00CF1AA0"/>
    <w:rsid w:val="00D211BE"/>
    <w:rsid w:val="00D447F2"/>
    <w:rsid w:val="00D51A62"/>
    <w:rsid w:val="00E128D9"/>
    <w:rsid w:val="00E15901"/>
    <w:rsid w:val="00E42304"/>
    <w:rsid w:val="00E42FF4"/>
    <w:rsid w:val="00E740B3"/>
    <w:rsid w:val="00EA0F91"/>
    <w:rsid w:val="00EE394B"/>
    <w:rsid w:val="00F153FD"/>
    <w:rsid w:val="00F15AEF"/>
    <w:rsid w:val="00F20FCC"/>
    <w:rsid w:val="00F4098B"/>
    <w:rsid w:val="00F61C8B"/>
    <w:rsid w:val="00FD66E6"/>
    <w:rsid w:val="00FE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ED3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D75"/>
    <w:rPr>
      <w:rFonts w:ascii="Lucida Grande" w:hAnsi="Lucida Grande" w:cs="Lucida Grande"/>
      <w:sz w:val="18"/>
      <w:szCs w:val="18"/>
    </w:rPr>
  </w:style>
  <w:style w:type="paragraph" w:styleId="Revision">
    <w:name w:val="Revision"/>
    <w:hidden/>
    <w:uiPriority w:val="99"/>
    <w:semiHidden/>
    <w:rsid w:val="003B3A50"/>
    <w:rPr>
      <w:rFonts w:eastAsiaTheme="minorHAnsi"/>
      <w:sz w:val="22"/>
      <w:szCs w:val="22"/>
    </w:rPr>
  </w:style>
  <w:style w:type="paragraph" w:styleId="FootnoteText">
    <w:name w:val="footnote text"/>
    <w:basedOn w:val="Normal"/>
    <w:link w:val="FootnoteTextChar"/>
    <w:uiPriority w:val="99"/>
    <w:unhideWhenUsed/>
    <w:rsid w:val="003B3A50"/>
    <w:pPr>
      <w:widowControl w:val="0"/>
    </w:pPr>
    <w:rPr>
      <w:rFonts w:eastAsiaTheme="minorHAnsi"/>
    </w:rPr>
  </w:style>
  <w:style w:type="character" w:customStyle="1" w:styleId="FootnoteTextChar">
    <w:name w:val="Footnote Text Char"/>
    <w:basedOn w:val="DefaultParagraphFont"/>
    <w:link w:val="FootnoteText"/>
    <w:uiPriority w:val="99"/>
    <w:rsid w:val="003B3A50"/>
    <w:rPr>
      <w:rFonts w:eastAsiaTheme="minorHAnsi"/>
    </w:rPr>
  </w:style>
  <w:style w:type="character" w:styleId="FootnoteReference">
    <w:name w:val="footnote reference"/>
    <w:basedOn w:val="DefaultParagraphFont"/>
    <w:uiPriority w:val="99"/>
    <w:unhideWhenUsed/>
    <w:rsid w:val="003B3A50"/>
    <w:rPr>
      <w:vertAlign w:val="superscript"/>
    </w:rPr>
  </w:style>
  <w:style w:type="paragraph" w:styleId="ListParagraph">
    <w:name w:val="List Paragraph"/>
    <w:basedOn w:val="Normal"/>
    <w:uiPriority w:val="34"/>
    <w:qFormat/>
    <w:rsid w:val="003B3A50"/>
    <w:pPr>
      <w:widowControl w:val="0"/>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3B3A50"/>
    <w:pPr>
      <w:widowControl w:val="0"/>
      <w:tabs>
        <w:tab w:val="center" w:pos="4153"/>
        <w:tab w:val="right" w:pos="8306"/>
      </w:tabs>
    </w:pPr>
    <w:rPr>
      <w:rFonts w:eastAsiaTheme="minorHAnsi"/>
      <w:sz w:val="22"/>
      <w:szCs w:val="22"/>
    </w:rPr>
  </w:style>
  <w:style w:type="character" w:customStyle="1" w:styleId="HeaderChar">
    <w:name w:val="Header Char"/>
    <w:basedOn w:val="DefaultParagraphFont"/>
    <w:link w:val="Header"/>
    <w:uiPriority w:val="99"/>
    <w:rsid w:val="003B3A50"/>
    <w:rPr>
      <w:rFonts w:eastAsiaTheme="minorHAnsi"/>
      <w:sz w:val="22"/>
      <w:szCs w:val="22"/>
    </w:rPr>
  </w:style>
  <w:style w:type="paragraph" w:styleId="Footer">
    <w:name w:val="footer"/>
    <w:basedOn w:val="Normal"/>
    <w:link w:val="FooterChar"/>
    <w:uiPriority w:val="99"/>
    <w:unhideWhenUsed/>
    <w:rsid w:val="003B3A50"/>
    <w:pPr>
      <w:widowControl w:val="0"/>
      <w:tabs>
        <w:tab w:val="center" w:pos="4153"/>
        <w:tab w:val="right" w:pos="8306"/>
      </w:tabs>
    </w:pPr>
    <w:rPr>
      <w:rFonts w:eastAsiaTheme="minorHAnsi"/>
      <w:sz w:val="22"/>
      <w:szCs w:val="22"/>
    </w:rPr>
  </w:style>
  <w:style w:type="character" w:customStyle="1" w:styleId="FooterChar">
    <w:name w:val="Footer Char"/>
    <w:basedOn w:val="DefaultParagraphFont"/>
    <w:link w:val="Footer"/>
    <w:uiPriority w:val="99"/>
    <w:rsid w:val="003B3A50"/>
    <w:rPr>
      <w:rFonts w:eastAsiaTheme="minorHAnsi"/>
      <w:sz w:val="22"/>
      <w:szCs w:val="22"/>
    </w:rPr>
  </w:style>
  <w:style w:type="character" w:styleId="PlaceholderText">
    <w:name w:val="Placeholder Text"/>
    <w:basedOn w:val="DefaultParagraphFont"/>
    <w:uiPriority w:val="99"/>
    <w:semiHidden/>
    <w:rsid w:val="00921961"/>
    <w:rPr>
      <w:color w:val="808080"/>
    </w:rPr>
  </w:style>
  <w:style w:type="table" w:styleId="TableGrid">
    <w:name w:val="Table Grid"/>
    <w:basedOn w:val="TableNormal"/>
    <w:uiPriority w:val="59"/>
    <w:rsid w:val="00EE3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6D1E"/>
    <w:rPr>
      <w:color w:val="0000FF" w:themeColor="hyperlink"/>
      <w:u w:val="single"/>
    </w:rPr>
  </w:style>
  <w:style w:type="character" w:styleId="CommentReference">
    <w:name w:val="annotation reference"/>
    <w:basedOn w:val="DefaultParagraphFont"/>
    <w:uiPriority w:val="99"/>
    <w:semiHidden/>
    <w:unhideWhenUsed/>
    <w:rsid w:val="003B764C"/>
    <w:rPr>
      <w:sz w:val="16"/>
      <w:szCs w:val="16"/>
    </w:rPr>
  </w:style>
  <w:style w:type="paragraph" w:styleId="CommentText">
    <w:name w:val="annotation text"/>
    <w:basedOn w:val="Normal"/>
    <w:link w:val="CommentTextChar"/>
    <w:uiPriority w:val="99"/>
    <w:semiHidden/>
    <w:unhideWhenUsed/>
    <w:rsid w:val="003B764C"/>
    <w:rPr>
      <w:sz w:val="20"/>
      <w:szCs w:val="20"/>
    </w:rPr>
  </w:style>
  <w:style w:type="character" w:customStyle="1" w:styleId="CommentTextChar">
    <w:name w:val="Comment Text Char"/>
    <w:basedOn w:val="DefaultParagraphFont"/>
    <w:link w:val="CommentText"/>
    <w:uiPriority w:val="99"/>
    <w:semiHidden/>
    <w:rsid w:val="003B764C"/>
    <w:rPr>
      <w:sz w:val="20"/>
      <w:szCs w:val="20"/>
    </w:rPr>
  </w:style>
  <w:style w:type="paragraph" w:styleId="CommentSubject">
    <w:name w:val="annotation subject"/>
    <w:basedOn w:val="CommentText"/>
    <w:next w:val="CommentText"/>
    <w:link w:val="CommentSubjectChar"/>
    <w:uiPriority w:val="99"/>
    <w:semiHidden/>
    <w:unhideWhenUsed/>
    <w:rsid w:val="003B764C"/>
    <w:rPr>
      <w:b/>
      <w:bCs/>
    </w:rPr>
  </w:style>
  <w:style w:type="character" w:customStyle="1" w:styleId="CommentSubjectChar">
    <w:name w:val="Comment Subject Char"/>
    <w:basedOn w:val="CommentTextChar"/>
    <w:link w:val="CommentSubject"/>
    <w:uiPriority w:val="99"/>
    <w:semiHidden/>
    <w:rsid w:val="003B764C"/>
    <w:rPr>
      <w:b/>
      <w:bCs/>
      <w:sz w:val="20"/>
      <w:szCs w:val="20"/>
    </w:rPr>
  </w:style>
  <w:style w:type="character" w:styleId="PageNumber">
    <w:name w:val="page number"/>
    <w:basedOn w:val="DefaultParagraphFont"/>
    <w:uiPriority w:val="99"/>
    <w:semiHidden/>
    <w:unhideWhenUsed/>
    <w:rsid w:val="009A045F"/>
  </w:style>
  <w:style w:type="paragraph" w:customStyle="1" w:styleId="RH-center">
    <w:name w:val="RH - center"/>
    <w:basedOn w:val="Normal"/>
    <w:next w:val="Normal"/>
    <w:uiPriority w:val="99"/>
    <w:rsid w:val="009A045F"/>
    <w:pPr>
      <w:widowControl w:val="0"/>
      <w:autoSpaceDE w:val="0"/>
      <w:autoSpaceDN w:val="0"/>
      <w:adjustRightInd w:val="0"/>
      <w:spacing w:line="280" w:lineRule="atLeast"/>
      <w:jc w:val="center"/>
      <w:textAlignment w:val="center"/>
    </w:pPr>
    <w:rPr>
      <w:rFonts w:ascii="TimesNewRomanPS-ItalicMT" w:hAnsi="TimesNewRomanPS-ItalicMT" w:cs="TimesNewRomanPS-ItalicMT"/>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740">
      <w:bodyDiv w:val="1"/>
      <w:marLeft w:val="0"/>
      <w:marRight w:val="0"/>
      <w:marTop w:val="0"/>
      <w:marBottom w:val="0"/>
      <w:divBdr>
        <w:top w:val="none" w:sz="0" w:space="0" w:color="auto"/>
        <w:left w:val="none" w:sz="0" w:space="0" w:color="auto"/>
        <w:bottom w:val="none" w:sz="0" w:space="0" w:color="auto"/>
        <w:right w:val="none" w:sz="0" w:space="0" w:color="auto"/>
      </w:divBdr>
      <w:divsChild>
        <w:div w:id="496460767">
          <w:marLeft w:val="0"/>
          <w:marRight w:val="0"/>
          <w:marTop w:val="0"/>
          <w:marBottom w:val="0"/>
          <w:divBdr>
            <w:top w:val="none" w:sz="0" w:space="0" w:color="auto"/>
            <w:left w:val="none" w:sz="0" w:space="0" w:color="auto"/>
            <w:bottom w:val="none" w:sz="0" w:space="0" w:color="auto"/>
            <w:right w:val="none" w:sz="0" w:space="0" w:color="auto"/>
          </w:divBdr>
          <w:divsChild>
            <w:div w:id="2040936983">
              <w:marLeft w:val="0"/>
              <w:marRight w:val="0"/>
              <w:marTop w:val="0"/>
              <w:marBottom w:val="0"/>
              <w:divBdr>
                <w:top w:val="none" w:sz="0" w:space="0" w:color="auto"/>
                <w:left w:val="none" w:sz="0" w:space="0" w:color="auto"/>
                <w:bottom w:val="none" w:sz="0" w:space="0" w:color="auto"/>
                <w:right w:val="none" w:sz="0" w:space="0" w:color="auto"/>
              </w:divBdr>
              <w:divsChild>
                <w:div w:id="821387367">
                  <w:marLeft w:val="0"/>
                  <w:marRight w:val="0"/>
                  <w:marTop w:val="0"/>
                  <w:marBottom w:val="0"/>
                  <w:divBdr>
                    <w:top w:val="none" w:sz="0" w:space="0" w:color="auto"/>
                    <w:left w:val="none" w:sz="0" w:space="0" w:color="auto"/>
                    <w:bottom w:val="none" w:sz="0" w:space="0" w:color="auto"/>
                    <w:right w:val="none" w:sz="0" w:space="0" w:color="auto"/>
                  </w:divBdr>
                  <w:divsChild>
                    <w:div w:id="1153990379">
                      <w:marLeft w:val="0"/>
                      <w:marRight w:val="0"/>
                      <w:marTop w:val="0"/>
                      <w:marBottom w:val="0"/>
                      <w:divBdr>
                        <w:top w:val="none" w:sz="0" w:space="0" w:color="auto"/>
                        <w:left w:val="none" w:sz="0" w:space="0" w:color="auto"/>
                        <w:bottom w:val="none" w:sz="0" w:space="0" w:color="auto"/>
                        <w:right w:val="none" w:sz="0" w:space="0" w:color="auto"/>
                      </w:divBdr>
                      <w:divsChild>
                        <w:div w:id="1241060715">
                          <w:marLeft w:val="0"/>
                          <w:marRight w:val="0"/>
                          <w:marTop w:val="0"/>
                          <w:marBottom w:val="0"/>
                          <w:divBdr>
                            <w:top w:val="none" w:sz="0" w:space="0" w:color="auto"/>
                            <w:left w:val="none" w:sz="0" w:space="0" w:color="auto"/>
                            <w:bottom w:val="none" w:sz="0" w:space="0" w:color="auto"/>
                            <w:right w:val="none" w:sz="0" w:space="0" w:color="auto"/>
                          </w:divBdr>
                          <w:divsChild>
                            <w:div w:id="320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4582">
      <w:bodyDiv w:val="1"/>
      <w:marLeft w:val="0"/>
      <w:marRight w:val="0"/>
      <w:marTop w:val="0"/>
      <w:marBottom w:val="0"/>
      <w:divBdr>
        <w:top w:val="none" w:sz="0" w:space="0" w:color="auto"/>
        <w:left w:val="none" w:sz="0" w:space="0" w:color="auto"/>
        <w:bottom w:val="none" w:sz="0" w:space="0" w:color="auto"/>
        <w:right w:val="none" w:sz="0" w:space="0" w:color="auto"/>
      </w:divBdr>
      <w:divsChild>
        <w:div w:id="1529636324">
          <w:marLeft w:val="0"/>
          <w:marRight w:val="0"/>
          <w:marTop w:val="0"/>
          <w:marBottom w:val="0"/>
          <w:divBdr>
            <w:top w:val="none" w:sz="0" w:space="0" w:color="auto"/>
            <w:left w:val="none" w:sz="0" w:space="0" w:color="auto"/>
            <w:bottom w:val="none" w:sz="0" w:space="0" w:color="auto"/>
            <w:right w:val="none" w:sz="0" w:space="0" w:color="auto"/>
          </w:divBdr>
          <w:divsChild>
            <w:div w:id="345139970">
              <w:marLeft w:val="0"/>
              <w:marRight w:val="0"/>
              <w:marTop w:val="0"/>
              <w:marBottom w:val="0"/>
              <w:divBdr>
                <w:top w:val="none" w:sz="0" w:space="0" w:color="auto"/>
                <w:left w:val="none" w:sz="0" w:space="0" w:color="auto"/>
                <w:bottom w:val="none" w:sz="0" w:space="0" w:color="auto"/>
                <w:right w:val="none" w:sz="0" w:space="0" w:color="auto"/>
              </w:divBdr>
              <w:divsChild>
                <w:div w:id="71006420">
                  <w:marLeft w:val="0"/>
                  <w:marRight w:val="0"/>
                  <w:marTop w:val="0"/>
                  <w:marBottom w:val="0"/>
                  <w:divBdr>
                    <w:top w:val="none" w:sz="0" w:space="0" w:color="auto"/>
                    <w:left w:val="none" w:sz="0" w:space="0" w:color="auto"/>
                    <w:bottom w:val="none" w:sz="0" w:space="0" w:color="auto"/>
                    <w:right w:val="none" w:sz="0" w:space="0" w:color="auto"/>
                  </w:divBdr>
                  <w:divsChild>
                    <w:div w:id="18746048">
                      <w:marLeft w:val="0"/>
                      <w:marRight w:val="0"/>
                      <w:marTop w:val="0"/>
                      <w:marBottom w:val="0"/>
                      <w:divBdr>
                        <w:top w:val="none" w:sz="0" w:space="0" w:color="auto"/>
                        <w:left w:val="none" w:sz="0" w:space="0" w:color="auto"/>
                        <w:bottom w:val="none" w:sz="0" w:space="0" w:color="auto"/>
                        <w:right w:val="none" w:sz="0" w:space="0" w:color="auto"/>
                      </w:divBdr>
                      <w:divsChild>
                        <w:div w:id="1282226694">
                          <w:marLeft w:val="0"/>
                          <w:marRight w:val="0"/>
                          <w:marTop w:val="0"/>
                          <w:marBottom w:val="0"/>
                          <w:divBdr>
                            <w:top w:val="none" w:sz="0" w:space="0" w:color="auto"/>
                            <w:left w:val="none" w:sz="0" w:space="0" w:color="auto"/>
                            <w:bottom w:val="none" w:sz="0" w:space="0" w:color="auto"/>
                            <w:right w:val="none" w:sz="0" w:space="0" w:color="auto"/>
                          </w:divBdr>
                          <w:divsChild>
                            <w:div w:id="14272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9505-E6C4-7847-AD47-2C060B9E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3810</Words>
  <Characters>21723</Characters>
  <Application>Microsoft Macintosh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25483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Flandreau Marc</dc:creator>
  <cp:keywords/>
  <dc:description/>
  <cp:lastModifiedBy>SS</cp:lastModifiedBy>
  <cp:revision>6</cp:revision>
  <cp:lastPrinted>2017-06-15T20:07:00Z</cp:lastPrinted>
  <dcterms:created xsi:type="dcterms:W3CDTF">2017-06-19T10:19:00Z</dcterms:created>
  <dcterms:modified xsi:type="dcterms:W3CDTF">2017-06-20T18:34:00Z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Analytical 7602587</vt:lpwstr>
  </property>
  <property fmtid="{D5CDD505-2E9C-101B-9397-08002B2CF9AE}" pid="3" name="DocVer">
    <vt:lpwstr>Analytical 7602587v1</vt:lpwstr>
  </property>
</Properties>
</file>