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F2343" w14:textId="77777777" w:rsidR="009C03FC" w:rsidRPr="001E1772" w:rsidRDefault="00D35749" w:rsidP="00B17ECF">
      <w:pPr>
        <w:pStyle w:val="Heading1"/>
        <w:spacing w:line="240" w:lineRule="auto"/>
        <w:jc w:val="center"/>
        <w:rPr>
          <w:rFonts w:ascii="Times New Roman" w:hAnsi="Times New Roman" w:cs="Times New Roman"/>
          <w:i/>
          <w:sz w:val="38"/>
          <w:szCs w:val="38"/>
        </w:rPr>
      </w:pPr>
      <w:r w:rsidRPr="001E1772">
        <w:rPr>
          <w:rFonts w:ascii="Times New Roman" w:hAnsi="Times New Roman" w:cs="Times New Roman"/>
          <w:i/>
          <w:sz w:val="38"/>
          <w:szCs w:val="38"/>
        </w:rPr>
        <w:t>Online</w:t>
      </w:r>
      <w:r w:rsidR="001E1772" w:rsidRPr="001E1772">
        <w:rPr>
          <w:rFonts w:ascii="Times New Roman" w:hAnsi="Times New Roman" w:cs="Times New Roman"/>
          <w:i/>
          <w:sz w:val="38"/>
          <w:szCs w:val="38"/>
        </w:rPr>
        <w:t xml:space="preserve"> Appendix</w:t>
      </w:r>
    </w:p>
    <w:p w14:paraId="50088CF1" w14:textId="28DD9514" w:rsidR="009C03FC" w:rsidRDefault="001E1772" w:rsidP="00B17ECF">
      <w:pPr>
        <w:pStyle w:val="Heading1"/>
        <w:spacing w:line="240" w:lineRule="auto"/>
        <w:jc w:val="center"/>
        <w:rPr>
          <w:rFonts w:ascii="Times New Roman" w:hAnsi="Times New Roman" w:cs="Times New Roman"/>
          <w:i/>
          <w:sz w:val="38"/>
          <w:szCs w:val="38"/>
        </w:rPr>
      </w:pPr>
      <w:r>
        <w:rPr>
          <w:rFonts w:ascii="Times New Roman" w:hAnsi="Times New Roman" w:cs="Times New Roman"/>
          <w:i/>
          <w:sz w:val="38"/>
          <w:szCs w:val="38"/>
        </w:rPr>
        <w:t>Political Institutions, E</w:t>
      </w:r>
      <w:r w:rsidR="009C03FC" w:rsidRPr="001E1772">
        <w:rPr>
          <w:rFonts w:ascii="Times New Roman" w:hAnsi="Times New Roman" w:cs="Times New Roman"/>
          <w:i/>
          <w:sz w:val="38"/>
          <w:szCs w:val="38"/>
        </w:rPr>
        <w:t xml:space="preserve">conomic </w:t>
      </w:r>
      <w:r>
        <w:rPr>
          <w:rFonts w:ascii="Times New Roman" w:hAnsi="Times New Roman" w:cs="Times New Roman"/>
          <w:i/>
          <w:sz w:val="38"/>
          <w:szCs w:val="38"/>
        </w:rPr>
        <w:t xml:space="preserve">Liberty, </w:t>
      </w:r>
      <w:r w:rsidR="00FF6C51">
        <w:rPr>
          <w:rFonts w:ascii="Times New Roman" w:hAnsi="Times New Roman" w:cs="Times New Roman"/>
          <w:i/>
          <w:sz w:val="38"/>
          <w:szCs w:val="38"/>
        </w:rPr>
        <w:br/>
      </w:r>
      <w:r>
        <w:rPr>
          <w:rFonts w:ascii="Times New Roman" w:hAnsi="Times New Roman" w:cs="Times New Roman"/>
          <w:i/>
          <w:sz w:val="38"/>
          <w:szCs w:val="38"/>
        </w:rPr>
        <w:t>and the Great Divergence</w:t>
      </w:r>
    </w:p>
    <w:p w14:paraId="3CEA19BF" w14:textId="77777777" w:rsidR="00C51AA7" w:rsidRPr="00C51AA7" w:rsidRDefault="00C51AA7" w:rsidP="00C51AA7"/>
    <w:p w14:paraId="7313DDF4" w14:textId="77777777" w:rsidR="00B17ECF" w:rsidRPr="00B17ECF" w:rsidRDefault="006B6D82" w:rsidP="00B91658">
      <w:pPr>
        <w:pStyle w:val="Heading1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caps/>
          <w:sz w:val="20"/>
          <w:szCs w:val="20"/>
        </w:rPr>
      </w:pPr>
      <w:r w:rsidRPr="00B17ECF">
        <w:rPr>
          <w:rFonts w:ascii="Times New Roman" w:hAnsi="Times New Roman" w:cs="Times New Roman"/>
          <w:caps/>
          <w:sz w:val="20"/>
          <w:szCs w:val="20"/>
        </w:rPr>
        <w:t>Optimal tariff rates</w:t>
      </w:r>
    </w:p>
    <w:p w14:paraId="5C36C2C3" w14:textId="77777777" w:rsidR="00B17ECF" w:rsidRDefault="00B17ECF" w:rsidP="00B17E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BDAAD0C" w14:textId="196CBEAC" w:rsidR="006B6D82" w:rsidRPr="001E1772" w:rsidRDefault="006B6D82" w:rsidP="00AC0E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E1772">
        <w:rPr>
          <w:rFonts w:ascii="Times New Roman" w:hAnsi="Times New Roman" w:cs="Times New Roman"/>
          <w:sz w:val="20"/>
          <w:szCs w:val="20"/>
        </w:rPr>
        <w:t xml:space="preserve">To elaborate on the remarks in the text, I assume ruler </w:t>
      </w:r>
      <w:r w:rsidR="000B47B4">
        <w:rPr>
          <w:rFonts w:ascii="Times New Roman" w:hAnsi="Times New Roman" w:cs="Times New Roman"/>
          <w:sz w:val="20"/>
          <w:szCs w:val="20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 xml:space="preserve"> sets his tariff rate on route </w:t>
      </w:r>
      <w:r w:rsidR="000B47B4">
        <w:rPr>
          <w:rFonts w:ascii="Times New Roman" w:hAnsi="Times New Roman" w:cs="Times New Roman"/>
          <w:sz w:val="20"/>
          <w:szCs w:val="20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 xml:space="preserve"> in order to maximize his revenue from tariffs and tolls.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sz w:val="20"/>
          <w:szCs w:val="20"/>
        </w:rPr>
        <w:t>He uses some of this revenue to maintain the route.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sz w:val="20"/>
          <w:szCs w:val="20"/>
        </w:rPr>
        <w:t xml:space="preserve">For simplicity, I focus on cases in which maintenance costs are negligible and symmetric across rulers; the route with the lowest TTC can accommodate all the traffic with no crowding effects; each route is controlled by a distinct ruler (so e = </w:t>
      </w:r>
      <w:r w:rsidR="00DE4C21">
        <w:rPr>
          <w:rFonts w:ascii="Times New Roman" w:hAnsi="Times New Roman" w:cs="Times New Roman"/>
          <w:sz w:val="20"/>
          <w:szCs w:val="20"/>
        </w:rPr>
        <w:t>1 &lt; n</w:t>
      </w:r>
      <w:r w:rsidRPr="001E1772">
        <w:rPr>
          <w:rFonts w:ascii="Times New Roman" w:hAnsi="Times New Roman" w:cs="Times New Roman"/>
          <w:sz w:val="20"/>
          <w:szCs w:val="20"/>
        </w:rPr>
        <w:t>); and c</w:t>
      </w:r>
      <w:r w:rsidRPr="001E177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 xml:space="preserve"> &lt; c</w:t>
      </w:r>
      <w:r w:rsidRPr="001E177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1E1772">
        <w:rPr>
          <w:rFonts w:ascii="Times New Roman" w:hAnsi="Times New Roman" w:cs="Times New Roman"/>
          <w:sz w:val="20"/>
          <w:szCs w:val="20"/>
        </w:rPr>
        <w:t>.</w:t>
      </w:r>
    </w:p>
    <w:p w14:paraId="4F2D8903" w14:textId="0C46D0A7" w:rsidR="006B6D82" w:rsidRDefault="006B6D82" w:rsidP="00AC0E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E1772">
        <w:rPr>
          <w:rFonts w:ascii="Times New Roman" w:hAnsi="Times New Roman" w:cs="Times New Roman"/>
          <w:sz w:val="20"/>
          <w:szCs w:val="20"/>
        </w:rPr>
        <w:t xml:space="preserve">Let </w:t>
      </w:r>
      <w:r w:rsidRPr="001E1772">
        <w:rPr>
          <w:rFonts w:ascii="Times New Roman" w:hAnsi="Times New Roman" w:cs="Times New Roman"/>
          <w:sz w:val="20"/>
          <w:szCs w:val="20"/>
        </w:rPr>
        <w:sym w:font="Symbol" w:char="F073"/>
      </w:r>
      <w:r w:rsidRPr="001E177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>(</w:t>
      </w:r>
      <w:r w:rsidRPr="001E1772">
        <w:rPr>
          <w:rFonts w:ascii="Times New Roman" w:hAnsi="Times New Roman" w:cs="Times New Roman"/>
          <w:sz w:val="20"/>
          <w:szCs w:val="20"/>
        </w:rPr>
        <w:sym w:font="Symbol" w:char="F074"/>
      </w:r>
      <w:r w:rsidRPr="001E177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 xml:space="preserve">) be the share of merchandise shipped on route </w:t>
      </w:r>
      <w:r w:rsidR="000B47B4">
        <w:rPr>
          <w:rFonts w:ascii="Times New Roman" w:hAnsi="Times New Roman" w:cs="Times New Roman"/>
          <w:sz w:val="20"/>
          <w:szCs w:val="20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>, as a function of the tariff rate on that road.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sz w:val="20"/>
          <w:szCs w:val="20"/>
        </w:rPr>
        <w:t xml:space="preserve">Formally, </w:t>
      </w:r>
    </w:p>
    <w:p w14:paraId="20EE2842" w14:textId="77777777" w:rsidR="00AC0E8A" w:rsidRPr="001E1772" w:rsidRDefault="00AC0E8A" w:rsidP="00AC0E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6B8B4297" w14:textId="14B881D6" w:rsidR="006B6D82" w:rsidRPr="001E1772" w:rsidRDefault="00B91658" w:rsidP="00B9165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1E1772">
        <w:rPr>
          <w:rFonts w:ascii="Times New Roman" w:hAnsi="Times New Roman" w:cs="Times New Roman"/>
          <w:position w:val="-46"/>
          <w:sz w:val="20"/>
          <w:szCs w:val="20"/>
        </w:rPr>
        <w:object w:dxaOrig="4940" w:dyaOrig="1040" w14:anchorId="0261F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39.5pt" o:ole="">
            <v:imagedata r:id="rId7" o:title=""/>
          </v:shape>
          <o:OLEObject Type="Embed" ProgID="Equation.3" ShapeID="_x0000_i1025" DrawAspect="Content" ObjectID="_1559135171" r:id="rId8"/>
        </w:object>
      </w:r>
      <w:r w:rsidR="00AC0E8A">
        <w:rPr>
          <w:rFonts w:ascii="Times New Roman" w:hAnsi="Times New Roman" w:cs="Times New Roman"/>
          <w:sz w:val="20"/>
          <w:szCs w:val="20"/>
        </w:rPr>
        <w:t>.</w:t>
      </w:r>
    </w:p>
    <w:p w14:paraId="58869A28" w14:textId="77777777" w:rsidR="00AC0E8A" w:rsidRDefault="00AC0E8A" w:rsidP="00B17E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D4E1C0" w14:textId="30D3FA81" w:rsidR="006B6D82" w:rsidRPr="001E1772" w:rsidRDefault="006B6D82" w:rsidP="00B17E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772">
        <w:rPr>
          <w:rFonts w:ascii="Times New Roman" w:hAnsi="Times New Roman" w:cs="Times New Roman"/>
          <w:sz w:val="20"/>
          <w:szCs w:val="20"/>
        </w:rPr>
        <w:t>Here, m(</w:t>
      </w:r>
      <w:r w:rsidRPr="001E1772">
        <w:rPr>
          <w:rFonts w:ascii="Times New Roman" w:hAnsi="Times New Roman" w:cs="Times New Roman"/>
          <w:sz w:val="20"/>
          <w:szCs w:val="20"/>
        </w:rPr>
        <w:sym w:font="Symbol" w:char="F074"/>
      </w:r>
      <w:r w:rsidRPr="001E1772">
        <w:rPr>
          <w:rFonts w:ascii="Times New Roman" w:hAnsi="Times New Roman" w:cs="Times New Roman"/>
          <w:sz w:val="20"/>
          <w:szCs w:val="20"/>
        </w:rPr>
        <w:t xml:space="preserve">) = </w:t>
      </w:r>
      <w:r w:rsidR="00DE4C21">
        <w:rPr>
          <w:rFonts w:ascii="Times New Roman" w:hAnsi="Times New Roman" w:cs="Times New Roman"/>
          <w:sz w:val="20"/>
          <w:szCs w:val="20"/>
        </w:rPr>
        <w:t>|</w:t>
      </w:r>
      <w:r w:rsidRPr="001E1772">
        <w:rPr>
          <w:rFonts w:ascii="Times New Roman" w:hAnsi="Times New Roman" w:cs="Times New Roman"/>
          <w:sz w:val="20"/>
          <w:szCs w:val="20"/>
        </w:rPr>
        <w:t>{j &gt; 1: c</w:t>
      </w:r>
      <w:r w:rsidRPr="001E1772">
        <w:rPr>
          <w:rFonts w:ascii="Times New Roman" w:hAnsi="Times New Roman" w:cs="Times New Roman"/>
          <w:sz w:val="20"/>
          <w:szCs w:val="20"/>
          <w:vertAlign w:val="subscript"/>
        </w:rPr>
        <w:t>j</w:t>
      </w:r>
      <w:r w:rsidRPr="001E1772">
        <w:rPr>
          <w:rFonts w:ascii="Times New Roman" w:hAnsi="Times New Roman" w:cs="Times New Roman"/>
          <w:sz w:val="20"/>
          <w:szCs w:val="20"/>
        </w:rPr>
        <w:t xml:space="preserve"> + </w:t>
      </w:r>
      <w:r w:rsidRPr="001E1772">
        <w:rPr>
          <w:rFonts w:ascii="Times New Roman" w:hAnsi="Times New Roman" w:cs="Times New Roman"/>
          <w:sz w:val="20"/>
          <w:szCs w:val="20"/>
        </w:rPr>
        <w:sym w:font="Symbol" w:char="F074"/>
      </w:r>
      <w:r w:rsidRPr="001E1772">
        <w:rPr>
          <w:rFonts w:ascii="Times New Roman" w:hAnsi="Times New Roman" w:cs="Times New Roman"/>
          <w:sz w:val="20"/>
          <w:szCs w:val="20"/>
          <w:vertAlign w:val="subscript"/>
        </w:rPr>
        <w:t>j</w:t>
      </w:r>
      <w:r w:rsidRPr="001E1772">
        <w:rPr>
          <w:rFonts w:ascii="Times New Roman" w:hAnsi="Times New Roman" w:cs="Times New Roman"/>
          <w:sz w:val="20"/>
          <w:szCs w:val="20"/>
        </w:rPr>
        <w:t xml:space="preserve"> + g(</w:t>
      </w:r>
      <w:r w:rsidRPr="001E1772">
        <w:rPr>
          <w:rFonts w:ascii="Times New Roman" w:hAnsi="Times New Roman" w:cs="Times New Roman"/>
          <w:sz w:val="20"/>
          <w:szCs w:val="20"/>
        </w:rPr>
        <w:sym w:font="Symbol" w:char="F070"/>
      </w:r>
      <w:r w:rsidRPr="001E1772">
        <w:rPr>
          <w:rFonts w:ascii="Times New Roman" w:hAnsi="Times New Roman" w:cs="Times New Roman"/>
          <w:sz w:val="20"/>
          <w:szCs w:val="20"/>
          <w:vertAlign w:val="subscript"/>
        </w:rPr>
        <w:t>j</w:t>
      </w:r>
      <w:r w:rsidRPr="001E1772">
        <w:rPr>
          <w:rFonts w:ascii="Times New Roman" w:hAnsi="Times New Roman" w:cs="Times New Roman"/>
          <w:sz w:val="20"/>
          <w:szCs w:val="20"/>
        </w:rPr>
        <w:t>) = c</w:t>
      </w:r>
      <w:r w:rsidRPr="001E177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 xml:space="preserve"> + </w:t>
      </w:r>
      <w:r w:rsidRPr="001E1772">
        <w:rPr>
          <w:rFonts w:ascii="Times New Roman" w:hAnsi="Times New Roman" w:cs="Times New Roman"/>
          <w:sz w:val="20"/>
          <w:szCs w:val="20"/>
        </w:rPr>
        <w:sym w:font="Symbol" w:char="F074"/>
      </w:r>
      <w:r w:rsidRPr="001E177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 xml:space="preserve"> + g(</w:t>
      </w:r>
      <w:r w:rsidRPr="001E1772">
        <w:rPr>
          <w:rFonts w:ascii="Times New Roman" w:hAnsi="Times New Roman" w:cs="Times New Roman"/>
          <w:sz w:val="20"/>
          <w:szCs w:val="20"/>
        </w:rPr>
        <w:sym w:font="Symbol" w:char="F070"/>
      </w:r>
      <w:r w:rsidRPr="001E177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>)}</w:t>
      </w:r>
      <w:r w:rsidR="00DE4C21">
        <w:rPr>
          <w:rFonts w:ascii="Times New Roman" w:hAnsi="Times New Roman" w:cs="Times New Roman"/>
          <w:sz w:val="20"/>
          <w:szCs w:val="20"/>
        </w:rPr>
        <w:t>|</w:t>
      </w:r>
      <w:r w:rsidRPr="001E1772">
        <w:rPr>
          <w:rFonts w:ascii="Times New Roman" w:hAnsi="Times New Roman" w:cs="Times New Roman"/>
          <w:sz w:val="20"/>
          <w:szCs w:val="20"/>
        </w:rPr>
        <w:t xml:space="preserve"> is the number of routes, other than route </w:t>
      </w:r>
      <w:r w:rsidR="000B47B4">
        <w:rPr>
          <w:rFonts w:ascii="Times New Roman" w:hAnsi="Times New Roman" w:cs="Times New Roman"/>
          <w:sz w:val="20"/>
          <w:szCs w:val="20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 xml:space="preserve">, with a minimal TTC, given </w:t>
      </w:r>
      <w:r w:rsidRPr="001E1772">
        <w:rPr>
          <w:rFonts w:ascii="Times New Roman" w:hAnsi="Times New Roman" w:cs="Times New Roman"/>
          <w:sz w:val="20"/>
          <w:szCs w:val="20"/>
        </w:rPr>
        <w:sym w:font="Symbol" w:char="F074"/>
      </w:r>
      <w:r w:rsidRPr="001E1772">
        <w:rPr>
          <w:rFonts w:ascii="Times New Roman" w:hAnsi="Times New Roman" w:cs="Times New Roman"/>
          <w:sz w:val="20"/>
          <w:szCs w:val="20"/>
        </w:rPr>
        <w:t xml:space="preserve"> = (</w:t>
      </w:r>
      <w:r w:rsidRPr="001E1772">
        <w:rPr>
          <w:rFonts w:ascii="Times New Roman" w:hAnsi="Times New Roman" w:cs="Times New Roman"/>
          <w:sz w:val="20"/>
          <w:szCs w:val="20"/>
        </w:rPr>
        <w:sym w:font="Symbol" w:char="F074"/>
      </w:r>
      <w:r w:rsidRPr="001E177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>,…,</w:t>
      </w:r>
      <w:r w:rsidRPr="001E1772">
        <w:rPr>
          <w:rFonts w:ascii="Times New Roman" w:hAnsi="Times New Roman" w:cs="Times New Roman"/>
          <w:sz w:val="20"/>
          <w:szCs w:val="20"/>
        </w:rPr>
        <w:sym w:font="Symbol" w:char="F074"/>
      </w:r>
      <w:r w:rsidRPr="001E1772">
        <w:rPr>
          <w:rFonts w:ascii="Times New Roman" w:hAnsi="Times New Roman" w:cs="Times New Roman"/>
          <w:sz w:val="20"/>
          <w:szCs w:val="20"/>
          <w:vertAlign w:val="subscript"/>
        </w:rPr>
        <w:t>n</w:t>
      </w:r>
      <w:r w:rsidRPr="001E1772">
        <w:rPr>
          <w:rFonts w:ascii="Times New Roman" w:hAnsi="Times New Roman" w:cs="Times New Roman"/>
          <w:sz w:val="20"/>
          <w:szCs w:val="20"/>
        </w:rPr>
        <w:t>).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547D6" w14:textId="1571F050" w:rsidR="006B6D82" w:rsidRPr="001E1772" w:rsidRDefault="006B6D82" w:rsidP="00AC0E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772">
        <w:rPr>
          <w:rFonts w:ascii="Times New Roman" w:hAnsi="Times New Roman" w:cs="Times New Roman"/>
          <w:sz w:val="20"/>
          <w:szCs w:val="20"/>
        </w:rPr>
        <w:tab/>
        <w:t>Suppose</w:t>
      </w:r>
      <w:r w:rsidR="00DE4C21">
        <w:rPr>
          <w:rFonts w:ascii="Times New Roman" w:hAnsi="Times New Roman" w:cs="Times New Roman"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sz w:val="20"/>
          <w:szCs w:val="20"/>
        </w:rPr>
        <w:t xml:space="preserve"> m(</w:t>
      </w:r>
      <w:r w:rsidRPr="001E1772">
        <w:rPr>
          <w:rFonts w:ascii="Times New Roman" w:hAnsi="Times New Roman" w:cs="Times New Roman"/>
          <w:sz w:val="20"/>
          <w:szCs w:val="20"/>
        </w:rPr>
        <w:sym w:font="Symbol" w:char="F074"/>
      </w:r>
      <w:r w:rsidRPr="001E1772">
        <w:rPr>
          <w:rFonts w:ascii="Times New Roman" w:hAnsi="Times New Roman" w:cs="Times New Roman"/>
          <w:sz w:val="20"/>
          <w:szCs w:val="20"/>
        </w:rPr>
        <w:t>) &gt; 0.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sz w:val="20"/>
          <w:szCs w:val="20"/>
        </w:rPr>
        <w:t>In this case, at least one of the rulers with a route that offers the lowest available TTC could earn more revenue by reducing his tariff rate by a tiny amount.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sz w:val="20"/>
          <w:szCs w:val="20"/>
        </w:rPr>
        <w:t>Such a reduction would increase his share of the trade from 1/m(</w:t>
      </w:r>
      <w:r w:rsidRPr="001E1772">
        <w:rPr>
          <w:rFonts w:ascii="Times New Roman" w:hAnsi="Times New Roman" w:cs="Times New Roman"/>
          <w:sz w:val="20"/>
          <w:szCs w:val="20"/>
        </w:rPr>
        <w:sym w:font="Symbol" w:char="F074"/>
      </w:r>
      <w:r w:rsidRPr="001E1772">
        <w:rPr>
          <w:rFonts w:ascii="Times New Roman" w:hAnsi="Times New Roman" w:cs="Times New Roman"/>
          <w:sz w:val="20"/>
          <w:szCs w:val="20"/>
        </w:rPr>
        <w:t>) to 1, thereby increasing his revenue.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sz w:val="20"/>
          <w:szCs w:val="20"/>
        </w:rPr>
        <w:t>Thus, the only Nash equilibria are such that m(</w:t>
      </w:r>
      <w:r w:rsidRPr="001E1772">
        <w:rPr>
          <w:rFonts w:ascii="Times New Roman" w:hAnsi="Times New Roman" w:cs="Times New Roman"/>
          <w:sz w:val="20"/>
          <w:szCs w:val="20"/>
        </w:rPr>
        <w:sym w:font="Symbol" w:char="F074"/>
      </w:r>
      <w:r w:rsidRPr="001E1772">
        <w:rPr>
          <w:rFonts w:ascii="Times New Roman" w:hAnsi="Times New Roman" w:cs="Times New Roman"/>
          <w:sz w:val="20"/>
          <w:szCs w:val="20"/>
        </w:rPr>
        <w:t>) = 0.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sz w:val="20"/>
          <w:szCs w:val="20"/>
        </w:rPr>
        <w:t xml:space="preserve">In other words, the emperor sets his tariff just low enough in order to attract all the traffic to route </w:t>
      </w:r>
      <w:r w:rsidR="000B47B4">
        <w:rPr>
          <w:rFonts w:ascii="Times New Roman" w:hAnsi="Times New Roman" w:cs="Times New Roman"/>
          <w:sz w:val="20"/>
          <w:szCs w:val="20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>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01A25B" w14:textId="4F324417" w:rsidR="006B6D82" w:rsidRPr="001E1772" w:rsidRDefault="006B6D82" w:rsidP="00AC0E8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772">
        <w:rPr>
          <w:rFonts w:ascii="Times New Roman" w:hAnsi="Times New Roman" w:cs="Times New Roman"/>
          <w:sz w:val="20"/>
          <w:szCs w:val="20"/>
        </w:rPr>
        <w:tab/>
        <w:t>I assume rulers cannot operate a road profitably at a zero tariff; the otherwise negligible costs of maintaining the route make this infeasible.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sz w:val="20"/>
          <w:szCs w:val="20"/>
        </w:rPr>
        <w:t xml:space="preserve">Thus, in the limit as maintenance costs approach zero, the emperor can attract all traffic to route </w:t>
      </w:r>
      <w:r w:rsidR="000B47B4">
        <w:rPr>
          <w:rFonts w:ascii="Times New Roman" w:hAnsi="Times New Roman" w:cs="Times New Roman"/>
          <w:sz w:val="20"/>
          <w:szCs w:val="20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 xml:space="preserve"> by setting </w:t>
      </w:r>
      <w:r w:rsidRPr="001E1772">
        <w:rPr>
          <w:rFonts w:ascii="Times New Roman" w:hAnsi="Times New Roman" w:cs="Times New Roman"/>
          <w:sz w:val="20"/>
          <w:szCs w:val="20"/>
        </w:rPr>
        <w:sym w:font="Symbol" w:char="F074"/>
      </w:r>
      <w:r w:rsidRPr="001E177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 xml:space="preserve"> in order to solve c</w:t>
      </w:r>
      <w:r w:rsidRPr="001E177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 xml:space="preserve"> + </w:t>
      </w:r>
      <w:r w:rsidRPr="001E1772">
        <w:rPr>
          <w:rFonts w:ascii="Times New Roman" w:hAnsi="Times New Roman" w:cs="Times New Roman"/>
          <w:sz w:val="20"/>
          <w:szCs w:val="20"/>
        </w:rPr>
        <w:sym w:font="Symbol" w:char="F074"/>
      </w:r>
      <w:r w:rsidRPr="001E177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 xml:space="preserve"> + g(</w:t>
      </w:r>
      <w:r w:rsidRPr="001E1772">
        <w:rPr>
          <w:rFonts w:ascii="Times New Roman" w:hAnsi="Times New Roman" w:cs="Times New Roman"/>
          <w:sz w:val="20"/>
          <w:szCs w:val="20"/>
        </w:rPr>
        <w:sym w:font="Symbol" w:char="F070"/>
      </w:r>
      <w:r w:rsidRPr="001E177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1E1772">
        <w:rPr>
          <w:rFonts w:ascii="Times New Roman" w:hAnsi="Times New Roman" w:cs="Times New Roman"/>
          <w:sz w:val="20"/>
          <w:szCs w:val="20"/>
        </w:rPr>
        <w:t>) =</w:t>
      </w:r>
      <w:r w:rsidR="00DE4C21">
        <w:rPr>
          <w:rFonts w:ascii="Times New Roman" w:hAnsi="Times New Roman" w:cs="Times New Roman"/>
          <w:sz w:val="20"/>
          <w:szCs w:val="20"/>
        </w:rPr>
        <w:t xml:space="preserve"> </w:t>
      </w:r>
      <w:r w:rsidR="00EF3B1E" w:rsidRPr="00DE4C21">
        <w:rPr>
          <w:rFonts w:ascii="Times New Roman" w:hAnsi="Times New Roman" w:cs="Times New Roman"/>
          <w:position w:val="-24"/>
          <w:sz w:val="20"/>
          <w:szCs w:val="20"/>
        </w:rPr>
        <w:object w:dxaOrig="1500" w:dyaOrig="480" w14:anchorId="022B38E4">
          <v:shape id="_x0000_i1026" type="#_x0000_t75" style="width:69pt;height:21.5pt" o:ole="">
            <v:imagedata r:id="rId9" o:title=""/>
          </v:shape>
          <o:OLEObject Type="Embed" ProgID="Equation.3" ShapeID="_x0000_i1026" DrawAspect="Content" ObjectID="_1559135172" r:id="rId10"/>
        </w:object>
      </w:r>
      <w:r w:rsidRPr="001E1772">
        <w:rPr>
          <w:rFonts w:ascii="Times New Roman" w:hAnsi="Times New Roman" w:cs="Times New Roman"/>
          <w:sz w:val="20"/>
          <w:szCs w:val="20"/>
        </w:rPr>
        <w:t>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sz w:val="20"/>
          <w:szCs w:val="20"/>
        </w:rPr>
        <w:t>When all rulers are equally likely to impose confiscatory surcharges, this reduces to (a special case of) the condition in the text.</w:t>
      </w:r>
    </w:p>
    <w:p w14:paraId="13BE26B9" w14:textId="77777777" w:rsidR="00B17ECF" w:rsidRPr="00B17ECF" w:rsidRDefault="007D1A8E" w:rsidP="00B91658">
      <w:pPr>
        <w:pStyle w:val="Heading1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caps/>
          <w:sz w:val="20"/>
          <w:szCs w:val="20"/>
        </w:rPr>
      </w:pPr>
      <w:r w:rsidRPr="00B17ECF">
        <w:rPr>
          <w:rFonts w:ascii="Times New Roman" w:hAnsi="Times New Roman" w:cs="Times New Roman"/>
          <w:caps/>
          <w:sz w:val="20"/>
          <w:szCs w:val="20"/>
        </w:rPr>
        <w:t>Top clusters</w:t>
      </w:r>
    </w:p>
    <w:p w14:paraId="00E03A64" w14:textId="77777777" w:rsidR="00B17ECF" w:rsidRDefault="00B17ECF" w:rsidP="00B17E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2CB4C4" w14:textId="77777777" w:rsidR="009C03FC" w:rsidRPr="001E1772" w:rsidRDefault="009C03FC" w:rsidP="009920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E1772">
        <w:rPr>
          <w:rFonts w:ascii="Times New Roman" w:hAnsi="Times New Roman" w:cs="Times New Roman"/>
          <w:sz w:val="20"/>
          <w:szCs w:val="20"/>
        </w:rPr>
        <w:t xml:space="preserve">To </w:t>
      </w:r>
      <w:r w:rsidR="00DD02F9" w:rsidRPr="001E1772">
        <w:rPr>
          <w:rFonts w:ascii="Times New Roman" w:hAnsi="Times New Roman" w:cs="Times New Roman"/>
          <w:sz w:val="20"/>
          <w:szCs w:val="20"/>
        </w:rPr>
        <w:t>identify</w:t>
      </w:r>
      <w:r w:rsidRPr="001E1772">
        <w:rPr>
          <w:rFonts w:ascii="Times New Roman" w:hAnsi="Times New Roman" w:cs="Times New Roman"/>
          <w:sz w:val="20"/>
          <w:szCs w:val="20"/>
        </w:rPr>
        <w:t xml:space="preserve"> “</w:t>
      </w:r>
      <w:r w:rsidR="008D3BED" w:rsidRPr="001E1772">
        <w:rPr>
          <w:rFonts w:ascii="Times New Roman" w:hAnsi="Times New Roman" w:cs="Times New Roman"/>
          <w:sz w:val="20"/>
          <w:szCs w:val="20"/>
        </w:rPr>
        <w:t xml:space="preserve">top </w:t>
      </w:r>
      <w:r w:rsidRPr="001E1772">
        <w:rPr>
          <w:rFonts w:ascii="Times New Roman" w:hAnsi="Times New Roman" w:cs="Times New Roman"/>
          <w:sz w:val="20"/>
          <w:szCs w:val="20"/>
        </w:rPr>
        <w:t>clusters” in a given region and time, I proceeded as follows.</w:t>
      </w:r>
    </w:p>
    <w:p w14:paraId="0F1FA404" w14:textId="77777777" w:rsidR="008D3BED" w:rsidRPr="001E1772" w:rsidRDefault="008D3BED" w:rsidP="00B17E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E3E024" w14:textId="7F9CA17C" w:rsidR="009C03FC" w:rsidRPr="001E1772" w:rsidRDefault="009C03FC" w:rsidP="00B91658">
      <w:pPr>
        <w:spacing w:after="0" w:line="240" w:lineRule="auto"/>
        <w:ind w:left="1080" w:hanging="648"/>
        <w:jc w:val="both"/>
        <w:rPr>
          <w:rFonts w:ascii="Times New Roman" w:hAnsi="Times New Roman" w:cs="Times New Roman"/>
          <w:sz w:val="20"/>
          <w:szCs w:val="20"/>
        </w:rPr>
      </w:pPr>
      <w:r w:rsidRPr="001E1772">
        <w:rPr>
          <w:rFonts w:ascii="Times New Roman" w:hAnsi="Times New Roman" w:cs="Times New Roman"/>
          <w:sz w:val="20"/>
          <w:szCs w:val="20"/>
        </w:rPr>
        <w:t>Step 1: Identify all cities whose population growth and urban potenti</w:t>
      </w:r>
      <w:r w:rsidR="00992072">
        <w:rPr>
          <w:rFonts w:ascii="Times New Roman" w:hAnsi="Times New Roman" w:cs="Times New Roman"/>
          <w:sz w:val="20"/>
          <w:szCs w:val="20"/>
        </w:rPr>
        <w:t>al growth were both above the 90th</w:t>
      </w:r>
      <w:r w:rsidRPr="001E1772">
        <w:rPr>
          <w:rFonts w:ascii="Times New Roman" w:hAnsi="Times New Roman" w:cs="Times New Roman"/>
          <w:sz w:val="20"/>
          <w:szCs w:val="20"/>
        </w:rPr>
        <w:t xml:space="preserve"> percentile for their region and year.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sz w:val="20"/>
          <w:szCs w:val="20"/>
        </w:rPr>
        <w:t>Call these the “seeds.”</w:t>
      </w:r>
    </w:p>
    <w:p w14:paraId="001AAD7F" w14:textId="23AAEB6B" w:rsidR="009C03FC" w:rsidRPr="001E1772" w:rsidRDefault="009C03FC" w:rsidP="00B91658">
      <w:pPr>
        <w:spacing w:after="0" w:line="240" w:lineRule="auto"/>
        <w:ind w:left="1080" w:hanging="648"/>
        <w:jc w:val="both"/>
        <w:rPr>
          <w:rFonts w:ascii="Times New Roman" w:hAnsi="Times New Roman" w:cs="Times New Roman"/>
          <w:sz w:val="20"/>
          <w:szCs w:val="20"/>
        </w:rPr>
      </w:pPr>
      <w:r w:rsidRPr="001E1772">
        <w:rPr>
          <w:rFonts w:ascii="Times New Roman" w:hAnsi="Times New Roman" w:cs="Times New Roman"/>
          <w:sz w:val="20"/>
          <w:szCs w:val="20"/>
        </w:rPr>
        <w:t>Step 2: If two or more seeds are within 100</w:t>
      </w:r>
      <w:r w:rsidR="000B47B4">
        <w:rPr>
          <w:rFonts w:ascii="Times New Roman" w:hAnsi="Times New Roman" w:cs="Times New Roman"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sz w:val="20"/>
          <w:szCs w:val="20"/>
        </w:rPr>
        <w:t>km of each other, then group them and compute their centroid.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sz w:val="20"/>
          <w:szCs w:val="20"/>
        </w:rPr>
        <w:t>Otherwise, each seed is considered separately.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7E85DB" w14:textId="58C0156C" w:rsidR="009C03FC" w:rsidRPr="001E1772" w:rsidRDefault="009C03FC" w:rsidP="00B91658">
      <w:pPr>
        <w:spacing w:after="0" w:line="240" w:lineRule="auto"/>
        <w:ind w:left="1080" w:hanging="648"/>
        <w:jc w:val="both"/>
        <w:rPr>
          <w:rFonts w:ascii="Times New Roman" w:hAnsi="Times New Roman" w:cs="Times New Roman"/>
          <w:sz w:val="20"/>
          <w:szCs w:val="20"/>
        </w:rPr>
      </w:pPr>
      <w:r w:rsidRPr="001E1772">
        <w:rPr>
          <w:rFonts w:ascii="Times New Roman" w:hAnsi="Times New Roman" w:cs="Times New Roman"/>
          <w:sz w:val="20"/>
          <w:szCs w:val="20"/>
        </w:rPr>
        <w:t>Step 3:</w:t>
      </w:r>
      <w:r w:rsidR="00DB74C5">
        <w:rPr>
          <w:rFonts w:ascii="Times New Roman" w:hAnsi="Times New Roman" w:cs="Times New Roman"/>
          <w:sz w:val="20"/>
          <w:szCs w:val="20"/>
        </w:rPr>
        <w:tab/>
      </w:r>
      <w:r w:rsidRPr="001E1772">
        <w:rPr>
          <w:rFonts w:ascii="Times New Roman" w:hAnsi="Times New Roman" w:cs="Times New Roman"/>
          <w:sz w:val="20"/>
          <w:szCs w:val="20"/>
        </w:rPr>
        <w:t>Define cities with positive and above-average growth rates that are within +/</w:t>
      </w:r>
      <w:r w:rsidR="00DB74C5">
        <w:rPr>
          <w:rFonts w:ascii="Times New Roman" w:hAnsi="Times New Roman" w:cs="Times New Roman"/>
          <w:sz w:val="20"/>
          <w:szCs w:val="20"/>
        </w:rPr>
        <w:t>–</w:t>
      </w:r>
      <w:r w:rsidRPr="001E1772">
        <w:rPr>
          <w:rFonts w:ascii="Times New Roman" w:hAnsi="Times New Roman" w:cs="Times New Roman"/>
          <w:sz w:val="20"/>
          <w:szCs w:val="20"/>
        </w:rPr>
        <w:t xml:space="preserve"> 1 degree of the seed centroid as “neighbors.”</w:t>
      </w:r>
    </w:p>
    <w:p w14:paraId="02E1D631" w14:textId="07656D0A" w:rsidR="009C03FC" w:rsidRPr="001E1772" w:rsidRDefault="009C03FC" w:rsidP="00B91658">
      <w:pPr>
        <w:spacing w:after="0" w:line="240" w:lineRule="auto"/>
        <w:ind w:left="1080" w:hanging="648"/>
        <w:jc w:val="both"/>
        <w:rPr>
          <w:rFonts w:ascii="Times New Roman" w:hAnsi="Times New Roman" w:cs="Times New Roman"/>
          <w:sz w:val="20"/>
          <w:szCs w:val="20"/>
        </w:rPr>
      </w:pPr>
      <w:r w:rsidRPr="001E1772">
        <w:rPr>
          <w:rFonts w:ascii="Times New Roman" w:hAnsi="Times New Roman" w:cs="Times New Roman"/>
          <w:sz w:val="20"/>
          <w:szCs w:val="20"/>
        </w:rPr>
        <w:lastRenderedPageBreak/>
        <w:t xml:space="preserve">Step </w:t>
      </w:r>
      <w:r w:rsidR="00B97831" w:rsidRPr="001E1772">
        <w:rPr>
          <w:rFonts w:ascii="Times New Roman" w:hAnsi="Times New Roman" w:cs="Times New Roman"/>
          <w:sz w:val="20"/>
          <w:szCs w:val="20"/>
        </w:rPr>
        <w:t>4</w:t>
      </w:r>
      <w:r w:rsidRPr="001E1772">
        <w:rPr>
          <w:rFonts w:ascii="Times New Roman" w:hAnsi="Times New Roman" w:cs="Times New Roman"/>
          <w:sz w:val="20"/>
          <w:szCs w:val="20"/>
        </w:rPr>
        <w:t xml:space="preserve">: </w:t>
      </w:r>
      <w:r w:rsidR="00DD02F9" w:rsidRPr="001E1772">
        <w:rPr>
          <w:rFonts w:ascii="Times New Roman" w:hAnsi="Times New Roman" w:cs="Times New Roman"/>
          <w:sz w:val="20"/>
          <w:szCs w:val="20"/>
        </w:rPr>
        <w:t>If a seed has at least one co-seed or neighbor, then it forms cluster with all its co-seeds and neighbors.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sz w:val="20"/>
          <w:szCs w:val="20"/>
        </w:rPr>
        <w:t>The top cluster is the one with the largest number of seeds and neighbors.</w:t>
      </w:r>
    </w:p>
    <w:p w14:paraId="2CE2B70D" w14:textId="77777777" w:rsidR="008D3BED" w:rsidRPr="001E1772" w:rsidRDefault="008D3BED" w:rsidP="00B17ECF">
      <w:pPr>
        <w:spacing w:after="0" w:line="240" w:lineRule="auto"/>
        <w:ind w:left="432"/>
        <w:jc w:val="both"/>
        <w:rPr>
          <w:rFonts w:ascii="Times New Roman" w:hAnsi="Times New Roman" w:cs="Times New Roman"/>
          <w:sz w:val="20"/>
          <w:szCs w:val="20"/>
        </w:rPr>
      </w:pPr>
    </w:p>
    <w:p w14:paraId="109541EE" w14:textId="77777777" w:rsidR="008D3BED" w:rsidRDefault="008D3BED" w:rsidP="00B17E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1772">
        <w:rPr>
          <w:rFonts w:ascii="Times New Roman" w:hAnsi="Times New Roman" w:cs="Times New Roman"/>
          <w:sz w:val="20"/>
          <w:szCs w:val="20"/>
        </w:rPr>
        <w:t>The tables below identify the top clusters found in each region.</w:t>
      </w:r>
    </w:p>
    <w:p w14:paraId="490EF9B3" w14:textId="77777777" w:rsidR="00B17ECF" w:rsidRPr="001E1772" w:rsidRDefault="00B17ECF" w:rsidP="00B17E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8E2CFE" w14:textId="77777777" w:rsidR="00B17ECF" w:rsidRPr="00B17ECF" w:rsidRDefault="008D3BED" w:rsidP="00B17ECF">
      <w:pPr>
        <w:pStyle w:val="Heading2"/>
        <w:spacing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B17ECF">
        <w:rPr>
          <w:rFonts w:ascii="Times New Roman" w:hAnsi="Times New Roman" w:cs="Times New Roman"/>
          <w:smallCaps/>
          <w:sz w:val="20"/>
          <w:szCs w:val="20"/>
        </w:rPr>
        <w:t xml:space="preserve">Table </w:t>
      </w:r>
      <w:r w:rsidR="006B6D82" w:rsidRPr="00B17ECF">
        <w:rPr>
          <w:rFonts w:ascii="Times New Roman" w:hAnsi="Times New Roman" w:cs="Times New Roman"/>
          <w:smallCaps/>
          <w:sz w:val="20"/>
          <w:szCs w:val="20"/>
        </w:rPr>
        <w:t>B</w:t>
      </w:r>
      <w:r w:rsidR="00DD02F9" w:rsidRPr="00B17ECF">
        <w:rPr>
          <w:rFonts w:ascii="Times New Roman" w:hAnsi="Times New Roman" w:cs="Times New Roman"/>
          <w:smallCaps/>
          <w:sz w:val="20"/>
          <w:szCs w:val="20"/>
        </w:rPr>
        <w:t>.1</w:t>
      </w:r>
    </w:p>
    <w:p w14:paraId="0F60F015" w14:textId="77777777" w:rsidR="007D1A8E" w:rsidRPr="00B17ECF" w:rsidRDefault="00DD02F9" w:rsidP="00B17ECF">
      <w:pPr>
        <w:pStyle w:val="Heading2"/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B17ECF">
        <w:rPr>
          <w:rFonts w:ascii="Times New Roman" w:hAnsi="Times New Roman" w:cs="Times New Roman"/>
          <w:caps/>
          <w:sz w:val="20"/>
          <w:szCs w:val="20"/>
        </w:rPr>
        <w:t>Urban</w:t>
      </w:r>
      <w:r w:rsidR="00B17ECF" w:rsidRPr="00B17ECF">
        <w:rPr>
          <w:rFonts w:ascii="Times New Roman" w:hAnsi="Times New Roman" w:cs="Times New Roman"/>
          <w:caps/>
          <w:sz w:val="20"/>
          <w:szCs w:val="20"/>
        </w:rPr>
        <w:t xml:space="preserve"> C</w:t>
      </w:r>
      <w:r w:rsidR="00B97831" w:rsidRPr="00B17ECF">
        <w:rPr>
          <w:rFonts w:ascii="Times New Roman" w:hAnsi="Times New Roman" w:cs="Times New Roman"/>
          <w:caps/>
          <w:sz w:val="20"/>
          <w:szCs w:val="20"/>
        </w:rPr>
        <w:t xml:space="preserve">lusters in </w:t>
      </w:r>
      <w:r w:rsidR="000F3BC3" w:rsidRPr="00B17ECF">
        <w:rPr>
          <w:rFonts w:ascii="Times New Roman" w:hAnsi="Times New Roman" w:cs="Times New Roman"/>
          <w:caps/>
          <w:sz w:val="20"/>
          <w:szCs w:val="20"/>
        </w:rPr>
        <w:t>Western Europe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1543"/>
        <w:gridCol w:w="2402"/>
        <w:gridCol w:w="1654"/>
      </w:tblGrid>
      <w:tr w:rsidR="00B97831" w:rsidRPr="001E1772" w14:paraId="39D727C3" w14:textId="77777777" w:rsidTr="00B17ECF">
        <w:tc>
          <w:tcPr>
            <w:tcW w:w="18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4E70702" w14:textId="5D6CBA38" w:rsidR="00B97831" w:rsidRPr="00992072" w:rsidRDefault="00C51AA7" w:rsidP="00B17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97831" w:rsidRPr="00992072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18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E04A619" w14:textId="2F30DF52" w:rsidR="00B97831" w:rsidRPr="00992072" w:rsidRDefault="00C51AA7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97831" w:rsidRPr="00992072">
              <w:rPr>
                <w:rFonts w:ascii="Times New Roman" w:hAnsi="Times New Roman" w:cs="Times New Roman"/>
                <w:sz w:val="16"/>
                <w:szCs w:val="16"/>
              </w:rPr>
              <w:t>Seeds</w:t>
            </w:r>
          </w:p>
        </w:tc>
        <w:tc>
          <w:tcPr>
            <w:tcW w:w="32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3650D23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Neighbors</w:t>
            </w:r>
          </w:p>
          <w:p w14:paraId="26B5BB87" w14:textId="77777777" w:rsidR="00B97831" w:rsidRPr="00992072" w:rsidRDefault="00E12DC0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(N</w:t>
            </w:r>
            <w:r w:rsidR="00B97831" w:rsidRPr="00992072">
              <w:rPr>
                <w:rFonts w:ascii="Times New Roman" w:hAnsi="Times New Roman" w:cs="Times New Roman"/>
                <w:sz w:val="16"/>
                <w:szCs w:val="16"/>
              </w:rPr>
              <w:t>umber)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4E7EC48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Population</w:t>
            </w:r>
          </w:p>
          <w:p w14:paraId="70604F82" w14:textId="77777777" w:rsidR="00B97831" w:rsidRPr="00992072" w:rsidRDefault="00E12DC0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(Number of C</w:t>
            </w:r>
            <w:r w:rsidR="00B97831" w:rsidRPr="00992072">
              <w:rPr>
                <w:rFonts w:ascii="Times New Roman" w:hAnsi="Times New Roman" w:cs="Times New Roman"/>
                <w:sz w:val="16"/>
                <w:szCs w:val="16"/>
              </w:rPr>
              <w:t>ities)</w:t>
            </w:r>
          </w:p>
        </w:tc>
      </w:tr>
      <w:tr w:rsidR="00B97831" w:rsidRPr="001E1772" w14:paraId="32A43074" w14:textId="77777777" w:rsidTr="00B17ECF"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D2F4C" w14:textId="77777777" w:rsidR="00B97831" w:rsidRPr="00992072" w:rsidRDefault="00B97831" w:rsidP="00B17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C26B7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Brussels,</w:t>
            </w:r>
          </w:p>
          <w:p w14:paraId="3756057C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St Omer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D3910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Bruges, Dunkerque, Ghent, Liege (4)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324E8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71,999</w:t>
            </w:r>
          </w:p>
          <w:p w14:paraId="354BA921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</w:tr>
      <w:tr w:rsidR="00B97831" w:rsidRPr="001E1772" w14:paraId="6C444C2D" w14:textId="77777777" w:rsidTr="00B17ECF"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FE3A755" w14:textId="77777777" w:rsidR="00B97831" w:rsidRPr="00992072" w:rsidRDefault="00B97831" w:rsidP="00B17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1300.1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B9755E0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Prato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37C63EBA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Arezzo, Bologna, Florence, Modena, Parma, Pisa, San Gimignano, Siena (8)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6142EE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268,033</w:t>
            </w:r>
          </w:p>
          <w:p w14:paraId="6D518ABC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(9)</w:t>
            </w:r>
          </w:p>
        </w:tc>
      </w:tr>
      <w:tr w:rsidR="00B97831" w:rsidRPr="001E1772" w14:paraId="5DD3302D" w14:textId="77777777" w:rsidTr="00B17ECF"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132B3A2F" w14:textId="77777777" w:rsidR="00B97831" w:rsidRPr="00992072" w:rsidRDefault="00B97831" w:rsidP="00B17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1300.2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7C63DCD6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Ghent,</w:t>
            </w:r>
          </w:p>
          <w:p w14:paraId="1E1BEDB0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Leuven,</w:t>
            </w:r>
          </w:p>
          <w:p w14:paraId="307A3ACD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St Omer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5C2E9759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Arras, Bruges, Brussels,</w:t>
            </w:r>
          </w:p>
          <w:p w14:paraId="0271191D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Dordrecht, Dunkerque, Middelburg (6)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DD109A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201,075</w:t>
            </w:r>
          </w:p>
          <w:p w14:paraId="06D2BE17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(9)</w:t>
            </w:r>
          </w:p>
        </w:tc>
      </w:tr>
      <w:tr w:rsidR="00B97831" w:rsidRPr="001E1772" w14:paraId="69352E71" w14:textId="77777777" w:rsidTr="00B17ECF"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09EC148E" w14:textId="77777777" w:rsidR="00B97831" w:rsidRPr="00992072" w:rsidRDefault="00B97831" w:rsidP="00B17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1400.1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0DD35C5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Amsterdam,</w:t>
            </w:r>
          </w:p>
          <w:p w14:paraId="0164AA86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Gouda,</w:t>
            </w:r>
          </w:p>
          <w:p w14:paraId="0DEE95FF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Haarlem,</w:t>
            </w:r>
          </w:p>
          <w:p w14:paraId="14FD1DC6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Zaandam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4D6BF481" w14:textId="0BD637A5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Alkmaar, Delft, Dordrecht,</w:t>
            </w:r>
            <w:r w:rsidR="00B916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Hertogenbosch, Leiden, Utrecht (6)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8FEA91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65,499</w:t>
            </w:r>
          </w:p>
          <w:p w14:paraId="49269BD6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(10)</w:t>
            </w:r>
          </w:p>
        </w:tc>
      </w:tr>
      <w:tr w:rsidR="00B97831" w:rsidRPr="001E1772" w14:paraId="0FF68917" w14:textId="77777777" w:rsidTr="00B17ECF"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8438CC1" w14:textId="77777777" w:rsidR="00B97831" w:rsidRPr="00992072" w:rsidRDefault="00B97831" w:rsidP="00B17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1400.2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27B8A94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Copenhagen,</w:t>
            </w:r>
          </w:p>
          <w:p w14:paraId="288007AA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Malmo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52B2CB90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Roskilde (1)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38461B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43,000</w:t>
            </w:r>
          </w:p>
          <w:p w14:paraId="79E637C5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</w:tr>
      <w:tr w:rsidR="00B97831" w:rsidRPr="001E1772" w14:paraId="5B4322D8" w14:textId="77777777" w:rsidTr="00B17ECF"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FF5E908" w14:textId="77777777" w:rsidR="00B97831" w:rsidRPr="00992072" w:rsidRDefault="00B97831" w:rsidP="00B17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1400.3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7F9C228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Zittau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639A41E2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Bautzen, Gorlitz (2)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DE74A3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18,000</w:t>
            </w:r>
          </w:p>
          <w:p w14:paraId="042D5C86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</w:tr>
      <w:tr w:rsidR="00B97831" w:rsidRPr="001E1772" w14:paraId="360EF166" w14:textId="77777777" w:rsidTr="00B17ECF"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99CB214" w14:textId="77777777" w:rsidR="00B97831" w:rsidRPr="00992072" w:rsidRDefault="00B97831" w:rsidP="00B17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1500.1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B687B89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Delft,</w:t>
            </w:r>
          </w:p>
          <w:p w14:paraId="0258218C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Gouda,</w:t>
            </w:r>
          </w:p>
          <w:p w14:paraId="0A0BA51F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Leiden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7BCA3EA6" w14:textId="7F4572D6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Alkmaar, Amsterdam, Dordrecht, Enkhuizen,</w:t>
            </w:r>
            <w:r w:rsidR="00B916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Haarlem, Hertogenbosch, Hoorn, Lier, Rotterdam, The Hague, Utrecht, Zaandam (12)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D25378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147,081</w:t>
            </w:r>
          </w:p>
          <w:p w14:paraId="57D8DFCF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(15)</w:t>
            </w:r>
          </w:p>
        </w:tc>
      </w:tr>
      <w:tr w:rsidR="00B97831" w:rsidRPr="001E1772" w14:paraId="1047A4DC" w14:textId="77777777" w:rsidTr="00B17ECF"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764FB0CA" w14:textId="77777777" w:rsidR="00B97831" w:rsidRPr="00992072" w:rsidRDefault="00B97831" w:rsidP="00B17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1500.2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6A3E344F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Caltagirone, Mazzarino,</w:t>
            </w:r>
          </w:p>
          <w:p w14:paraId="6F69AF83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Mineo,</w:t>
            </w:r>
          </w:p>
          <w:p w14:paraId="447F153F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Modica,</w:t>
            </w:r>
          </w:p>
          <w:p w14:paraId="5A5EF803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Ragusa,</w:t>
            </w:r>
          </w:p>
          <w:p w14:paraId="085D7B09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Scicli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0545C9FC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Caltanissetta, Catania, Lentini, Lecata, Mascali, Paterno, Piazza Armerina, Randazzo, Siracusa (9)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62877C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104,916</w:t>
            </w:r>
          </w:p>
          <w:p w14:paraId="1BF49011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(15)</w:t>
            </w:r>
          </w:p>
        </w:tc>
      </w:tr>
      <w:tr w:rsidR="00B97831" w:rsidRPr="001E1772" w14:paraId="19E11789" w14:textId="77777777" w:rsidTr="00B17ECF"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278C46BE" w14:textId="77777777" w:rsidR="00B97831" w:rsidRPr="00992072" w:rsidRDefault="00B97831" w:rsidP="00B17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1600.1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4B82B10D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Alkmaar,</w:t>
            </w:r>
          </w:p>
          <w:p w14:paraId="6FCF2B3E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Amsterdam, Enkhuizen,</w:t>
            </w:r>
          </w:p>
          <w:p w14:paraId="79BADC76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Haarlem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10A88D49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Delft, Dordrecht, Hoorn, Leeuwarden, Leiden, Rotterdam, The Hague, Utrecht, Zaandam (9)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40EB15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251,832</w:t>
            </w:r>
          </w:p>
          <w:p w14:paraId="2E875BFF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(13)</w:t>
            </w:r>
          </w:p>
        </w:tc>
      </w:tr>
      <w:tr w:rsidR="00B97831" w:rsidRPr="001E1772" w14:paraId="10879C7E" w14:textId="77777777" w:rsidTr="00B17ECF"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B50AAB3" w14:textId="77777777" w:rsidR="00B97831" w:rsidRPr="00992072" w:rsidRDefault="00B97831" w:rsidP="00B17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1600.2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0B17D41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Altamura,</w:t>
            </w:r>
          </w:p>
          <w:p w14:paraId="041EF392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Andria,</w:t>
            </w:r>
          </w:p>
          <w:p w14:paraId="3272CA0F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Salerno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78BE66C1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Barletta, Bitonto, Gravina di Puglia, Matera (4)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78FAFE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90,000</w:t>
            </w:r>
          </w:p>
          <w:p w14:paraId="2B41A5EF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(7)</w:t>
            </w:r>
          </w:p>
        </w:tc>
      </w:tr>
      <w:tr w:rsidR="00B97831" w:rsidRPr="001E1772" w14:paraId="6FA36F47" w14:textId="77777777" w:rsidTr="00B17ECF"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3D8B3902" w14:textId="77777777" w:rsidR="00B97831" w:rsidRPr="00992072" w:rsidRDefault="00B97831" w:rsidP="00B17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1700.1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116D426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Amsterdam,</w:t>
            </w:r>
          </w:p>
          <w:p w14:paraId="03D58828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Leiden,</w:t>
            </w:r>
          </w:p>
          <w:p w14:paraId="31D50B8C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Rotterdam,</w:t>
            </w:r>
          </w:p>
          <w:p w14:paraId="5528C95B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The Hague,</w:t>
            </w:r>
          </w:p>
          <w:p w14:paraId="18C19D8D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Zaandam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56C5D681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Alkmaar, Delft</w:t>
            </w:r>
            <w:r w:rsidR="00E12DC0" w:rsidRPr="009920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 xml:space="preserve"> Dordrecht, Enkhuizen, Gouda, Haarlem,</w:t>
            </w:r>
          </w:p>
          <w:p w14:paraId="7EC2FA1C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Hoorn, Utrecht (8)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020FEA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526,465</w:t>
            </w:r>
          </w:p>
          <w:p w14:paraId="7F2954B4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(13)</w:t>
            </w:r>
          </w:p>
        </w:tc>
      </w:tr>
      <w:tr w:rsidR="00B97831" w:rsidRPr="001E1772" w14:paraId="457854C7" w14:textId="77777777" w:rsidTr="00E12DC0"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6BF0FA97" w14:textId="77777777" w:rsidR="00B97831" w:rsidRPr="00992072" w:rsidRDefault="00B97831" w:rsidP="00B17E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1700.2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6CA602E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Birmingham,</w:t>
            </w:r>
          </w:p>
          <w:p w14:paraId="6CD878C9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Liverpool,</w:t>
            </w:r>
          </w:p>
          <w:p w14:paraId="479E9A13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Nottingham,</w:t>
            </w:r>
          </w:p>
          <w:p w14:paraId="2A89A9D7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Sheffield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7E4555E6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Coventry, Leeds, Leicester, Manchester, Shrewsbury, York (6)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FD4C9E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109,665</w:t>
            </w:r>
          </w:p>
          <w:p w14:paraId="4471312D" w14:textId="77777777" w:rsidR="00B97831" w:rsidRPr="00992072" w:rsidRDefault="00B97831" w:rsidP="00B17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(10)</w:t>
            </w:r>
          </w:p>
        </w:tc>
      </w:tr>
      <w:tr w:rsidR="00B97831" w:rsidRPr="001E1772" w14:paraId="1309739D" w14:textId="77777777" w:rsidTr="00E12DC0"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9306F" w14:textId="77777777" w:rsidR="00B97831" w:rsidRPr="00992072" w:rsidRDefault="00B97831" w:rsidP="00E12D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3D981" w14:textId="77777777" w:rsidR="00B97831" w:rsidRPr="00992072" w:rsidRDefault="00B97831" w:rsidP="00E1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Birmingham, Blackburn,</w:t>
            </w:r>
          </w:p>
          <w:p w14:paraId="14DC1922" w14:textId="77777777" w:rsidR="00B97831" w:rsidRPr="00992072" w:rsidRDefault="00B97831" w:rsidP="00E1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Derby, Hereford,</w:t>
            </w:r>
          </w:p>
          <w:p w14:paraId="5ABCFD13" w14:textId="77777777" w:rsidR="00B97831" w:rsidRPr="00992072" w:rsidRDefault="00B97831" w:rsidP="00E1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Leeds, Leicester,</w:t>
            </w:r>
          </w:p>
          <w:p w14:paraId="1F45A5EF" w14:textId="77777777" w:rsidR="00B97831" w:rsidRPr="00992072" w:rsidRDefault="00B97831" w:rsidP="00E1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Manchester, Nottingham,</w:t>
            </w:r>
          </w:p>
          <w:p w14:paraId="4DFB881B" w14:textId="77777777" w:rsidR="00B97831" w:rsidRPr="00992072" w:rsidRDefault="00B97831" w:rsidP="00E1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Preston, Sheffield (10)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15C2F" w14:textId="77777777" w:rsidR="00B97831" w:rsidRPr="00992072" w:rsidRDefault="00B97831" w:rsidP="00E1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Bradford, Chester,</w:t>
            </w:r>
          </w:p>
          <w:p w14:paraId="5A5A51E3" w14:textId="77777777" w:rsidR="00B97831" w:rsidRPr="00992072" w:rsidRDefault="00B97831" w:rsidP="00E1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Coventry,</w:t>
            </w:r>
          </w:p>
          <w:p w14:paraId="560450FF" w14:textId="77777777" w:rsidR="00B97831" w:rsidRPr="00992072" w:rsidRDefault="00B97831" w:rsidP="00E1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Shrewsbury (4)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4372D" w14:textId="77777777" w:rsidR="00B97831" w:rsidRPr="00992072" w:rsidRDefault="00B97831" w:rsidP="00E1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577,733</w:t>
            </w:r>
          </w:p>
          <w:p w14:paraId="7CE5B2CE" w14:textId="77777777" w:rsidR="00B97831" w:rsidRPr="00992072" w:rsidRDefault="00B97831" w:rsidP="00E12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72">
              <w:rPr>
                <w:rFonts w:ascii="Times New Roman" w:hAnsi="Times New Roman" w:cs="Times New Roman"/>
                <w:sz w:val="16"/>
                <w:szCs w:val="16"/>
              </w:rPr>
              <w:t>(14)</w:t>
            </w:r>
          </w:p>
        </w:tc>
      </w:tr>
    </w:tbl>
    <w:p w14:paraId="6CA4FB5D" w14:textId="77777777" w:rsidR="007D1A8E" w:rsidRPr="001E1772" w:rsidRDefault="007D1A8E" w:rsidP="00B17EC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4C1ADF" w14:textId="77777777" w:rsidR="00E12DC0" w:rsidRPr="00E12DC0" w:rsidRDefault="008D3BED" w:rsidP="00E12DC0">
      <w:pPr>
        <w:pStyle w:val="Heading2"/>
        <w:spacing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E12DC0">
        <w:rPr>
          <w:rFonts w:ascii="Times New Roman" w:hAnsi="Times New Roman" w:cs="Times New Roman"/>
          <w:smallCaps/>
          <w:sz w:val="20"/>
          <w:szCs w:val="20"/>
        </w:rPr>
        <w:lastRenderedPageBreak/>
        <w:t xml:space="preserve">Table </w:t>
      </w:r>
      <w:r w:rsidR="006B6D82" w:rsidRPr="00E12DC0">
        <w:rPr>
          <w:rFonts w:ascii="Times New Roman" w:hAnsi="Times New Roman" w:cs="Times New Roman"/>
          <w:smallCaps/>
          <w:sz w:val="20"/>
          <w:szCs w:val="20"/>
        </w:rPr>
        <w:t>B</w:t>
      </w:r>
      <w:r w:rsidR="00B97831" w:rsidRPr="00E12DC0">
        <w:rPr>
          <w:rFonts w:ascii="Times New Roman" w:hAnsi="Times New Roman" w:cs="Times New Roman"/>
          <w:smallCaps/>
          <w:sz w:val="20"/>
          <w:szCs w:val="20"/>
        </w:rPr>
        <w:t>.2</w:t>
      </w:r>
    </w:p>
    <w:p w14:paraId="52AF88B2" w14:textId="77777777" w:rsidR="00AA5D04" w:rsidRPr="00E12DC0" w:rsidRDefault="00DD02F9" w:rsidP="00E12DC0">
      <w:pPr>
        <w:pStyle w:val="Heading2"/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E12DC0">
        <w:rPr>
          <w:rFonts w:ascii="Times New Roman" w:hAnsi="Times New Roman" w:cs="Times New Roman"/>
          <w:caps/>
          <w:sz w:val="20"/>
          <w:szCs w:val="20"/>
        </w:rPr>
        <w:t xml:space="preserve">Urban </w:t>
      </w:r>
      <w:r w:rsidR="00E12DC0" w:rsidRPr="00E12DC0">
        <w:rPr>
          <w:rFonts w:ascii="Times New Roman" w:hAnsi="Times New Roman" w:cs="Times New Roman"/>
          <w:caps/>
          <w:sz w:val="20"/>
          <w:szCs w:val="20"/>
        </w:rPr>
        <w:t>C</w:t>
      </w:r>
      <w:r w:rsidR="00AA5D04" w:rsidRPr="00E12DC0">
        <w:rPr>
          <w:rFonts w:ascii="Times New Roman" w:hAnsi="Times New Roman" w:cs="Times New Roman"/>
          <w:caps/>
          <w:sz w:val="20"/>
          <w:szCs w:val="20"/>
        </w:rPr>
        <w:t>lusters in East Asia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2042"/>
        <w:gridCol w:w="1532"/>
        <w:gridCol w:w="2062"/>
      </w:tblGrid>
      <w:tr w:rsidR="00B97831" w:rsidRPr="001E1772" w14:paraId="22760845" w14:textId="77777777" w:rsidTr="00384B85">
        <w:tc>
          <w:tcPr>
            <w:tcW w:w="18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31BEA88" w14:textId="77777777" w:rsidR="00992072" w:rsidRDefault="00992072" w:rsidP="00E12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14364" w14:textId="77777777" w:rsidR="00B97831" w:rsidRPr="001E1772" w:rsidRDefault="00B97831" w:rsidP="00E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271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88320F4" w14:textId="77777777" w:rsidR="00992072" w:rsidRDefault="00992072" w:rsidP="00E1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41160" w14:textId="77777777" w:rsidR="00B97831" w:rsidRPr="001E1772" w:rsidRDefault="00B97831" w:rsidP="00E1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06B5675" w14:textId="77777777" w:rsidR="00B97831" w:rsidRPr="001E1772" w:rsidRDefault="00B97831" w:rsidP="00E1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Neighbors</w:t>
            </w:r>
          </w:p>
          <w:p w14:paraId="10E0A464" w14:textId="77777777" w:rsidR="00B97831" w:rsidRPr="001E1772" w:rsidRDefault="00E12DC0" w:rsidP="00E1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B97831" w:rsidRPr="001E1772">
              <w:rPr>
                <w:rFonts w:ascii="Times New Roman" w:hAnsi="Times New Roman" w:cs="Times New Roman"/>
                <w:sz w:val="20"/>
                <w:szCs w:val="20"/>
              </w:rPr>
              <w:t>umber)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50F5AA9" w14:textId="77777777" w:rsidR="00B97831" w:rsidRPr="001E1772" w:rsidRDefault="00B97831" w:rsidP="00E1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  <w:p w14:paraId="0915C011" w14:textId="77777777" w:rsidR="00B97831" w:rsidRPr="001E1772" w:rsidRDefault="00E12DC0" w:rsidP="00E1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(Number of C</w:t>
            </w:r>
            <w:r w:rsidR="00B97831" w:rsidRPr="001E1772">
              <w:rPr>
                <w:rFonts w:ascii="Times New Roman" w:hAnsi="Times New Roman" w:cs="Times New Roman"/>
                <w:sz w:val="20"/>
                <w:szCs w:val="20"/>
              </w:rPr>
              <w:t>ities)</w:t>
            </w:r>
          </w:p>
        </w:tc>
      </w:tr>
      <w:tr w:rsidR="00B97831" w:rsidRPr="001E1772" w14:paraId="1CCA54DA" w14:textId="77777777" w:rsidTr="00384B85"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80C78" w14:textId="77777777" w:rsidR="00B97831" w:rsidRPr="001E1772" w:rsidRDefault="00B97831" w:rsidP="0038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3236D" w14:textId="77777777" w:rsidR="00B97831" w:rsidRPr="001E1772" w:rsidRDefault="00B97831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2B92E" w14:textId="77777777" w:rsidR="00B97831" w:rsidRPr="001E1772" w:rsidRDefault="00384B85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6F679" w14:textId="77777777" w:rsidR="00B97831" w:rsidRPr="00384B85" w:rsidRDefault="00384B85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B97831" w:rsidRPr="001E1772" w14:paraId="48EDA70A" w14:textId="77777777" w:rsidTr="00384B85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9260152" w14:textId="77777777" w:rsidR="00B97831" w:rsidRPr="001E1772" w:rsidRDefault="00B97831" w:rsidP="0038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620D5D43" w14:textId="77777777" w:rsidR="00B97831" w:rsidRPr="001E1772" w:rsidRDefault="00B97831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5BFAF34" w14:textId="77777777" w:rsidR="00B97831" w:rsidRPr="001E1772" w:rsidRDefault="00384B85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5B12BE5" w14:textId="77777777" w:rsidR="00B97831" w:rsidRPr="001E1772" w:rsidRDefault="00384B85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B97831" w:rsidRPr="001E1772" w14:paraId="48C1D11A" w14:textId="77777777" w:rsidTr="00384B85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02E02F9" w14:textId="77777777" w:rsidR="00B97831" w:rsidRPr="001E1772" w:rsidRDefault="00B97831" w:rsidP="0038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6034EA37" w14:textId="77777777" w:rsidR="00B97831" w:rsidRPr="001E1772" w:rsidRDefault="00B97831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90A1F10" w14:textId="77777777" w:rsidR="00B97831" w:rsidRPr="001E1772" w:rsidRDefault="00384B85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45695E8" w14:textId="77777777" w:rsidR="00B97831" w:rsidRPr="001E1772" w:rsidRDefault="00384B85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B97831" w:rsidRPr="001E1772" w14:paraId="27056240" w14:textId="77777777" w:rsidTr="00384B85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E7FBAE5" w14:textId="77777777" w:rsidR="00B97831" w:rsidRPr="001E1772" w:rsidRDefault="00B97831" w:rsidP="0038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1531C4FA" w14:textId="77777777" w:rsidR="00B97831" w:rsidRPr="001E1772" w:rsidRDefault="00B97831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15E5FDF" w14:textId="77777777" w:rsidR="00B97831" w:rsidRPr="001E1772" w:rsidRDefault="00384B85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C90B892" w14:textId="77777777" w:rsidR="00B97831" w:rsidRPr="001E1772" w:rsidRDefault="00384B85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B97831" w:rsidRPr="001E1772" w14:paraId="00109888" w14:textId="77777777" w:rsidTr="00384B85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4970758" w14:textId="77777777" w:rsidR="00B97831" w:rsidRPr="001E1772" w:rsidRDefault="00B97831" w:rsidP="0038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0101897F" w14:textId="77777777" w:rsidR="00B97831" w:rsidRPr="001E1772" w:rsidRDefault="00B97831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Kyoto, Osaka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3048E66" w14:textId="77777777" w:rsidR="00B97831" w:rsidRPr="001E1772" w:rsidRDefault="00B97831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0D7C0E9" w14:textId="77777777" w:rsidR="00B97831" w:rsidRPr="001E1772" w:rsidRDefault="00B97831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659,166 (2)</w:t>
            </w:r>
          </w:p>
        </w:tc>
      </w:tr>
      <w:tr w:rsidR="00B97831" w:rsidRPr="001E1772" w14:paraId="4205E384" w14:textId="77777777" w:rsidTr="00384B85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7B8482A" w14:textId="77777777" w:rsidR="00B97831" w:rsidRPr="001E1772" w:rsidRDefault="00B97831" w:rsidP="0038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14:paraId="13B533ED" w14:textId="77777777" w:rsidR="00B97831" w:rsidRPr="001E1772" w:rsidRDefault="00B97831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Kanazawa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95C2DD" w14:textId="77777777" w:rsidR="00B97831" w:rsidRPr="001E1772" w:rsidRDefault="00B97831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Kyoto (1)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1616FAB" w14:textId="77777777" w:rsidR="00B97831" w:rsidRPr="001E1772" w:rsidRDefault="00B97831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67,000 (2)</w:t>
            </w:r>
          </w:p>
        </w:tc>
      </w:tr>
      <w:tr w:rsidR="00B97831" w:rsidRPr="001E1772" w14:paraId="013CDB85" w14:textId="77777777" w:rsidTr="00384B85"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6041C" w14:textId="77777777" w:rsidR="00B97831" w:rsidRPr="001E1772" w:rsidRDefault="00B97831" w:rsidP="00384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8991C" w14:textId="77777777" w:rsidR="00B97831" w:rsidRPr="001E1772" w:rsidRDefault="00B97831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Foshan, Guangzhou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6B995" w14:textId="77777777" w:rsidR="00B97831" w:rsidRPr="001E1772" w:rsidRDefault="00B97831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A9758" w14:textId="77777777" w:rsidR="00B97831" w:rsidRPr="001E1772" w:rsidRDefault="00B97831" w:rsidP="00384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956,000 (2)</w:t>
            </w:r>
          </w:p>
        </w:tc>
      </w:tr>
    </w:tbl>
    <w:p w14:paraId="16BE3AE9" w14:textId="77777777" w:rsidR="008D3BED" w:rsidRPr="001E1772" w:rsidRDefault="008D3BED" w:rsidP="00B17EC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E6BBF6" w14:textId="69096437" w:rsidR="00387F26" w:rsidRPr="001E1772" w:rsidRDefault="00DD02F9" w:rsidP="00992072">
      <w:pPr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E1772">
        <w:rPr>
          <w:rFonts w:ascii="Times New Roman" w:hAnsi="Times New Roman" w:cs="Times New Roman"/>
          <w:sz w:val="20"/>
          <w:szCs w:val="20"/>
        </w:rPr>
        <w:t>The Japanese clusters in 1600 and 1700 correspond well to the “Little Divergence” in GDP per capita between Japan an</w:t>
      </w:r>
      <w:r w:rsidR="004245E4" w:rsidRPr="001E1772">
        <w:rPr>
          <w:rFonts w:ascii="Times New Roman" w:hAnsi="Times New Roman" w:cs="Times New Roman"/>
          <w:sz w:val="20"/>
          <w:szCs w:val="20"/>
        </w:rPr>
        <w:t>d China (Broadberry 2013, pp. 8–</w:t>
      </w:r>
      <w:r w:rsidRPr="001E1772">
        <w:rPr>
          <w:rFonts w:ascii="Times New Roman" w:hAnsi="Times New Roman" w:cs="Times New Roman"/>
          <w:sz w:val="20"/>
          <w:szCs w:val="20"/>
        </w:rPr>
        <w:t>9).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C59E01" w14:textId="77777777" w:rsidR="00384B85" w:rsidRPr="00384B85" w:rsidRDefault="008D3BED" w:rsidP="00384B85">
      <w:pPr>
        <w:pStyle w:val="Heading2"/>
        <w:spacing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384B85">
        <w:rPr>
          <w:rFonts w:ascii="Times New Roman" w:hAnsi="Times New Roman" w:cs="Times New Roman"/>
          <w:smallCaps/>
          <w:sz w:val="20"/>
          <w:szCs w:val="20"/>
        </w:rPr>
        <w:t xml:space="preserve">Table </w:t>
      </w:r>
      <w:r w:rsidR="006B6D82" w:rsidRPr="00384B85">
        <w:rPr>
          <w:rFonts w:ascii="Times New Roman" w:hAnsi="Times New Roman" w:cs="Times New Roman"/>
          <w:smallCaps/>
          <w:sz w:val="20"/>
          <w:szCs w:val="20"/>
        </w:rPr>
        <w:t>B</w:t>
      </w:r>
      <w:r w:rsidRPr="00384B85">
        <w:rPr>
          <w:rFonts w:ascii="Times New Roman" w:hAnsi="Times New Roman" w:cs="Times New Roman"/>
          <w:smallCaps/>
          <w:sz w:val="20"/>
          <w:szCs w:val="20"/>
        </w:rPr>
        <w:t>.3</w:t>
      </w:r>
    </w:p>
    <w:p w14:paraId="584B4F16" w14:textId="77777777" w:rsidR="009322F1" w:rsidRPr="00384B85" w:rsidRDefault="009322F1" w:rsidP="00384B85">
      <w:pPr>
        <w:pStyle w:val="Heading2"/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384B85">
        <w:rPr>
          <w:rFonts w:ascii="Times New Roman" w:hAnsi="Times New Roman" w:cs="Times New Roman"/>
          <w:caps/>
          <w:sz w:val="20"/>
          <w:szCs w:val="20"/>
        </w:rPr>
        <w:t>Top clusters in Eastern Europe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1989"/>
        <w:gridCol w:w="1529"/>
        <w:gridCol w:w="2056"/>
      </w:tblGrid>
      <w:tr w:rsidR="009322F1" w:rsidRPr="001E1772" w14:paraId="4E9F6B39" w14:textId="77777777" w:rsidTr="00384B85">
        <w:tc>
          <w:tcPr>
            <w:tcW w:w="1870" w:type="dxa"/>
            <w:tcBorders>
              <w:top w:val="double" w:sz="4" w:space="0" w:color="auto"/>
              <w:bottom w:val="single" w:sz="4" w:space="0" w:color="auto"/>
            </w:tcBorders>
          </w:tcPr>
          <w:p w14:paraId="5C25E275" w14:textId="00F412A0" w:rsidR="009322F1" w:rsidRPr="001E1772" w:rsidRDefault="00C51AA7" w:rsidP="005E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22F1" w:rsidRPr="001E1772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2715" w:type="dxa"/>
            <w:tcBorders>
              <w:top w:val="double" w:sz="4" w:space="0" w:color="auto"/>
              <w:bottom w:val="single" w:sz="4" w:space="0" w:color="auto"/>
            </w:tcBorders>
          </w:tcPr>
          <w:p w14:paraId="346D9465" w14:textId="2E7B42B1" w:rsidR="009322F1" w:rsidRPr="001E1772" w:rsidRDefault="00C51AA7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322F1" w:rsidRPr="001E1772">
              <w:rPr>
                <w:rFonts w:ascii="Times New Roman" w:hAnsi="Times New Roman" w:cs="Times New Roman"/>
                <w:sz w:val="20"/>
                <w:szCs w:val="20"/>
              </w:rPr>
              <w:t>Seeds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</w:tcPr>
          <w:p w14:paraId="6AE2C420" w14:textId="77777777" w:rsidR="009322F1" w:rsidRPr="001E1772" w:rsidRDefault="009322F1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Neighbors</w:t>
            </w:r>
          </w:p>
          <w:p w14:paraId="188AECE0" w14:textId="77777777" w:rsidR="009322F1" w:rsidRPr="001E1772" w:rsidRDefault="005E3E5B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9322F1" w:rsidRPr="001E1772">
              <w:rPr>
                <w:rFonts w:ascii="Times New Roman" w:hAnsi="Times New Roman" w:cs="Times New Roman"/>
                <w:sz w:val="20"/>
                <w:szCs w:val="20"/>
              </w:rPr>
              <w:t>umber)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</w:tcPr>
          <w:p w14:paraId="24ADFA8F" w14:textId="77777777" w:rsidR="009322F1" w:rsidRPr="001E1772" w:rsidRDefault="009322F1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  <w:p w14:paraId="417207BB" w14:textId="77777777" w:rsidR="009322F1" w:rsidRPr="001E1772" w:rsidRDefault="005E3E5B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(Number of C</w:t>
            </w:r>
            <w:r w:rsidR="009322F1" w:rsidRPr="001E1772">
              <w:rPr>
                <w:rFonts w:ascii="Times New Roman" w:hAnsi="Times New Roman" w:cs="Times New Roman"/>
                <w:sz w:val="20"/>
                <w:szCs w:val="20"/>
              </w:rPr>
              <w:t>ities)</w:t>
            </w:r>
          </w:p>
        </w:tc>
      </w:tr>
      <w:tr w:rsidR="009322F1" w:rsidRPr="001E1772" w14:paraId="4454C7BF" w14:textId="77777777" w:rsidTr="00384B85">
        <w:tc>
          <w:tcPr>
            <w:tcW w:w="1870" w:type="dxa"/>
            <w:tcBorders>
              <w:top w:val="single" w:sz="4" w:space="0" w:color="auto"/>
            </w:tcBorders>
          </w:tcPr>
          <w:p w14:paraId="54E13ED3" w14:textId="77777777" w:rsidR="009322F1" w:rsidRPr="001E1772" w:rsidRDefault="009322F1" w:rsidP="005E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715" w:type="dxa"/>
            <w:tcBorders>
              <w:top w:val="single" w:sz="4" w:space="0" w:color="auto"/>
            </w:tcBorders>
          </w:tcPr>
          <w:p w14:paraId="60340BAD" w14:textId="77777777" w:rsidR="009322F1" w:rsidRPr="001E1772" w:rsidRDefault="003C1FEB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Bratislava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7B0E2AF" w14:textId="77777777" w:rsidR="009322F1" w:rsidRPr="001E1772" w:rsidRDefault="003C1FEB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7F5308F" w14:textId="77777777" w:rsidR="009322F1" w:rsidRPr="001E1772" w:rsidRDefault="00384B85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9322F1" w:rsidRPr="001E1772" w14:paraId="49241E16" w14:textId="77777777" w:rsidTr="00384B85">
        <w:tc>
          <w:tcPr>
            <w:tcW w:w="1870" w:type="dxa"/>
          </w:tcPr>
          <w:p w14:paraId="037FD683" w14:textId="77777777" w:rsidR="009322F1" w:rsidRPr="001E1772" w:rsidRDefault="009322F1" w:rsidP="005E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="003C1FEB" w:rsidRPr="001E177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15" w:type="dxa"/>
          </w:tcPr>
          <w:p w14:paraId="5A55172F" w14:textId="77777777" w:rsidR="009322F1" w:rsidRPr="001E1772" w:rsidRDefault="003C1FEB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Prague</w:t>
            </w:r>
          </w:p>
        </w:tc>
        <w:tc>
          <w:tcPr>
            <w:tcW w:w="1890" w:type="dxa"/>
          </w:tcPr>
          <w:p w14:paraId="0D675DBD" w14:textId="77777777" w:rsidR="009322F1" w:rsidRPr="001E1772" w:rsidRDefault="003C1FEB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0" w:type="dxa"/>
          </w:tcPr>
          <w:p w14:paraId="5183D235" w14:textId="77777777" w:rsidR="009322F1" w:rsidRPr="001E1772" w:rsidRDefault="00384B85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3C1FEB" w:rsidRPr="001E1772" w14:paraId="718078FF" w14:textId="77777777" w:rsidTr="00384B85">
        <w:tc>
          <w:tcPr>
            <w:tcW w:w="1870" w:type="dxa"/>
          </w:tcPr>
          <w:p w14:paraId="09A2FBE0" w14:textId="77777777" w:rsidR="003C1FEB" w:rsidRPr="001E1772" w:rsidRDefault="003C1FEB" w:rsidP="005E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1300.2</w:t>
            </w:r>
          </w:p>
        </w:tc>
        <w:tc>
          <w:tcPr>
            <w:tcW w:w="2715" w:type="dxa"/>
          </w:tcPr>
          <w:p w14:paraId="4CA57799" w14:textId="77777777" w:rsidR="003C1FEB" w:rsidRPr="001E1772" w:rsidRDefault="003C1FEB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Wroclaw</w:t>
            </w:r>
          </w:p>
        </w:tc>
        <w:tc>
          <w:tcPr>
            <w:tcW w:w="1890" w:type="dxa"/>
          </w:tcPr>
          <w:p w14:paraId="02E9FD68" w14:textId="77777777" w:rsidR="003C1FEB" w:rsidRPr="001E1772" w:rsidRDefault="003C1FEB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0" w:type="dxa"/>
          </w:tcPr>
          <w:p w14:paraId="65AB2392" w14:textId="77777777" w:rsidR="003C1FEB" w:rsidRPr="001E1772" w:rsidRDefault="00384B85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9322F1" w:rsidRPr="001E1772" w14:paraId="1DA9B8B4" w14:textId="77777777" w:rsidTr="00384B85">
        <w:tc>
          <w:tcPr>
            <w:tcW w:w="1870" w:type="dxa"/>
          </w:tcPr>
          <w:p w14:paraId="68AEC120" w14:textId="77777777" w:rsidR="009322F1" w:rsidRPr="001E1772" w:rsidRDefault="009322F1" w:rsidP="005E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715" w:type="dxa"/>
          </w:tcPr>
          <w:p w14:paraId="1333D772" w14:textId="77777777" w:rsidR="009322F1" w:rsidRPr="001E1772" w:rsidRDefault="009322F1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890" w:type="dxa"/>
          </w:tcPr>
          <w:p w14:paraId="46DCFCB1" w14:textId="77777777" w:rsidR="009322F1" w:rsidRPr="001E1772" w:rsidRDefault="00384B85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790" w:type="dxa"/>
          </w:tcPr>
          <w:p w14:paraId="26D6E8B2" w14:textId="77777777" w:rsidR="009322F1" w:rsidRPr="001E1772" w:rsidRDefault="00384B85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9322F1" w:rsidRPr="001E1772" w14:paraId="57A6D0A8" w14:textId="77777777" w:rsidTr="00384B85">
        <w:tc>
          <w:tcPr>
            <w:tcW w:w="1870" w:type="dxa"/>
          </w:tcPr>
          <w:p w14:paraId="131F822C" w14:textId="77777777" w:rsidR="009322F1" w:rsidRPr="001E1772" w:rsidRDefault="009322F1" w:rsidP="005E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715" w:type="dxa"/>
          </w:tcPr>
          <w:p w14:paraId="3AD18EFA" w14:textId="77777777" w:rsidR="009322F1" w:rsidRPr="001E1772" w:rsidRDefault="009322F1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890" w:type="dxa"/>
          </w:tcPr>
          <w:p w14:paraId="1466E11E" w14:textId="77777777" w:rsidR="009322F1" w:rsidRPr="001E1772" w:rsidRDefault="00384B85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790" w:type="dxa"/>
          </w:tcPr>
          <w:p w14:paraId="49D6FCA3" w14:textId="77777777" w:rsidR="009322F1" w:rsidRPr="001E1772" w:rsidRDefault="00384B85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9322F1" w:rsidRPr="001E1772" w14:paraId="7A8743F5" w14:textId="77777777" w:rsidTr="00384B85">
        <w:tc>
          <w:tcPr>
            <w:tcW w:w="1870" w:type="dxa"/>
          </w:tcPr>
          <w:p w14:paraId="359F95E6" w14:textId="77777777" w:rsidR="009322F1" w:rsidRPr="001E1772" w:rsidRDefault="009322F1" w:rsidP="005E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2715" w:type="dxa"/>
          </w:tcPr>
          <w:p w14:paraId="46465C5D" w14:textId="77777777" w:rsidR="009322F1" w:rsidRPr="001E1772" w:rsidRDefault="003C1FEB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Silistra</w:t>
            </w:r>
          </w:p>
        </w:tc>
        <w:tc>
          <w:tcPr>
            <w:tcW w:w="1890" w:type="dxa"/>
          </w:tcPr>
          <w:p w14:paraId="14524463" w14:textId="77777777" w:rsidR="009322F1" w:rsidRPr="001E1772" w:rsidRDefault="003C1FEB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0" w:type="dxa"/>
          </w:tcPr>
          <w:p w14:paraId="33165352" w14:textId="77777777" w:rsidR="009322F1" w:rsidRPr="001E1772" w:rsidRDefault="00384B85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9322F1" w:rsidRPr="001E1772" w14:paraId="19975596" w14:textId="77777777" w:rsidTr="00384B85">
        <w:tc>
          <w:tcPr>
            <w:tcW w:w="1870" w:type="dxa"/>
          </w:tcPr>
          <w:p w14:paraId="3246FFAC" w14:textId="77777777" w:rsidR="009322F1" w:rsidRPr="001E1772" w:rsidRDefault="009322F1" w:rsidP="005E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  <w:r w:rsidR="00DD02F9" w:rsidRPr="001E177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15" w:type="dxa"/>
          </w:tcPr>
          <w:p w14:paraId="68CB3216" w14:textId="77777777" w:rsidR="009322F1" w:rsidRPr="001E1772" w:rsidRDefault="00DD02F9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Tul</w:t>
            </w:r>
            <w:r w:rsidR="009322F1" w:rsidRPr="001E177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90" w:type="dxa"/>
          </w:tcPr>
          <w:p w14:paraId="564D7691" w14:textId="77777777" w:rsidR="009322F1" w:rsidRPr="001E1772" w:rsidRDefault="00DD02F9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0" w:type="dxa"/>
          </w:tcPr>
          <w:p w14:paraId="74CA8D30" w14:textId="77777777" w:rsidR="009322F1" w:rsidRPr="001E1772" w:rsidRDefault="00384B85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DD02F9" w:rsidRPr="001E1772" w14:paraId="75573CCE" w14:textId="77777777" w:rsidTr="00384B85">
        <w:tc>
          <w:tcPr>
            <w:tcW w:w="1870" w:type="dxa"/>
          </w:tcPr>
          <w:p w14:paraId="5DBB2BBD" w14:textId="77777777" w:rsidR="00DD02F9" w:rsidRPr="001E1772" w:rsidRDefault="00DD02F9" w:rsidP="005E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1700.2</w:t>
            </w:r>
          </w:p>
        </w:tc>
        <w:tc>
          <w:tcPr>
            <w:tcW w:w="2715" w:type="dxa"/>
          </w:tcPr>
          <w:p w14:paraId="7089E01A" w14:textId="77777777" w:rsidR="00DD02F9" w:rsidRPr="001E1772" w:rsidRDefault="00DD02F9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Tver</w:t>
            </w:r>
          </w:p>
        </w:tc>
        <w:tc>
          <w:tcPr>
            <w:tcW w:w="1890" w:type="dxa"/>
          </w:tcPr>
          <w:p w14:paraId="74673B9B" w14:textId="77777777" w:rsidR="00DD02F9" w:rsidRPr="001E1772" w:rsidRDefault="00DD02F9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0" w:type="dxa"/>
          </w:tcPr>
          <w:p w14:paraId="37669462" w14:textId="77777777" w:rsidR="00DD02F9" w:rsidRPr="001E1772" w:rsidRDefault="00384B85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9322F1" w:rsidRPr="001E1772" w14:paraId="272D9D64" w14:textId="77777777" w:rsidTr="00384B85">
        <w:tc>
          <w:tcPr>
            <w:tcW w:w="1870" w:type="dxa"/>
            <w:tcBorders>
              <w:bottom w:val="single" w:sz="4" w:space="0" w:color="auto"/>
            </w:tcBorders>
          </w:tcPr>
          <w:p w14:paraId="2EC4966F" w14:textId="77777777" w:rsidR="009322F1" w:rsidRPr="001E1772" w:rsidRDefault="009322F1" w:rsidP="00B17E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46CBF3DF" w14:textId="77777777" w:rsidR="009322F1" w:rsidRPr="001E1772" w:rsidRDefault="00DD02F9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772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95779CC" w14:textId="77777777" w:rsidR="009322F1" w:rsidRPr="001E1772" w:rsidRDefault="00384B85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BE83B09" w14:textId="77777777" w:rsidR="009322F1" w:rsidRPr="001E1772" w:rsidRDefault="00384B85" w:rsidP="005E3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14:paraId="1BFBC5FE" w14:textId="77777777" w:rsidR="008D3BED" w:rsidRPr="001E1772" w:rsidRDefault="008D3BED" w:rsidP="00B17EC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771C0" w14:textId="77777777" w:rsidR="00085F84" w:rsidRPr="003374A3" w:rsidRDefault="00085F84" w:rsidP="003374A3">
      <w:pPr>
        <w:pStyle w:val="NoSpacing"/>
        <w:rPr>
          <w:i/>
        </w:rPr>
      </w:pPr>
      <w:r w:rsidRPr="003374A3">
        <w:rPr>
          <w:i/>
        </w:rPr>
        <w:t>Urban C</w:t>
      </w:r>
      <w:r w:rsidR="008D3BED" w:rsidRPr="003374A3">
        <w:rPr>
          <w:i/>
        </w:rPr>
        <w:t>lusters in South Asia</w:t>
      </w:r>
    </w:p>
    <w:p w14:paraId="5E03895F" w14:textId="77777777" w:rsidR="00085F84" w:rsidRDefault="00085F84" w:rsidP="003374A3">
      <w:pPr>
        <w:pStyle w:val="NoSpacing"/>
      </w:pPr>
    </w:p>
    <w:p w14:paraId="48B9EB4F" w14:textId="18A3AFBF" w:rsidR="008D3BED" w:rsidRDefault="008D3BED" w:rsidP="003374A3">
      <w:pPr>
        <w:pStyle w:val="NoSpacing"/>
        <w:ind w:firstLine="360"/>
      </w:pPr>
      <w:r w:rsidRPr="00085F84">
        <w:t>There were never any seeds in South Asia.</w:t>
      </w:r>
      <w:r w:rsidR="00B91658">
        <w:t xml:space="preserve"> </w:t>
      </w:r>
      <w:r w:rsidRPr="00085F84">
        <w:t>That i</w:t>
      </w:r>
      <w:r w:rsidR="0061502C" w:rsidRPr="00085F84">
        <w:t>s, no city that was above the 90th</w:t>
      </w:r>
      <w:r w:rsidRPr="00085F84">
        <w:t xml:space="preserve"> percentile in population growth for a particular year in t</w:t>
      </w:r>
      <w:r w:rsidR="0061502C" w:rsidRPr="00085F84">
        <w:t>hat region was also above the 90th</w:t>
      </w:r>
      <w:r w:rsidRPr="00085F84">
        <w:t xml:space="preserve"> percentile in urban potential growth.</w:t>
      </w:r>
    </w:p>
    <w:p w14:paraId="1F8521D3" w14:textId="77777777" w:rsidR="00085F84" w:rsidRPr="00085F84" w:rsidRDefault="00085F84" w:rsidP="003374A3">
      <w:pPr>
        <w:pStyle w:val="NoSpacing"/>
      </w:pPr>
    </w:p>
    <w:p w14:paraId="516F5340" w14:textId="77777777" w:rsidR="00085F84" w:rsidRPr="003374A3" w:rsidRDefault="00085F84" w:rsidP="003374A3">
      <w:pPr>
        <w:pStyle w:val="NoSpacing"/>
        <w:rPr>
          <w:i/>
        </w:rPr>
      </w:pPr>
      <w:r w:rsidRPr="003374A3">
        <w:rPr>
          <w:i/>
        </w:rPr>
        <w:t>Urban C</w:t>
      </w:r>
      <w:r w:rsidR="008D3BED" w:rsidRPr="003374A3">
        <w:rPr>
          <w:i/>
        </w:rPr>
        <w:t>lusters in the North Africa and the Middle East</w:t>
      </w:r>
    </w:p>
    <w:p w14:paraId="36D98F8C" w14:textId="77777777" w:rsidR="00085F84" w:rsidRDefault="00085F84" w:rsidP="003374A3">
      <w:pPr>
        <w:pStyle w:val="NoSpacing"/>
      </w:pPr>
    </w:p>
    <w:p w14:paraId="5364CAC5" w14:textId="6D2CF52C" w:rsidR="008D3BED" w:rsidRPr="001E1772" w:rsidRDefault="008D3BED" w:rsidP="003374A3">
      <w:pPr>
        <w:pStyle w:val="NoSpacing"/>
        <w:ind w:firstLine="360"/>
      </w:pPr>
      <w:r w:rsidRPr="001E1772">
        <w:t>There were two seeds in North Africa, one in Rabat in 1200 and one in Oran in 1800.</w:t>
      </w:r>
      <w:r w:rsidR="00B91658">
        <w:t xml:space="preserve"> </w:t>
      </w:r>
      <w:r w:rsidRPr="001E1772">
        <w:t>However, these seeds had no neighbors (as defined here) and so there was no cluster.</w:t>
      </w:r>
      <w:r w:rsidR="00B91658">
        <w:t xml:space="preserve"> </w:t>
      </w:r>
    </w:p>
    <w:p w14:paraId="5CC3CA65" w14:textId="77777777" w:rsidR="00085F84" w:rsidRDefault="00085F84" w:rsidP="003374A3">
      <w:pPr>
        <w:pStyle w:val="NoSpacing"/>
      </w:pPr>
    </w:p>
    <w:p w14:paraId="5E3874EF" w14:textId="77777777" w:rsidR="008D3BED" w:rsidRPr="003374A3" w:rsidRDefault="00085F84" w:rsidP="003374A3">
      <w:pPr>
        <w:pStyle w:val="NoSpacing"/>
        <w:rPr>
          <w:i/>
        </w:rPr>
      </w:pPr>
      <w:r w:rsidRPr="003374A3">
        <w:rPr>
          <w:i/>
        </w:rPr>
        <w:t>Alternative D</w:t>
      </w:r>
      <w:r w:rsidR="008D3BED" w:rsidRPr="003374A3">
        <w:rPr>
          <w:i/>
        </w:rPr>
        <w:t>efinitions</w:t>
      </w:r>
    </w:p>
    <w:p w14:paraId="36EAD269" w14:textId="77777777" w:rsidR="00085F84" w:rsidRDefault="00085F84" w:rsidP="003374A3">
      <w:pPr>
        <w:pStyle w:val="NoSpacing"/>
      </w:pPr>
    </w:p>
    <w:p w14:paraId="6996DAF6" w14:textId="127D810B" w:rsidR="009322F1" w:rsidRDefault="005835A3" w:rsidP="003374A3">
      <w:pPr>
        <w:pStyle w:val="NoSpacing"/>
        <w:ind w:firstLine="360"/>
      </w:pPr>
      <w:r w:rsidRPr="001E1772">
        <w:t>If one expands the definition of a neighborhood, so that neighbors are within +/</w:t>
      </w:r>
      <w:r w:rsidR="00085F84">
        <w:t>–</w:t>
      </w:r>
      <w:r w:rsidRPr="001E1772">
        <w:t xml:space="preserve"> 2.5 degrees, rather than +/</w:t>
      </w:r>
      <w:r w:rsidR="00085F84">
        <w:t>–</w:t>
      </w:r>
      <w:r w:rsidRPr="001E1772">
        <w:t xml:space="preserve"> 1 degree, more clusters can obviously be identified.</w:t>
      </w:r>
      <w:r w:rsidR="00B91658">
        <w:t xml:space="preserve"> </w:t>
      </w:r>
      <w:r w:rsidRPr="001E1772">
        <w:t>In Eastern Europe, early Czech growth clusters emerged in 1200 and 1300 but ended with the imposition of serfdom after the Black Death.</w:t>
      </w:r>
      <w:r w:rsidR="00B91658">
        <w:t xml:space="preserve"> </w:t>
      </w:r>
      <w:r w:rsidRPr="001E1772">
        <w:t xml:space="preserve">The most significant top cluster in Eastern Europe emerged in the Moscow area by 1700, </w:t>
      </w:r>
      <w:r w:rsidR="00114EE3">
        <w:t>18</w:t>
      </w:r>
      <w:r w:rsidR="00114EE3" w:rsidRPr="001E1772">
        <w:t xml:space="preserve"> </w:t>
      </w:r>
      <w:r w:rsidRPr="001E1772">
        <w:t>years into Peter the Great’s reign.</w:t>
      </w:r>
      <w:r w:rsidR="00B91658">
        <w:t xml:space="preserve"> </w:t>
      </w:r>
      <w:r w:rsidRPr="001E1772">
        <w:t>Leading the growth were Nizhny Novgorod, where the Stroganovs (the wealthiest merchant family in Russia) based their operations; and Tula, where Peter established Russia’s first armament factory.</w:t>
      </w:r>
    </w:p>
    <w:p w14:paraId="4D3DBF0F" w14:textId="77777777" w:rsidR="00FE1CC9" w:rsidRPr="003374A3" w:rsidRDefault="006B6D82" w:rsidP="00B91658">
      <w:pPr>
        <w:pStyle w:val="NoSpacing"/>
        <w:jc w:val="left"/>
        <w:rPr>
          <w:caps/>
        </w:rPr>
      </w:pPr>
      <w:r w:rsidRPr="003374A3">
        <w:rPr>
          <w:caps/>
        </w:rPr>
        <w:lastRenderedPageBreak/>
        <w:t>C</w:t>
      </w:r>
      <w:r w:rsidR="00FE1CC9" w:rsidRPr="003374A3">
        <w:rPr>
          <w:caps/>
        </w:rPr>
        <w:t>. Calculating urban potential</w:t>
      </w:r>
    </w:p>
    <w:p w14:paraId="54D77DF0" w14:textId="77777777" w:rsidR="003374A3" w:rsidRDefault="003374A3" w:rsidP="003374A3">
      <w:pPr>
        <w:pStyle w:val="NoSpacing"/>
      </w:pPr>
    </w:p>
    <w:p w14:paraId="6A0731B5" w14:textId="2AFC90D0" w:rsidR="00FE1CC9" w:rsidRPr="001E1772" w:rsidRDefault="00FE1CC9" w:rsidP="003374A3">
      <w:pPr>
        <w:pStyle w:val="NoSpacing"/>
        <w:ind w:firstLine="360"/>
      </w:pPr>
      <w:r w:rsidRPr="001E1772">
        <w:t>Ideally, one would not use great circle distances alone in computing urban potential.</w:t>
      </w:r>
      <w:r w:rsidR="00B91658">
        <w:t xml:space="preserve"> </w:t>
      </w:r>
      <w:r w:rsidRPr="001E1772">
        <w:t xml:space="preserve">Instead, one would </w:t>
      </w:r>
      <w:r w:rsidR="00F90C97" w:rsidRPr="001E1772">
        <w:t>assess</w:t>
      </w:r>
      <w:r w:rsidRPr="001E1772">
        <w:t xml:space="preserve"> the “cost of exchange” between</w:t>
      </w:r>
      <w:r w:rsidR="00C77259" w:rsidRPr="001E1772">
        <w:t xml:space="preserve"> </w:t>
      </w:r>
      <w:r w:rsidR="00F90C97" w:rsidRPr="001E1772">
        <w:t xml:space="preserve">each pair of cities, which </w:t>
      </w:r>
      <w:r w:rsidRPr="001E1772">
        <w:t>would depend on the following factors:</w:t>
      </w:r>
      <w:r w:rsidR="00B91658">
        <w:t xml:space="preserve"> </w:t>
      </w:r>
      <w:r w:rsidRPr="001E1772">
        <w:t xml:space="preserve">(1) The great circle distance between </w:t>
      </w:r>
      <w:r w:rsidR="00F90C97" w:rsidRPr="001E1772">
        <w:t xml:space="preserve">the </w:t>
      </w:r>
      <w:r w:rsidRPr="001E1772">
        <w:t>cities.</w:t>
      </w:r>
      <w:r w:rsidR="00B91658">
        <w:t xml:space="preserve"> </w:t>
      </w:r>
      <w:r w:rsidR="00A055C0" w:rsidRPr="001E1772">
        <w:t>(2) Per-mile t</w:t>
      </w:r>
      <w:r w:rsidRPr="001E1772">
        <w:t xml:space="preserve">ransportation costs, which would depend on </w:t>
      </w:r>
      <w:r w:rsidR="00C77259" w:rsidRPr="001E1772">
        <w:t>(a) whether the cities were connected by water or land routes</w:t>
      </w:r>
      <w:r w:rsidR="001D0560">
        <w:t>,</w:t>
      </w:r>
      <w:r w:rsidR="00C77259" w:rsidRPr="001E1772">
        <w:t xml:space="preserve"> and (b) </w:t>
      </w:r>
      <w:r w:rsidRPr="001E1772">
        <w:t>transportation technology.</w:t>
      </w:r>
      <w:r w:rsidR="00B91658">
        <w:t xml:space="preserve"> </w:t>
      </w:r>
      <w:r w:rsidRPr="001E1772">
        <w:t>(3) Communication and c</w:t>
      </w:r>
      <w:r w:rsidR="00F90C97" w:rsidRPr="001E1772">
        <w:t>ontracting costs between the cities</w:t>
      </w:r>
      <w:r w:rsidRPr="001E1772">
        <w:t>, which would depend on whether they shared religion, language</w:t>
      </w:r>
      <w:r w:rsidR="001D0560">
        <w:t>,</w:t>
      </w:r>
      <w:r w:rsidRPr="001E1772">
        <w:t xml:space="preserve"> and culture.</w:t>
      </w:r>
    </w:p>
    <w:p w14:paraId="310ADE92" w14:textId="63D8605C" w:rsidR="00FE1CC9" w:rsidRPr="001E1772" w:rsidRDefault="00FE1CC9" w:rsidP="003374A3">
      <w:pPr>
        <w:pStyle w:val="NoSpacing"/>
        <w:ind w:firstLine="360"/>
      </w:pPr>
      <w:r w:rsidRPr="001E1772">
        <w:t xml:space="preserve">In their study of the western core, </w:t>
      </w:r>
      <w:r w:rsidR="004245E4" w:rsidRPr="001E1772">
        <w:t xml:space="preserve">Maarten </w:t>
      </w:r>
      <w:r w:rsidR="00D4448C" w:rsidRPr="001E1772">
        <w:t>Bosker</w:t>
      </w:r>
      <w:r w:rsidR="00E50BD0" w:rsidRPr="001E1772">
        <w:t>, Eltjo Buringh, and Jan Luiten Van Zanden</w:t>
      </w:r>
      <w:r w:rsidRPr="001E1772">
        <w:t xml:space="preserve"> </w:t>
      </w:r>
      <w:r w:rsidR="00442A77" w:rsidRPr="001E1772">
        <w:t xml:space="preserve">(p. 1423) </w:t>
      </w:r>
      <w:r w:rsidRPr="001E1772">
        <w:t>take account of communication</w:t>
      </w:r>
      <w:r w:rsidR="00F90C97" w:rsidRPr="001E1772">
        <w:t xml:space="preserve"> and </w:t>
      </w:r>
      <w:r w:rsidRPr="001E1772">
        <w:t>contracting costs</w:t>
      </w:r>
      <w:r w:rsidR="00442A77" w:rsidRPr="001E1772">
        <w:t xml:space="preserve"> by calculating a separate Muslim urban potential and Christian urban potential for each city.</w:t>
      </w:r>
      <w:r w:rsidR="00B91658">
        <w:t xml:space="preserve"> </w:t>
      </w:r>
      <w:r w:rsidRPr="001E1772">
        <w:t xml:space="preserve">Because </w:t>
      </w:r>
      <w:r w:rsidR="00442A77" w:rsidRPr="001E1772">
        <w:t>religious identity has not been determined</w:t>
      </w:r>
      <w:r w:rsidRPr="001E1772">
        <w:t xml:space="preserve"> for all Eurasia</w:t>
      </w:r>
      <w:r w:rsidR="00442A77" w:rsidRPr="001E1772">
        <w:t>n cities</w:t>
      </w:r>
      <w:r w:rsidRPr="001E1772">
        <w:t xml:space="preserve"> over the period 600</w:t>
      </w:r>
      <w:r w:rsidR="0058168A">
        <w:rPr>
          <w:rFonts w:cs="Times New Roman"/>
        </w:rPr>
        <w:t>–</w:t>
      </w:r>
      <w:r w:rsidR="0058168A" w:rsidRPr="001E1772">
        <w:t>1800</w:t>
      </w:r>
      <w:r w:rsidR="00051E79">
        <w:t xml:space="preserve"> </w:t>
      </w:r>
      <w:r w:rsidR="0058168A" w:rsidRPr="00B91658">
        <w:rPr>
          <w:smallCaps/>
        </w:rPr>
        <w:t>ce</w:t>
      </w:r>
      <w:r w:rsidRPr="001E1772">
        <w:t xml:space="preserve">, the </w:t>
      </w:r>
      <w:r w:rsidR="00442A77" w:rsidRPr="001E1772">
        <w:t xml:space="preserve">pan-Eurasian analyses in the </w:t>
      </w:r>
      <w:r w:rsidRPr="001E1772">
        <w:t xml:space="preserve">present study (Tables 1 and 2) </w:t>
      </w:r>
      <w:r w:rsidR="00442A77" w:rsidRPr="001E1772">
        <w:t xml:space="preserve">rely </w:t>
      </w:r>
      <w:r w:rsidRPr="001E1772">
        <w:t xml:space="preserve">on </w:t>
      </w:r>
      <w:r w:rsidR="00442A77" w:rsidRPr="001E1772">
        <w:t>religion-blind measures</w:t>
      </w:r>
      <w:r w:rsidRPr="001E1772">
        <w:t>.</w:t>
      </w:r>
      <w:r w:rsidR="00B91658">
        <w:t xml:space="preserve"> </w:t>
      </w:r>
      <w:r w:rsidR="00DD7647" w:rsidRPr="001E1772">
        <w:t>However</w:t>
      </w:r>
      <w:r w:rsidR="00C936BE" w:rsidRPr="001E1772">
        <w:t>, with</w:t>
      </w:r>
      <w:r w:rsidR="00C77259" w:rsidRPr="001E1772">
        <w:t>in</w:t>
      </w:r>
      <w:r w:rsidR="00C936BE" w:rsidRPr="001E1772">
        <w:t xml:space="preserve"> the western core, my results are robust to using either </w:t>
      </w:r>
      <w:r w:rsidR="00442A77" w:rsidRPr="001E1772">
        <w:t>religion-specific or religion-blind</w:t>
      </w:r>
      <w:r w:rsidR="00C936BE" w:rsidRPr="001E1772">
        <w:t xml:space="preserve"> urban potential</w:t>
      </w:r>
      <w:r w:rsidR="00442A77" w:rsidRPr="001E1772">
        <w:t>s</w:t>
      </w:r>
      <w:r w:rsidR="00C936BE" w:rsidRPr="001E1772">
        <w:t>.</w:t>
      </w:r>
    </w:p>
    <w:p w14:paraId="09095D83" w14:textId="49D89996" w:rsidR="00596EB1" w:rsidRPr="001E1772" w:rsidRDefault="0041549A" w:rsidP="003374A3">
      <w:pPr>
        <w:pStyle w:val="NoSpacing"/>
        <w:ind w:firstLine="360"/>
      </w:pPr>
      <w:r w:rsidRPr="001E1772">
        <w:t xml:space="preserve">The variable UPGrowth </w:t>
      </w:r>
      <w:r w:rsidR="00AF71DB" w:rsidRPr="001E1772">
        <w:t xml:space="preserve">used </w:t>
      </w:r>
      <w:r w:rsidR="00442A77" w:rsidRPr="001E1772">
        <w:t xml:space="preserve">in Table 3 </w:t>
      </w:r>
      <w:r w:rsidRPr="001E1772">
        <w:t>represents the logarithmic growth rate of co-religious urban potential</w:t>
      </w:r>
      <w:r w:rsidR="00442A77" w:rsidRPr="001E1772">
        <w:t>—</w:t>
      </w:r>
      <w:r w:rsidR="00AB314E" w:rsidRPr="001E1772">
        <w:t xml:space="preserve">i.e., </w:t>
      </w:r>
      <w:r w:rsidRPr="001E1772">
        <w:t>the growth rate of Christian urban potential for Christian cities, and of Muslim urban potential for Muslim cities.</w:t>
      </w:r>
      <w:r w:rsidR="00B91658">
        <w:t xml:space="preserve"> </w:t>
      </w:r>
      <w:r w:rsidR="00C77259" w:rsidRPr="001E1772">
        <w:t>The only difference from the variable</w:t>
      </w:r>
      <w:r w:rsidR="00AA2DCD" w:rsidRPr="001E1772">
        <w:t>s</w:t>
      </w:r>
      <w:r w:rsidR="00C77259" w:rsidRPr="001E1772">
        <w:t xml:space="preserve"> that </w:t>
      </w:r>
      <w:r w:rsidR="00D4448C" w:rsidRPr="001E1772">
        <w:t>Bosker</w:t>
      </w:r>
      <w:r w:rsidR="00E50BD0" w:rsidRPr="001E1772">
        <w:t>, Buringh, and van Zanden</w:t>
      </w:r>
      <w:r w:rsidR="00D4448C" w:rsidRPr="001E1772">
        <w:t xml:space="preserve"> </w:t>
      </w:r>
      <w:r w:rsidR="00C77259" w:rsidRPr="001E1772">
        <w:t>use is that I include</w:t>
      </w:r>
      <w:r w:rsidR="00442A77" w:rsidRPr="001E1772">
        <w:t>d</w:t>
      </w:r>
      <w:r w:rsidR="00C77259" w:rsidRPr="001E1772">
        <w:t xml:space="preserve"> the Russian cities when computing the urban potential</w:t>
      </w:r>
      <w:r w:rsidR="00442A77" w:rsidRPr="001E1772">
        <w:t>s</w:t>
      </w:r>
      <w:r w:rsidR="00C77259" w:rsidRPr="001E1772">
        <w:t xml:space="preserve"> (and they do not).</w:t>
      </w:r>
      <w:r w:rsidR="00B91658">
        <w:t xml:space="preserve"> </w:t>
      </w:r>
      <w:r w:rsidR="00596EB1" w:rsidRPr="001E1772">
        <w:t>Not surprisingly, a city’s total urban potential (counting all cities) and its co-religionist urban potential (counting only co-religionist cities) are highly correlated.</w:t>
      </w:r>
      <w:r w:rsidR="00B91658">
        <w:t xml:space="preserve"> </w:t>
      </w:r>
      <w:r w:rsidR="00596EB1" w:rsidRPr="001E1772">
        <w:t xml:space="preserve">Using </w:t>
      </w:r>
      <w:r w:rsidR="00E50BD0" w:rsidRPr="001E1772">
        <w:t xml:space="preserve">Bosker, Buringh, and van Zanden’s </w:t>
      </w:r>
      <w:r w:rsidR="00596EB1" w:rsidRPr="001E1772">
        <w:t xml:space="preserve">variables as they originally coded them, the correlation is </w:t>
      </w:r>
      <w:r w:rsidR="001D0560">
        <w:t>0</w:t>
      </w:r>
      <w:r w:rsidR="00596EB1" w:rsidRPr="001E1772">
        <w:t>.96 (among cities with population data).</w:t>
      </w:r>
      <w:r w:rsidR="00B91658">
        <w:t xml:space="preserve"> </w:t>
      </w:r>
      <w:r w:rsidR="00596EB1" w:rsidRPr="001E1772">
        <w:t>The figure is virtually the same when the Russian cities are included.</w:t>
      </w:r>
    </w:p>
    <w:p w14:paraId="47550F3B" w14:textId="77CB3BCD" w:rsidR="003374A3" w:rsidRDefault="00C77259" w:rsidP="003374A3">
      <w:pPr>
        <w:pStyle w:val="NoSpacing"/>
        <w:ind w:firstLine="360"/>
      </w:pPr>
      <w:r w:rsidRPr="001E1772">
        <w:t xml:space="preserve">I have </w:t>
      </w:r>
      <w:r w:rsidR="0041549A" w:rsidRPr="001E1772">
        <w:t xml:space="preserve">rerun the </w:t>
      </w:r>
      <w:r w:rsidRPr="001E1772">
        <w:t>models in Table 3 using</w:t>
      </w:r>
      <w:r w:rsidR="0041549A" w:rsidRPr="001E1772">
        <w:t xml:space="preserve"> </w:t>
      </w:r>
      <w:r w:rsidR="00AF71DB" w:rsidRPr="001E1772">
        <w:t>a</w:t>
      </w:r>
      <w:r w:rsidRPr="001E1772">
        <w:t xml:space="preserve"> </w:t>
      </w:r>
      <w:r w:rsidR="0041549A" w:rsidRPr="001E1772">
        <w:t xml:space="preserve">religion-blind </w:t>
      </w:r>
      <w:r w:rsidR="00AF71DB" w:rsidRPr="001E1772">
        <w:t>measure of urban potential</w:t>
      </w:r>
      <w:r w:rsidRPr="001E1772">
        <w:t>.</w:t>
      </w:r>
      <w:r w:rsidR="00B91658">
        <w:t xml:space="preserve"> </w:t>
      </w:r>
      <w:r w:rsidRPr="001E1772">
        <w:t>T</w:t>
      </w:r>
      <w:r w:rsidR="00AB314E" w:rsidRPr="001E1772">
        <w:t>he results remain qualitatively the same</w:t>
      </w:r>
      <w:r w:rsidR="00C51AA7">
        <w:t>.</w:t>
      </w:r>
    </w:p>
    <w:p w14:paraId="25361D75" w14:textId="49BA4D7A" w:rsidR="00442A77" w:rsidRPr="001E1772" w:rsidRDefault="00442A77" w:rsidP="003374A3">
      <w:pPr>
        <w:pStyle w:val="NoSpacing"/>
        <w:ind w:firstLine="360"/>
      </w:pPr>
    </w:p>
    <w:p w14:paraId="2814CEDF" w14:textId="77777777" w:rsidR="00AA2DCD" w:rsidRPr="003374A3" w:rsidRDefault="006B6D82" w:rsidP="00B91658">
      <w:pPr>
        <w:pStyle w:val="NoSpacing"/>
        <w:jc w:val="left"/>
        <w:rPr>
          <w:caps/>
        </w:rPr>
      </w:pPr>
      <w:r w:rsidRPr="003374A3">
        <w:rPr>
          <w:caps/>
        </w:rPr>
        <w:t>D</w:t>
      </w:r>
      <w:r w:rsidR="00AA2DCD" w:rsidRPr="003374A3">
        <w:rPr>
          <w:caps/>
        </w:rPr>
        <w:t>. Assessing the inter-connectedness of urban growth</w:t>
      </w:r>
    </w:p>
    <w:p w14:paraId="415111C9" w14:textId="77777777" w:rsidR="003374A3" w:rsidRDefault="003374A3" w:rsidP="003374A3">
      <w:pPr>
        <w:pStyle w:val="NoSpacing"/>
      </w:pPr>
    </w:p>
    <w:p w14:paraId="5E241E84" w14:textId="7AAE09BE" w:rsidR="00AA2DCD" w:rsidRPr="001E1772" w:rsidRDefault="00AA2DCD" w:rsidP="003374A3">
      <w:pPr>
        <w:pStyle w:val="NoSpacing"/>
        <w:ind w:firstLine="360"/>
      </w:pPr>
      <w:r w:rsidRPr="001E1772">
        <w:t xml:space="preserve">Although their primary focus lay elsewhere, </w:t>
      </w:r>
      <w:r w:rsidR="00E50BD0" w:rsidRPr="001E1772">
        <w:t xml:space="preserve">Bosker, Buringh, and van Zanden </w:t>
      </w:r>
      <w:r w:rsidRPr="001E1772">
        <w:t>provided a s</w:t>
      </w:r>
      <w:r w:rsidR="006B0893" w:rsidRPr="001E1772">
        <w:t xml:space="preserve">eminal discussion of </w:t>
      </w:r>
      <w:r w:rsidR="008D3BED" w:rsidRPr="001E1772">
        <w:t>city</w:t>
      </w:r>
      <w:r w:rsidRPr="001E1772">
        <w:t xml:space="preserve"> </w:t>
      </w:r>
      <w:r w:rsidR="006B0893" w:rsidRPr="001E1772">
        <w:t>interdependence</w:t>
      </w:r>
      <w:r w:rsidRPr="001E1772">
        <w:t xml:space="preserve"> in </w:t>
      </w:r>
      <w:r w:rsidR="008D3BED" w:rsidRPr="001E1772">
        <w:t xml:space="preserve">the </w:t>
      </w:r>
      <w:r w:rsidRPr="001E1772">
        <w:t>western core, based on a regression similar to equation (1).</w:t>
      </w:r>
      <w:r w:rsidR="00B91658">
        <w:t xml:space="preserve"> </w:t>
      </w:r>
      <w:r w:rsidRPr="001E1772">
        <w:t xml:space="preserve">The table below </w:t>
      </w:r>
      <w:r w:rsidR="006B0893" w:rsidRPr="001E1772">
        <w:t>compares</w:t>
      </w:r>
      <w:r w:rsidRPr="001E1772">
        <w:t xml:space="preserve"> </w:t>
      </w:r>
      <w:r w:rsidR="00F12A86" w:rsidRPr="001E1772">
        <w:t>the analysis in Table 3</w:t>
      </w:r>
      <w:r w:rsidRPr="001E1772">
        <w:t xml:space="preserve"> </w:t>
      </w:r>
      <w:r w:rsidR="006B0893" w:rsidRPr="001E1772">
        <w:t>with</w:t>
      </w:r>
      <w:r w:rsidRPr="001E1772">
        <w:t xml:space="preserve"> the analysis </w:t>
      </w:r>
      <w:r w:rsidR="00E50BD0" w:rsidRPr="001E1772">
        <w:t xml:space="preserve">Bosker, Buringh, and van Zanden </w:t>
      </w:r>
      <w:r w:rsidRPr="001E1772">
        <w:t>conducted.</w:t>
      </w:r>
    </w:p>
    <w:p w14:paraId="2AB38745" w14:textId="247B2A72" w:rsidR="00117D34" w:rsidRDefault="00117D34" w:rsidP="003374A3">
      <w:pPr>
        <w:pStyle w:val="NoSpacing"/>
        <w:ind w:firstLine="360"/>
      </w:pPr>
      <w:r w:rsidRPr="001E1772">
        <w:t>The analytic differences that matter the most, in terms of generating different conclusions about inter-urban connections, are controlling for region-specific century effects (rather than for a global century effect) and controlling for lagged population (rather than not).</w:t>
      </w:r>
      <w:r w:rsidR="00B91658">
        <w:t xml:space="preserve"> </w:t>
      </w:r>
      <w:r w:rsidRPr="001E1772">
        <w:t>The rationales for controlling for region-specific century effects, controlling for lagged population, and clustering the errors at the country level are as follows.</w:t>
      </w:r>
    </w:p>
    <w:p w14:paraId="44592953" w14:textId="77777777" w:rsidR="003374A3" w:rsidRPr="001E1772" w:rsidRDefault="003374A3" w:rsidP="003374A3">
      <w:pPr>
        <w:pStyle w:val="NoSpacing"/>
        <w:ind w:firstLine="360"/>
      </w:pPr>
    </w:p>
    <w:p w14:paraId="2B932507" w14:textId="681CDBFE" w:rsidR="00117D34" w:rsidRPr="001E1772" w:rsidRDefault="00117D34" w:rsidP="003374A3">
      <w:pPr>
        <w:pStyle w:val="NoSpacing"/>
        <w:ind w:left="270" w:hanging="270"/>
      </w:pPr>
      <w:r w:rsidRPr="001E1772">
        <w:t>1. We know that natural disasters often had regionalized effects.</w:t>
      </w:r>
      <w:r w:rsidR="00B91658">
        <w:t xml:space="preserve"> </w:t>
      </w:r>
      <w:r w:rsidRPr="001E1772">
        <w:t>Droughts and cold weather, for example, might ravage particular regions during a century, while leaving other regions untouched.</w:t>
      </w:r>
      <w:r w:rsidR="00B91658">
        <w:t xml:space="preserve"> </w:t>
      </w:r>
      <w:r w:rsidRPr="001E1772">
        <w:t>By including region-century fixed effects, we can control for the average impact of natural disasters within each region-century, which allows us to better discern the effect of trade.</w:t>
      </w:r>
      <w:r w:rsidR="00B91658">
        <w:t xml:space="preserve"> </w:t>
      </w:r>
      <w:r w:rsidRPr="001E1772">
        <w:t>If we include only year effects, we will tend to find larger positive correlations between cities’ growth rates, reflecting the correlative effect of similar climatic conditions.</w:t>
      </w:r>
      <w:r w:rsidR="00B91658">
        <w:t xml:space="preserve"> </w:t>
      </w:r>
      <w:r w:rsidRPr="001E1772">
        <w:t>Since my purpose is to isolate the correlative effects of trade, it is crucial to control for region-century effects.</w:t>
      </w:r>
      <w:r w:rsidR="00B91658">
        <w:t xml:space="preserve"> </w:t>
      </w:r>
    </w:p>
    <w:p w14:paraId="137380E0" w14:textId="77777777" w:rsidR="00C51AA7" w:rsidRDefault="00C51AA7">
      <w:pPr>
        <w:rPr>
          <w:rFonts w:ascii="Times New Roman" w:hAnsi="Times New Roman"/>
          <w:sz w:val="20"/>
        </w:rPr>
      </w:pPr>
      <w:r>
        <w:br w:type="page"/>
      </w:r>
    </w:p>
    <w:p w14:paraId="47004925" w14:textId="4AC21A30" w:rsidR="00117D34" w:rsidRPr="001E1772" w:rsidRDefault="00117D34" w:rsidP="003374A3">
      <w:pPr>
        <w:pStyle w:val="NoSpacing"/>
        <w:ind w:left="270" w:hanging="270"/>
      </w:pPr>
      <w:r w:rsidRPr="001E1772">
        <w:lastRenderedPageBreak/>
        <w:t>2. During the period of study, the largest cities should have grown more slowly because they faced convex increa</w:t>
      </w:r>
      <w:r w:rsidR="006F2F46" w:rsidRPr="001E1772">
        <w:t>sing costs of transporting food</w:t>
      </w:r>
      <w:r w:rsidRPr="001E1772">
        <w:t>.</w:t>
      </w:r>
      <w:r w:rsidR="00B91658">
        <w:t xml:space="preserve"> </w:t>
      </w:r>
      <w:r w:rsidRPr="001E1772">
        <w:t>Consistent with this observation, lagged population is always significant and negative in the regressions.</w:t>
      </w:r>
      <w:r w:rsidR="00B91658">
        <w:t xml:space="preserve"> </w:t>
      </w:r>
    </w:p>
    <w:p w14:paraId="7102F4D8" w14:textId="2811C49B" w:rsidR="00117D34" w:rsidRDefault="00117D34" w:rsidP="003374A3">
      <w:pPr>
        <w:pStyle w:val="NoSpacing"/>
        <w:ind w:left="270" w:hanging="270"/>
      </w:pPr>
      <w:r w:rsidRPr="001E1772">
        <w:t>3.</w:t>
      </w:r>
      <w:r w:rsidR="00313D3E">
        <w:tab/>
      </w:r>
      <w:r w:rsidR="00E50BD0" w:rsidRPr="001E1772">
        <w:t xml:space="preserve">Bosker, Buringh, and van Zanden </w:t>
      </w:r>
      <w:r w:rsidRPr="001E1772">
        <w:t>provide persuasive evidence that trade between two cities depended both on their physical distance and their cultural distance.</w:t>
      </w:r>
      <w:r w:rsidR="00B91658">
        <w:t xml:space="preserve"> </w:t>
      </w:r>
      <w:r w:rsidR="00E50BD0" w:rsidRPr="001E1772">
        <w:t xml:space="preserve">Bosker, Buringh, and van Zanden </w:t>
      </w:r>
      <w:r w:rsidRPr="001E1772">
        <w:t>dealt with this by computing separate Christian and Muslim urban potentials.</w:t>
      </w:r>
      <w:r w:rsidR="00B91658">
        <w:t xml:space="preserve"> </w:t>
      </w:r>
      <w:r w:rsidRPr="001E1772">
        <w:t>Another approach, taken here, is to cluster the errors at a higher level—one that reflects commonalities in language, culture</w:t>
      </w:r>
      <w:r w:rsidR="00EF2EA6">
        <w:t>,</w:t>
      </w:r>
      <w:r w:rsidRPr="001E1772">
        <w:t xml:space="preserve"> and religion.</w:t>
      </w:r>
      <w:r w:rsidR="00B91658">
        <w:t xml:space="preserve"> </w:t>
      </w:r>
    </w:p>
    <w:p w14:paraId="1977EB99" w14:textId="77777777" w:rsidR="003374A3" w:rsidRPr="001E1772" w:rsidRDefault="003374A3" w:rsidP="003374A3">
      <w:pPr>
        <w:pStyle w:val="NoSpacing"/>
      </w:pPr>
    </w:p>
    <w:p w14:paraId="2895FA11" w14:textId="77777777" w:rsidR="00AA2DCD" w:rsidRPr="003374A3" w:rsidRDefault="008D3BED" w:rsidP="003374A3">
      <w:pPr>
        <w:pStyle w:val="NoSpacing"/>
        <w:jc w:val="center"/>
        <w:rPr>
          <w:smallCaps/>
        </w:rPr>
      </w:pPr>
      <w:r w:rsidRPr="003374A3">
        <w:rPr>
          <w:smallCaps/>
        </w:rPr>
        <w:t xml:space="preserve">Table </w:t>
      </w:r>
      <w:r w:rsidR="006B6D82" w:rsidRPr="003374A3">
        <w:rPr>
          <w:smallCaps/>
        </w:rPr>
        <w:t>D</w:t>
      </w:r>
      <w:r w:rsidRPr="003374A3">
        <w:rPr>
          <w:smallCaps/>
        </w:rPr>
        <w:t>.1</w:t>
      </w:r>
    </w:p>
    <w:tbl>
      <w:tblPr>
        <w:tblStyle w:val="TableGrid"/>
        <w:tblW w:w="7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543"/>
        <w:gridCol w:w="2227"/>
      </w:tblGrid>
      <w:tr w:rsidR="00AA2DCD" w:rsidRPr="001E1772" w14:paraId="7BED166C" w14:textId="77777777" w:rsidTr="00AD71C1">
        <w:tc>
          <w:tcPr>
            <w:tcW w:w="2538" w:type="dxa"/>
            <w:tcBorders>
              <w:top w:val="double" w:sz="4" w:space="0" w:color="auto"/>
            </w:tcBorders>
          </w:tcPr>
          <w:p w14:paraId="1CA71B78" w14:textId="77777777" w:rsidR="00AA2DCD" w:rsidRPr="001E1772" w:rsidRDefault="00AA2DCD" w:rsidP="00AD71C1">
            <w:pPr>
              <w:pStyle w:val="NoSpacing"/>
              <w:jc w:val="left"/>
            </w:pPr>
            <w:r w:rsidRPr="001E1772">
              <w:t xml:space="preserve"> </w:t>
            </w:r>
          </w:p>
        </w:tc>
        <w:tc>
          <w:tcPr>
            <w:tcW w:w="2543" w:type="dxa"/>
            <w:tcBorders>
              <w:top w:val="double" w:sz="4" w:space="0" w:color="auto"/>
              <w:bottom w:val="single" w:sz="4" w:space="0" w:color="auto"/>
            </w:tcBorders>
          </w:tcPr>
          <w:p w14:paraId="51D59466" w14:textId="21EF29ED" w:rsidR="00AA2DCD" w:rsidRPr="001E1772" w:rsidRDefault="00313D3E" w:rsidP="00AD71C1">
            <w:pPr>
              <w:pStyle w:val="NoSpacing"/>
              <w:jc w:val="center"/>
            </w:pPr>
            <w:r>
              <w:br/>
            </w:r>
            <w:r>
              <w:br/>
            </w:r>
            <w:r w:rsidR="00AA2DCD" w:rsidRPr="001E1772">
              <w:t>Table 3</w:t>
            </w:r>
            <w:r w:rsidR="00EF2EA6">
              <w:t>,</w:t>
            </w:r>
            <w:r w:rsidR="00AA2DCD" w:rsidRPr="001E1772">
              <w:t xml:space="preserve"> </w:t>
            </w:r>
            <w:r w:rsidR="00AD71C1">
              <w:t>P</w:t>
            </w:r>
            <w:r w:rsidR="00901B24" w:rsidRPr="001E1772">
              <w:t xml:space="preserve">resent </w:t>
            </w:r>
            <w:r w:rsidR="00AD71C1">
              <w:t>A</w:t>
            </w:r>
            <w:r w:rsidR="00901B24" w:rsidRPr="001E1772">
              <w:t>rticle</w:t>
            </w:r>
          </w:p>
        </w:tc>
        <w:tc>
          <w:tcPr>
            <w:tcW w:w="2227" w:type="dxa"/>
            <w:tcBorders>
              <w:top w:val="double" w:sz="4" w:space="0" w:color="auto"/>
              <w:bottom w:val="single" w:sz="4" w:space="0" w:color="auto"/>
            </w:tcBorders>
          </w:tcPr>
          <w:p w14:paraId="09AAE3AD" w14:textId="77777777" w:rsidR="00AA2DCD" w:rsidRPr="001E1772" w:rsidRDefault="00AA2DCD" w:rsidP="00AD71C1">
            <w:pPr>
              <w:pStyle w:val="NoSpacing"/>
              <w:jc w:val="center"/>
            </w:pPr>
            <w:r w:rsidRPr="001E1772">
              <w:t xml:space="preserve">Table 3, </w:t>
            </w:r>
            <w:r w:rsidR="00E50BD0" w:rsidRPr="001E1772">
              <w:t>Bosker, Buringh, and van Zanden</w:t>
            </w:r>
          </w:p>
        </w:tc>
      </w:tr>
      <w:tr w:rsidR="00AA2DCD" w:rsidRPr="001E1772" w14:paraId="4432FE73" w14:textId="77777777" w:rsidTr="00AD71C1">
        <w:tc>
          <w:tcPr>
            <w:tcW w:w="2538" w:type="dxa"/>
            <w:tcBorders>
              <w:bottom w:val="single" w:sz="4" w:space="0" w:color="auto"/>
            </w:tcBorders>
          </w:tcPr>
          <w:p w14:paraId="51821E60" w14:textId="77777777" w:rsidR="00AA2DCD" w:rsidRPr="001E1772" w:rsidRDefault="00AA2DCD" w:rsidP="00AD71C1">
            <w:pPr>
              <w:pStyle w:val="NoSpacing"/>
              <w:jc w:val="left"/>
            </w:pPr>
            <w:r w:rsidRPr="001E1772">
              <w:t>Dependent Variable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14:paraId="07D42D82" w14:textId="77777777" w:rsidR="00AA2DCD" w:rsidRPr="001E1772" w:rsidRDefault="00AD71C1" w:rsidP="00AD71C1">
            <w:pPr>
              <w:pStyle w:val="NoSpacing"/>
              <w:jc w:val="center"/>
            </w:pPr>
            <w:r>
              <w:t>Logarithmic Growth Rate of P</w:t>
            </w:r>
            <w:r w:rsidR="00AA2DCD" w:rsidRPr="001E1772">
              <w:t>opulation:</w:t>
            </w:r>
          </w:p>
          <w:p w14:paraId="71E28587" w14:textId="77777777" w:rsidR="00AA2DCD" w:rsidRPr="001E1772" w:rsidRDefault="00AA2DCD" w:rsidP="00AD71C1">
            <w:pPr>
              <w:pStyle w:val="NoSpacing"/>
              <w:jc w:val="center"/>
            </w:pPr>
            <w:r w:rsidRPr="001E1772">
              <w:t>ln(pop</w:t>
            </w:r>
            <w:r w:rsidRPr="001E1772">
              <w:rPr>
                <w:vertAlign w:val="subscript"/>
              </w:rPr>
              <w:t>jt</w:t>
            </w:r>
            <w:r w:rsidRPr="001E1772">
              <w:t>) – ln (pop</w:t>
            </w:r>
            <w:r w:rsidRPr="001E1772">
              <w:rPr>
                <w:vertAlign w:val="subscript"/>
              </w:rPr>
              <w:t>j,t-1</w:t>
            </w:r>
            <w:r w:rsidRPr="001E1772">
              <w:t>)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14:paraId="1A2979D1" w14:textId="74E216C6" w:rsidR="00AA2DCD" w:rsidRPr="001E1772" w:rsidRDefault="00313D3E" w:rsidP="00AD71C1">
            <w:pPr>
              <w:pStyle w:val="NoSpacing"/>
              <w:jc w:val="center"/>
            </w:pPr>
            <w:r>
              <w:br/>
            </w:r>
            <w:r>
              <w:br/>
            </w:r>
            <w:r w:rsidR="00AA2DCD" w:rsidRPr="001E1772">
              <w:t>ln(pop</w:t>
            </w:r>
            <w:r w:rsidR="00AA2DCD" w:rsidRPr="001E1772">
              <w:rPr>
                <w:vertAlign w:val="subscript"/>
              </w:rPr>
              <w:t>jt</w:t>
            </w:r>
            <w:r w:rsidR="00AA2DCD" w:rsidRPr="001E1772">
              <w:t>)</w:t>
            </w:r>
          </w:p>
        </w:tc>
      </w:tr>
      <w:tr w:rsidR="00AA2DCD" w:rsidRPr="001E1772" w14:paraId="5F027B95" w14:textId="77777777" w:rsidTr="00AD71C1">
        <w:tc>
          <w:tcPr>
            <w:tcW w:w="2538" w:type="dxa"/>
            <w:tcBorders>
              <w:top w:val="single" w:sz="4" w:space="0" w:color="auto"/>
            </w:tcBorders>
          </w:tcPr>
          <w:p w14:paraId="73584C1A" w14:textId="77777777" w:rsidR="00AA2DCD" w:rsidRPr="001E1772" w:rsidRDefault="00AA2DCD" w:rsidP="00AD71C1">
            <w:pPr>
              <w:pStyle w:val="NoSpacing"/>
              <w:jc w:val="left"/>
            </w:pPr>
            <w:r w:rsidRPr="001E1772">
              <w:t>Urban potential included?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14:paraId="1D6C88D8" w14:textId="77777777" w:rsidR="00AA2DCD" w:rsidRPr="001E1772" w:rsidRDefault="00AA2DCD" w:rsidP="00AD71C1">
            <w:pPr>
              <w:pStyle w:val="NoSpacing"/>
              <w:jc w:val="center"/>
            </w:pPr>
            <w:r w:rsidRPr="001E1772">
              <w:t>Yes</w:t>
            </w:r>
            <w:r w:rsidR="006B0893" w:rsidRPr="001E1772">
              <w:t>, as a growth rate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67CA82A2" w14:textId="77777777" w:rsidR="00AA2DCD" w:rsidRPr="001E1772" w:rsidRDefault="00AA2DCD" w:rsidP="00AD71C1">
            <w:pPr>
              <w:pStyle w:val="NoSpacing"/>
              <w:jc w:val="center"/>
            </w:pPr>
            <w:r w:rsidRPr="001E1772">
              <w:t>Yes</w:t>
            </w:r>
            <w:r w:rsidR="006B0893" w:rsidRPr="001E1772">
              <w:t>, as a level</w:t>
            </w:r>
          </w:p>
        </w:tc>
      </w:tr>
      <w:tr w:rsidR="00AA2DCD" w:rsidRPr="001E1772" w14:paraId="482EE331" w14:textId="77777777" w:rsidTr="00AD71C1">
        <w:tc>
          <w:tcPr>
            <w:tcW w:w="2538" w:type="dxa"/>
          </w:tcPr>
          <w:p w14:paraId="7D4BF132" w14:textId="77777777" w:rsidR="00AA2DCD" w:rsidRPr="001E1772" w:rsidRDefault="00AA2DCD" w:rsidP="00AD71C1">
            <w:pPr>
              <w:pStyle w:val="NoSpacing"/>
              <w:jc w:val="left"/>
            </w:pPr>
            <w:r w:rsidRPr="001E1772">
              <w:t>City fixed effects?</w:t>
            </w:r>
          </w:p>
        </w:tc>
        <w:tc>
          <w:tcPr>
            <w:tcW w:w="2543" w:type="dxa"/>
          </w:tcPr>
          <w:p w14:paraId="657104D8" w14:textId="77777777" w:rsidR="00AA2DCD" w:rsidRPr="001E1772" w:rsidRDefault="00AA2DCD" w:rsidP="00AD71C1">
            <w:pPr>
              <w:pStyle w:val="NoSpacing"/>
              <w:jc w:val="center"/>
            </w:pPr>
            <w:r w:rsidRPr="001E1772">
              <w:t>Yes</w:t>
            </w:r>
          </w:p>
        </w:tc>
        <w:tc>
          <w:tcPr>
            <w:tcW w:w="2227" w:type="dxa"/>
          </w:tcPr>
          <w:p w14:paraId="3BD3D212" w14:textId="77777777" w:rsidR="00AA2DCD" w:rsidRPr="001E1772" w:rsidRDefault="00AA2DCD" w:rsidP="00AD71C1">
            <w:pPr>
              <w:pStyle w:val="NoSpacing"/>
              <w:jc w:val="center"/>
            </w:pPr>
            <w:r w:rsidRPr="001E1772">
              <w:t>Yes</w:t>
            </w:r>
          </w:p>
        </w:tc>
      </w:tr>
      <w:tr w:rsidR="00AA2DCD" w:rsidRPr="001E1772" w14:paraId="68E236FC" w14:textId="77777777" w:rsidTr="00AD71C1">
        <w:tc>
          <w:tcPr>
            <w:tcW w:w="2538" w:type="dxa"/>
          </w:tcPr>
          <w:p w14:paraId="49CEA2CC" w14:textId="77777777" w:rsidR="00AA2DCD" w:rsidRPr="001E1772" w:rsidRDefault="00E50BD0" w:rsidP="00AD71C1">
            <w:pPr>
              <w:pStyle w:val="NoSpacing"/>
              <w:jc w:val="left"/>
            </w:pPr>
            <w:r w:rsidRPr="001E1772">
              <w:t>Bosker, Buringh, and van Zanden</w:t>
            </w:r>
            <w:r w:rsidR="00AA2DCD" w:rsidRPr="001E1772">
              <w:t>’s time-varying controls?</w:t>
            </w:r>
          </w:p>
        </w:tc>
        <w:tc>
          <w:tcPr>
            <w:tcW w:w="2543" w:type="dxa"/>
          </w:tcPr>
          <w:p w14:paraId="17483757" w14:textId="77777777" w:rsidR="00AA2DCD" w:rsidRPr="001E1772" w:rsidRDefault="00AA2DCD" w:rsidP="00AD71C1">
            <w:pPr>
              <w:pStyle w:val="NoSpacing"/>
              <w:jc w:val="center"/>
            </w:pPr>
            <w:r w:rsidRPr="001E1772">
              <w:t>Yes</w:t>
            </w:r>
          </w:p>
        </w:tc>
        <w:tc>
          <w:tcPr>
            <w:tcW w:w="2227" w:type="dxa"/>
          </w:tcPr>
          <w:p w14:paraId="487FC62B" w14:textId="77777777" w:rsidR="00AA2DCD" w:rsidRPr="001E1772" w:rsidRDefault="00AA2DCD" w:rsidP="00AD71C1">
            <w:pPr>
              <w:pStyle w:val="NoSpacing"/>
              <w:jc w:val="center"/>
            </w:pPr>
            <w:r w:rsidRPr="001E1772">
              <w:t>Yes</w:t>
            </w:r>
          </w:p>
        </w:tc>
      </w:tr>
      <w:tr w:rsidR="00AA2DCD" w:rsidRPr="001E1772" w14:paraId="6527EEDB" w14:textId="77777777" w:rsidTr="00AD71C1">
        <w:tc>
          <w:tcPr>
            <w:tcW w:w="2538" w:type="dxa"/>
          </w:tcPr>
          <w:p w14:paraId="496459CE" w14:textId="77777777" w:rsidR="00AA2DCD" w:rsidRPr="001E1772" w:rsidRDefault="00AA2DCD" w:rsidP="00AD71C1">
            <w:pPr>
              <w:pStyle w:val="NoSpacing"/>
              <w:jc w:val="left"/>
            </w:pPr>
            <w:r w:rsidRPr="001E1772">
              <w:t>Region-</w:t>
            </w:r>
            <w:r w:rsidR="00F12A86" w:rsidRPr="001E1772">
              <w:t xml:space="preserve">specific </w:t>
            </w:r>
            <w:r w:rsidRPr="001E1772">
              <w:t>century effects?</w:t>
            </w:r>
          </w:p>
        </w:tc>
        <w:tc>
          <w:tcPr>
            <w:tcW w:w="2543" w:type="dxa"/>
          </w:tcPr>
          <w:p w14:paraId="29D62222" w14:textId="77777777" w:rsidR="00AA2DCD" w:rsidRPr="001E1772" w:rsidRDefault="00AA2DCD" w:rsidP="00AD71C1">
            <w:pPr>
              <w:pStyle w:val="NoSpacing"/>
              <w:jc w:val="center"/>
            </w:pPr>
            <w:r w:rsidRPr="001E1772">
              <w:t>Yes</w:t>
            </w:r>
          </w:p>
        </w:tc>
        <w:tc>
          <w:tcPr>
            <w:tcW w:w="2227" w:type="dxa"/>
          </w:tcPr>
          <w:p w14:paraId="16E83437" w14:textId="77777777" w:rsidR="00AA2DCD" w:rsidRPr="001E1772" w:rsidRDefault="00AA2DCD" w:rsidP="00AD71C1">
            <w:pPr>
              <w:pStyle w:val="NoSpacing"/>
              <w:jc w:val="center"/>
            </w:pPr>
            <w:r w:rsidRPr="001E1772">
              <w:t>No</w:t>
            </w:r>
            <w:r w:rsidR="00F12A86" w:rsidRPr="001E1772">
              <w:t xml:space="preserve">, </w:t>
            </w:r>
            <w:r w:rsidRPr="001E1772">
              <w:t xml:space="preserve">just century </w:t>
            </w:r>
            <w:r w:rsidR="00F12A86" w:rsidRPr="001E1772">
              <w:t>effects</w:t>
            </w:r>
          </w:p>
        </w:tc>
      </w:tr>
      <w:tr w:rsidR="00AA2DCD" w:rsidRPr="001E1772" w14:paraId="64D8D84E" w14:textId="77777777" w:rsidTr="00AD71C1">
        <w:tc>
          <w:tcPr>
            <w:tcW w:w="2538" w:type="dxa"/>
          </w:tcPr>
          <w:p w14:paraId="48032F56" w14:textId="77777777" w:rsidR="00AA2DCD" w:rsidRPr="001E1772" w:rsidRDefault="00AA2DCD" w:rsidP="00AD71C1">
            <w:pPr>
              <w:pStyle w:val="NoSpacing"/>
              <w:jc w:val="left"/>
            </w:pPr>
            <w:r w:rsidRPr="001E1772">
              <w:t>ln(pop</w:t>
            </w:r>
            <w:r w:rsidRPr="001E1772">
              <w:rPr>
                <w:vertAlign w:val="subscript"/>
              </w:rPr>
              <w:t>j,t-1</w:t>
            </w:r>
            <w:r w:rsidRPr="001E1772">
              <w:t>) included?</w:t>
            </w:r>
          </w:p>
        </w:tc>
        <w:tc>
          <w:tcPr>
            <w:tcW w:w="2543" w:type="dxa"/>
          </w:tcPr>
          <w:p w14:paraId="3D3BBFAC" w14:textId="77777777" w:rsidR="00AA2DCD" w:rsidRPr="001E1772" w:rsidRDefault="00AA2DCD" w:rsidP="00AD71C1">
            <w:pPr>
              <w:pStyle w:val="NoSpacing"/>
              <w:jc w:val="center"/>
            </w:pPr>
            <w:r w:rsidRPr="001E1772">
              <w:t>Yes</w:t>
            </w:r>
          </w:p>
        </w:tc>
        <w:tc>
          <w:tcPr>
            <w:tcW w:w="2227" w:type="dxa"/>
          </w:tcPr>
          <w:p w14:paraId="383503A0" w14:textId="77777777" w:rsidR="00AA2DCD" w:rsidRPr="001E1772" w:rsidRDefault="00AA2DCD" w:rsidP="00AD71C1">
            <w:pPr>
              <w:pStyle w:val="NoSpacing"/>
              <w:jc w:val="center"/>
            </w:pPr>
            <w:r w:rsidRPr="001E1772">
              <w:t>No</w:t>
            </w:r>
          </w:p>
        </w:tc>
      </w:tr>
      <w:tr w:rsidR="00AA2DCD" w:rsidRPr="001E1772" w14:paraId="4BE40878" w14:textId="77777777" w:rsidTr="00AD71C1">
        <w:tc>
          <w:tcPr>
            <w:tcW w:w="2538" w:type="dxa"/>
            <w:tcBorders>
              <w:bottom w:val="single" w:sz="4" w:space="0" w:color="auto"/>
            </w:tcBorders>
          </w:tcPr>
          <w:p w14:paraId="6DEF179A" w14:textId="77777777" w:rsidR="00AA2DCD" w:rsidRPr="001E1772" w:rsidRDefault="00AA2DCD" w:rsidP="00AD71C1">
            <w:pPr>
              <w:pStyle w:val="NoSpacing"/>
              <w:jc w:val="left"/>
            </w:pPr>
            <w:r w:rsidRPr="001E1772">
              <w:t>Error clustering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08696509" w14:textId="77777777" w:rsidR="00AA2DCD" w:rsidRPr="001E1772" w:rsidRDefault="00AA2DCD" w:rsidP="00AD71C1">
            <w:pPr>
              <w:pStyle w:val="NoSpacing"/>
              <w:jc w:val="center"/>
            </w:pPr>
            <w:r w:rsidRPr="001E1772">
              <w:t>Country level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E55C7EF" w14:textId="77777777" w:rsidR="00AA2DCD" w:rsidRPr="001E1772" w:rsidRDefault="00AA2DCD" w:rsidP="00AD71C1">
            <w:pPr>
              <w:pStyle w:val="NoSpacing"/>
              <w:jc w:val="center"/>
            </w:pPr>
            <w:r w:rsidRPr="001E1772">
              <w:t>City level</w:t>
            </w:r>
          </w:p>
        </w:tc>
      </w:tr>
    </w:tbl>
    <w:p w14:paraId="0625CBF9" w14:textId="77777777" w:rsidR="00AA2DCD" w:rsidRDefault="00AA2DCD" w:rsidP="003374A3">
      <w:pPr>
        <w:pStyle w:val="NoSpacing"/>
      </w:pPr>
    </w:p>
    <w:p w14:paraId="5123D842" w14:textId="77777777" w:rsidR="00C51AA7" w:rsidRPr="001E1772" w:rsidRDefault="00C51AA7" w:rsidP="003374A3">
      <w:pPr>
        <w:pStyle w:val="NoSpacing"/>
      </w:pPr>
    </w:p>
    <w:p w14:paraId="730EC3E7" w14:textId="77777777" w:rsidR="00AA2DCD" w:rsidRPr="00AD71C1" w:rsidRDefault="006B6D82" w:rsidP="00B91658">
      <w:pPr>
        <w:pStyle w:val="NoSpacing"/>
        <w:jc w:val="left"/>
        <w:rPr>
          <w:caps/>
        </w:rPr>
      </w:pPr>
      <w:r w:rsidRPr="00AD71C1">
        <w:rPr>
          <w:caps/>
        </w:rPr>
        <w:t>E</w:t>
      </w:r>
      <w:r w:rsidR="00DF566F" w:rsidRPr="00AD71C1">
        <w:rPr>
          <w:caps/>
        </w:rPr>
        <w:t>. Growth interconnections in the early Islamic Golden Age</w:t>
      </w:r>
    </w:p>
    <w:p w14:paraId="187E7AD1" w14:textId="77777777" w:rsidR="00AD71C1" w:rsidRPr="001E1772" w:rsidRDefault="00AD71C1" w:rsidP="003374A3">
      <w:pPr>
        <w:pStyle w:val="NoSpacing"/>
      </w:pPr>
    </w:p>
    <w:p w14:paraId="473A6E2E" w14:textId="2B45DE7E" w:rsidR="00AD71C1" w:rsidRDefault="00E50BD0" w:rsidP="00AD71C1">
      <w:pPr>
        <w:pStyle w:val="NoSpacing"/>
        <w:ind w:firstLine="360"/>
      </w:pPr>
      <w:r w:rsidRPr="001E1772">
        <w:t xml:space="preserve">Bosker, Buringh, and van Zanden </w:t>
      </w:r>
      <w:r w:rsidR="00DF566F" w:rsidRPr="001E1772">
        <w:t>(2013, p. 1430) report a significant interconnection between cities in the Islamic World between 800 and 1000</w:t>
      </w:r>
      <w:r w:rsidR="001F4A86">
        <w:t xml:space="preserve"> </w:t>
      </w:r>
      <w:r w:rsidR="00AD71C1" w:rsidRPr="00AD71C1">
        <w:rPr>
          <w:smallCaps/>
        </w:rPr>
        <w:t>ce</w:t>
      </w:r>
      <w:r w:rsidR="00DF566F" w:rsidRPr="001E1772">
        <w:t>.</w:t>
      </w:r>
      <w:r w:rsidR="00B91658">
        <w:t xml:space="preserve"> </w:t>
      </w:r>
      <w:r w:rsidR="00D84ABD" w:rsidRPr="001E1772">
        <w:t>Downloading their data and Stata code, I first replicated their results</w:t>
      </w:r>
      <w:r w:rsidR="008E56E6" w:rsidRPr="001E1772">
        <w:t xml:space="preserve"> (see the “Replication” column in the table below)</w:t>
      </w:r>
      <w:r w:rsidR="00D84ABD" w:rsidRPr="001E1772">
        <w:t>.</w:t>
      </w:r>
      <w:r w:rsidR="00B91658">
        <w:t xml:space="preserve"> </w:t>
      </w:r>
      <w:r w:rsidR="00D84ABD" w:rsidRPr="001E1772">
        <w:t>I then modified their Stata code in two ways:</w:t>
      </w:r>
      <w:r w:rsidR="00B91658">
        <w:t xml:space="preserve"> </w:t>
      </w:r>
      <w:r w:rsidR="00D84ABD" w:rsidRPr="001E1772">
        <w:t>by adding region-specific century effects (the regions were Western Europe, Southern Europe, North Africa, the Middle East, and Eastern Europe)</w:t>
      </w:r>
      <w:r w:rsidR="001D0560">
        <w:t>,</w:t>
      </w:r>
      <w:r w:rsidR="00D84ABD" w:rsidRPr="001E1772">
        <w:t xml:space="preserve"> and by clustering the errors at the country level.</w:t>
      </w:r>
      <w:r w:rsidR="00B91658">
        <w:t xml:space="preserve"> </w:t>
      </w:r>
      <w:r w:rsidR="00D84ABD" w:rsidRPr="001E1772">
        <w:t>These changes reduced the size of the connection</w:t>
      </w:r>
      <w:r w:rsidR="008E56E6" w:rsidRPr="001E1772">
        <w:t xml:space="preserve"> and removed </w:t>
      </w:r>
      <w:r w:rsidR="000A6C04" w:rsidRPr="001E1772">
        <w:t>its</w:t>
      </w:r>
      <w:r w:rsidR="008E56E6" w:rsidRPr="001E1772">
        <w:t xml:space="preserve"> statistical significance, as reported in the column labeled “Rerun #1.” </w:t>
      </w:r>
    </w:p>
    <w:p w14:paraId="27A1B4C7" w14:textId="672C2F5F" w:rsidR="00DF566F" w:rsidRPr="001E1772" w:rsidRDefault="00DF566F" w:rsidP="00AD71C1">
      <w:pPr>
        <w:pStyle w:val="NoSpacing"/>
        <w:ind w:firstLine="360"/>
      </w:pPr>
    </w:p>
    <w:p w14:paraId="01A0F683" w14:textId="77777777" w:rsidR="00AA2DCD" w:rsidRPr="00AD71C1" w:rsidRDefault="000A6C04" w:rsidP="00AD71C1">
      <w:pPr>
        <w:pStyle w:val="NoSpacing"/>
        <w:jc w:val="center"/>
        <w:rPr>
          <w:smallCaps/>
        </w:rPr>
      </w:pPr>
      <w:r w:rsidRPr="00AD71C1">
        <w:rPr>
          <w:smallCaps/>
        </w:rPr>
        <w:t xml:space="preserve">Table </w:t>
      </w:r>
      <w:r w:rsidR="006B6D82" w:rsidRPr="00AD71C1">
        <w:rPr>
          <w:smallCaps/>
        </w:rPr>
        <w:t>E</w:t>
      </w:r>
      <w:r w:rsidRPr="00AD71C1">
        <w:rPr>
          <w:smallCaps/>
        </w:rPr>
        <w:t>.1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1893"/>
        <w:gridCol w:w="1704"/>
        <w:gridCol w:w="1704"/>
      </w:tblGrid>
      <w:tr w:rsidR="008E56E6" w:rsidRPr="001E1772" w14:paraId="270688C3" w14:textId="77777777" w:rsidTr="00AD71C1">
        <w:tc>
          <w:tcPr>
            <w:tcW w:w="2337" w:type="dxa"/>
            <w:tcBorders>
              <w:top w:val="double" w:sz="4" w:space="0" w:color="auto"/>
              <w:bottom w:val="single" w:sz="4" w:space="0" w:color="auto"/>
            </w:tcBorders>
          </w:tcPr>
          <w:p w14:paraId="171DA641" w14:textId="77777777" w:rsidR="008E56E6" w:rsidRPr="001E1772" w:rsidRDefault="008E56E6" w:rsidP="00AD71C1">
            <w:pPr>
              <w:pStyle w:val="NoSpacing"/>
              <w:jc w:val="left"/>
            </w:pPr>
            <w:r w:rsidRPr="001E1772">
              <w:t>Year</w:t>
            </w:r>
          </w:p>
        </w:tc>
        <w:tc>
          <w:tcPr>
            <w:tcW w:w="2337" w:type="dxa"/>
            <w:tcBorders>
              <w:top w:val="double" w:sz="4" w:space="0" w:color="auto"/>
              <w:bottom w:val="single" w:sz="4" w:space="0" w:color="auto"/>
            </w:tcBorders>
          </w:tcPr>
          <w:p w14:paraId="677FDAF6" w14:textId="77777777" w:rsidR="008E56E6" w:rsidRPr="001E1772" w:rsidRDefault="00AD71C1" w:rsidP="00AD71C1">
            <w:pPr>
              <w:pStyle w:val="NoSpacing"/>
              <w:jc w:val="center"/>
            </w:pPr>
            <w:r>
              <w:t>Replication:</w:t>
            </w:r>
          </w:p>
        </w:tc>
        <w:tc>
          <w:tcPr>
            <w:tcW w:w="2338" w:type="dxa"/>
            <w:tcBorders>
              <w:top w:val="double" w:sz="4" w:space="0" w:color="auto"/>
              <w:bottom w:val="single" w:sz="4" w:space="0" w:color="auto"/>
            </w:tcBorders>
          </w:tcPr>
          <w:p w14:paraId="2F00026C" w14:textId="77777777" w:rsidR="000A6C04" w:rsidRPr="001E1772" w:rsidRDefault="00AD71C1" w:rsidP="00AD71C1">
            <w:pPr>
              <w:pStyle w:val="NoSpacing"/>
              <w:jc w:val="center"/>
            </w:pPr>
            <w:r>
              <w:t>Rerun #1</w:t>
            </w:r>
          </w:p>
        </w:tc>
        <w:tc>
          <w:tcPr>
            <w:tcW w:w="2338" w:type="dxa"/>
            <w:tcBorders>
              <w:top w:val="double" w:sz="4" w:space="0" w:color="auto"/>
              <w:bottom w:val="single" w:sz="4" w:space="0" w:color="auto"/>
            </w:tcBorders>
          </w:tcPr>
          <w:p w14:paraId="2E69AC5F" w14:textId="77777777" w:rsidR="008E56E6" w:rsidRPr="001E1772" w:rsidRDefault="008E56E6" w:rsidP="00AD71C1">
            <w:pPr>
              <w:pStyle w:val="NoSpacing"/>
              <w:jc w:val="center"/>
            </w:pPr>
            <w:r w:rsidRPr="001E1772">
              <w:t>Rerun #2</w:t>
            </w:r>
          </w:p>
        </w:tc>
      </w:tr>
      <w:tr w:rsidR="008E56E6" w:rsidRPr="001E1772" w14:paraId="71F6165F" w14:textId="77777777" w:rsidTr="00AD71C1">
        <w:tc>
          <w:tcPr>
            <w:tcW w:w="2337" w:type="dxa"/>
            <w:tcBorders>
              <w:top w:val="single" w:sz="4" w:space="0" w:color="auto"/>
            </w:tcBorders>
          </w:tcPr>
          <w:p w14:paraId="40B968EC" w14:textId="77777777" w:rsidR="008E56E6" w:rsidRPr="001E1772" w:rsidRDefault="008E56E6" w:rsidP="00AD71C1">
            <w:pPr>
              <w:pStyle w:val="NoSpacing"/>
              <w:jc w:val="left"/>
            </w:pPr>
            <w:r w:rsidRPr="001E1772">
              <w:t>800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23FAF589" w14:textId="77777777" w:rsidR="008E56E6" w:rsidRPr="001E1772" w:rsidRDefault="00F708D6" w:rsidP="00AD71C1">
            <w:pPr>
              <w:pStyle w:val="NoSpacing"/>
              <w:jc w:val="center"/>
            </w:pPr>
            <w:r>
              <w:t>0</w:t>
            </w:r>
            <w:r w:rsidR="008E56E6" w:rsidRPr="001E1772">
              <w:t>.90*** (</w:t>
            </w:r>
            <w:r>
              <w:t>0</w:t>
            </w:r>
            <w:r w:rsidR="008E56E6" w:rsidRPr="001E1772">
              <w:t>.22)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6DAA4D67" w14:textId="77777777" w:rsidR="008E56E6" w:rsidRPr="001E1772" w:rsidRDefault="00F708D6" w:rsidP="00AD71C1">
            <w:pPr>
              <w:pStyle w:val="NoSpacing"/>
              <w:jc w:val="center"/>
            </w:pPr>
            <w:r>
              <w:t>0</w:t>
            </w:r>
            <w:r w:rsidR="000A6C04" w:rsidRPr="001E1772">
              <w:t>.60 (</w:t>
            </w:r>
            <w:r>
              <w:t>0</w:t>
            </w:r>
            <w:r w:rsidR="000A6C04" w:rsidRPr="001E1772">
              <w:t>.37)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396850F2" w14:textId="77777777" w:rsidR="008E56E6" w:rsidRPr="001E1772" w:rsidRDefault="000A6C04" w:rsidP="00AD71C1">
            <w:pPr>
              <w:pStyle w:val="NoSpacing"/>
              <w:jc w:val="center"/>
            </w:pPr>
            <w:r w:rsidRPr="001E1772">
              <w:t>NA</w:t>
            </w:r>
          </w:p>
        </w:tc>
      </w:tr>
      <w:tr w:rsidR="008E56E6" w:rsidRPr="001E1772" w14:paraId="0C032248" w14:textId="77777777" w:rsidTr="00CF2F6E">
        <w:tc>
          <w:tcPr>
            <w:tcW w:w="2337" w:type="dxa"/>
          </w:tcPr>
          <w:p w14:paraId="08C53F23" w14:textId="77777777" w:rsidR="008E56E6" w:rsidRPr="001E1772" w:rsidRDefault="008E56E6" w:rsidP="00AD71C1">
            <w:pPr>
              <w:pStyle w:val="NoSpacing"/>
              <w:jc w:val="left"/>
            </w:pPr>
            <w:r w:rsidRPr="001E1772">
              <w:t>900</w:t>
            </w:r>
          </w:p>
        </w:tc>
        <w:tc>
          <w:tcPr>
            <w:tcW w:w="2337" w:type="dxa"/>
          </w:tcPr>
          <w:p w14:paraId="1213E8AD" w14:textId="77777777" w:rsidR="008E56E6" w:rsidRPr="001E1772" w:rsidRDefault="00F708D6" w:rsidP="00AD71C1">
            <w:pPr>
              <w:pStyle w:val="NoSpacing"/>
              <w:jc w:val="center"/>
            </w:pPr>
            <w:r>
              <w:t>0</w:t>
            </w:r>
            <w:r w:rsidR="008E56E6" w:rsidRPr="001E1772">
              <w:t>.81*** (</w:t>
            </w:r>
            <w:r>
              <w:t>0</w:t>
            </w:r>
            <w:r w:rsidR="008E56E6" w:rsidRPr="001E1772">
              <w:t>.23)</w:t>
            </w:r>
          </w:p>
        </w:tc>
        <w:tc>
          <w:tcPr>
            <w:tcW w:w="2338" w:type="dxa"/>
          </w:tcPr>
          <w:p w14:paraId="20D1E8DA" w14:textId="77777777" w:rsidR="008E56E6" w:rsidRPr="001E1772" w:rsidRDefault="00F708D6" w:rsidP="00AD71C1">
            <w:pPr>
              <w:pStyle w:val="NoSpacing"/>
              <w:jc w:val="center"/>
            </w:pPr>
            <w:r>
              <w:t>0</w:t>
            </w:r>
            <w:r w:rsidR="000A6C04" w:rsidRPr="001E1772">
              <w:t>.51 (</w:t>
            </w:r>
            <w:r>
              <w:t>0</w:t>
            </w:r>
            <w:r w:rsidR="000A6C04" w:rsidRPr="001E1772">
              <w:t>.37)</w:t>
            </w:r>
          </w:p>
        </w:tc>
        <w:tc>
          <w:tcPr>
            <w:tcW w:w="2338" w:type="dxa"/>
          </w:tcPr>
          <w:p w14:paraId="2FDEA8EC" w14:textId="77777777" w:rsidR="008E56E6" w:rsidRPr="001E1772" w:rsidRDefault="00F708D6" w:rsidP="00AD71C1">
            <w:pPr>
              <w:pStyle w:val="NoSpacing"/>
              <w:jc w:val="center"/>
            </w:pPr>
            <w:r>
              <w:t>0</w:t>
            </w:r>
            <w:r w:rsidR="00056269" w:rsidRPr="001E1772">
              <w:t>.01</w:t>
            </w:r>
            <w:r w:rsidR="000A6C04" w:rsidRPr="001E1772">
              <w:t xml:space="preserve"> (</w:t>
            </w:r>
            <w:r>
              <w:t>0</w:t>
            </w:r>
            <w:r w:rsidR="000A6C04" w:rsidRPr="001E1772">
              <w:t>.32)</w:t>
            </w:r>
          </w:p>
        </w:tc>
      </w:tr>
      <w:tr w:rsidR="008E56E6" w:rsidRPr="001E1772" w14:paraId="30546775" w14:textId="77777777" w:rsidTr="00CF2F6E">
        <w:tc>
          <w:tcPr>
            <w:tcW w:w="2337" w:type="dxa"/>
            <w:tcBorders>
              <w:bottom w:val="single" w:sz="4" w:space="0" w:color="auto"/>
            </w:tcBorders>
          </w:tcPr>
          <w:p w14:paraId="6F46CEA3" w14:textId="77777777" w:rsidR="008E56E6" w:rsidRPr="001E1772" w:rsidRDefault="008E56E6" w:rsidP="00AD71C1">
            <w:pPr>
              <w:pStyle w:val="NoSpacing"/>
              <w:jc w:val="left"/>
            </w:pPr>
            <w:r w:rsidRPr="001E1772">
              <w:t>1000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A72430C" w14:textId="77777777" w:rsidR="008E56E6" w:rsidRPr="001E1772" w:rsidRDefault="00F708D6" w:rsidP="00AD71C1">
            <w:pPr>
              <w:pStyle w:val="NoSpacing"/>
              <w:jc w:val="center"/>
            </w:pPr>
            <w:r>
              <w:t>0</w:t>
            </w:r>
            <w:r w:rsidR="008E56E6" w:rsidRPr="001E1772">
              <w:t>.45** (</w:t>
            </w:r>
            <w:r>
              <w:t>0</w:t>
            </w:r>
            <w:r w:rsidR="008E56E6" w:rsidRPr="001E1772">
              <w:t>.22)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5C82D257" w14:textId="77777777" w:rsidR="008E56E6" w:rsidRPr="001E1772" w:rsidRDefault="00F708D6" w:rsidP="00AD71C1">
            <w:pPr>
              <w:pStyle w:val="NoSpacing"/>
              <w:jc w:val="center"/>
            </w:pPr>
            <w:r>
              <w:t>0</w:t>
            </w:r>
            <w:r w:rsidR="000A6C04" w:rsidRPr="001E1772">
              <w:t>.22 (</w:t>
            </w:r>
            <w:r>
              <w:t>0</w:t>
            </w:r>
            <w:r w:rsidR="000A6C04" w:rsidRPr="001E1772">
              <w:t>.32)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1CC292D" w14:textId="77777777" w:rsidR="008E56E6" w:rsidRPr="001E1772" w:rsidRDefault="00CF2F6E" w:rsidP="00AD71C1">
            <w:pPr>
              <w:pStyle w:val="NoSpacing"/>
              <w:jc w:val="center"/>
            </w:pPr>
            <w:r>
              <w:rPr>
                <w:rFonts w:cs="Times New Roman"/>
              </w:rPr>
              <w:t>–</w:t>
            </w:r>
            <w:r w:rsidR="00F708D6">
              <w:rPr>
                <w:rFonts w:cs="Times New Roman"/>
              </w:rPr>
              <w:t>0</w:t>
            </w:r>
            <w:r w:rsidR="00056269" w:rsidRPr="001E1772">
              <w:t>.16</w:t>
            </w:r>
            <w:r w:rsidR="000A6C04" w:rsidRPr="001E1772">
              <w:t xml:space="preserve"> (</w:t>
            </w:r>
            <w:r w:rsidR="00F708D6">
              <w:t>0</w:t>
            </w:r>
            <w:r w:rsidR="000A6C04" w:rsidRPr="001E1772">
              <w:t>.26)</w:t>
            </w:r>
          </w:p>
        </w:tc>
      </w:tr>
    </w:tbl>
    <w:p w14:paraId="3111D19D" w14:textId="77777777" w:rsidR="008E56E6" w:rsidRPr="001E1772" w:rsidRDefault="008E56E6" w:rsidP="003374A3">
      <w:pPr>
        <w:pStyle w:val="NoSpacing"/>
      </w:pPr>
    </w:p>
    <w:p w14:paraId="13A35346" w14:textId="25A918A1" w:rsidR="008E56E6" w:rsidRDefault="000A6C04" w:rsidP="00CF2F6E">
      <w:pPr>
        <w:pStyle w:val="NoSpacing"/>
        <w:ind w:firstLine="360"/>
      </w:pPr>
      <w:r w:rsidRPr="001E1772">
        <w:t>Finally, in “Rerun #2” I also included the lagged population of each city as a control.</w:t>
      </w:r>
      <w:r w:rsidR="00B91658">
        <w:t xml:space="preserve"> </w:t>
      </w:r>
      <w:r w:rsidRPr="001E1772">
        <w:t xml:space="preserve">This specification comes at the cost of losing the ability to examine the year 800, since the </w:t>
      </w:r>
      <w:r w:rsidR="00E50BD0" w:rsidRPr="001E1772">
        <w:t xml:space="preserve">Bosker, Buringh, and van Zanden </w:t>
      </w:r>
      <w:r w:rsidRPr="001E1772">
        <w:t>dataset does not include data on the lagged population for that year.</w:t>
      </w:r>
      <w:r w:rsidR="00B91658">
        <w:t xml:space="preserve"> </w:t>
      </w:r>
      <w:r w:rsidRPr="001E1772">
        <w:t xml:space="preserve">For the two years that can be estimated, however, there is no </w:t>
      </w:r>
      <w:r w:rsidR="00237A80" w:rsidRPr="001E1772">
        <w:t>remaining</w:t>
      </w:r>
      <w:r w:rsidR="002740E7" w:rsidRPr="001E1772">
        <w:t xml:space="preserve"> positive</w:t>
      </w:r>
      <w:r w:rsidR="00237A80" w:rsidRPr="001E1772">
        <w:t xml:space="preserve"> </w:t>
      </w:r>
      <w:r w:rsidRPr="001E1772">
        <w:t>relationship.</w:t>
      </w:r>
    </w:p>
    <w:p w14:paraId="7BBE52BB" w14:textId="379FFE5B" w:rsidR="00F37A11" w:rsidRDefault="00F37A11">
      <w:pPr>
        <w:rPr>
          <w:rFonts w:ascii="Times New Roman" w:hAnsi="Times New Roman"/>
          <w:sz w:val="20"/>
        </w:rPr>
      </w:pPr>
      <w:r>
        <w:br w:type="page"/>
      </w:r>
    </w:p>
    <w:p w14:paraId="0FEDC4D9" w14:textId="77777777" w:rsidR="00CF2F6E" w:rsidRPr="001E1772" w:rsidRDefault="00CF2F6E" w:rsidP="00CF2F6E">
      <w:pPr>
        <w:pStyle w:val="NoSpacing"/>
        <w:ind w:firstLine="360"/>
      </w:pPr>
      <w:bookmarkStart w:id="0" w:name="_GoBack"/>
      <w:bookmarkEnd w:id="0"/>
    </w:p>
    <w:p w14:paraId="6A4B4FA6" w14:textId="77777777" w:rsidR="00C934FB" w:rsidRPr="00CF2F6E" w:rsidRDefault="006B6D82" w:rsidP="00B91658">
      <w:pPr>
        <w:pStyle w:val="NoSpacing"/>
        <w:jc w:val="left"/>
        <w:rPr>
          <w:caps/>
        </w:rPr>
      </w:pPr>
      <w:r w:rsidRPr="00CF2F6E">
        <w:rPr>
          <w:caps/>
        </w:rPr>
        <w:t>F</w:t>
      </w:r>
      <w:r w:rsidR="00C934FB" w:rsidRPr="00CF2F6E">
        <w:rPr>
          <w:caps/>
        </w:rPr>
        <w:t>. The mediating effects of representative institutions</w:t>
      </w:r>
    </w:p>
    <w:p w14:paraId="663B7502" w14:textId="77777777" w:rsidR="00CF2F6E" w:rsidRPr="001E1772" w:rsidRDefault="00CF2F6E" w:rsidP="003374A3">
      <w:pPr>
        <w:pStyle w:val="NoSpacing"/>
      </w:pPr>
    </w:p>
    <w:p w14:paraId="1204C88A" w14:textId="4052E540" w:rsidR="00C934FB" w:rsidRDefault="00E50BD0" w:rsidP="00C51AA7">
      <w:pPr>
        <w:pStyle w:val="NoSpacing"/>
        <w:ind w:firstLine="270"/>
      </w:pPr>
      <w:r w:rsidRPr="001E1772">
        <w:t xml:space="preserve">Bosker, Buringh, and van Zanden </w:t>
      </w:r>
      <w:r w:rsidR="008C478F" w:rsidRPr="001E1772">
        <w:t>(p. 1434) report some seminal findings on how representative institutions mediate the effect of urban potential on city size.</w:t>
      </w:r>
      <w:r w:rsidR="00B91658">
        <w:t xml:space="preserve"> </w:t>
      </w:r>
      <w:r w:rsidR="008C478F" w:rsidRPr="001E1772">
        <w:t xml:space="preserve">The table below </w:t>
      </w:r>
      <w:r w:rsidR="00697811" w:rsidRPr="001E1772">
        <w:t xml:space="preserve">first </w:t>
      </w:r>
      <w:r w:rsidR="008C478F" w:rsidRPr="001E1772">
        <w:t>reports a replication of their published results</w:t>
      </w:r>
      <w:r w:rsidR="00697811" w:rsidRPr="001E1772">
        <w:t>.</w:t>
      </w:r>
      <w:r w:rsidR="00B91658">
        <w:t xml:space="preserve"> </w:t>
      </w:r>
      <w:r w:rsidR="00697811" w:rsidRPr="001E1772">
        <w:t>The entries give the effect of increasing a city’s co-religionist urban potential, for various types of city.</w:t>
      </w:r>
      <w:r w:rsidR="00B91658">
        <w:t xml:space="preserve"> </w:t>
      </w:r>
      <w:r w:rsidR="00697811" w:rsidRPr="001E1772">
        <w:t xml:space="preserve">The second column presents </w:t>
      </w:r>
      <w:r w:rsidR="008C478F" w:rsidRPr="001E1772">
        <w:t>a re-analysis that differs only in that region-specific century effects are included.</w:t>
      </w:r>
      <w:r w:rsidR="00B91658">
        <w:t xml:space="preserve"> </w:t>
      </w:r>
      <w:r w:rsidR="008C478F" w:rsidRPr="001E1772">
        <w:t>As can be seen, including this additional control suggests that non-communal/non-parliamentary Christian cities were only weakly connected to urban growth in other Christian cities.</w:t>
      </w:r>
      <w:r w:rsidR="00B91658">
        <w:t xml:space="preserve"> </w:t>
      </w:r>
    </w:p>
    <w:p w14:paraId="5C8DFE71" w14:textId="77777777" w:rsidR="00CF2F6E" w:rsidRPr="001E1772" w:rsidRDefault="00CF2F6E" w:rsidP="00CF2F6E">
      <w:pPr>
        <w:pStyle w:val="NoSpacing"/>
        <w:ind w:firstLine="720"/>
      </w:pPr>
    </w:p>
    <w:p w14:paraId="4E672A9D" w14:textId="77777777" w:rsidR="00C934FB" w:rsidRPr="00CF2F6E" w:rsidRDefault="00C934FB" w:rsidP="00CF2F6E">
      <w:pPr>
        <w:pStyle w:val="NoSpacing"/>
        <w:jc w:val="center"/>
        <w:rPr>
          <w:smallCaps/>
        </w:rPr>
      </w:pPr>
      <w:r w:rsidRPr="00CF2F6E">
        <w:rPr>
          <w:smallCaps/>
        </w:rPr>
        <w:t xml:space="preserve">Table </w:t>
      </w:r>
      <w:r w:rsidR="006B6D82" w:rsidRPr="00CF2F6E">
        <w:rPr>
          <w:smallCaps/>
        </w:rPr>
        <w:t>F</w:t>
      </w:r>
      <w:r w:rsidRPr="00CF2F6E">
        <w:rPr>
          <w:smallCaps/>
        </w:rPr>
        <w:t>.1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679"/>
        <w:gridCol w:w="2046"/>
      </w:tblGrid>
      <w:tr w:rsidR="008C478F" w:rsidRPr="001E1772" w14:paraId="487EA135" w14:textId="77777777" w:rsidTr="005E30F2">
        <w:tc>
          <w:tcPr>
            <w:tcW w:w="4315" w:type="dxa"/>
            <w:tcBorders>
              <w:top w:val="double" w:sz="4" w:space="0" w:color="auto"/>
              <w:bottom w:val="single" w:sz="4" w:space="0" w:color="auto"/>
            </w:tcBorders>
          </w:tcPr>
          <w:p w14:paraId="66DAA2A6" w14:textId="77777777" w:rsidR="008C478F" w:rsidRPr="001E1772" w:rsidRDefault="008C478F" w:rsidP="00CF2F6E">
            <w:pPr>
              <w:pStyle w:val="NoSpacing"/>
              <w:jc w:val="left"/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14:paraId="1C0A9114" w14:textId="6FB59F3E" w:rsidR="008C478F" w:rsidRPr="001E1772" w:rsidRDefault="00C51AA7" w:rsidP="00C51AA7">
            <w:pPr>
              <w:pStyle w:val="NoSpacing"/>
              <w:jc w:val="center"/>
            </w:pPr>
            <w:r>
              <w:br/>
            </w:r>
            <w:r>
              <w:br/>
            </w:r>
            <w:r w:rsidR="008C478F" w:rsidRPr="001E1772">
              <w:t>Replication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</w:tcPr>
          <w:p w14:paraId="5C6C7984" w14:textId="77777777" w:rsidR="008C478F" w:rsidRPr="001E1772" w:rsidRDefault="008C478F" w:rsidP="00CF2F6E">
            <w:pPr>
              <w:pStyle w:val="NoSpacing"/>
              <w:jc w:val="center"/>
            </w:pPr>
            <w:r w:rsidRPr="001E1772">
              <w:t>Re</w:t>
            </w:r>
            <w:r w:rsidR="005E30F2">
              <w:t>run (with Region-Specific Century Effects A</w:t>
            </w:r>
            <w:r w:rsidRPr="001E1772">
              <w:t>dded)</w:t>
            </w:r>
          </w:p>
        </w:tc>
      </w:tr>
      <w:tr w:rsidR="008C478F" w:rsidRPr="001E1772" w14:paraId="1E8E07B9" w14:textId="77777777" w:rsidTr="005E30F2">
        <w:tc>
          <w:tcPr>
            <w:tcW w:w="4315" w:type="dxa"/>
            <w:tcBorders>
              <w:top w:val="single" w:sz="4" w:space="0" w:color="auto"/>
            </w:tcBorders>
          </w:tcPr>
          <w:p w14:paraId="3CFB4971" w14:textId="77777777" w:rsidR="008C478F" w:rsidRPr="001E1772" w:rsidRDefault="008C478F" w:rsidP="00CF2F6E">
            <w:pPr>
              <w:pStyle w:val="NoSpacing"/>
              <w:jc w:val="left"/>
            </w:pPr>
            <w:r w:rsidRPr="001E1772">
              <w:t>Effect in cities that were neither communal nor parliamentary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F3D5011" w14:textId="77777777" w:rsidR="008C478F" w:rsidRPr="001E1772" w:rsidRDefault="00F708D6" w:rsidP="00CF2F6E">
            <w:pPr>
              <w:pStyle w:val="NoSpacing"/>
              <w:jc w:val="center"/>
            </w:pPr>
            <w:r>
              <w:t>0</w:t>
            </w:r>
            <w:r w:rsidR="008C478F" w:rsidRPr="001E1772">
              <w:t>.46*** (</w:t>
            </w:r>
            <w:r>
              <w:t>0</w:t>
            </w:r>
            <w:r w:rsidR="008C478F" w:rsidRPr="001E1772">
              <w:t>.14)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E3551C0" w14:textId="77777777" w:rsidR="008C478F" w:rsidRPr="001E1772" w:rsidRDefault="00F708D6" w:rsidP="00CF2F6E">
            <w:pPr>
              <w:pStyle w:val="NoSpacing"/>
              <w:jc w:val="center"/>
            </w:pPr>
            <w:r>
              <w:t>0</w:t>
            </w:r>
            <w:r w:rsidR="008C478F" w:rsidRPr="001E1772">
              <w:t>.21 (</w:t>
            </w:r>
            <w:r>
              <w:t>0</w:t>
            </w:r>
            <w:r w:rsidR="008C478F" w:rsidRPr="001E1772">
              <w:t>.19)</w:t>
            </w:r>
          </w:p>
        </w:tc>
      </w:tr>
      <w:tr w:rsidR="008C478F" w:rsidRPr="001E1772" w14:paraId="10E6A7FE" w14:textId="77777777" w:rsidTr="00CF2F6E">
        <w:tc>
          <w:tcPr>
            <w:tcW w:w="4315" w:type="dxa"/>
          </w:tcPr>
          <w:p w14:paraId="49CAF6EF" w14:textId="77777777" w:rsidR="008C478F" w:rsidRPr="001E1772" w:rsidRDefault="008C478F" w:rsidP="00CF2F6E">
            <w:pPr>
              <w:pStyle w:val="NoSpacing"/>
              <w:jc w:val="left"/>
            </w:pPr>
            <w:r w:rsidRPr="001E1772">
              <w:t>Effect in cities that were communal but not parliamentary</w:t>
            </w:r>
          </w:p>
        </w:tc>
        <w:tc>
          <w:tcPr>
            <w:tcW w:w="1980" w:type="dxa"/>
          </w:tcPr>
          <w:p w14:paraId="0A70078B" w14:textId="77777777" w:rsidR="008C478F" w:rsidRPr="001E1772" w:rsidRDefault="00F708D6" w:rsidP="00CF2F6E">
            <w:pPr>
              <w:pStyle w:val="NoSpacing"/>
              <w:jc w:val="center"/>
            </w:pPr>
            <w:r>
              <w:t>0</w:t>
            </w:r>
            <w:r w:rsidR="008C478F" w:rsidRPr="001E1772">
              <w:t>.61*** (</w:t>
            </w:r>
            <w:r>
              <w:t>0</w:t>
            </w:r>
            <w:r w:rsidR="008C478F" w:rsidRPr="001E1772">
              <w:t>.15)</w:t>
            </w:r>
          </w:p>
        </w:tc>
        <w:tc>
          <w:tcPr>
            <w:tcW w:w="2700" w:type="dxa"/>
          </w:tcPr>
          <w:p w14:paraId="06DE1560" w14:textId="77777777" w:rsidR="008C478F" w:rsidRPr="001E1772" w:rsidRDefault="00F708D6" w:rsidP="00CF2F6E">
            <w:pPr>
              <w:pStyle w:val="NoSpacing"/>
              <w:jc w:val="center"/>
            </w:pPr>
            <w:r>
              <w:t>0</w:t>
            </w:r>
            <w:r w:rsidR="008C478F" w:rsidRPr="001E1772">
              <w:t>.33 (</w:t>
            </w:r>
            <w:r>
              <w:t>0</w:t>
            </w:r>
            <w:r w:rsidR="008C478F" w:rsidRPr="001E1772">
              <w:t>.20)</w:t>
            </w:r>
          </w:p>
        </w:tc>
      </w:tr>
      <w:tr w:rsidR="008C478F" w:rsidRPr="001E1772" w14:paraId="79E8BE87" w14:textId="77777777" w:rsidTr="005E30F2">
        <w:tc>
          <w:tcPr>
            <w:tcW w:w="4315" w:type="dxa"/>
          </w:tcPr>
          <w:p w14:paraId="7BC783E0" w14:textId="77777777" w:rsidR="008C478F" w:rsidRPr="001E1772" w:rsidRDefault="008C478F" w:rsidP="00CF2F6E">
            <w:pPr>
              <w:pStyle w:val="NoSpacing"/>
              <w:jc w:val="left"/>
            </w:pPr>
            <w:r w:rsidRPr="001E1772">
              <w:t xml:space="preserve">Effect in cities that were parliamentary but not communal </w:t>
            </w:r>
          </w:p>
        </w:tc>
        <w:tc>
          <w:tcPr>
            <w:tcW w:w="1980" w:type="dxa"/>
          </w:tcPr>
          <w:p w14:paraId="301B28F4" w14:textId="77777777" w:rsidR="008C478F" w:rsidRPr="001E1772" w:rsidRDefault="00F708D6" w:rsidP="00CF2F6E">
            <w:pPr>
              <w:pStyle w:val="NoSpacing"/>
              <w:jc w:val="center"/>
            </w:pPr>
            <w:r>
              <w:t>0</w:t>
            </w:r>
            <w:r w:rsidR="008C478F" w:rsidRPr="001E1772">
              <w:t>.5</w:t>
            </w:r>
            <w:r w:rsidR="003D3749" w:rsidRPr="001E1772">
              <w:t>0</w:t>
            </w:r>
            <w:r w:rsidR="008C478F" w:rsidRPr="001E1772">
              <w:t>*** (</w:t>
            </w:r>
            <w:r>
              <w:t>0</w:t>
            </w:r>
            <w:r w:rsidR="008C478F" w:rsidRPr="001E1772">
              <w:t>.14)</w:t>
            </w:r>
          </w:p>
        </w:tc>
        <w:tc>
          <w:tcPr>
            <w:tcW w:w="2700" w:type="dxa"/>
          </w:tcPr>
          <w:p w14:paraId="1CFEE6CB" w14:textId="77777777" w:rsidR="008C478F" w:rsidRPr="001E1772" w:rsidRDefault="00F708D6" w:rsidP="00CF2F6E">
            <w:pPr>
              <w:pStyle w:val="NoSpacing"/>
              <w:jc w:val="center"/>
            </w:pPr>
            <w:r>
              <w:t>0</w:t>
            </w:r>
            <w:r w:rsidR="008C478F" w:rsidRPr="001E1772">
              <w:t>.31* (</w:t>
            </w:r>
            <w:r>
              <w:t>0</w:t>
            </w:r>
            <w:r w:rsidR="008C478F" w:rsidRPr="001E1772">
              <w:t>.18)</w:t>
            </w:r>
          </w:p>
        </w:tc>
      </w:tr>
      <w:tr w:rsidR="008C478F" w:rsidRPr="001E1772" w14:paraId="4A07493B" w14:textId="77777777" w:rsidTr="005E30F2">
        <w:tc>
          <w:tcPr>
            <w:tcW w:w="4315" w:type="dxa"/>
            <w:tcBorders>
              <w:bottom w:val="single" w:sz="4" w:space="0" w:color="auto"/>
            </w:tcBorders>
          </w:tcPr>
          <w:p w14:paraId="70E23780" w14:textId="77777777" w:rsidR="008C478F" w:rsidRPr="001E1772" w:rsidRDefault="008C478F" w:rsidP="00CF2F6E">
            <w:pPr>
              <w:pStyle w:val="NoSpacing"/>
              <w:jc w:val="left"/>
            </w:pPr>
            <w:r w:rsidRPr="001E1772">
              <w:t>Effect in cities that were both communal and parliamentary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1783072" w14:textId="77777777" w:rsidR="008C478F" w:rsidRPr="001E1772" w:rsidRDefault="00F708D6" w:rsidP="00CF2F6E">
            <w:pPr>
              <w:pStyle w:val="NoSpacing"/>
              <w:jc w:val="center"/>
            </w:pPr>
            <w:r>
              <w:t>0</w:t>
            </w:r>
            <w:r w:rsidR="004B28E9" w:rsidRPr="001E1772">
              <w:t>.65*** (</w:t>
            </w:r>
            <w:r>
              <w:t>0</w:t>
            </w:r>
            <w:r w:rsidR="004B28E9" w:rsidRPr="001E1772">
              <w:t>.14)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AE7647F" w14:textId="77777777" w:rsidR="008C478F" w:rsidRPr="001E1772" w:rsidRDefault="00F708D6" w:rsidP="00CF2F6E">
            <w:pPr>
              <w:pStyle w:val="NoSpacing"/>
              <w:jc w:val="center"/>
            </w:pPr>
            <w:r>
              <w:t>0</w:t>
            </w:r>
            <w:r w:rsidR="004B28E9" w:rsidRPr="001E1772">
              <w:t>.42** (</w:t>
            </w:r>
            <w:r>
              <w:t>0</w:t>
            </w:r>
            <w:r w:rsidR="004B28E9" w:rsidRPr="001E1772">
              <w:t>.18)</w:t>
            </w:r>
          </w:p>
        </w:tc>
      </w:tr>
    </w:tbl>
    <w:p w14:paraId="14914842" w14:textId="77777777" w:rsidR="00C934FB" w:rsidRDefault="00C934FB" w:rsidP="003374A3">
      <w:pPr>
        <w:pStyle w:val="NoSpacing"/>
      </w:pPr>
    </w:p>
    <w:p w14:paraId="25AAFB98" w14:textId="77777777" w:rsidR="00C51AA7" w:rsidRPr="001E1772" w:rsidRDefault="00C51AA7" w:rsidP="003374A3">
      <w:pPr>
        <w:pStyle w:val="NoSpacing"/>
      </w:pPr>
    </w:p>
    <w:p w14:paraId="248DCE11" w14:textId="77777777" w:rsidR="00E91A1F" w:rsidRPr="005E30F2" w:rsidRDefault="006B6D82" w:rsidP="00B91658">
      <w:pPr>
        <w:pStyle w:val="NoSpacing"/>
        <w:jc w:val="left"/>
        <w:rPr>
          <w:caps/>
        </w:rPr>
      </w:pPr>
      <w:r w:rsidRPr="005E30F2">
        <w:rPr>
          <w:caps/>
        </w:rPr>
        <w:t>G</w:t>
      </w:r>
      <w:r w:rsidR="00E91A1F" w:rsidRPr="005E30F2">
        <w:rPr>
          <w:caps/>
        </w:rPr>
        <w:t>. Parliamentary urban potential</w:t>
      </w:r>
    </w:p>
    <w:p w14:paraId="6F271D97" w14:textId="77777777" w:rsidR="005E30F2" w:rsidRPr="001E1772" w:rsidRDefault="005E30F2" w:rsidP="003374A3">
      <w:pPr>
        <w:pStyle w:val="NoSpacing"/>
      </w:pPr>
    </w:p>
    <w:p w14:paraId="4AA72BA2" w14:textId="77777777" w:rsidR="005E30F2" w:rsidRDefault="00E91A1F" w:rsidP="005E30F2">
      <w:pPr>
        <w:pStyle w:val="NoSpacing"/>
        <w:ind w:firstLine="360"/>
      </w:pPr>
      <w:r w:rsidRPr="001E1772">
        <w:t>The parliamentary urban potential for city j in century t, PUP</w:t>
      </w:r>
      <w:r w:rsidRPr="001E1772">
        <w:rPr>
          <w:vertAlign w:val="subscript"/>
        </w:rPr>
        <w:t>jt</w:t>
      </w:r>
      <w:r w:rsidRPr="001E1772">
        <w:t xml:space="preserve">, is calculated as follows: </w:t>
      </w:r>
    </w:p>
    <w:p w14:paraId="0A41B069" w14:textId="2B82C99E" w:rsidR="00E91A1F" w:rsidRPr="001E1772" w:rsidRDefault="00E91A1F" w:rsidP="005E30F2">
      <w:pPr>
        <w:pStyle w:val="NoSpacing"/>
        <w:ind w:firstLine="360"/>
      </w:pPr>
    </w:p>
    <w:p w14:paraId="1519555C" w14:textId="3F87C6D7" w:rsidR="00E91A1F" w:rsidRPr="001E1772" w:rsidRDefault="004C7CB6" w:rsidP="00B91658">
      <w:pPr>
        <w:pStyle w:val="NoSpacing"/>
        <w:jc w:val="center"/>
      </w:pPr>
      <w:r w:rsidRPr="001E1772">
        <w:rPr>
          <w:position w:val="-14"/>
        </w:rPr>
        <w:object w:dxaOrig="639" w:dyaOrig="400" w14:anchorId="4E4A29D6">
          <v:shape id="_x0000_i1027" type="#_x0000_t75" style="width:25pt;height:18.5pt" o:ole="">
            <v:imagedata r:id="rId11" o:title=""/>
          </v:shape>
          <o:OLEObject Type="Embed" ProgID="Equation.3" ShapeID="_x0000_i1027" DrawAspect="Content" ObjectID="_1559135173" r:id="rId12"/>
        </w:object>
      </w:r>
      <w:r w:rsidR="00E91A1F" w:rsidRPr="001E1772">
        <w:t xml:space="preserve"> = </w:t>
      </w:r>
      <w:r w:rsidRPr="001E1772">
        <w:rPr>
          <w:position w:val="-32"/>
        </w:rPr>
        <w:object w:dxaOrig="2140" w:dyaOrig="700" w14:anchorId="0E33E75C">
          <v:shape id="_x0000_i1028" type="#_x0000_t75" style="width:83pt;height:29.5pt" o:ole="">
            <v:imagedata r:id="rId13" o:title=""/>
          </v:shape>
          <o:OLEObject Type="Embed" ProgID="Equation.3" ShapeID="_x0000_i1028" DrawAspect="Content" ObjectID="_1559135174" r:id="rId14"/>
        </w:object>
      </w:r>
      <w:r w:rsidR="005E30F2">
        <w:t>.</w:t>
      </w:r>
    </w:p>
    <w:p w14:paraId="07EC5A28" w14:textId="77777777" w:rsidR="005E30F2" w:rsidRDefault="005E30F2" w:rsidP="00B91658">
      <w:pPr>
        <w:pStyle w:val="NoSpacing"/>
        <w:jc w:val="center"/>
      </w:pPr>
    </w:p>
    <w:p w14:paraId="114B58B2" w14:textId="20244577" w:rsidR="008836A1" w:rsidRDefault="00E91A1F" w:rsidP="003374A3">
      <w:pPr>
        <w:pStyle w:val="NoSpacing"/>
      </w:pPr>
      <w:r w:rsidRPr="001E1772">
        <w:t>Here, Parliament</w:t>
      </w:r>
      <w:r w:rsidRPr="001E1772">
        <w:rPr>
          <w:vertAlign w:val="subscript"/>
        </w:rPr>
        <w:t>it</w:t>
      </w:r>
      <w:r w:rsidRPr="001E1772">
        <w:t xml:space="preserve"> = 1 if city i is in a parliamentary realm in century t, = 0 otherwise; pop</w:t>
      </w:r>
      <w:r w:rsidRPr="001E1772">
        <w:rPr>
          <w:vertAlign w:val="subscript"/>
        </w:rPr>
        <w:t>it</w:t>
      </w:r>
      <w:r w:rsidRPr="001E1772">
        <w:t xml:space="preserve"> is city i’s population at time t; and D</w:t>
      </w:r>
      <w:r w:rsidRPr="001E1772">
        <w:rPr>
          <w:vertAlign w:val="subscript"/>
        </w:rPr>
        <w:t>ij</w:t>
      </w:r>
      <w:r w:rsidRPr="001E1772">
        <w:t xml:space="preserve"> is the great circle distance between cities i and j.</w:t>
      </w:r>
      <w:r w:rsidR="00B91658">
        <w:t xml:space="preserve"> </w:t>
      </w:r>
      <w:r w:rsidRPr="001E1772">
        <w:t>The results mentioned in the text</w:t>
      </w:r>
      <w:r w:rsidR="00E6079C" w:rsidRPr="001E1772">
        <w:t xml:space="preserve">, for non-parliamentary West European cities </w:t>
      </w:r>
      <w:r w:rsidR="00270A87" w:rsidRPr="001E1772">
        <w:t>1200</w:t>
      </w:r>
      <w:r w:rsidR="00490012">
        <w:rPr>
          <w:rFonts w:cs="Times New Roman"/>
        </w:rPr>
        <w:t>–</w:t>
      </w:r>
      <w:r w:rsidR="00270A87" w:rsidRPr="001E1772">
        <w:t>1500</w:t>
      </w:r>
      <w:r w:rsidR="004C7CB6">
        <w:t xml:space="preserve"> </w:t>
      </w:r>
      <w:r w:rsidR="00490012" w:rsidRPr="00B91658">
        <w:rPr>
          <w:smallCaps/>
        </w:rPr>
        <w:t>ce</w:t>
      </w:r>
      <w:r w:rsidR="002717BF" w:rsidRPr="001E1772">
        <w:t>,</w:t>
      </w:r>
      <w:r w:rsidRPr="001E1772">
        <w:t xml:space="preserve"> </w:t>
      </w:r>
      <w:r w:rsidR="007304B1" w:rsidRPr="001E1772">
        <w:t>are displayed below.</w:t>
      </w:r>
      <w:r w:rsidR="00B91658">
        <w:t xml:space="preserve"> </w:t>
      </w:r>
      <w:r w:rsidR="007304B1" w:rsidRPr="001E1772">
        <w:t>The results are similar, if errors are clustered at the country level rather than the gridcell level</w:t>
      </w:r>
      <w:r w:rsidR="00490012">
        <w:t>,</w:t>
      </w:r>
      <w:r w:rsidR="007304B1" w:rsidRPr="001E1772">
        <w:t xml:space="preserve"> and if gridcell-century interactions are included.</w:t>
      </w:r>
      <w:r w:rsidR="00B91658">
        <w:t xml:space="preserve"> </w:t>
      </w:r>
    </w:p>
    <w:p w14:paraId="129665EE" w14:textId="77777777" w:rsidR="00992072" w:rsidRDefault="00992072" w:rsidP="003374A3">
      <w:pPr>
        <w:pStyle w:val="NoSpacing"/>
      </w:pPr>
      <w:r>
        <w:br w:type="page"/>
      </w:r>
    </w:p>
    <w:p w14:paraId="266A7106" w14:textId="77777777" w:rsidR="008D2501" w:rsidRPr="005E30F2" w:rsidRDefault="008D2501" w:rsidP="005E30F2">
      <w:pPr>
        <w:pStyle w:val="NoSpacing"/>
        <w:jc w:val="center"/>
        <w:rPr>
          <w:bCs/>
          <w:smallCaps/>
        </w:rPr>
      </w:pPr>
      <w:r w:rsidRPr="005E30F2">
        <w:rPr>
          <w:bCs/>
          <w:smallCaps/>
        </w:rPr>
        <w:lastRenderedPageBreak/>
        <w:t xml:space="preserve">Table </w:t>
      </w:r>
      <w:r w:rsidR="006B6D82" w:rsidRPr="005E30F2">
        <w:rPr>
          <w:bCs/>
          <w:smallCaps/>
        </w:rPr>
        <w:t>G.</w:t>
      </w:r>
      <w:r w:rsidRPr="005E30F2">
        <w:rPr>
          <w:bCs/>
          <w:smallCaps/>
        </w:rPr>
        <w:t>1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440"/>
        <w:gridCol w:w="1260"/>
      </w:tblGrid>
      <w:tr w:rsidR="00270A87" w:rsidRPr="001E1772" w14:paraId="15BD002F" w14:textId="77777777" w:rsidTr="002470D3">
        <w:tc>
          <w:tcPr>
            <w:tcW w:w="3775" w:type="dxa"/>
            <w:tcBorders>
              <w:top w:val="double" w:sz="4" w:space="0" w:color="auto"/>
              <w:bottom w:val="single" w:sz="4" w:space="0" w:color="auto"/>
            </w:tcBorders>
          </w:tcPr>
          <w:p w14:paraId="5C7EB99C" w14:textId="77777777" w:rsidR="00270A87" w:rsidRPr="001E1772" w:rsidRDefault="005E30F2" w:rsidP="005E30F2">
            <w:pPr>
              <w:pStyle w:val="NoSpacing"/>
              <w:jc w:val="left"/>
            </w:pPr>
            <w:r>
              <w:t>Independent V</w:t>
            </w:r>
            <w:r w:rsidR="00270A87" w:rsidRPr="001E1772">
              <w:t>ariables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14:paraId="04A38BFD" w14:textId="77777777" w:rsidR="00270A87" w:rsidRPr="001E1772" w:rsidRDefault="00270A87" w:rsidP="005E30F2">
            <w:pPr>
              <w:pStyle w:val="NoSpacing"/>
              <w:jc w:val="center"/>
            </w:pPr>
            <w:r w:rsidRPr="001E1772">
              <w:t>Model 1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14:paraId="113E151F" w14:textId="77777777" w:rsidR="00270A87" w:rsidRPr="001E1772" w:rsidRDefault="00270A87" w:rsidP="005E30F2">
            <w:pPr>
              <w:pStyle w:val="NoSpacing"/>
              <w:jc w:val="center"/>
            </w:pPr>
            <w:r w:rsidRPr="001E1772">
              <w:t>Model 2</w:t>
            </w:r>
          </w:p>
        </w:tc>
      </w:tr>
      <w:tr w:rsidR="00270A87" w:rsidRPr="001E1772" w14:paraId="66E75CEA" w14:textId="77777777" w:rsidTr="002470D3">
        <w:tc>
          <w:tcPr>
            <w:tcW w:w="3775" w:type="dxa"/>
            <w:tcBorders>
              <w:top w:val="single" w:sz="4" w:space="0" w:color="auto"/>
            </w:tcBorders>
          </w:tcPr>
          <w:p w14:paraId="0EBCCE37" w14:textId="77777777" w:rsidR="00270A87" w:rsidRPr="001E1772" w:rsidRDefault="00270A87" w:rsidP="005E30F2">
            <w:pPr>
              <w:pStyle w:val="NoSpacing"/>
              <w:jc w:val="left"/>
            </w:pPr>
            <w:r w:rsidRPr="001E1772">
              <w:t>ln[pop</w:t>
            </w:r>
            <w:r w:rsidRPr="001E1772">
              <w:rPr>
                <w:vertAlign w:val="subscript"/>
              </w:rPr>
              <w:t>t-1</w:t>
            </w:r>
            <w:r w:rsidRPr="001E1772">
              <w:t>]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C3FBDDD" w14:textId="77777777" w:rsidR="00270A87" w:rsidRPr="001E1772" w:rsidRDefault="005E30F2" w:rsidP="005E30F2">
            <w:pPr>
              <w:pStyle w:val="NoSpacing"/>
              <w:jc w:val="center"/>
            </w:pPr>
            <w:r>
              <w:rPr>
                <w:rFonts w:cs="Times New Roman"/>
              </w:rPr>
              <w:t>–</w:t>
            </w:r>
            <w:r w:rsidR="002D04C1" w:rsidRPr="001E1772">
              <w:t>1.05</w:t>
            </w:r>
            <w:r w:rsidR="00270A87" w:rsidRPr="001E1772">
              <w:t>***</w:t>
            </w:r>
          </w:p>
          <w:p w14:paraId="3463B5BB" w14:textId="77777777" w:rsidR="00270A87" w:rsidRPr="001E1772" w:rsidRDefault="00270A87" w:rsidP="005E30F2">
            <w:pPr>
              <w:pStyle w:val="NoSpacing"/>
              <w:jc w:val="center"/>
            </w:pPr>
            <w:r w:rsidRPr="001E1772">
              <w:t>(</w:t>
            </w:r>
            <w:r w:rsidR="00F708D6">
              <w:t>0</w:t>
            </w:r>
            <w:r w:rsidRPr="001E1772">
              <w:t>.08)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03F96E1" w14:textId="77777777" w:rsidR="00270A87" w:rsidRPr="001E1772" w:rsidRDefault="005E30F2" w:rsidP="005E30F2">
            <w:pPr>
              <w:pStyle w:val="NoSpacing"/>
              <w:jc w:val="center"/>
            </w:pPr>
            <w:r>
              <w:rPr>
                <w:rFonts w:cs="Times New Roman"/>
              </w:rPr>
              <w:t>–</w:t>
            </w:r>
            <w:r w:rsidR="00270A87" w:rsidRPr="001E1772">
              <w:t>1.12***</w:t>
            </w:r>
          </w:p>
          <w:p w14:paraId="528C2EAC" w14:textId="77777777" w:rsidR="00270A87" w:rsidRPr="001E1772" w:rsidRDefault="00270A87" w:rsidP="005E30F2">
            <w:pPr>
              <w:pStyle w:val="NoSpacing"/>
              <w:jc w:val="center"/>
            </w:pPr>
            <w:r w:rsidRPr="001E1772">
              <w:t>(</w:t>
            </w:r>
            <w:r w:rsidR="00F708D6">
              <w:t>0</w:t>
            </w:r>
            <w:r w:rsidRPr="001E1772">
              <w:t>.10)</w:t>
            </w:r>
          </w:p>
        </w:tc>
      </w:tr>
      <w:tr w:rsidR="00270A87" w:rsidRPr="001E1772" w14:paraId="277CD39D" w14:textId="77777777" w:rsidTr="005E30F2">
        <w:tc>
          <w:tcPr>
            <w:tcW w:w="3775" w:type="dxa"/>
          </w:tcPr>
          <w:p w14:paraId="54E47471" w14:textId="77777777" w:rsidR="00270A87" w:rsidRPr="001E1772" w:rsidRDefault="00270A87" w:rsidP="005E30F2">
            <w:pPr>
              <w:pStyle w:val="NoSpacing"/>
              <w:jc w:val="left"/>
            </w:pPr>
            <w:r w:rsidRPr="001E1772">
              <w:t>UPGrowth</w:t>
            </w:r>
          </w:p>
        </w:tc>
        <w:tc>
          <w:tcPr>
            <w:tcW w:w="1440" w:type="dxa"/>
          </w:tcPr>
          <w:p w14:paraId="5B54016B" w14:textId="77777777" w:rsidR="00270A87" w:rsidRPr="001E1772" w:rsidRDefault="002D04C1" w:rsidP="005E30F2">
            <w:pPr>
              <w:pStyle w:val="NoSpacing"/>
              <w:jc w:val="center"/>
            </w:pPr>
            <w:r w:rsidRPr="001E1772">
              <w:t>0</w:t>
            </w:r>
            <w:r w:rsidR="00270A87" w:rsidRPr="001E1772">
              <w:t>.</w:t>
            </w:r>
            <w:r w:rsidRPr="001E1772">
              <w:t>107</w:t>
            </w:r>
          </w:p>
          <w:p w14:paraId="40C75511" w14:textId="77777777" w:rsidR="00270A87" w:rsidRPr="001E1772" w:rsidRDefault="00270A87" w:rsidP="005E30F2">
            <w:pPr>
              <w:pStyle w:val="NoSpacing"/>
              <w:jc w:val="center"/>
            </w:pPr>
            <w:r w:rsidRPr="001E1772">
              <w:t>(</w:t>
            </w:r>
            <w:r w:rsidR="00F708D6">
              <w:t>0</w:t>
            </w:r>
            <w:r w:rsidRPr="001E1772">
              <w:t>.</w:t>
            </w:r>
            <w:r w:rsidR="0031771F" w:rsidRPr="001E1772">
              <w:t>5</w:t>
            </w:r>
            <w:r w:rsidR="002D04C1" w:rsidRPr="001E1772">
              <w:t>0</w:t>
            </w:r>
            <w:r w:rsidRPr="001E1772">
              <w:t>)</w:t>
            </w:r>
          </w:p>
        </w:tc>
        <w:tc>
          <w:tcPr>
            <w:tcW w:w="1260" w:type="dxa"/>
          </w:tcPr>
          <w:p w14:paraId="3A1735EF" w14:textId="77777777" w:rsidR="00270A87" w:rsidRPr="001E1772" w:rsidRDefault="005E30F2" w:rsidP="005E30F2">
            <w:pPr>
              <w:pStyle w:val="NoSpacing"/>
              <w:jc w:val="center"/>
            </w:pPr>
            <w:r>
              <w:rPr>
                <w:rFonts w:cs="Times New Roman"/>
              </w:rPr>
              <w:t>—</w:t>
            </w:r>
          </w:p>
        </w:tc>
      </w:tr>
      <w:tr w:rsidR="00270A87" w:rsidRPr="001E1772" w14:paraId="3867F44B" w14:textId="77777777" w:rsidTr="005E30F2">
        <w:tc>
          <w:tcPr>
            <w:tcW w:w="3775" w:type="dxa"/>
          </w:tcPr>
          <w:p w14:paraId="7ACEF3F1" w14:textId="77777777" w:rsidR="00270A87" w:rsidRPr="001E1772" w:rsidRDefault="00270A87" w:rsidP="005E30F2">
            <w:pPr>
              <w:pStyle w:val="NoSpacing"/>
              <w:jc w:val="left"/>
            </w:pPr>
            <w:r w:rsidRPr="001E1772">
              <w:t>PUPGrowth</w:t>
            </w:r>
          </w:p>
        </w:tc>
        <w:tc>
          <w:tcPr>
            <w:tcW w:w="1440" w:type="dxa"/>
          </w:tcPr>
          <w:p w14:paraId="70715072" w14:textId="77777777" w:rsidR="00270A87" w:rsidRPr="001E1772" w:rsidRDefault="005E30F2" w:rsidP="005E30F2">
            <w:pPr>
              <w:pStyle w:val="NoSpacing"/>
              <w:jc w:val="center"/>
            </w:pPr>
            <w:r>
              <w:rPr>
                <w:rFonts w:cs="Times New Roman"/>
              </w:rPr>
              <w:t>—</w:t>
            </w:r>
          </w:p>
        </w:tc>
        <w:tc>
          <w:tcPr>
            <w:tcW w:w="1260" w:type="dxa"/>
          </w:tcPr>
          <w:p w14:paraId="462814D5" w14:textId="77777777" w:rsidR="00270A87" w:rsidRPr="001E1772" w:rsidRDefault="00F708D6" w:rsidP="005E30F2">
            <w:pPr>
              <w:pStyle w:val="NoSpacing"/>
              <w:jc w:val="center"/>
            </w:pPr>
            <w:r>
              <w:t>0</w:t>
            </w:r>
            <w:r w:rsidR="00270A87" w:rsidRPr="001E1772">
              <w:t>.35***</w:t>
            </w:r>
          </w:p>
          <w:p w14:paraId="0AB40D1E" w14:textId="77777777" w:rsidR="00270A87" w:rsidRPr="001E1772" w:rsidRDefault="00270A87" w:rsidP="005E30F2">
            <w:pPr>
              <w:pStyle w:val="NoSpacing"/>
              <w:jc w:val="center"/>
            </w:pPr>
            <w:r w:rsidRPr="001E1772">
              <w:t>(</w:t>
            </w:r>
            <w:r w:rsidR="00F708D6">
              <w:t>0</w:t>
            </w:r>
            <w:r w:rsidRPr="001E1772">
              <w:t>.07)</w:t>
            </w:r>
          </w:p>
        </w:tc>
      </w:tr>
      <w:tr w:rsidR="00270A87" w:rsidRPr="001E1772" w14:paraId="1CBC5701" w14:textId="77777777" w:rsidTr="005E30F2">
        <w:tc>
          <w:tcPr>
            <w:tcW w:w="3775" w:type="dxa"/>
          </w:tcPr>
          <w:p w14:paraId="0713A429" w14:textId="77777777" w:rsidR="00270A87" w:rsidRPr="001E1772" w:rsidRDefault="00270A87" w:rsidP="005E30F2">
            <w:pPr>
              <w:pStyle w:val="NoSpacing"/>
              <w:jc w:val="left"/>
            </w:pPr>
            <w:r w:rsidRPr="001E1772">
              <w:t>Battles</w:t>
            </w:r>
          </w:p>
        </w:tc>
        <w:tc>
          <w:tcPr>
            <w:tcW w:w="1440" w:type="dxa"/>
          </w:tcPr>
          <w:p w14:paraId="178D743E" w14:textId="77777777" w:rsidR="00270A87" w:rsidRPr="001E1772" w:rsidRDefault="00F708D6" w:rsidP="005E30F2">
            <w:pPr>
              <w:pStyle w:val="NoSpacing"/>
              <w:jc w:val="center"/>
            </w:pPr>
            <w:r>
              <w:t>0</w:t>
            </w:r>
            <w:r w:rsidR="00270A87" w:rsidRPr="001E1772">
              <w:t>.</w:t>
            </w:r>
            <w:r w:rsidR="002D04C1" w:rsidRPr="001E1772">
              <w:t>12</w:t>
            </w:r>
          </w:p>
          <w:p w14:paraId="28B11C9B" w14:textId="77777777" w:rsidR="00270A87" w:rsidRPr="001E1772" w:rsidRDefault="0031771F" w:rsidP="005E30F2">
            <w:pPr>
              <w:pStyle w:val="NoSpacing"/>
              <w:jc w:val="center"/>
            </w:pPr>
            <w:r w:rsidRPr="001E1772">
              <w:t>(</w:t>
            </w:r>
            <w:r w:rsidR="00F708D6">
              <w:t>0</w:t>
            </w:r>
            <w:r w:rsidRPr="001E1772">
              <w:t>.7</w:t>
            </w:r>
            <w:r w:rsidR="002D04C1" w:rsidRPr="001E1772">
              <w:t>2</w:t>
            </w:r>
            <w:r w:rsidR="00270A87" w:rsidRPr="001E1772">
              <w:t>)</w:t>
            </w:r>
          </w:p>
        </w:tc>
        <w:tc>
          <w:tcPr>
            <w:tcW w:w="1260" w:type="dxa"/>
          </w:tcPr>
          <w:p w14:paraId="2DA334FC" w14:textId="77777777" w:rsidR="00270A87" w:rsidRPr="001E1772" w:rsidRDefault="00F708D6" w:rsidP="005E30F2">
            <w:pPr>
              <w:pStyle w:val="NoSpacing"/>
              <w:jc w:val="center"/>
            </w:pPr>
            <w:r>
              <w:t>0</w:t>
            </w:r>
            <w:r w:rsidR="00270A87" w:rsidRPr="001E1772">
              <w:t>.56</w:t>
            </w:r>
          </w:p>
          <w:p w14:paraId="693476BE" w14:textId="77777777" w:rsidR="00270A87" w:rsidRPr="001E1772" w:rsidRDefault="00270A87" w:rsidP="005E30F2">
            <w:pPr>
              <w:pStyle w:val="NoSpacing"/>
              <w:jc w:val="center"/>
            </w:pPr>
            <w:r w:rsidRPr="001E1772">
              <w:t>(</w:t>
            </w:r>
            <w:r w:rsidR="00F708D6">
              <w:t>0</w:t>
            </w:r>
            <w:r w:rsidRPr="001E1772">
              <w:t>.46)</w:t>
            </w:r>
          </w:p>
        </w:tc>
      </w:tr>
      <w:tr w:rsidR="00270A87" w:rsidRPr="001E1772" w14:paraId="3D8D6354" w14:textId="77777777" w:rsidTr="005E30F2">
        <w:tc>
          <w:tcPr>
            <w:tcW w:w="3775" w:type="dxa"/>
          </w:tcPr>
          <w:p w14:paraId="00627E22" w14:textId="77777777" w:rsidR="00270A87" w:rsidRPr="001E1772" w:rsidRDefault="00270A87" w:rsidP="005E30F2">
            <w:pPr>
              <w:pStyle w:val="NoSpacing"/>
              <w:jc w:val="left"/>
            </w:pPr>
          </w:p>
        </w:tc>
        <w:tc>
          <w:tcPr>
            <w:tcW w:w="1440" w:type="dxa"/>
          </w:tcPr>
          <w:p w14:paraId="5D8D9DBD" w14:textId="77777777" w:rsidR="00270A87" w:rsidRPr="001E1772" w:rsidRDefault="00270A87" w:rsidP="005E30F2">
            <w:pPr>
              <w:pStyle w:val="NoSpacing"/>
              <w:jc w:val="center"/>
            </w:pPr>
          </w:p>
        </w:tc>
        <w:tc>
          <w:tcPr>
            <w:tcW w:w="1260" w:type="dxa"/>
          </w:tcPr>
          <w:p w14:paraId="1CE94F21" w14:textId="77777777" w:rsidR="00270A87" w:rsidRPr="001E1772" w:rsidRDefault="00270A87" w:rsidP="005E30F2">
            <w:pPr>
              <w:pStyle w:val="NoSpacing"/>
              <w:jc w:val="center"/>
            </w:pPr>
          </w:p>
        </w:tc>
      </w:tr>
      <w:tr w:rsidR="00270A87" w:rsidRPr="001E1772" w14:paraId="72D12518" w14:textId="77777777" w:rsidTr="005E30F2">
        <w:tc>
          <w:tcPr>
            <w:tcW w:w="3775" w:type="dxa"/>
          </w:tcPr>
          <w:p w14:paraId="74286C26" w14:textId="77777777" w:rsidR="00270A87" w:rsidRPr="001E1772" w:rsidRDefault="00270A87" w:rsidP="005E30F2">
            <w:pPr>
              <w:pStyle w:val="NoSpacing"/>
              <w:jc w:val="left"/>
            </w:pPr>
            <w:r w:rsidRPr="001E1772">
              <w:t>City fixed effects?</w:t>
            </w:r>
          </w:p>
        </w:tc>
        <w:tc>
          <w:tcPr>
            <w:tcW w:w="1440" w:type="dxa"/>
          </w:tcPr>
          <w:p w14:paraId="4DC9D774" w14:textId="77777777" w:rsidR="00270A87" w:rsidRPr="001E1772" w:rsidRDefault="00270A87" w:rsidP="005E30F2">
            <w:pPr>
              <w:pStyle w:val="NoSpacing"/>
              <w:jc w:val="center"/>
            </w:pPr>
            <w:r w:rsidRPr="001E1772">
              <w:t>Yes</w:t>
            </w:r>
          </w:p>
        </w:tc>
        <w:tc>
          <w:tcPr>
            <w:tcW w:w="1260" w:type="dxa"/>
          </w:tcPr>
          <w:p w14:paraId="535B5B79" w14:textId="77777777" w:rsidR="00270A87" w:rsidRPr="001E1772" w:rsidRDefault="00270A87" w:rsidP="005E30F2">
            <w:pPr>
              <w:pStyle w:val="NoSpacing"/>
              <w:jc w:val="center"/>
            </w:pPr>
            <w:r w:rsidRPr="001E1772">
              <w:t>Yes</w:t>
            </w:r>
          </w:p>
        </w:tc>
      </w:tr>
      <w:tr w:rsidR="00270A87" w:rsidRPr="001E1772" w14:paraId="5CA3E7A7" w14:textId="77777777" w:rsidTr="005E30F2">
        <w:tc>
          <w:tcPr>
            <w:tcW w:w="3775" w:type="dxa"/>
          </w:tcPr>
          <w:p w14:paraId="5C88F863" w14:textId="77777777" w:rsidR="00270A87" w:rsidRPr="001E1772" w:rsidRDefault="00270A87" w:rsidP="005E30F2">
            <w:pPr>
              <w:pStyle w:val="NoSpacing"/>
              <w:jc w:val="left"/>
            </w:pPr>
            <w:r w:rsidRPr="001E1772">
              <w:t>Century fixed effects?</w:t>
            </w:r>
          </w:p>
        </w:tc>
        <w:tc>
          <w:tcPr>
            <w:tcW w:w="1440" w:type="dxa"/>
          </w:tcPr>
          <w:p w14:paraId="0DADD2BF" w14:textId="77777777" w:rsidR="00270A87" w:rsidRPr="001E1772" w:rsidRDefault="00270A87" w:rsidP="005E30F2">
            <w:pPr>
              <w:pStyle w:val="NoSpacing"/>
              <w:jc w:val="center"/>
            </w:pPr>
            <w:r w:rsidRPr="001E1772">
              <w:t>Yes</w:t>
            </w:r>
          </w:p>
        </w:tc>
        <w:tc>
          <w:tcPr>
            <w:tcW w:w="1260" w:type="dxa"/>
          </w:tcPr>
          <w:p w14:paraId="607AA8A0" w14:textId="77777777" w:rsidR="00270A87" w:rsidRPr="001E1772" w:rsidRDefault="00270A87" w:rsidP="005E30F2">
            <w:pPr>
              <w:pStyle w:val="NoSpacing"/>
              <w:jc w:val="center"/>
            </w:pPr>
            <w:r w:rsidRPr="001E1772">
              <w:t>Yes</w:t>
            </w:r>
          </w:p>
        </w:tc>
      </w:tr>
      <w:tr w:rsidR="00270A87" w:rsidRPr="001E1772" w14:paraId="5BFE81E9" w14:textId="77777777" w:rsidTr="005E30F2">
        <w:tc>
          <w:tcPr>
            <w:tcW w:w="3775" w:type="dxa"/>
          </w:tcPr>
          <w:p w14:paraId="16FAD03B" w14:textId="77777777" w:rsidR="00270A87" w:rsidRPr="001E1772" w:rsidRDefault="00E50BD0" w:rsidP="005E30F2">
            <w:pPr>
              <w:pStyle w:val="NoSpacing"/>
              <w:jc w:val="left"/>
            </w:pPr>
            <w:r w:rsidRPr="001E1772">
              <w:t>Bosker, Buringh, and van Zanden</w:t>
            </w:r>
            <w:r w:rsidR="00270A87" w:rsidRPr="001E1772">
              <w:t>’s other controls?</w:t>
            </w:r>
          </w:p>
        </w:tc>
        <w:tc>
          <w:tcPr>
            <w:tcW w:w="1440" w:type="dxa"/>
          </w:tcPr>
          <w:p w14:paraId="2F1323C1" w14:textId="77777777" w:rsidR="00270A87" w:rsidRPr="001E1772" w:rsidRDefault="00270A87" w:rsidP="005E30F2">
            <w:pPr>
              <w:pStyle w:val="NoSpacing"/>
              <w:jc w:val="center"/>
            </w:pPr>
            <w:r w:rsidRPr="001E1772">
              <w:t>Yes</w:t>
            </w:r>
          </w:p>
        </w:tc>
        <w:tc>
          <w:tcPr>
            <w:tcW w:w="1260" w:type="dxa"/>
          </w:tcPr>
          <w:p w14:paraId="0C4F5F0F" w14:textId="77777777" w:rsidR="00270A87" w:rsidRPr="001E1772" w:rsidRDefault="00270A87" w:rsidP="005E30F2">
            <w:pPr>
              <w:pStyle w:val="NoSpacing"/>
              <w:jc w:val="center"/>
            </w:pPr>
            <w:r w:rsidRPr="001E1772">
              <w:t>Yes</w:t>
            </w:r>
          </w:p>
        </w:tc>
      </w:tr>
      <w:tr w:rsidR="00270A87" w:rsidRPr="001E1772" w14:paraId="2D2B8B3A" w14:textId="77777777" w:rsidTr="005E30F2">
        <w:tc>
          <w:tcPr>
            <w:tcW w:w="3775" w:type="dxa"/>
          </w:tcPr>
          <w:p w14:paraId="4DCAC214" w14:textId="77777777" w:rsidR="00270A87" w:rsidRPr="001E1772" w:rsidRDefault="00270A87" w:rsidP="005E30F2">
            <w:pPr>
              <w:pStyle w:val="NoSpacing"/>
              <w:jc w:val="left"/>
            </w:pPr>
            <w:r w:rsidRPr="001E1772">
              <w:t>N</w:t>
            </w:r>
            <w:r w:rsidR="002470D3">
              <w:t>umber</w:t>
            </w:r>
            <w:r w:rsidRPr="001E1772">
              <w:t xml:space="preserve"> of observations</w:t>
            </w:r>
          </w:p>
        </w:tc>
        <w:tc>
          <w:tcPr>
            <w:tcW w:w="1440" w:type="dxa"/>
          </w:tcPr>
          <w:p w14:paraId="76844B75" w14:textId="77777777" w:rsidR="00270A87" w:rsidRPr="001E1772" w:rsidRDefault="0031771F" w:rsidP="005E30F2">
            <w:pPr>
              <w:pStyle w:val="NoSpacing"/>
              <w:jc w:val="center"/>
            </w:pPr>
            <w:r w:rsidRPr="001E1772">
              <w:t>198</w:t>
            </w:r>
          </w:p>
        </w:tc>
        <w:tc>
          <w:tcPr>
            <w:tcW w:w="1260" w:type="dxa"/>
          </w:tcPr>
          <w:p w14:paraId="4C4FD1AC" w14:textId="77777777" w:rsidR="00270A87" w:rsidRPr="001E1772" w:rsidRDefault="00270A87" w:rsidP="005E30F2">
            <w:pPr>
              <w:pStyle w:val="NoSpacing"/>
              <w:jc w:val="center"/>
            </w:pPr>
            <w:r w:rsidRPr="001E1772">
              <w:t>198</w:t>
            </w:r>
          </w:p>
        </w:tc>
      </w:tr>
      <w:tr w:rsidR="00270A87" w:rsidRPr="001E1772" w14:paraId="690A6612" w14:textId="77777777" w:rsidTr="005E30F2">
        <w:tc>
          <w:tcPr>
            <w:tcW w:w="3775" w:type="dxa"/>
          </w:tcPr>
          <w:p w14:paraId="7A88FE71" w14:textId="77777777" w:rsidR="00270A87" w:rsidRPr="001E1772" w:rsidRDefault="00270A87" w:rsidP="005E30F2">
            <w:pPr>
              <w:pStyle w:val="NoSpacing"/>
              <w:jc w:val="left"/>
            </w:pPr>
            <w:r w:rsidRPr="001E1772">
              <w:t>N</w:t>
            </w:r>
            <w:r w:rsidR="002470D3">
              <w:t>umber</w:t>
            </w:r>
            <w:r w:rsidRPr="001E1772">
              <w:t xml:space="preserve"> of cities</w:t>
            </w:r>
          </w:p>
        </w:tc>
        <w:tc>
          <w:tcPr>
            <w:tcW w:w="1440" w:type="dxa"/>
          </w:tcPr>
          <w:p w14:paraId="7496351A" w14:textId="77777777" w:rsidR="00270A87" w:rsidRPr="001E1772" w:rsidRDefault="0031771F" w:rsidP="005E30F2">
            <w:pPr>
              <w:pStyle w:val="NoSpacing"/>
              <w:jc w:val="center"/>
            </w:pPr>
            <w:r w:rsidRPr="001E1772">
              <w:t>101</w:t>
            </w:r>
          </w:p>
        </w:tc>
        <w:tc>
          <w:tcPr>
            <w:tcW w:w="1260" w:type="dxa"/>
          </w:tcPr>
          <w:p w14:paraId="4180109E" w14:textId="77777777" w:rsidR="00270A87" w:rsidRPr="001E1772" w:rsidRDefault="00270A87" w:rsidP="005E30F2">
            <w:pPr>
              <w:pStyle w:val="NoSpacing"/>
              <w:jc w:val="center"/>
            </w:pPr>
            <w:r w:rsidRPr="001E1772">
              <w:t>101</w:t>
            </w:r>
          </w:p>
        </w:tc>
      </w:tr>
      <w:tr w:rsidR="00270A87" w:rsidRPr="001E1772" w14:paraId="6965A58F" w14:textId="77777777" w:rsidTr="002470D3">
        <w:tc>
          <w:tcPr>
            <w:tcW w:w="3775" w:type="dxa"/>
          </w:tcPr>
          <w:p w14:paraId="4EFAB73A" w14:textId="77777777" w:rsidR="00270A87" w:rsidRPr="001E1772" w:rsidRDefault="00270A87" w:rsidP="005E30F2">
            <w:pPr>
              <w:pStyle w:val="NoSpacing"/>
              <w:jc w:val="left"/>
            </w:pPr>
            <w:r w:rsidRPr="001E1772">
              <w:t xml:space="preserve">Errors clustered at the gridcell level; number of gridcells = </w:t>
            </w:r>
          </w:p>
        </w:tc>
        <w:tc>
          <w:tcPr>
            <w:tcW w:w="1440" w:type="dxa"/>
          </w:tcPr>
          <w:p w14:paraId="0353FB20" w14:textId="77777777" w:rsidR="00270A87" w:rsidRPr="001E1772" w:rsidRDefault="0031771F" w:rsidP="005E30F2">
            <w:pPr>
              <w:pStyle w:val="NoSpacing"/>
              <w:jc w:val="center"/>
            </w:pPr>
            <w:r w:rsidRPr="001E1772">
              <w:t>18</w:t>
            </w:r>
          </w:p>
        </w:tc>
        <w:tc>
          <w:tcPr>
            <w:tcW w:w="1260" w:type="dxa"/>
          </w:tcPr>
          <w:p w14:paraId="47D59FF0" w14:textId="77777777" w:rsidR="00270A87" w:rsidRPr="001E1772" w:rsidRDefault="00270A87" w:rsidP="005E30F2">
            <w:pPr>
              <w:pStyle w:val="NoSpacing"/>
              <w:jc w:val="center"/>
            </w:pPr>
            <w:r w:rsidRPr="001E1772">
              <w:t>18</w:t>
            </w:r>
          </w:p>
        </w:tc>
      </w:tr>
      <w:tr w:rsidR="00270A87" w:rsidRPr="001E1772" w14:paraId="3ABFC3D3" w14:textId="77777777" w:rsidTr="002470D3">
        <w:tc>
          <w:tcPr>
            <w:tcW w:w="3775" w:type="dxa"/>
            <w:tcBorders>
              <w:bottom w:val="single" w:sz="4" w:space="0" w:color="auto"/>
            </w:tcBorders>
          </w:tcPr>
          <w:p w14:paraId="7B8D5AF4" w14:textId="77777777" w:rsidR="00270A87" w:rsidRPr="001E1772" w:rsidRDefault="00270A87" w:rsidP="005E30F2">
            <w:pPr>
              <w:pStyle w:val="NoSpacing"/>
              <w:jc w:val="left"/>
            </w:pPr>
            <w:r w:rsidRPr="001E1772">
              <w:t>R</w:t>
            </w:r>
            <w:r w:rsidRPr="001E1772">
              <w:rPr>
                <w:vertAlign w:val="superscript"/>
              </w:rPr>
              <w:t>2</w:t>
            </w:r>
            <w:r w:rsidRPr="001E1772">
              <w:t xml:space="preserve"> (within)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E73414" w14:textId="77777777" w:rsidR="00270A87" w:rsidRPr="001E1772" w:rsidRDefault="00F708D6" w:rsidP="005E30F2">
            <w:pPr>
              <w:pStyle w:val="NoSpacing"/>
              <w:jc w:val="center"/>
            </w:pPr>
            <w:r>
              <w:t>0</w:t>
            </w:r>
            <w:r w:rsidR="002D04C1" w:rsidRPr="001E1772">
              <w:t>.70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8C5E3C4" w14:textId="77777777" w:rsidR="00270A87" w:rsidRPr="001E1772" w:rsidRDefault="00F708D6" w:rsidP="005E30F2">
            <w:pPr>
              <w:pStyle w:val="NoSpacing"/>
              <w:jc w:val="center"/>
            </w:pPr>
            <w:r>
              <w:t>0</w:t>
            </w:r>
            <w:r w:rsidR="00270A87" w:rsidRPr="001E1772">
              <w:t>.72</w:t>
            </w:r>
          </w:p>
        </w:tc>
      </w:tr>
    </w:tbl>
    <w:p w14:paraId="69C84586" w14:textId="00891601" w:rsidR="008D2501" w:rsidRPr="001E1772" w:rsidRDefault="008D2501" w:rsidP="003374A3">
      <w:pPr>
        <w:pStyle w:val="NoSpacing"/>
      </w:pPr>
      <w:r w:rsidRPr="001E1772">
        <w:t>Dependent variable = logarithmic growth rate of population</w:t>
      </w:r>
      <w:r w:rsidR="004C7CB6">
        <w:t>.</w:t>
      </w:r>
    </w:p>
    <w:p w14:paraId="432017A5" w14:textId="77777777" w:rsidR="008D2501" w:rsidRPr="001E1772" w:rsidRDefault="008D2501" w:rsidP="003374A3">
      <w:pPr>
        <w:pStyle w:val="NoSpacing"/>
      </w:pPr>
      <w:r w:rsidRPr="001E1772">
        <w:t xml:space="preserve">*** p &lt; </w:t>
      </w:r>
      <w:r w:rsidR="00F708D6">
        <w:t>0</w:t>
      </w:r>
      <w:r w:rsidRPr="001E1772">
        <w:t xml:space="preserve">.01; ** p &lt; </w:t>
      </w:r>
      <w:r w:rsidR="00F708D6">
        <w:t>0</w:t>
      </w:r>
      <w:r w:rsidRPr="001E1772">
        <w:t xml:space="preserve">.05; * p &lt; </w:t>
      </w:r>
      <w:r w:rsidR="00F708D6">
        <w:t>0</w:t>
      </w:r>
      <w:r w:rsidRPr="001E1772">
        <w:t>.10</w:t>
      </w:r>
    </w:p>
    <w:p w14:paraId="4137F958" w14:textId="77777777" w:rsidR="008836A1" w:rsidRDefault="008836A1" w:rsidP="003374A3">
      <w:pPr>
        <w:pStyle w:val="NoSpacing"/>
      </w:pPr>
    </w:p>
    <w:p w14:paraId="6F651202" w14:textId="77777777" w:rsidR="00C51AA7" w:rsidRPr="001E1772" w:rsidRDefault="00C51AA7" w:rsidP="003374A3">
      <w:pPr>
        <w:pStyle w:val="NoSpacing"/>
      </w:pPr>
    </w:p>
    <w:p w14:paraId="1B658E18" w14:textId="77777777" w:rsidR="00CC309C" w:rsidRPr="002470D3" w:rsidRDefault="006B6D82" w:rsidP="00B91658">
      <w:pPr>
        <w:pStyle w:val="NoSpacing"/>
        <w:jc w:val="left"/>
        <w:rPr>
          <w:caps/>
        </w:rPr>
      </w:pPr>
      <w:r w:rsidRPr="002470D3">
        <w:rPr>
          <w:caps/>
        </w:rPr>
        <w:t>H</w:t>
      </w:r>
      <w:r w:rsidR="00CC309C" w:rsidRPr="002470D3">
        <w:rPr>
          <w:caps/>
        </w:rPr>
        <w:t>. Arrellano-Bond analyses</w:t>
      </w:r>
    </w:p>
    <w:p w14:paraId="2209027E" w14:textId="77777777" w:rsidR="002470D3" w:rsidRDefault="002470D3" w:rsidP="003374A3">
      <w:pPr>
        <w:pStyle w:val="NoSpacing"/>
      </w:pPr>
    </w:p>
    <w:p w14:paraId="4EB15219" w14:textId="3D4A2059" w:rsidR="00CC309C" w:rsidRDefault="00CC309C" w:rsidP="002470D3">
      <w:pPr>
        <w:pStyle w:val="NoSpacing"/>
        <w:ind w:firstLine="360"/>
      </w:pPr>
      <w:r w:rsidRPr="001E1772">
        <w:t>The datasets analyzed here are “small T, large N” panels.</w:t>
      </w:r>
      <w:r w:rsidR="00B91658">
        <w:t xml:space="preserve"> </w:t>
      </w:r>
      <w:r w:rsidRPr="001E1772">
        <w:t xml:space="preserve">As such, dynamic panel bias </w:t>
      </w:r>
      <w:r w:rsidR="00E611F7" w:rsidRPr="001E1772">
        <w:t xml:space="preserve">(Nickell 1981) </w:t>
      </w:r>
      <w:r w:rsidRPr="001E1772">
        <w:t>is a worry.</w:t>
      </w:r>
      <w:r w:rsidR="00B91658">
        <w:t xml:space="preserve"> </w:t>
      </w:r>
      <w:r w:rsidR="00E611F7" w:rsidRPr="001E1772">
        <w:t>As a</w:t>
      </w:r>
      <w:r w:rsidR="00A1791B" w:rsidRPr="001E1772">
        <w:t xml:space="preserve"> robustness check on</w:t>
      </w:r>
      <w:r w:rsidR="00E611F7" w:rsidRPr="001E1772">
        <w:t xml:space="preserve"> Table 2, Model 1, </w:t>
      </w:r>
      <w:r w:rsidRPr="001E1772">
        <w:t xml:space="preserve">I </w:t>
      </w:r>
      <w:r w:rsidR="00E611F7" w:rsidRPr="001E1772">
        <w:t xml:space="preserve">ran separate </w:t>
      </w:r>
      <w:r w:rsidRPr="001E1772">
        <w:t xml:space="preserve">Arrellano-Bond regressions </w:t>
      </w:r>
      <w:r w:rsidR="00A1791B" w:rsidRPr="001E1772">
        <w:t xml:space="preserve">for </w:t>
      </w:r>
      <w:r w:rsidR="00E611F7" w:rsidRPr="001E1772">
        <w:t>each</w:t>
      </w:r>
      <w:r w:rsidR="00A1791B" w:rsidRPr="001E1772">
        <w:t xml:space="preserve"> region.</w:t>
      </w:r>
      <w:r w:rsidR="00B91658">
        <w:t xml:space="preserve"> </w:t>
      </w:r>
      <w:r w:rsidR="00A1791B" w:rsidRPr="001E1772">
        <w:t xml:space="preserve">The dependent variable, </w:t>
      </w:r>
      <w:r w:rsidRPr="001E1772">
        <w:t>city population</w:t>
      </w:r>
      <w:r w:rsidR="00E611F7" w:rsidRPr="001E1772">
        <w:t>, wa</w:t>
      </w:r>
      <w:r w:rsidR="00A1791B" w:rsidRPr="001E1772">
        <w:t>s regressed</w:t>
      </w:r>
      <w:r w:rsidRPr="001E1772">
        <w:t xml:space="preserve"> on lagged population, </w:t>
      </w:r>
      <w:r w:rsidR="00A1791B" w:rsidRPr="001E1772">
        <w:t>the growth rate of urban potential</w:t>
      </w:r>
      <w:r w:rsidR="001100FD" w:rsidRPr="001E1772">
        <w:t xml:space="preserve"> (UPGrowth)</w:t>
      </w:r>
      <w:r w:rsidR="00A1791B" w:rsidRPr="001E1772">
        <w:t>, and century fixed effects.</w:t>
      </w:r>
      <w:r w:rsidR="00B91658">
        <w:t xml:space="preserve"> </w:t>
      </w:r>
      <w:r w:rsidR="00A1791B" w:rsidRPr="001E1772">
        <w:t xml:space="preserve">Estimation </w:t>
      </w:r>
      <w:r w:rsidR="00E611F7" w:rsidRPr="001E1772">
        <w:t xml:space="preserve">(using the xtabond2 command in Stata) </w:t>
      </w:r>
      <w:r w:rsidR="00A1791B" w:rsidRPr="001E1772">
        <w:t xml:space="preserve">was via one-step difference GMM, </w:t>
      </w:r>
      <w:r w:rsidR="00E611F7" w:rsidRPr="001E1772">
        <w:t>taking</w:t>
      </w:r>
      <w:r w:rsidR="00A1791B" w:rsidRPr="001E1772">
        <w:t xml:space="preserve"> the lagged dependent variable </w:t>
      </w:r>
      <w:r w:rsidR="00E611F7" w:rsidRPr="001E1772">
        <w:t>as</w:t>
      </w:r>
      <w:r w:rsidR="00A1791B" w:rsidRPr="001E1772">
        <w:t xml:space="preserve"> endogenous</w:t>
      </w:r>
      <w:r w:rsidR="00E611F7" w:rsidRPr="001E1772">
        <w:t>.</w:t>
      </w:r>
      <w:r w:rsidR="00B91658">
        <w:t xml:space="preserve"> </w:t>
      </w:r>
      <w:r w:rsidR="00E611F7" w:rsidRPr="001E1772">
        <w:t>The estimated coefficients on the urban potential variable for each region we</w:t>
      </w:r>
      <w:r w:rsidR="00A1791B" w:rsidRPr="001E1772">
        <w:t xml:space="preserve">re </w:t>
      </w:r>
      <w:r w:rsidR="00E611F7" w:rsidRPr="001E1772">
        <w:t>as follows:</w:t>
      </w:r>
    </w:p>
    <w:p w14:paraId="03A75703" w14:textId="77777777" w:rsidR="002470D3" w:rsidRPr="001E1772" w:rsidRDefault="002470D3" w:rsidP="002470D3">
      <w:pPr>
        <w:pStyle w:val="NoSpacing"/>
        <w:ind w:firstLine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1010"/>
        <w:gridCol w:w="973"/>
        <w:gridCol w:w="1078"/>
        <w:gridCol w:w="948"/>
        <w:gridCol w:w="1026"/>
      </w:tblGrid>
      <w:tr w:rsidR="00E611F7" w:rsidRPr="001E1772" w14:paraId="7175B7FD" w14:textId="77777777" w:rsidTr="002470D3">
        <w:tc>
          <w:tcPr>
            <w:tcW w:w="2965" w:type="dxa"/>
            <w:tcBorders>
              <w:top w:val="double" w:sz="4" w:space="0" w:color="auto"/>
              <w:bottom w:val="single" w:sz="4" w:space="0" w:color="auto"/>
            </w:tcBorders>
          </w:tcPr>
          <w:p w14:paraId="45C1BDF8" w14:textId="77777777" w:rsidR="00E611F7" w:rsidRPr="001E1772" w:rsidRDefault="00E611F7" w:rsidP="002470D3">
            <w:pPr>
              <w:pStyle w:val="NoSpacing"/>
              <w:jc w:val="left"/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34A1AF8E" w14:textId="20909827" w:rsidR="00E611F7" w:rsidRPr="001E1772" w:rsidRDefault="00313D3E" w:rsidP="002470D3">
            <w:pPr>
              <w:pStyle w:val="NoSpacing"/>
              <w:jc w:val="center"/>
            </w:pPr>
            <w:r>
              <w:br/>
            </w:r>
            <w:r w:rsidR="001100FD" w:rsidRPr="001E1772">
              <w:t>Western Europe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39D8B9F8" w14:textId="6629CB22" w:rsidR="00E611F7" w:rsidRPr="001E1772" w:rsidRDefault="00313D3E" w:rsidP="002470D3">
            <w:pPr>
              <w:pStyle w:val="NoSpacing"/>
              <w:jc w:val="center"/>
            </w:pPr>
            <w:r>
              <w:br/>
            </w:r>
            <w:r w:rsidR="001100FD" w:rsidRPr="001E1772">
              <w:t>Eastern Europe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</w:tcPr>
          <w:p w14:paraId="4A6341B3" w14:textId="604AD519" w:rsidR="00E611F7" w:rsidRPr="001E1772" w:rsidRDefault="001100FD" w:rsidP="004C7CB6">
            <w:pPr>
              <w:pStyle w:val="NoSpacing"/>
              <w:jc w:val="center"/>
            </w:pPr>
            <w:r w:rsidRPr="001E1772">
              <w:t>N</w:t>
            </w:r>
            <w:r w:rsidR="00E17168">
              <w:t>orth</w:t>
            </w:r>
            <w:r w:rsidRPr="001E1772">
              <w:t xml:space="preserve"> Africa </w:t>
            </w:r>
            <w:r w:rsidR="004C7CB6">
              <w:t>and</w:t>
            </w:r>
            <w:r w:rsidR="004C7CB6" w:rsidRPr="001E1772">
              <w:t xml:space="preserve"> </w:t>
            </w:r>
            <w:r w:rsidRPr="001E1772">
              <w:t>Mideast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14:paraId="5CDC4B5D" w14:textId="31DE0BE8" w:rsidR="00E611F7" w:rsidRPr="001E1772" w:rsidRDefault="00E17168" w:rsidP="002470D3">
            <w:pPr>
              <w:pStyle w:val="NoSpacing"/>
              <w:jc w:val="center"/>
            </w:pPr>
            <w:r>
              <w:br/>
            </w:r>
            <w:r w:rsidR="001100FD" w:rsidRPr="001E1772">
              <w:t>East Asia</w:t>
            </w:r>
          </w:p>
        </w:tc>
        <w:tc>
          <w:tcPr>
            <w:tcW w:w="1435" w:type="dxa"/>
            <w:tcBorders>
              <w:top w:val="double" w:sz="4" w:space="0" w:color="auto"/>
              <w:bottom w:val="single" w:sz="4" w:space="0" w:color="auto"/>
            </w:tcBorders>
          </w:tcPr>
          <w:p w14:paraId="0A4418BD" w14:textId="2E7B855F" w:rsidR="00E611F7" w:rsidRPr="001E1772" w:rsidRDefault="00E17168" w:rsidP="002470D3">
            <w:pPr>
              <w:pStyle w:val="NoSpacing"/>
              <w:jc w:val="center"/>
            </w:pPr>
            <w:r>
              <w:br/>
            </w:r>
            <w:r w:rsidR="001100FD" w:rsidRPr="001E1772">
              <w:t>South Asia</w:t>
            </w:r>
          </w:p>
        </w:tc>
      </w:tr>
      <w:tr w:rsidR="00E611F7" w:rsidRPr="001E1772" w14:paraId="49E88F18" w14:textId="77777777" w:rsidTr="002470D3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4C2060FE" w14:textId="77777777" w:rsidR="00E611F7" w:rsidRPr="001E1772" w:rsidRDefault="001100FD" w:rsidP="002470D3">
            <w:pPr>
              <w:pStyle w:val="NoSpacing"/>
              <w:jc w:val="left"/>
            </w:pPr>
            <w:r w:rsidRPr="001E1772">
              <w:t>Coefficient on UPGrowth</w:t>
            </w:r>
          </w:p>
          <w:p w14:paraId="1135C253" w14:textId="77777777" w:rsidR="001100FD" w:rsidRPr="001E1772" w:rsidRDefault="001100FD" w:rsidP="002470D3">
            <w:pPr>
              <w:pStyle w:val="NoSpacing"/>
              <w:jc w:val="left"/>
            </w:pPr>
            <w:r w:rsidRPr="001E1772">
              <w:t>(se)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66C99A8" w14:textId="3E95714F" w:rsidR="00E611F7" w:rsidRPr="001E1772" w:rsidRDefault="001100FD" w:rsidP="002470D3">
            <w:pPr>
              <w:pStyle w:val="NoSpacing"/>
              <w:jc w:val="center"/>
            </w:pPr>
            <w:r w:rsidRPr="001E1772">
              <w:t>1.65***</w:t>
            </w:r>
            <w:r w:rsidR="00B91658">
              <w:t xml:space="preserve"> </w:t>
            </w:r>
            <w:r w:rsidRPr="001E1772">
              <w:t>(</w:t>
            </w:r>
            <w:r w:rsidR="00F708D6">
              <w:t>0</w:t>
            </w:r>
            <w:r w:rsidRPr="001E1772">
              <w:t>.20)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F4FA204" w14:textId="77777777" w:rsidR="001100FD" w:rsidRPr="001E1772" w:rsidRDefault="00F708D6" w:rsidP="002470D3">
            <w:pPr>
              <w:pStyle w:val="NoSpacing"/>
              <w:jc w:val="center"/>
            </w:pPr>
            <w:r>
              <w:t>0</w:t>
            </w:r>
            <w:r w:rsidR="001100FD" w:rsidRPr="001E1772">
              <w:t>.39</w:t>
            </w:r>
          </w:p>
          <w:p w14:paraId="4D074114" w14:textId="77777777" w:rsidR="00E611F7" w:rsidRPr="001E1772" w:rsidRDefault="001100FD" w:rsidP="002470D3">
            <w:pPr>
              <w:pStyle w:val="NoSpacing"/>
              <w:jc w:val="center"/>
            </w:pPr>
            <w:r w:rsidRPr="001E1772">
              <w:t>(</w:t>
            </w:r>
            <w:r w:rsidR="00F708D6">
              <w:t>0</w:t>
            </w:r>
            <w:r w:rsidRPr="001E1772">
              <w:t>.75)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A587D00" w14:textId="77777777" w:rsidR="001100FD" w:rsidRPr="001E1772" w:rsidRDefault="002470D3" w:rsidP="002470D3">
            <w:pPr>
              <w:pStyle w:val="NoSpacing"/>
              <w:jc w:val="center"/>
            </w:pPr>
            <w:r>
              <w:rPr>
                <w:rFonts w:cs="Times New Roman"/>
              </w:rPr>
              <w:t>–</w:t>
            </w:r>
            <w:r w:rsidR="00F708D6">
              <w:rPr>
                <w:rFonts w:cs="Times New Roman"/>
              </w:rPr>
              <w:t>0</w:t>
            </w:r>
            <w:r w:rsidR="001100FD" w:rsidRPr="001E1772">
              <w:t>.08</w:t>
            </w:r>
          </w:p>
          <w:p w14:paraId="1FC02F96" w14:textId="77777777" w:rsidR="00E611F7" w:rsidRPr="001E1772" w:rsidRDefault="001100FD" w:rsidP="002470D3">
            <w:pPr>
              <w:pStyle w:val="NoSpacing"/>
              <w:jc w:val="center"/>
            </w:pPr>
            <w:r w:rsidRPr="001E1772">
              <w:t>(</w:t>
            </w:r>
            <w:r w:rsidR="00F708D6">
              <w:t>0</w:t>
            </w:r>
            <w:r w:rsidRPr="001E1772">
              <w:t>.26)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AEE4504" w14:textId="77777777" w:rsidR="001100FD" w:rsidRPr="001E1772" w:rsidRDefault="002470D3" w:rsidP="002470D3">
            <w:pPr>
              <w:pStyle w:val="NoSpacing"/>
              <w:jc w:val="center"/>
            </w:pPr>
            <w:r>
              <w:rPr>
                <w:rFonts w:cs="Times New Roman"/>
              </w:rPr>
              <w:t>–</w:t>
            </w:r>
            <w:r w:rsidR="00F708D6">
              <w:rPr>
                <w:rFonts w:cs="Times New Roman"/>
              </w:rPr>
              <w:t>0</w:t>
            </w:r>
            <w:r w:rsidR="001100FD" w:rsidRPr="001E1772">
              <w:t>.15</w:t>
            </w:r>
          </w:p>
          <w:p w14:paraId="11DA74C9" w14:textId="77777777" w:rsidR="00E611F7" w:rsidRPr="001E1772" w:rsidRDefault="001100FD" w:rsidP="002470D3">
            <w:pPr>
              <w:pStyle w:val="NoSpacing"/>
              <w:jc w:val="center"/>
            </w:pPr>
            <w:r w:rsidRPr="001E1772">
              <w:t>(</w:t>
            </w:r>
            <w:r w:rsidR="00F708D6">
              <w:t>0</w:t>
            </w:r>
            <w:r w:rsidRPr="001E1772">
              <w:t>.19)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14:paraId="04BEFDB1" w14:textId="77777777" w:rsidR="001100FD" w:rsidRPr="001E1772" w:rsidRDefault="002470D3" w:rsidP="002470D3">
            <w:pPr>
              <w:pStyle w:val="NoSpacing"/>
              <w:jc w:val="center"/>
            </w:pPr>
            <w:r>
              <w:rPr>
                <w:rFonts w:cs="Times New Roman"/>
              </w:rPr>
              <w:t>–</w:t>
            </w:r>
            <w:r w:rsidR="00F708D6">
              <w:rPr>
                <w:rFonts w:cs="Times New Roman"/>
              </w:rPr>
              <w:t>0</w:t>
            </w:r>
            <w:r w:rsidR="001100FD" w:rsidRPr="001E1772">
              <w:t>.43</w:t>
            </w:r>
          </w:p>
          <w:p w14:paraId="2E172B65" w14:textId="77777777" w:rsidR="00E611F7" w:rsidRPr="001E1772" w:rsidRDefault="001100FD" w:rsidP="002470D3">
            <w:pPr>
              <w:pStyle w:val="NoSpacing"/>
              <w:jc w:val="center"/>
            </w:pPr>
            <w:r w:rsidRPr="001E1772">
              <w:t>(</w:t>
            </w:r>
            <w:r w:rsidR="00F708D6">
              <w:t>0</w:t>
            </w:r>
            <w:r w:rsidRPr="001E1772">
              <w:t>.20)</w:t>
            </w:r>
          </w:p>
        </w:tc>
      </w:tr>
    </w:tbl>
    <w:p w14:paraId="79C6578B" w14:textId="77777777" w:rsidR="00E611F7" w:rsidRPr="001E1772" w:rsidRDefault="00E611F7" w:rsidP="003374A3">
      <w:pPr>
        <w:pStyle w:val="NoSpacing"/>
      </w:pPr>
    </w:p>
    <w:p w14:paraId="491968CE" w14:textId="6033AE3E" w:rsidR="00E611F7" w:rsidRDefault="00E611F7" w:rsidP="002470D3">
      <w:pPr>
        <w:pStyle w:val="NoSpacing"/>
        <w:ind w:firstLine="360"/>
      </w:pPr>
      <w:r w:rsidRPr="001E1772">
        <w:t>Two caveats</w:t>
      </w:r>
      <w:r w:rsidR="001100FD" w:rsidRPr="001E1772">
        <w:t xml:space="preserve"> should be registered about these analyses.</w:t>
      </w:r>
      <w:r w:rsidR="00B91658">
        <w:t xml:space="preserve"> </w:t>
      </w:r>
      <w:r w:rsidR="001100FD" w:rsidRPr="001E1772">
        <w:t xml:space="preserve">First, </w:t>
      </w:r>
      <w:r w:rsidRPr="001E1772">
        <w:t>this class of estimator assumes that the idiosyncratic errors are uncorrelated across individuals but that assumption seems questionable in the present context.</w:t>
      </w:r>
      <w:r w:rsidR="00B91658">
        <w:t xml:space="preserve"> </w:t>
      </w:r>
      <w:r w:rsidR="001100FD" w:rsidRPr="001E1772">
        <w:t>Second, t</w:t>
      </w:r>
      <w:r w:rsidRPr="001E1772">
        <w:t>he test</w:t>
      </w:r>
      <w:r w:rsidR="001100FD" w:rsidRPr="001E1772">
        <w:t>s</w:t>
      </w:r>
      <w:r w:rsidRPr="001E1772">
        <w:t xml:space="preserve"> of </w:t>
      </w:r>
      <w:r w:rsidR="001100FD" w:rsidRPr="001E1772">
        <w:t>the over</w:t>
      </w:r>
      <w:r w:rsidR="00490012">
        <w:t>-</w:t>
      </w:r>
      <w:r w:rsidR="001100FD" w:rsidRPr="001E1772">
        <w:t xml:space="preserve">identifying </w:t>
      </w:r>
      <w:r w:rsidRPr="001E1772">
        <w:t>restriction</w:t>
      </w:r>
      <w:r w:rsidR="001100FD" w:rsidRPr="001E1772">
        <w:t xml:space="preserve">s looked reasonable for all regions </w:t>
      </w:r>
      <w:r w:rsidR="005A4692" w:rsidRPr="001E1772">
        <w:t>except</w:t>
      </w:r>
      <w:r w:rsidRPr="001E1772">
        <w:t xml:space="preserve"> W</w:t>
      </w:r>
      <w:r w:rsidR="001100FD" w:rsidRPr="001E1772">
        <w:t xml:space="preserve">estern </w:t>
      </w:r>
      <w:r w:rsidRPr="001E1772">
        <w:t>E</w:t>
      </w:r>
      <w:r w:rsidR="001100FD" w:rsidRPr="001E1772">
        <w:t>urope.</w:t>
      </w:r>
    </w:p>
    <w:p w14:paraId="6ED683AB" w14:textId="77777777" w:rsidR="00992072" w:rsidRDefault="00992072" w:rsidP="002470D3">
      <w:pPr>
        <w:pStyle w:val="NoSpacing"/>
        <w:ind w:firstLine="360"/>
      </w:pPr>
      <w:r>
        <w:br w:type="page"/>
      </w:r>
    </w:p>
    <w:p w14:paraId="5652D97B" w14:textId="77777777" w:rsidR="00117D34" w:rsidRPr="002470D3" w:rsidRDefault="006B6D82" w:rsidP="00B91658">
      <w:pPr>
        <w:pStyle w:val="NoSpacing"/>
        <w:jc w:val="left"/>
        <w:rPr>
          <w:caps/>
        </w:rPr>
      </w:pPr>
      <w:r w:rsidRPr="002470D3">
        <w:rPr>
          <w:caps/>
        </w:rPr>
        <w:lastRenderedPageBreak/>
        <w:t>I</w:t>
      </w:r>
      <w:r w:rsidR="00117D34" w:rsidRPr="002470D3">
        <w:rPr>
          <w:caps/>
        </w:rPr>
        <w:t>. Weak and strong parliaments</w:t>
      </w:r>
    </w:p>
    <w:p w14:paraId="436E2ED5" w14:textId="77777777" w:rsidR="002470D3" w:rsidRPr="001E1772" w:rsidRDefault="002470D3" w:rsidP="003374A3">
      <w:pPr>
        <w:pStyle w:val="NoSpacing"/>
      </w:pPr>
    </w:p>
    <w:p w14:paraId="75077179" w14:textId="77777777" w:rsidR="00992072" w:rsidRDefault="00117D34" w:rsidP="003374A3">
      <w:pPr>
        <w:pStyle w:val="NoSpacing"/>
      </w:pPr>
      <w:r w:rsidRPr="001E1772">
        <w:t xml:space="preserve">The table below provides the results of estimating equation (2) in the text. </w:t>
      </w:r>
    </w:p>
    <w:p w14:paraId="399935D4" w14:textId="1370CD57" w:rsidR="00E611F7" w:rsidRPr="001E1772" w:rsidRDefault="00E611F7" w:rsidP="003374A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385"/>
      </w:tblGrid>
      <w:tr w:rsidR="00117D34" w:rsidRPr="001E1772" w14:paraId="13561173" w14:textId="77777777" w:rsidTr="00AE7458">
        <w:tc>
          <w:tcPr>
            <w:tcW w:w="4675" w:type="dxa"/>
            <w:tcBorders>
              <w:top w:val="double" w:sz="4" w:space="0" w:color="auto"/>
              <w:bottom w:val="single" w:sz="4" w:space="0" w:color="auto"/>
            </w:tcBorders>
          </w:tcPr>
          <w:p w14:paraId="45B2DE0E" w14:textId="77777777" w:rsidR="00117D34" w:rsidRPr="001E1772" w:rsidRDefault="00AE7458" w:rsidP="00AE7458">
            <w:pPr>
              <w:pStyle w:val="NoSpacing"/>
              <w:jc w:val="left"/>
            </w:pPr>
            <w:r>
              <w:t>Independent V</w:t>
            </w:r>
            <w:r w:rsidR="00117D34" w:rsidRPr="001E1772">
              <w:t>ariable</w:t>
            </w:r>
          </w:p>
        </w:tc>
        <w:tc>
          <w:tcPr>
            <w:tcW w:w="4675" w:type="dxa"/>
            <w:tcBorders>
              <w:top w:val="double" w:sz="4" w:space="0" w:color="auto"/>
              <w:bottom w:val="single" w:sz="4" w:space="0" w:color="auto"/>
            </w:tcBorders>
          </w:tcPr>
          <w:p w14:paraId="79FDA955" w14:textId="77777777" w:rsidR="00117D34" w:rsidRPr="001E1772" w:rsidRDefault="00AE7458" w:rsidP="00AE7458">
            <w:pPr>
              <w:pStyle w:val="NoSpacing"/>
              <w:jc w:val="center"/>
            </w:pPr>
            <w:r>
              <w:t>Coefficient (Standard E</w:t>
            </w:r>
            <w:r w:rsidR="00117D34" w:rsidRPr="001E1772">
              <w:t>rror)</w:t>
            </w:r>
          </w:p>
        </w:tc>
      </w:tr>
      <w:tr w:rsidR="00117D34" w:rsidRPr="001E1772" w14:paraId="26E42AE3" w14:textId="77777777" w:rsidTr="00AE7458">
        <w:tc>
          <w:tcPr>
            <w:tcW w:w="4675" w:type="dxa"/>
            <w:tcBorders>
              <w:top w:val="single" w:sz="4" w:space="0" w:color="auto"/>
            </w:tcBorders>
          </w:tcPr>
          <w:p w14:paraId="67E82E15" w14:textId="77777777" w:rsidR="00117D34" w:rsidRPr="001E1772" w:rsidRDefault="00117D34" w:rsidP="002470D3">
            <w:pPr>
              <w:pStyle w:val="NoSpacing"/>
              <w:jc w:val="left"/>
            </w:pPr>
            <w:r w:rsidRPr="001E1772">
              <w:t>Meangrowth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13CDC81" w14:textId="77777777" w:rsidR="00117D34" w:rsidRPr="001E1772" w:rsidRDefault="00F708D6" w:rsidP="002470D3">
            <w:pPr>
              <w:pStyle w:val="NoSpacing"/>
              <w:jc w:val="center"/>
            </w:pPr>
            <w:r>
              <w:t>0</w:t>
            </w:r>
            <w:r w:rsidR="00117D34" w:rsidRPr="001E1772">
              <w:t>.81*** (</w:t>
            </w:r>
            <w:r>
              <w:t>0</w:t>
            </w:r>
            <w:r w:rsidR="00117D34" w:rsidRPr="001E1772">
              <w:t>.13)</w:t>
            </w:r>
          </w:p>
        </w:tc>
      </w:tr>
      <w:tr w:rsidR="00117D34" w:rsidRPr="001E1772" w14:paraId="083E0CEB" w14:textId="77777777" w:rsidTr="002470D3">
        <w:tc>
          <w:tcPr>
            <w:tcW w:w="4675" w:type="dxa"/>
          </w:tcPr>
          <w:p w14:paraId="1A4E2121" w14:textId="77777777" w:rsidR="00117D34" w:rsidRPr="001E1772" w:rsidRDefault="00117D34" w:rsidP="002470D3">
            <w:pPr>
              <w:pStyle w:val="NoSpacing"/>
              <w:jc w:val="left"/>
            </w:pPr>
            <w:r w:rsidRPr="001E1772">
              <w:t>Weak</w:t>
            </w:r>
          </w:p>
        </w:tc>
        <w:tc>
          <w:tcPr>
            <w:tcW w:w="4675" w:type="dxa"/>
          </w:tcPr>
          <w:p w14:paraId="4259C096" w14:textId="77777777" w:rsidR="00117D34" w:rsidRPr="001E1772" w:rsidRDefault="002470D3" w:rsidP="002470D3">
            <w:pPr>
              <w:pStyle w:val="NoSpacing"/>
              <w:jc w:val="center"/>
            </w:pPr>
            <w:r>
              <w:rPr>
                <w:rFonts w:cs="Times New Roman"/>
              </w:rPr>
              <w:t>–</w:t>
            </w:r>
            <w:r w:rsidR="00F708D6">
              <w:rPr>
                <w:rFonts w:cs="Times New Roman"/>
              </w:rPr>
              <w:t>0</w:t>
            </w:r>
            <w:r w:rsidR="00117D34" w:rsidRPr="001E1772">
              <w:t>.17 (</w:t>
            </w:r>
            <w:r w:rsidR="00F708D6">
              <w:t>0</w:t>
            </w:r>
            <w:r w:rsidR="00117D34" w:rsidRPr="001E1772">
              <w:t>.14)</w:t>
            </w:r>
          </w:p>
        </w:tc>
      </w:tr>
      <w:tr w:rsidR="00117D34" w:rsidRPr="001E1772" w14:paraId="76D2052F" w14:textId="77777777" w:rsidTr="002470D3">
        <w:tc>
          <w:tcPr>
            <w:tcW w:w="4675" w:type="dxa"/>
          </w:tcPr>
          <w:p w14:paraId="4F823F5A" w14:textId="77777777" w:rsidR="00117D34" w:rsidRPr="001E1772" w:rsidRDefault="00117D34" w:rsidP="002470D3">
            <w:pPr>
              <w:pStyle w:val="NoSpacing"/>
              <w:jc w:val="left"/>
            </w:pPr>
            <w:r w:rsidRPr="001E1772">
              <w:t>Strong</w:t>
            </w:r>
          </w:p>
        </w:tc>
        <w:tc>
          <w:tcPr>
            <w:tcW w:w="4675" w:type="dxa"/>
          </w:tcPr>
          <w:p w14:paraId="52C55170" w14:textId="77777777" w:rsidR="00117D34" w:rsidRPr="001E1772" w:rsidRDefault="002470D3" w:rsidP="002470D3">
            <w:pPr>
              <w:pStyle w:val="NoSpacing"/>
              <w:jc w:val="center"/>
            </w:pPr>
            <w:r>
              <w:rPr>
                <w:rFonts w:cs="Times New Roman"/>
              </w:rPr>
              <w:t>–</w:t>
            </w:r>
            <w:r w:rsidR="00F708D6">
              <w:rPr>
                <w:rFonts w:cs="Times New Roman"/>
              </w:rPr>
              <w:t>0</w:t>
            </w:r>
            <w:r w:rsidR="00117D34" w:rsidRPr="001E1772">
              <w:t>.17* (</w:t>
            </w:r>
            <w:r w:rsidR="00F708D6">
              <w:t>0</w:t>
            </w:r>
            <w:r w:rsidR="00117D34" w:rsidRPr="001E1772">
              <w:t>.09)</w:t>
            </w:r>
          </w:p>
        </w:tc>
      </w:tr>
      <w:tr w:rsidR="00117D34" w:rsidRPr="001E1772" w14:paraId="1D8AC555" w14:textId="77777777" w:rsidTr="002470D3">
        <w:tc>
          <w:tcPr>
            <w:tcW w:w="4675" w:type="dxa"/>
          </w:tcPr>
          <w:p w14:paraId="721DD18F" w14:textId="77777777" w:rsidR="00117D34" w:rsidRPr="001E1772" w:rsidRDefault="00117D34" w:rsidP="002470D3">
            <w:pPr>
              <w:pStyle w:val="NoSpacing"/>
              <w:jc w:val="left"/>
            </w:pPr>
            <w:r w:rsidRPr="001E1772">
              <w:t>UPGrowth</w:t>
            </w:r>
          </w:p>
        </w:tc>
        <w:tc>
          <w:tcPr>
            <w:tcW w:w="4675" w:type="dxa"/>
          </w:tcPr>
          <w:p w14:paraId="7CFD53F4" w14:textId="77777777" w:rsidR="00117D34" w:rsidRPr="001E1772" w:rsidRDefault="002470D3" w:rsidP="002470D3">
            <w:pPr>
              <w:pStyle w:val="NoSpacing"/>
              <w:jc w:val="center"/>
            </w:pPr>
            <w:r>
              <w:rPr>
                <w:rFonts w:cs="Times New Roman"/>
              </w:rPr>
              <w:t>–</w:t>
            </w:r>
            <w:r w:rsidR="00F708D6">
              <w:rPr>
                <w:rFonts w:cs="Times New Roman"/>
              </w:rPr>
              <w:t>0</w:t>
            </w:r>
            <w:r w:rsidR="00117D34" w:rsidRPr="001E1772">
              <w:t>.28* (</w:t>
            </w:r>
            <w:r w:rsidR="00F708D6">
              <w:t>0</w:t>
            </w:r>
            <w:r w:rsidR="00547CDE" w:rsidRPr="001E1772">
              <w:t>.16)</w:t>
            </w:r>
          </w:p>
        </w:tc>
      </w:tr>
      <w:tr w:rsidR="00117D34" w:rsidRPr="001E1772" w14:paraId="307A615C" w14:textId="77777777" w:rsidTr="002470D3">
        <w:tc>
          <w:tcPr>
            <w:tcW w:w="4675" w:type="dxa"/>
          </w:tcPr>
          <w:p w14:paraId="6FC113EF" w14:textId="77777777" w:rsidR="00117D34" w:rsidRPr="001E1772" w:rsidRDefault="00117D34" w:rsidP="002470D3">
            <w:pPr>
              <w:pStyle w:val="NoSpacing"/>
              <w:jc w:val="left"/>
            </w:pPr>
            <w:r w:rsidRPr="001E1772">
              <w:t>UPGrowth</w:t>
            </w:r>
            <w:r w:rsidRPr="001E1772">
              <w:sym w:font="Symbol" w:char="F0B4"/>
            </w:r>
            <w:r w:rsidRPr="001E1772">
              <w:t>Weak</w:t>
            </w:r>
          </w:p>
        </w:tc>
        <w:tc>
          <w:tcPr>
            <w:tcW w:w="4675" w:type="dxa"/>
          </w:tcPr>
          <w:p w14:paraId="5D26B1A8" w14:textId="77777777" w:rsidR="00117D34" w:rsidRPr="001E1772" w:rsidRDefault="00F708D6" w:rsidP="002470D3">
            <w:pPr>
              <w:pStyle w:val="NoSpacing"/>
              <w:jc w:val="center"/>
            </w:pPr>
            <w:r>
              <w:t>0</w:t>
            </w:r>
            <w:r w:rsidR="00547CDE" w:rsidRPr="001E1772">
              <w:t>.40 (</w:t>
            </w:r>
            <w:r>
              <w:t>0</w:t>
            </w:r>
            <w:r w:rsidR="00547CDE" w:rsidRPr="001E1772">
              <w:t>.43)</w:t>
            </w:r>
          </w:p>
        </w:tc>
      </w:tr>
      <w:tr w:rsidR="00117D34" w:rsidRPr="001E1772" w14:paraId="408C7B74" w14:textId="77777777" w:rsidTr="002470D3">
        <w:tc>
          <w:tcPr>
            <w:tcW w:w="4675" w:type="dxa"/>
          </w:tcPr>
          <w:p w14:paraId="61F5CC67" w14:textId="77777777" w:rsidR="00117D34" w:rsidRPr="001E1772" w:rsidRDefault="00117D34" w:rsidP="002470D3">
            <w:pPr>
              <w:pStyle w:val="NoSpacing"/>
              <w:jc w:val="left"/>
            </w:pPr>
            <w:r w:rsidRPr="001E1772">
              <w:t>UPGrowth</w:t>
            </w:r>
            <w:r w:rsidRPr="001E1772">
              <w:sym w:font="Symbol" w:char="F0B4"/>
            </w:r>
            <w:r w:rsidRPr="001E1772">
              <w:t>Strong</w:t>
            </w:r>
          </w:p>
        </w:tc>
        <w:tc>
          <w:tcPr>
            <w:tcW w:w="4675" w:type="dxa"/>
          </w:tcPr>
          <w:p w14:paraId="2DAF7E49" w14:textId="77777777" w:rsidR="00117D34" w:rsidRPr="001E1772" w:rsidRDefault="00F708D6" w:rsidP="002470D3">
            <w:pPr>
              <w:pStyle w:val="NoSpacing"/>
              <w:jc w:val="center"/>
            </w:pPr>
            <w:r>
              <w:t>0</w:t>
            </w:r>
            <w:r w:rsidR="00547CDE" w:rsidRPr="001E1772">
              <w:t>.58*** (</w:t>
            </w:r>
            <w:r>
              <w:t>0</w:t>
            </w:r>
            <w:r w:rsidR="00547CDE" w:rsidRPr="001E1772">
              <w:t>.20)</w:t>
            </w:r>
          </w:p>
        </w:tc>
      </w:tr>
      <w:tr w:rsidR="00117D34" w:rsidRPr="001E1772" w14:paraId="1D5C84D4" w14:textId="77777777" w:rsidTr="002470D3">
        <w:tc>
          <w:tcPr>
            <w:tcW w:w="4675" w:type="dxa"/>
          </w:tcPr>
          <w:p w14:paraId="6868EF2C" w14:textId="77777777" w:rsidR="00117D34" w:rsidRPr="001E1772" w:rsidRDefault="00547CDE" w:rsidP="002470D3">
            <w:pPr>
              <w:pStyle w:val="NoSpacing"/>
              <w:jc w:val="left"/>
            </w:pPr>
            <w:r w:rsidRPr="001E1772">
              <w:t>Constant</w:t>
            </w:r>
          </w:p>
        </w:tc>
        <w:tc>
          <w:tcPr>
            <w:tcW w:w="4675" w:type="dxa"/>
          </w:tcPr>
          <w:p w14:paraId="1CAC699E" w14:textId="77777777" w:rsidR="00117D34" w:rsidRPr="001E1772" w:rsidRDefault="00F708D6" w:rsidP="002470D3">
            <w:pPr>
              <w:pStyle w:val="NoSpacing"/>
              <w:jc w:val="center"/>
            </w:pPr>
            <w:r>
              <w:t>0</w:t>
            </w:r>
            <w:r w:rsidR="00547CDE" w:rsidRPr="001E1772">
              <w:t>.14** (</w:t>
            </w:r>
            <w:r>
              <w:t>0</w:t>
            </w:r>
            <w:r w:rsidR="00547CDE" w:rsidRPr="001E1772">
              <w:t>.07)</w:t>
            </w:r>
          </w:p>
        </w:tc>
      </w:tr>
      <w:tr w:rsidR="00117D34" w:rsidRPr="001E1772" w14:paraId="5B067623" w14:textId="77777777" w:rsidTr="002470D3">
        <w:tc>
          <w:tcPr>
            <w:tcW w:w="4675" w:type="dxa"/>
          </w:tcPr>
          <w:p w14:paraId="016075DD" w14:textId="77777777" w:rsidR="00117D34" w:rsidRPr="001E1772" w:rsidRDefault="00547CDE" w:rsidP="002470D3">
            <w:pPr>
              <w:pStyle w:val="NoSpacing"/>
              <w:jc w:val="left"/>
            </w:pPr>
            <w:r w:rsidRPr="001E1772">
              <w:t>City fixed effects?</w:t>
            </w:r>
          </w:p>
        </w:tc>
        <w:tc>
          <w:tcPr>
            <w:tcW w:w="4675" w:type="dxa"/>
          </w:tcPr>
          <w:p w14:paraId="6C963F47" w14:textId="77777777" w:rsidR="00117D34" w:rsidRPr="001E1772" w:rsidRDefault="00547CDE" w:rsidP="002470D3">
            <w:pPr>
              <w:pStyle w:val="NoSpacing"/>
              <w:jc w:val="center"/>
            </w:pPr>
            <w:r w:rsidRPr="001E1772">
              <w:t>Yes</w:t>
            </w:r>
          </w:p>
        </w:tc>
      </w:tr>
      <w:tr w:rsidR="00547CDE" w:rsidRPr="001E1772" w14:paraId="5F3B4C1E" w14:textId="77777777" w:rsidTr="002470D3">
        <w:tc>
          <w:tcPr>
            <w:tcW w:w="4675" w:type="dxa"/>
          </w:tcPr>
          <w:p w14:paraId="21EEFEF3" w14:textId="77777777" w:rsidR="00547CDE" w:rsidRPr="001E1772" w:rsidRDefault="00547CDE" w:rsidP="002470D3">
            <w:pPr>
              <w:pStyle w:val="NoSpacing"/>
              <w:jc w:val="left"/>
            </w:pPr>
            <w:r w:rsidRPr="001E1772">
              <w:t>Number of observations</w:t>
            </w:r>
          </w:p>
        </w:tc>
        <w:tc>
          <w:tcPr>
            <w:tcW w:w="4675" w:type="dxa"/>
          </w:tcPr>
          <w:p w14:paraId="68B768C5" w14:textId="77777777" w:rsidR="00547CDE" w:rsidRPr="001E1772" w:rsidRDefault="00547CDE" w:rsidP="002470D3">
            <w:pPr>
              <w:pStyle w:val="NoSpacing"/>
              <w:jc w:val="center"/>
            </w:pPr>
            <w:r w:rsidRPr="001E1772">
              <w:t>501</w:t>
            </w:r>
          </w:p>
        </w:tc>
      </w:tr>
      <w:tr w:rsidR="00547CDE" w:rsidRPr="001E1772" w14:paraId="13E7C3FE" w14:textId="77777777" w:rsidTr="00AE7458">
        <w:tc>
          <w:tcPr>
            <w:tcW w:w="4675" w:type="dxa"/>
          </w:tcPr>
          <w:p w14:paraId="00E41316" w14:textId="77777777" w:rsidR="00547CDE" w:rsidRPr="001E1772" w:rsidRDefault="00547CDE" w:rsidP="002470D3">
            <w:pPr>
              <w:pStyle w:val="NoSpacing"/>
              <w:jc w:val="left"/>
            </w:pPr>
            <w:r w:rsidRPr="001E1772">
              <w:t>Number of cities</w:t>
            </w:r>
          </w:p>
        </w:tc>
        <w:tc>
          <w:tcPr>
            <w:tcW w:w="4675" w:type="dxa"/>
          </w:tcPr>
          <w:p w14:paraId="48BCF3F4" w14:textId="77777777" w:rsidR="00547CDE" w:rsidRPr="001E1772" w:rsidRDefault="00547CDE" w:rsidP="002470D3">
            <w:pPr>
              <w:pStyle w:val="NoSpacing"/>
              <w:jc w:val="center"/>
            </w:pPr>
            <w:r w:rsidRPr="001E1772">
              <w:t>139</w:t>
            </w:r>
          </w:p>
        </w:tc>
      </w:tr>
      <w:tr w:rsidR="00117D34" w:rsidRPr="001E1772" w14:paraId="5F73765B" w14:textId="77777777" w:rsidTr="00AE7458">
        <w:tc>
          <w:tcPr>
            <w:tcW w:w="4675" w:type="dxa"/>
            <w:tcBorders>
              <w:bottom w:val="single" w:sz="4" w:space="0" w:color="auto"/>
            </w:tcBorders>
          </w:tcPr>
          <w:p w14:paraId="3D5698E0" w14:textId="77777777" w:rsidR="00117D34" w:rsidRPr="001E1772" w:rsidRDefault="00547CDE" w:rsidP="002470D3">
            <w:pPr>
              <w:pStyle w:val="NoSpacing"/>
              <w:jc w:val="left"/>
            </w:pPr>
            <w:r w:rsidRPr="001E1772">
              <w:t>Within R</w:t>
            </w:r>
            <w:r w:rsidRPr="001E1772">
              <w:rPr>
                <w:vertAlign w:val="superscript"/>
              </w:rPr>
              <w:t>2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3E33ACA8" w14:textId="77777777" w:rsidR="00117D34" w:rsidRPr="001E1772" w:rsidRDefault="00F708D6" w:rsidP="002470D3">
            <w:pPr>
              <w:pStyle w:val="NoSpacing"/>
              <w:jc w:val="center"/>
            </w:pPr>
            <w:r>
              <w:t>0</w:t>
            </w:r>
            <w:r w:rsidR="00547CDE" w:rsidRPr="001E1772">
              <w:t>.24</w:t>
            </w:r>
          </w:p>
        </w:tc>
      </w:tr>
    </w:tbl>
    <w:p w14:paraId="6B906C47" w14:textId="77777777" w:rsidR="00117D34" w:rsidRPr="001E1772" w:rsidRDefault="00117D34" w:rsidP="003374A3">
      <w:pPr>
        <w:pStyle w:val="NoSpacing"/>
      </w:pPr>
    </w:p>
    <w:p w14:paraId="1E96DD3A" w14:textId="7249518B" w:rsidR="00547CDE" w:rsidRDefault="00547CDE" w:rsidP="00AE7458">
      <w:pPr>
        <w:pStyle w:val="NoSpacing"/>
        <w:ind w:firstLine="360"/>
      </w:pPr>
      <w:r w:rsidRPr="001E1772">
        <w:t xml:space="preserve">The overall effect of UPGrowth in strong parliamentary cities, </w:t>
      </w:r>
      <w:r w:rsidR="00490012">
        <w:rPr>
          <w:rFonts w:cs="Times New Roman"/>
        </w:rPr>
        <w:t>–</w:t>
      </w:r>
      <w:r w:rsidR="00F708D6">
        <w:rPr>
          <w:rFonts w:cs="Times New Roman"/>
        </w:rPr>
        <w:t>0</w:t>
      </w:r>
      <w:r w:rsidRPr="001E1772">
        <w:t xml:space="preserve">.28 + </w:t>
      </w:r>
      <w:r w:rsidR="00F708D6">
        <w:t>0</w:t>
      </w:r>
      <w:r w:rsidRPr="001E1772">
        <w:t xml:space="preserve">.58 = </w:t>
      </w:r>
      <w:r w:rsidR="00F708D6">
        <w:t>0</w:t>
      </w:r>
      <w:r w:rsidRPr="001E1772">
        <w:t>.30, is statistically greater than zero.</w:t>
      </w:r>
      <w:r w:rsidR="00B91658">
        <w:t xml:space="preserve"> </w:t>
      </w:r>
      <w:r w:rsidRPr="001E1772">
        <w:t>The results are very similar if one drops Meangrowth and replaces it with a full battery of country-specific century effects and/or includes lagged population as a regressor.</w:t>
      </w:r>
    </w:p>
    <w:p w14:paraId="1CB1B03F" w14:textId="77777777" w:rsidR="00AE7458" w:rsidRPr="001E1772" w:rsidRDefault="00AE7458" w:rsidP="00AE7458">
      <w:pPr>
        <w:pStyle w:val="NoSpacing"/>
        <w:ind w:firstLine="360"/>
      </w:pPr>
    </w:p>
    <w:p w14:paraId="67C320E0" w14:textId="77777777" w:rsidR="00F12E24" w:rsidRPr="00AE7458" w:rsidRDefault="00F12E24" w:rsidP="00B91658">
      <w:pPr>
        <w:pStyle w:val="NoSpacing"/>
        <w:jc w:val="left"/>
        <w:rPr>
          <w:caps/>
        </w:rPr>
      </w:pPr>
      <w:r w:rsidRPr="00AE7458">
        <w:rPr>
          <w:caps/>
        </w:rPr>
        <w:t>J. High-growth areas</w:t>
      </w:r>
    </w:p>
    <w:p w14:paraId="43D10FDC" w14:textId="77777777" w:rsidR="00AE7458" w:rsidRPr="001E1772" w:rsidRDefault="00AE7458" w:rsidP="003374A3">
      <w:pPr>
        <w:pStyle w:val="NoSpacing"/>
      </w:pPr>
    </w:p>
    <w:p w14:paraId="465A46A2" w14:textId="456A173E" w:rsidR="00F12E24" w:rsidRPr="001E1772" w:rsidRDefault="00F12E24" w:rsidP="00AE7458">
      <w:pPr>
        <w:pStyle w:val="NoSpacing"/>
        <w:ind w:firstLine="360"/>
      </w:pPr>
      <w:r w:rsidRPr="001E1772">
        <w:t>The text mentioned a comparison between the Yangzi Delta and the Netherlands.</w:t>
      </w:r>
      <w:r w:rsidR="00B91658">
        <w:t xml:space="preserve"> </w:t>
      </w:r>
    </w:p>
    <w:p w14:paraId="10549B48" w14:textId="0B5FE4A2" w:rsidR="00F12E24" w:rsidRPr="001E1772" w:rsidRDefault="00F12E24" w:rsidP="003374A3">
      <w:pPr>
        <w:pStyle w:val="NoSpacing"/>
      </w:pPr>
      <w:r w:rsidRPr="001E1772">
        <w:t>I first restricted the sample to cities contained in gridcell 94, which corresponds well to the Delta.</w:t>
      </w:r>
      <w:r w:rsidR="00B91658">
        <w:t xml:space="preserve"> </w:t>
      </w:r>
      <w:r w:rsidRPr="001E1772">
        <w:t>I then regressed each city’s growth rate on a city fixed effect, a century fixed effect, the lagged growth rate, and the growth rate of urban potential.</w:t>
      </w:r>
      <w:r w:rsidR="00B91658">
        <w:t xml:space="preserve"> </w:t>
      </w:r>
      <w:r w:rsidRPr="001E1772">
        <w:t xml:space="preserve">The coefficient on UPGrowth was negative and significant at the </w:t>
      </w:r>
      <w:r w:rsidR="00F708D6">
        <w:t>0</w:t>
      </w:r>
      <w:r w:rsidRPr="001E1772">
        <w:t xml:space="preserve">.10 level (b = </w:t>
      </w:r>
      <w:r w:rsidR="00F708D6">
        <w:rPr>
          <w:rFonts w:cs="Times New Roman"/>
        </w:rPr>
        <w:t>–</w:t>
      </w:r>
      <w:r w:rsidR="00F708D6">
        <w:t>0</w:t>
      </w:r>
      <w:r w:rsidRPr="001E1772">
        <w:t xml:space="preserve">1.41, p = </w:t>
      </w:r>
      <w:r w:rsidR="00063393" w:rsidRPr="001E1772">
        <w:t>0</w:t>
      </w:r>
      <w:r w:rsidRPr="001E1772">
        <w:t>.054).</w:t>
      </w:r>
      <w:r w:rsidR="00B91658">
        <w:t xml:space="preserve"> </w:t>
      </w:r>
    </w:p>
    <w:p w14:paraId="18D5D840" w14:textId="6374D11C" w:rsidR="00F12E24" w:rsidRPr="001E1772" w:rsidRDefault="00F12E24" w:rsidP="00AE7458">
      <w:pPr>
        <w:pStyle w:val="NoSpacing"/>
        <w:ind w:firstLine="360"/>
      </w:pPr>
      <w:r w:rsidRPr="001E1772">
        <w:t>Next I restricted the sample to all cities in the Netherlands</w:t>
      </w:r>
      <w:r w:rsidR="00063393" w:rsidRPr="001E1772">
        <w:t>.</w:t>
      </w:r>
      <w:r w:rsidR="00B91658">
        <w:t xml:space="preserve"> </w:t>
      </w:r>
      <w:r w:rsidRPr="001E1772">
        <w:t xml:space="preserve">Performing the same analysis on </w:t>
      </w:r>
      <w:r w:rsidR="00063393" w:rsidRPr="001E1772">
        <w:t>these</w:t>
      </w:r>
      <w:r w:rsidRPr="001E1772">
        <w:t xml:space="preserve"> cities, the coefficient on UPGrowth</w:t>
      </w:r>
      <w:r w:rsidR="00063393" w:rsidRPr="001E1772">
        <w:t xml:space="preserve"> was posi</w:t>
      </w:r>
      <w:r w:rsidRPr="001E1772">
        <w:t xml:space="preserve">tive and significant at the </w:t>
      </w:r>
      <w:r w:rsidR="00F708D6">
        <w:t>0</w:t>
      </w:r>
      <w:r w:rsidRPr="001E1772">
        <w:t xml:space="preserve">.10 level (b = </w:t>
      </w:r>
      <w:r w:rsidR="00063393" w:rsidRPr="001E1772">
        <w:t>+0</w:t>
      </w:r>
      <w:r w:rsidRPr="001E1772">
        <w:t xml:space="preserve">.88, p = </w:t>
      </w:r>
      <w:r w:rsidR="00063393" w:rsidRPr="001E1772">
        <w:t>0</w:t>
      </w:r>
      <w:r w:rsidRPr="001E1772">
        <w:t>.074).</w:t>
      </w:r>
      <w:r w:rsidR="00B91658">
        <w:t xml:space="preserve"> </w:t>
      </w:r>
    </w:p>
    <w:p w14:paraId="5ED5C07A" w14:textId="77777777" w:rsidR="00063393" w:rsidRDefault="00063393" w:rsidP="00AE7458">
      <w:pPr>
        <w:pStyle w:val="NoSpacing"/>
        <w:ind w:firstLine="360"/>
      </w:pPr>
      <w:r w:rsidRPr="001E1772">
        <w:t>The replication of Model 1 restricted to cities from high-growth gridcells is reported below.</w:t>
      </w:r>
    </w:p>
    <w:p w14:paraId="4945EF1F" w14:textId="77777777" w:rsidR="00992072" w:rsidRDefault="00992072" w:rsidP="00AE7458">
      <w:pPr>
        <w:pStyle w:val="NoSpacing"/>
        <w:ind w:firstLine="360"/>
      </w:pPr>
      <w:r>
        <w:br w:type="page"/>
      </w:r>
    </w:p>
    <w:p w14:paraId="1AF35A32" w14:textId="77777777" w:rsidR="00AE7458" w:rsidRPr="001E1772" w:rsidRDefault="00AE7458" w:rsidP="00AE7458">
      <w:pPr>
        <w:pStyle w:val="NoSpacing"/>
        <w:ind w:firstLine="360"/>
      </w:pPr>
    </w:p>
    <w:tbl>
      <w:tblPr>
        <w:tblStyle w:val="TableGrid"/>
        <w:tblW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970"/>
      </w:tblGrid>
      <w:tr w:rsidR="00063393" w:rsidRPr="001E1772" w14:paraId="131DA7C7" w14:textId="77777777" w:rsidTr="00AE7458">
        <w:tc>
          <w:tcPr>
            <w:tcW w:w="2695" w:type="dxa"/>
            <w:tcBorders>
              <w:top w:val="double" w:sz="4" w:space="0" w:color="auto"/>
              <w:bottom w:val="single" w:sz="4" w:space="0" w:color="auto"/>
            </w:tcBorders>
          </w:tcPr>
          <w:p w14:paraId="04D7F327" w14:textId="61E4A688" w:rsidR="00063393" w:rsidRPr="001E1772" w:rsidRDefault="00984795" w:rsidP="00AE7458">
            <w:pPr>
              <w:pStyle w:val="NoSpacing"/>
              <w:jc w:val="left"/>
            </w:pPr>
            <w:r>
              <w:br/>
            </w:r>
            <w:r w:rsidR="00AE7458">
              <w:t>Independent V</w:t>
            </w:r>
            <w:r w:rsidR="00063393" w:rsidRPr="001E1772">
              <w:t>ariables</w:t>
            </w:r>
          </w:p>
        </w:tc>
        <w:tc>
          <w:tcPr>
            <w:tcW w:w="2970" w:type="dxa"/>
            <w:tcBorders>
              <w:top w:val="double" w:sz="4" w:space="0" w:color="auto"/>
              <w:bottom w:val="single" w:sz="4" w:space="0" w:color="auto"/>
            </w:tcBorders>
          </w:tcPr>
          <w:p w14:paraId="6B97E17A" w14:textId="77777777" w:rsidR="00063393" w:rsidRPr="001E1772" w:rsidRDefault="00063393" w:rsidP="00AE7458">
            <w:pPr>
              <w:pStyle w:val="NoSpacing"/>
              <w:jc w:val="center"/>
            </w:pPr>
            <w:r w:rsidRPr="001E1772">
              <w:t>Model 1</w:t>
            </w:r>
          </w:p>
          <w:p w14:paraId="3CB1FC02" w14:textId="77777777" w:rsidR="00063393" w:rsidRPr="001E1772" w:rsidRDefault="00AE7458" w:rsidP="00AE7458">
            <w:pPr>
              <w:pStyle w:val="NoSpacing"/>
              <w:jc w:val="center"/>
            </w:pPr>
            <w:r>
              <w:t>(All Cities, 1200</w:t>
            </w:r>
            <w:r>
              <w:rPr>
                <w:rFonts w:cs="Times New Roman"/>
              </w:rPr>
              <w:t>–</w:t>
            </w:r>
            <w:r w:rsidR="00063393" w:rsidRPr="001E1772">
              <w:t>1800)</w:t>
            </w:r>
          </w:p>
        </w:tc>
      </w:tr>
      <w:tr w:rsidR="00063393" w:rsidRPr="001E1772" w14:paraId="07D8E350" w14:textId="77777777" w:rsidTr="00AE7458">
        <w:tc>
          <w:tcPr>
            <w:tcW w:w="2695" w:type="dxa"/>
            <w:tcBorders>
              <w:top w:val="single" w:sz="4" w:space="0" w:color="auto"/>
            </w:tcBorders>
          </w:tcPr>
          <w:p w14:paraId="73BA48F8" w14:textId="77777777" w:rsidR="00063393" w:rsidRPr="001E1772" w:rsidRDefault="00063393" w:rsidP="00AE7458">
            <w:pPr>
              <w:pStyle w:val="NoSpacing"/>
              <w:jc w:val="left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4C8E3D77" w14:textId="77777777" w:rsidR="00063393" w:rsidRPr="001E1772" w:rsidRDefault="00063393" w:rsidP="00AE7458">
            <w:pPr>
              <w:pStyle w:val="NoSpacing"/>
              <w:jc w:val="center"/>
            </w:pPr>
          </w:p>
        </w:tc>
      </w:tr>
      <w:tr w:rsidR="00063393" w:rsidRPr="001E1772" w14:paraId="64CA24BE" w14:textId="77777777" w:rsidTr="00AE7458">
        <w:tc>
          <w:tcPr>
            <w:tcW w:w="2695" w:type="dxa"/>
          </w:tcPr>
          <w:p w14:paraId="269528D0" w14:textId="77777777" w:rsidR="00063393" w:rsidRPr="001E1772" w:rsidRDefault="00063393" w:rsidP="00AE7458">
            <w:pPr>
              <w:pStyle w:val="NoSpacing"/>
              <w:jc w:val="left"/>
            </w:pPr>
            <w:r w:rsidRPr="001E1772">
              <w:t>ln(pop</w:t>
            </w:r>
            <w:r w:rsidRPr="001E1772">
              <w:rPr>
                <w:vertAlign w:val="subscript"/>
              </w:rPr>
              <w:t>t-1</w:t>
            </w:r>
            <w:r w:rsidRPr="001E1772">
              <w:t>)</w:t>
            </w:r>
          </w:p>
        </w:tc>
        <w:tc>
          <w:tcPr>
            <w:tcW w:w="2970" w:type="dxa"/>
          </w:tcPr>
          <w:p w14:paraId="434B889B" w14:textId="77777777" w:rsidR="00063393" w:rsidRPr="001E1772" w:rsidRDefault="00AE7458" w:rsidP="00AE7458">
            <w:pPr>
              <w:pStyle w:val="NoSpacing"/>
              <w:jc w:val="center"/>
            </w:pPr>
            <w:r>
              <w:rPr>
                <w:rFonts w:cs="Times New Roman"/>
              </w:rPr>
              <w:t>–</w:t>
            </w:r>
            <w:r w:rsidR="00063393" w:rsidRPr="001E1772">
              <w:t>0.35***</w:t>
            </w:r>
          </w:p>
          <w:p w14:paraId="43C4825E" w14:textId="13870501" w:rsidR="00063393" w:rsidRPr="001E1772" w:rsidRDefault="00063393" w:rsidP="00AE7458">
            <w:pPr>
              <w:pStyle w:val="NoSpacing"/>
              <w:jc w:val="center"/>
            </w:pPr>
            <w:r w:rsidRPr="001E1772">
              <w:t>(</w:t>
            </w:r>
            <w:r w:rsidR="00F708D6">
              <w:t>0</w:t>
            </w:r>
            <w:r w:rsidRPr="001E1772">
              <w:t>.</w:t>
            </w:r>
            <w:r w:rsidR="00F708D6">
              <w:t>0</w:t>
            </w:r>
            <w:r w:rsidRPr="001E1772">
              <w:t>4)</w:t>
            </w:r>
          </w:p>
        </w:tc>
      </w:tr>
      <w:tr w:rsidR="00063393" w:rsidRPr="001E1772" w14:paraId="666A7D6B" w14:textId="77777777" w:rsidTr="00AE7458">
        <w:tc>
          <w:tcPr>
            <w:tcW w:w="2695" w:type="dxa"/>
          </w:tcPr>
          <w:p w14:paraId="39F069A3" w14:textId="77777777" w:rsidR="00063393" w:rsidRPr="001E1772" w:rsidRDefault="00063393" w:rsidP="00AE7458">
            <w:pPr>
              <w:pStyle w:val="NoSpacing"/>
              <w:jc w:val="left"/>
            </w:pPr>
            <w:r w:rsidRPr="001E1772">
              <w:t>Western Europe: UPGrowth</w:t>
            </w:r>
          </w:p>
        </w:tc>
        <w:tc>
          <w:tcPr>
            <w:tcW w:w="2970" w:type="dxa"/>
          </w:tcPr>
          <w:p w14:paraId="5711592C" w14:textId="77777777" w:rsidR="00063393" w:rsidRPr="001E1772" w:rsidRDefault="00063393" w:rsidP="00AE7458">
            <w:pPr>
              <w:pStyle w:val="NoSpacing"/>
              <w:jc w:val="center"/>
            </w:pPr>
            <w:r w:rsidRPr="001E1772">
              <w:t>2.15***</w:t>
            </w:r>
          </w:p>
          <w:p w14:paraId="4F96C759" w14:textId="77777777" w:rsidR="00063393" w:rsidRPr="001E1772" w:rsidRDefault="00063393" w:rsidP="00AE7458">
            <w:pPr>
              <w:pStyle w:val="NoSpacing"/>
              <w:jc w:val="center"/>
            </w:pPr>
            <w:r w:rsidRPr="001E1772">
              <w:t>(</w:t>
            </w:r>
            <w:r w:rsidR="00F708D6">
              <w:t>0</w:t>
            </w:r>
            <w:r w:rsidRPr="001E1772">
              <w:t>.51)</w:t>
            </w:r>
          </w:p>
        </w:tc>
      </w:tr>
      <w:tr w:rsidR="00063393" w:rsidRPr="001E1772" w14:paraId="772ACEB0" w14:textId="77777777" w:rsidTr="00AE7458">
        <w:tc>
          <w:tcPr>
            <w:tcW w:w="2695" w:type="dxa"/>
          </w:tcPr>
          <w:p w14:paraId="1E5A54C7" w14:textId="77777777" w:rsidR="00063393" w:rsidRPr="001E1772" w:rsidRDefault="00063393" w:rsidP="00AE7458">
            <w:pPr>
              <w:pStyle w:val="NoSpacing"/>
              <w:jc w:val="left"/>
              <w:rPr>
                <w:b/>
              </w:rPr>
            </w:pPr>
            <w:r w:rsidRPr="001E1772">
              <w:t>Eastern Europe: UPGrowth</w:t>
            </w:r>
          </w:p>
        </w:tc>
        <w:tc>
          <w:tcPr>
            <w:tcW w:w="2970" w:type="dxa"/>
          </w:tcPr>
          <w:p w14:paraId="0A732725" w14:textId="77777777" w:rsidR="00063393" w:rsidRPr="001E1772" w:rsidRDefault="00063393" w:rsidP="00AE7458">
            <w:pPr>
              <w:pStyle w:val="NoSpacing"/>
              <w:jc w:val="center"/>
            </w:pPr>
            <w:r w:rsidRPr="001E1772">
              <w:t>0.97</w:t>
            </w:r>
          </w:p>
          <w:p w14:paraId="7EB1698A" w14:textId="77777777" w:rsidR="00063393" w:rsidRPr="001E1772" w:rsidRDefault="00063393" w:rsidP="00AE7458">
            <w:pPr>
              <w:pStyle w:val="NoSpacing"/>
              <w:jc w:val="center"/>
            </w:pPr>
            <w:r w:rsidRPr="001E1772">
              <w:t>(</w:t>
            </w:r>
            <w:r w:rsidR="00F708D6">
              <w:t>0</w:t>
            </w:r>
            <w:r w:rsidRPr="001E1772">
              <w:t>.98)</w:t>
            </w:r>
          </w:p>
        </w:tc>
      </w:tr>
      <w:tr w:rsidR="00063393" w:rsidRPr="001E1772" w14:paraId="21B10320" w14:textId="77777777" w:rsidTr="00AE7458">
        <w:tc>
          <w:tcPr>
            <w:tcW w:w="2695" w:type="dxa"/>
          </w:tcPr>
          <w:p w14:paraId="40482402" w14:textId="3DD7A512" w:rsidR="00063393" w:rsidRPr="001E1772" w:rsidRDefault="00063393" w:rsidP="004C7CB6">
            <w:pPr>
              <w:pStyle w:val="NoSpacing"/>
              <w:jc w:val="left"/>
            </w:pPr>
            <w:r w:rsidRPr="001E1772">
              <w:t>East Asia</w:t>
            </w:r>
            <w:r w:rsidR="004C7CB6" w:rsidRPr="001E1772">
              <w:t>:</w:t>
            </w:r>
            <w:r w:rsidR="004C7CB6">
              <w:t xml:space="preserve"> </w:t>
            </w:r>
            <w:r w:rsidRPr="001E1772">
              <w:t>UPGrowth</w:t>
            </w:r>
          </w:p>
        </w:tc>
        <w:tc>
          <w:tcPr>
            <w:tcW w:w="2970" w:type="dxa"/>
          </w:tcPr>
          <w:p w14:paraId="2A9A3420" w14:textId="77777777" w:rsidR="00063393" w:rsidRPr="001E1772" w:rsidRDefault="00063393" w:rsidP="00AE7458">
            <w:pPr>
              <w:pStyle w:val="NoSpacing"/>
              <w:jc w:val="center"/>
            </w:pPr>
            <w:r w:rsidRPr="001E1772">
              <w:t>0.01</w:t>
            </w:r>
          </w:p>
          <w:p w14:paraId="78CE6977" w14:textId="77777777" w:rsidR="00063393" w:rsidRPr="001E1772" w:rsidRDefault="00063393" w:rsidP="00AE7458">
            <w:pPr>
              <w:pStyle w:val="NoSpacing"/>
              <w:jc w:val="center"/>
            </w:pPr>
            <w:r w:rsidRPr="001E1772">
              <w:t>(</w:t>
            </w:r>
            <w:r w:rsidR="00F708D6">
              <w:t>0</w:t>
            </w:r>
            <w:r w:rsidRPr="001E1772">
              <w:t>.82)</w:t>
            </w:r>
          </w:p>
        </w:tc>
      </w:tr>
      <w:tr w:rsidR="00063393" w:rsidRPr="001E1772" w14:paraId="48215366" w14:textId="77777777" w:rsidTr="00AE7458">
        <w:tc>
          <w:tcPr>
            <w:tcW w:w="2695" w:type="dxa"/>
          </w:tcPr>
          <w:p w14:paraId="1ED1B712" w14:textId="14E475BD" w:rsidR="00063393" w:rsidRPr="001E1772" w:rsidRDefault="00063393" w:rsidP="004C7CB6">
            <w:pPr>
              <w:pStyle w:val="NoSpacing"/>
              <w:jc w:val="left"/>
            </w:pPr>
            <w:r w:rsidRPr="001E1772">
              <w:t>South Asia</w:t>
            </w:r>
            <w:r w:rsidR="004C7CB6" w:rsidRPr="001E1772">
              <w:t>:</w:t>
            </w:r>
            <w:r w:rsidR="004C7CB6">
              <w:t xml:space="preserve"> </w:t>
            </w:r>
            <w:r w:rsidRPr="001E1772">
              <w:t>UPGrowth</w:t>
            </w:r>
          </w:p>
        </w:tc>
        <w:tc>
          <w:tcPr>
            <w:tcW w:w="2970" w:type="dxa"/>
          </w:tcPr>
          <w:p w14:paraId="6E68FC36" w14:textId="77777777" w:rsidR="00063393" w:rsidRPr="001E1772" w:rsidRDefault="00AE7458" w:rsidP="00AE7458">
            <w:pPr>
              <w:pStyle w:val="NoSpacing"/>
              <w:jc w:val="center"/>
            </w:pPr>
            <w:r>
              <w:rPr>
                <w:rFonts w:cs="Times New Roman"/>
              </w:rPr>
              <w:t>–</w:t>
            </w:r>
            <w:r w:rsidR="00063393" w:rsidRPr="001E1772">
              <w:t>1.38***</w:t>
            </w:r>
          </w:p>
          <w:p w14:paraId="4CA0992E" w14:textId="77777777" w:rsidR="00063393" w:rsidRPr="001E1772" w:rsidRDefault="00063393" w:rsidP="00AE7458">
            <w:pPr>
              <w:pStyle w:val="NoSpacing"/>
              <w:jc w:val="center"/>
            </w:pPr>
            <w:r w:rsidRPr="001E1772">
              <w:t>(</w:t>
            </w:r>
            <w:r w:rsidR="00F708D6">
              <w:t>0</w:t>
            </w:r>
            <w:r w:rsidRPr="001E1772">
              <w:t>.33)</w:t>
            </w:r>
          </w:p>
        </w:tc>
      </w:tr>
      <w:tr w:rsidR="00063393" w:rsidRPr="001E1772" w14:paraId="3AB864F3" w14:textId="77777777" w:rsidTr="00AE7458">
        <w:tc>
          <w:tcPr>
            <w:tcW w:w="2695" w:type="dxa"/>
          </w:tcPr>
          <w:p w14:paraId="41895A27" w14:textId="77777777" w:rsidR="00063393" w:rsidRPr="001E1772" w:rsidRDefault="00063393" w:rsidP="00AE7458">
            <w:pPr>
              <w:pStyle w:val="NoSpacing"/>
              <w:jc w:val="left"/>
            </w:pPr>
          </w:p>
        </w:tc>
        <w:tc>
          <w:tcPr>
            <w:tcW w:w="2970" w:type="dxa"/>
          </w:tcPr>
          <w:p w14:paraId="4D546BCD" w14:textId="77777777" w:rsidR="00063393" w:rsidRPr="001E1772" w:rsidRDefault="00063393" w:rsidP="00AE7458">
            <w:pPr>
              <w:pStyle w:val="NoSpacing"/>
              <w:jc w:val="center"/>
            </w:pPr>
          </w:p>
        </w:tc>
      </w:tr>
      <w:tr w:rsidR="00063393" w:rsidRPr="001E1772" w14:paraId="190E40B5" w14:textId="77777777" w:rsidTr="00AE7458">
        <w:tc>
          <w:tcPr>
            <w:tcW w:w="2695" w:type="dxa"/>
          </w:tcPr>
          <w:p w14:paraId="4F059113" w14:textId="77777777" w:rsidR="00063393" w:rsidRPr="001E1772" w:rsidRDefault="00063393" w:rsidP="00AE7458">
            <w:pPr>
              <w:pStyle w:val="NoSpacing"/>
              <w:jc w:val="left"/>
            </w:pPr>
            <w:r w:rsidRPr="001E1772">
              <w:t>City fixed effects?</w:t>
            </w:r>
          </w:p>
        </w:tc>
        <w:tc>
          <w:tcPr>
            <w:tcW w:w="2970" w:type="dxa"/>
          </w:tcPr>
          <w:p w14:paraId="239B54BB" w14:textId="77777777" w:rsidR="00063393" w:rsidRPr="001E1772" w:rsidRDefault="00063393" w:rsidP="00AE7458">
            <w:pPr>
              <w:pStyle w:val="NoSpacing"/>
              <w:jc w:val="center"/>
            </w:pPr>
            <w:r w:rsidRPr="001E1772">
              <w:t>Yes</w:t>
            </w:r>
          </w:p>
        </w:tc>
      </w:tr>
      <w:tr w:rsidR="00063393" w:rsidRPr="001E1772" w14:paraId="0E173F93" w14:textId="77777777" w:rsidTr="00AE7458">
        <w:tc>
          <w:tcPr>
            <w:tcW w:w="2695" w:type="dxa"/>
          </w:tcPr>
          <w:p w14:paraId="52D53120" w14:textId="77777777" w:rsidR="00063393" w:rsidRPr="001E1772" w:rsidRDefault="00063393" w:rsidP="00AE7458">
            <w:pPr>
              <w:pStyle w:val="NoSpacing"/>
              <w:jc w:val="left"/>
            </w:pPr>
            <w:r w:rsidRPr="001E1772">
              <w:t>Region-century fixed effects?</w:t>
            </w:r>
          </w:p>
        </w:tc>
        <w:tc>
          <w:tcPr>
            <w:tcW w:w="2970" w:type="dxa"/>
          </w:tcPr>
          <w:p w14:paraId="57CA7C81" w14:textId="77777777" w:rsidR="00063393" w:rsidRPr="001E1772" w:rsidRDefault="00063393" w:rsidP="00AE7458">
            <w:pPr>
              <w:pStyle w:val="NoSpacing"/>
              <w:jc w:val="center"/>
            </w:pPr>
            <w:r w:rsidRPr="001E1772">
              <w:t>Yes</w:t>
            </w:r>
          </w:p>
        </w:tc>
      </w:tr>
      <w:tr w:rsidR="00063393" w:rsidRPr="001E1772" w14:paraId="6B3A5E4B" w14:textId="77777777" w:rsidTr="00AE7458">
        <w:tc>
          <w:tcPr>
            <w:tcW w:w="2695" w:type="dxa"/>
          </w:tcPr>
          <w:p w14:paraId="2CEEB4A8" w14:textId="77777777" w:rsidR="00063393" w:rsidRPr="001E1772" w:rsidRDefault="00063393" w:rsidP="00AE7458">
            <w:pPr>
              <w:pStyle w:val="NoSpacing"/>
              <w:jc w:val="left"/>
            </w:pPr>
            <w:r w:rsidRPr="001E1772">
              <w:t>N of observations</w:t>
            </w:r>
          </w:p>
        </w:tc>
        <w:tc>
          <w:tcPr>
            <w:tcW w:w="2970" w:type="dxa"/>
          </w:tcPr>
          <w:p w14:paraId="5C956B18" w14:textId="77777777" w:rsidR="00063393" w:rsidRPr="001E1772" w:rsidRDefault="00063393" w:rsidP="00AE7458">
            <w:pPr>
              <w:pStyle w:val="NoSpacing"/>
              <w:jc w:val="center"/>
            </w:pPr>
            <w:r w:rsidRPr="001E1772">
              <w:t>1,652</w:t>
            </w:r>
          </w:p>
        </w:tc>
      </w:tr>
      <w:tr w:rsidR="00063393" w:rsidRPr="001E1772" w14:paraId="1B92CDDE" w14:textId="77777777" w:rsidTr="00AE7458">
        <w:tc>
          <w:tcPr>
            <w:tcW w:w="2695" w:type="dxa"/>
          </w:tcPr>
          <w:p w14:paraId="394056A3" w14:textId="77777777" w:rsidR="00063393" w:rsidRPr="001E1772" w:rsidRDefault="00063393" w:rsidP="00AE7458">
            <w:pPr>
              <w:pStyle w:val="NoSpacing"/>
              <w:jc w:val="left"/>
            </w:pPr>
            <w:r w:rsidRPr="001E1772">
              <w:t>N of cities</w:t>
            </w:r>
          </w:p>
        </w:tc>
        <w:tc>
          <w:tcPr>
            <w:tcW w:w="2970" w:type="dxa"/>
          </w:tcPr>
          <w:p w14:paraId="74487A90" w14:textId="77777777" w:rsidR="00063393" w:rsidRPr="001E1772" w:rsidRDefault="00063393" w:rsidP="00AE7458">
            <w:pPr>
              <w:pStyle w:val="NoSpacing"/>
              <w:jc w:val="center"/>
            </w:pPr>
            <w:r w:rsidRPr="001E1772">
              <w:t>354</w:t>
            </w:r>
          </w:p>
        </w:tc>
      </w:tr>
      <w:tr w:rsidR="00063393" w:rsidRPr="001E1772" w14:paraId="72689D3F" w14:textId="77777777" w:rsidTr="00AE7458">
        <w:tc>
          <w:tcPr>
            <w:tcW w:w="2695" w:type="dxa"/>
          </w:tcPr>
          <w:p w14:paraId="69F07252" w14:textId="77777777" w:rsidR="00063393" w:rsidRPr="001E1772" w:rsidRDefault="00063393" w:rsidP="00AE7458">
            <w:pPr>
              <w:pStyle w:val="NoSpacing"/>
              <w:jc w:val="left"/>
            </w:pPr>
            <w:r w:rsidRPr="001E1772">
              <w:t>Errors clustered at country level; number of countries =</w:t>
            </w:r>
          </w:p>
        </w:tc>
        <w:tc>
          <w:tcPr>
            <w:tcW w:w="2970" w:type="dxa"/>
          </w:tcPr>
          <w:p w14:paraId="485EA83A" w14:textId="77777777" w:rsidR="00063393" w:rsidRPr="001E1772" w:rsidRDefault="00063393" w:rsidP="00AE7458">
            <w:pPr>
              <w:pStyle w:val="NoSpacing"/>
              <w:jc w:val="center"/>
            </w:pPr>
            <w:r w:rsidRPr="001E1772">
              <w:t>33</w:t>
            </w:r>
          </w:p>
        </w:tc>
      </w:tr>
      <w:tr w:rsidR="00063393" w:rsidRPr="001E1772" w14:paraId="0E2C5E23" w14:textId="77777777" w:rsidTr="00AE7458">
        <w:tc>
          <w:tcPr>
            <w:tcW w:w="2695" w:type="dxa"/>
            <w:tcBorders>
              <w:bottom w:val="single" w:sz="4" w:space="0" w:color="auto"/>
            </w:tcBorders>
          </w:tcPr>
          <w:p w14:paraId="32657478" w14:textId="77777777" w:rsidR="00063393" w:rsidRPr="001E1772" w:rsidRDefault="00063393" w:rsidP="00AE7458">
            <w:pPr>
              <w:pStyle w:val="NoSpacing"/>
              <w:jc w:val="left"/>
            </w:pPr>
            <w:r w:rsidRPr="001E1772">
              <w:t>R</w:t>
            </w:r>
            <w:r w:rsidRPr="001E1772">
              <w:rPr>
                <w:vertAlign w:val="superscript"/>
              </w:rPr>
              <w:t>2</w:t>
            </w:r>
            <w:r w:rsidRPr="001E1772">
              <w:t xml:space="preserve"> (within)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931FFB9" w14:textId="77777777" w:rsidR="00063393" w:rsidRPr="001E1772" w:rsidRDefault="00F708D6" w:rsidP="00AE7458">
            <w:pPr>
              <w:pStyle w:val="NoSpacing"/>
              <w:jc w:val="center"/>
            </w:pPr>
            <w:r>
              <w:t>0</w:t>
            </w:r>
            <w:r w:rsidR="00063393" w:rsidRPr="001E1772">
              <w:t>.28</w:t>
            </w:r>
          </w:p>
        </w:tc>
      </w:tr>
    </w:tbl>
    <w:p w14:paraId="572416FE" w14:textId="61A95CC2" w:rsidR="00AE7458" w:rsidRDefault="00063393" w:rsidP="00AE7458">
      <w:pPr>
        <w:pStyle w:val="NoSpacing"/>
      </w:pPr>
      <w:r w:rsidRPr="001E1772">
        <w:t>Dependent variable = logari</w:t>
      </w:r>
      <w:r w:rsidR="00AE7458">
        <w:t>thmic growth rate of population</w:t>
      </w:r>
      <w:r w:rsidR="004C7CB6">
        <w:t>.</w:t>
      </w:r>
    </w:p>
    <w:p w14:paraId="1E92E38B" w14:textId="77777777" w:rsidR="00AE7458" w:rsidRDefault="00AE7458" w:rsidP="00AE7458">
      <w:pPr>
        <w:pStyle w:val="NoSpacing"/>
      </w:pPr>
    </w:p>
    <w:p w14:paraId="69824AC2" w14:textId="77777777" w:rsidR="00C51AA7" w:rsidRPr="00AE7458" w:rsidRDefault="00C51AA7" w:rsidP="00AE7458">
      <w:pPr>
        <w:pStyle w:val="NoSpacing"/>
      </w:pPr>
    </w:p>
    <w:p w14:paraId="04301A1A" w14:textId="77777777" w:rsidR="00A56546" w:rsidRPr="00AE7458" w:rsidRDefault="00166FAD" w:rsidP="00AE7458">
      <w:pPr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AE7458">
        <w:rPr>
          <w:rFonts w:ascii="Times New Roman" w:hAnsi="Times New Roman" w:cs="Times New Roman"/>
          <w:caps/>
          <w:sz w:val="20"/>
          <w:szCs w:val="20"/>
        </w:rPr>
        <w:t>References</w:t>
      </w:r>
    </w:p>
    <w:p w14:paraId="4465F950" w14:textId="6DDAE266" w:rsidR="004245E4" w:rsidRPr="001E1772" w:rsidRDefault="004245E4" w:rsidP="00B17EC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1E1772">
        <w:rPr>
          <w:rFonts w:ascii="Times New Roman" w:hAnsi="Times New Roman" w:cs="Times New Roman"/>
          <w:sz w:val="20"/>
          <w:szCs w:val="20"/>
        </w:rPr>
        <w:t>Bosker, Maarten, Eltjo Buringh, and Jan Luiten van Zanden.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sz w:val="20"/>
          <w:szCs w:val="20"/>
        </w:rPr>
        <w:t>“From Baghdad to London: Unraveling Urban Development in Europe, the Middle East, and North Africa, 800–1800.”</w:t>
      </w:r>
      <w:r w:rsidR="00B91658">
        <w:rPr>
          <w:rFonts w:ascii="Times New Roman" w:hAnsi="Times New Roman" w:cs="Times New Roman"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i/>
          <w:sz w:val="20"/>
          <w:szCs w:val="20"/>
        </w:rPr>
        <w:t>Review of Economics and Statistics</w:t>
      </w:r>
      <w:r w:rsidRPr="001E1772">
        <w:rPr>
          <w:rFonts w:ascii="Times New Roman" w:hAnsi="Times New Roman" w:cs="Times New Roman"/>
          <w:sz w:val="20"/>
          <w:szCs w:val="20"/>
        </w:rPr>
        <w:t xml:space="preserve"> 95, no. 4 (2013): 1418–37.</w:t>
      </w:r>
    </w:p>
    <w:p w14:paraId="171A4FCD" w14:textId="660B7512" w:rsidR="004245E4" w:rsidRPr="001E1772" w:rsidRDefault="004245E4" w:rsidP="00B17EC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1772">
        <w:rPr>
          <w:rFonts w:ascii="Times New Roman" w:hAnsi="Times New Roman" w:cs="Times New Roman"/>
          <w:bCs/>
          <w:sz w:val="20"/>
          <w:szCs w:val="20"/>
        </w:rPr>
        <w:t>Broadberry, Stephen.</w:t>
      </w:r>
      <w:r w:rsidR="00B9165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bCs/>
          <w:sz w:val="20"/>
          <w:szCs w:val="20"/>
        </w:rPr>
        <w:t>“Accounting for the Great Divergence.”</w:t>
      </w:r>
      <w:r w:rsidR="00B9165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E1772">
        <w:rPr>
          <w:rFonts w:ascii="Times New Roman" w:hAnsi="Times New Roman" w:cs="Times New Roman"/>
          <w:bCs/>
          <w:sz w:val="20"/>
          <w:szCs w:val="20"/>
        </w:rPr>
        <w:t>Economic History Working Paper No. 184/2013, London School of Economics and Political Science, London, UK, 2013.</w:t>
      </w:r>
    </w:p>
    <w:p w14:paraId="677427DD" w14:textId="77777777" w:rsidR="004245E4" w:rsidRPr="001E1772" w:rsidRDefault="004245E4" w:rsidP="00B17EC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1772">
        <w:rPr>
          <w:rFonts w:ascii="Times New Roman" w:hAnsi="Times New Roman" w:cs="Times New Roman"/>
          <w:bCs/>
          <w:sz w:val="20"/>
          <w:szCs w:val="20"/>
        </w:rPr>
        <w:t xml:space="preserve">Nickell, Stephen J. “Biases in Dynamic Models with Fixed Effects.” </w:t>
      </w:r>
      <w:r w:rsidRPr="001E177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Econometrica </w:t>
      </w:r>
      <w:r w:rsidRPr="001E1772">
        <w:rPr>
          <w:rFonts w:ascii="Times New Roman" w:hAnsi="Times New Roman" w:cs="Times New Roman"/>
          <w:bCs/>
          <w:sz w:val="20"/>
          <w:szCs w:val="20"/>
        </w:rPr>
        <w:t>49, no. 6 (1981): 1417–26.</w:t>
      </w:r>
    </w:p>
    <w:p w14:paraId="63E279A7" w14:textId="77777777" w:rsidR="00166FAD" w:rsidRPr="001E1772" w:rsidRDefault="00166FAD" w:rsidP="00B17EC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66FAD" w:rsidRPr="001E1772" w:rsidSect="00C51AA7">
      <w:headerReference w:type="even" r:id="rId15"/>
      <w:headerReference w:type="default" r:id="rId16"/>
      <w:footerReference w:type="first" r:id="rId17"/>
      <w:pgSz w:w="12240" w:h="15840"/>
      <w:pgMar w:top="1786" w:right="2635" w:bottom="1555" w:left="263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DA40F" w14:textId="77777777" w:rsidR="00554E8B" w:rsidRDefault="00554E8B" w:rsidP="00C51AA7">
      <w:pPr>
        <w:spacing w:after="0" w:line="240" w:lineRule="auto"/>
      </w:pPr>
      <w:r>
        <w:separator/>
      </w:r>
    </w:p>
  </w:endnote>
  <w:endnote w:type="continuationSeparator" w:id="0">
    <w:p w14:paraId="670C3BCE" w14:textId="77777777" w:rsidR="00554E8B" w:rsidRDefault="00554E8B" w:rsidP="00C5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6B212" w14:textId="77777777" w:rsidR="00DE4C21" w:rsidRPr="00C51AA7" w:rsidRDefault="00DE4C21" w:rsidP="00DE4C21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C51AA7">
      <w:rPr>
        <w:rStyle w:val="PageNumber"/>
        <w:rFonts w:ascii="Times New Roman" w:hAnsi="Times New Roman" w:cs="Times New Roman"/>
      </w:rPr>
      <w:fldChar w:fldCharType="begin"/>
    </w:r>
    <w:r w:rsidRPr="00C51AA7">
      <w:rPr>
        <w:rStyle w:val="PageNumber"/>
        <w:rFonts w:ascii="Times New Roman" w:hAnsi="Times New Roman" w:cs="Times New Roman"/>
      </w:rPr>
      <w:instrText xml:space="preserve">PAGE  </w:instrText>
    </w:r>
    <w:r w:rsidRPr="00C51AA7">
      <w:rPr>
        <w:rStyle w:val="PageNumber"/>
        <w:rFonts w:ascii="Times New Roman" w:hAnsi="Times New Roman" w:cs="Times New Roman"/>
      </w:rPr>
      <w:fldChar w:fldCharType="separate"/>
    </w:r>
    <w:r w:rsidR="00F37A11">
      <w:rPr>
        <w:rStyle w:val="PageNumber"/>
        <w:rFonts w:ascii="Times New Roman" w:hAnsi="Times New Roman" w:cs="Times New Roman"/>
        <w:noProof/>
      </w:rPr>
      <w:t>1</w:t>
    </w:r>
    <w:r w:rsidRPr="00C51AA7">
      <w:rPr>
        <w:rStyle w:val="PageNumber"/>
        <w:rFonts w:ascii="Times New Roman" w:hAnsi="Times New Roman" w:cs="Times New Roman"/>
      </w:rPr>
      <w:fldChar w:fldCharType="end"/>
    </w:r>
  </w:p>
  <w:p w14:paraId="671656F0" w14:textId="77777777" w:rsidR="00DE4C21" w:rsidRDefault="00DE4C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654C0" w14:textId="77777777" w:rsidR="00554E8B" w:rsidRDefault="00554E8B" w:rsidP="00C51AA7">
      <w:pPr>
        <w:spacing w:after="0" w:line="240" w:lineRule="auto"/>
      </w:pPr>
      <w:r>
        <w:separator/>
      </w:r>
    </w:p>
  </w:footnote>
  <w:footnote w:type="continuationSeparator" w:id="0">
    <w:p w14:paraId="06B6C30C" w14:textId="77777777" w:rsidR="00554E8B" w:rsidRDefault="00554E8B" w:rsidP="00C5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4AB54" w14:textId="77777777" w:rsidR="00DE4C21" w:rsidRPr="00C51AA7" w:rsidRDefault="00DE4C21" w:rsidP="00DE4C21">
    <w:pPr>
      <w:pStyle w:val="Header"/>
      <w:framePr w:wrap="none" w:vAnchor="text" w:hAnchor="margin" w:xAlign="outside" w:y="1"/>
      <w:rPr>
        <w:rStyle w:val="PageNumber"/>
        <w:rFonts w:ascii="Times New Roman" w:hAnsi="Times New Roman" w:cs="Times New Roman"/>
      </w:rPr>
    </w:pPr>
    <w:r w:rsidRPr="00C51AA7">
      <w:rPr>
        <w:rStyle w:val="PageNumber"/>
        <w:rFonts w:ascii="Times New Roman" w:hAnsi="Times New Roman" w:cs="Times New Roman"/>
      </w:rPr>
      <w:fldChar w:fldCharType="begin"/>
    </w:r>
    <w:r w:rsidRPr="00C51AA7">
      <w:rPr>
        <w:rStyle w:val="PageNumber"/>
        <w:rFonts w:ascii="Times New Roman" w:hAnsi="Times New Roman" w:cs="Times New Roman"/>
      </w:rPr>
      <w:instrText xml:space="preserve">PAGE  </w:instrText>
    </w:r>
    <w:r w:rsidRPr="00C51AA7">
      <w:rPr>
        <w:rStyle w:val="PageNumber"/>
        <w:rFonts w:ascii="Times New Roman" w:hAnsi="Times New Roman" w:cs="Times New Roman"/>
      </w:rPr>
      <w:fldChar w:fldCharType="separate"/>
    </w:r>
    <w:r w:rsidR="00F37A11">
      <w:rPr>
        <w:rStyle w:val="PageNumber"/>
        <w:rFonts w:ascii="Times New Roman" w:hAnsi="Times New Roman" w:cs="Times New Roman"/>
        <w:noProof/>
      </w:rPr>
      <w:t>8</w:t>
    </w:r>
    <w:r w:rsidRPr="00C51AA7">
      <w:rPr>
        <w:rStyle w:val="PageNumber"/>
        <w:rFonts w:ascii="Times New Roman" w:hAnsi="Times New Roman" w:cs="Times New Roman"/>
      </w:rPr>
      <w:fldChar w:fldCharType="end"/>
    </w:r>
  </w:p>
  <w:p w14:paraId="05AA1D17" w14:textId="667ED47A" w:rsidR="00DE4C21" w:rsidRPr="00C51AA7" w:rsidRDefault="00DE4C21" w:rsidP="00C51AA7">
    <w:pPr>
      <w:pStyle w:val="Header"/>
      <w:ind w:right="360" w:firstLine="360"/>
      <w:jc w:val="center"/>
      <w:rPr>
        <w:rFonts w:ascii="Times New Roman" w:hAnsi="Times New Roman" w:cs="Times New Roman"/>
        <w:i/>
      </w:rPr>
    </w:pPr>
    <w:r w:rsidRPr="00C51AA7">
      <w:rPr>
        <w:rFonts w:ascii="Times New Roman" w:hAnsi="Times New Roman" w:cs="Times New Roman"/>
        <w:i/>
      </w:rPr>
      <w:t>Cox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D756E" w14:textId="77777777" w:rsidR="00DE4C21" w:rsidRPr="00C51AA7" w:rsidRDefault="00DE4C21" w:rsidP="00DE4C21">
    <w:pPr>
      <w:pStyle w:val="Header"/>
      <w:framePr w:wrap="none" w:vAnchor="text" w:hAnchor="margin" w:xAlign="outside" w:y="1"/>
      <w:rPr>
        <w:rStyle w:val="PageNumber"/>
        <w:rFonts w:ascii="Times New Roman" w:hAnsi="Times New Roman" w:cs="Times New Roman"/>
      </w:rPr>
    </w:pPr>
    <w:r w:rsidRPr="00C51AA7">
      <w:rPr>
        <w:rStyle w:val="PageNumber"/>
        <w:rFonts w:ascii="Times New Roman" w:hAnsi="Times New Roman" w:cs="Times New Roman"/>
      </w:rPr>
      <w:fldChar w:fldCharType="begin"/>
    </w:r>
    <w:r w:rsidRPr="00C51AA7">
      <w:rPr>
        <w:rStyle w:val="PageNumber"/>
        <w:rFonts w:ascii="Times New Roman" w:hAnsi="Times New Roman" w:cs="Times New Roman"/>
      </w:rPr>
      <w:instrText xml:space="preserve">PAGE  </w:instrText>
    </w:r>
    <w:r w:rsidRPr="00C51AA7">
      <w:rPr>
        <w:rStyle w:val="PageNumber"/>
        <w:rFonts w:ascii="Times New Roman" w:hAnsi="Times New Roman" w:cs="Times New Roman"/>
      </w:rPr>
      <w:fldChar w:fldCharType="separate"/>
    </w:r>
    <w:r w:rsidR="00F37A11">
      <w:rPr>
        <w:rStyle w:val="PageNumber"/>
        <w:rFonts w:ascii="Times New Roman" w:hAnsi="Times New Roman" w:cs="Times New Roman"/>
        <w:noProof/>
      </w:rPr>
      <w:t>9</w:t>
    </w:r>
    <w:r w:rsidRPr="00C51AA7">
      <w:rPr>
        <w:rStyle w:val="PageNumber"/>
        <w:rFonts w:ascii="Times New Roman" w:hAnsi="Times New Roman" w:cs="Times New Roman"/>
      </w:rPr>
      <w:fldChar w:fldCharType="end"/>
    </w:r>
  </w:p>
  <w:p w14:paraId="00AA8844" w14:textId="2AAA2C28" w:rsidR="00DE4C21" w:rsidRPr="00C51AA7" w:rsidRDefault="00DE4C21" w:rsidP="00C51AA7">
    <w:pPr>
      <w:pStyle w:val="Header"/>
      <w:ind w:right="360" w:firstLine="360"/>
      <w:jc w:val="center"/>
      <w:rPr>
        <w:rFonts w:ascii="Times New Roman" w:hAnsi="Times New Roman" w:cs="Times New Roman"/>
        <w:i/>
      </w:rPr>
    </w:pPr>
    <w:r w:rsidRPr="00C51AA7">
      <w:rPr>
        <w:rFonts w:ascii="Times New Roman" w:hAnsi="Times New Roman" w:cs="Times New Roman"/>
        <w:i/>
      </w:rPr>
      <w:t>Political Institutions, Economic Liberty, and the Great Divergence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49BE"/>
    <w:multiLevelType w:val="hybridMultilevel"/>
    <w:tmpl w:val="B0F41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82"/>
    <w:rsid w:val="00001364"/>
    <w:rsid w:val="000032DF"/>
    <w:rsid w:val="00032319"/>
    <w:rsid w:val="000335AD"/>
    <w:rsid w:val="00051E79"/>
    <w:rsid w:val="00056269"/>
    <w:rsid w:val="00063393"/>
    <w:rsid w:val="00082278"/>
    <w:rsid w:val="00085F84"/>
    <w:rsid w:val="000A6C04"/>
    <w:rsid w:val="000B47B4"/>
    <w:rsid w:val="000D2089"/>
    <w:rsid w:val="000E2E77"/>
    <w:rsid w:val="000F3BC3"/>
    <w:rsid w:val="001100FD"/>
    <w:rsid w:val="00114EE3"/>
    <w:rsid w:val="00117D34"/>
    <w:rsid w:val="00166FAD"/>
    <w:rsid w:val="00187B7A"/>
    <w:rsid w:val="001D0560"/>
    <w:rsid w:val="001E12A2"/>
    <w:rsid w:val="001E1382"/>
    <w:rsid w:val="001E1772"/>
    <w:rsid w:val="001F4A86"/>
    <w:rsid w:val="00237A80"/>
    <w:rsid w:val="002470D3"/>
    <w:rsid w:val="00270105"/>
    <w:rsid w:val="00270A87"/>
    <w:rsid w:val="002717BF"/>
    <w:rsid w:val="00272CEA"/>
    <w:rsid w:val="002740E7"/>
    <w:rsid w:val="00285803"/>
    <w:rsid w:val="002D04C1"/>
    <w:rsid w:val="00304479"/>
    <w:rsid w:val="00313D3E"/>
    <w:rsid w:val="0031771F"/>
    <w:rsid w:val="003374A3"/>
    <w:rsid w:val="0034688A"/>
    <w:rsid w:val="00376615"/>
    <w:rsid w:val="00384B85"/>
    <w:rsid w:val="00387F26"/>
    <w:rsid w:val="003A49E6"/>
    <w:rsid w:val="003C1FEB"/>
    <w:rsid w:val="003D3749"/>
    <w:rsid w:val="00400CEF"/>
    <w:rsid w:val="0041549A"/>
    <w:rsid w:val="004245E4"/>
    <w:rsid w:val="00442A77"/>
    <w:rsid w:val="004806F6"/>
    <w:rsid w:val="00490012"/>
    <w:rsid w:val="004B28E9"/>
    <w:rsid w:val="004B5127"/>
    <w:rsid w:val="004C7CB6"/>
    <w:rsid w:val="004D1475"/>
    <w:rsid w:val="004F1EFC"/>
    <w:rsid w:val="00522029"/>
    <w:rsid w:val="00537C02"/>
    <w:rsid w:val="00541104"/>
    <w:rsid w:val="00547CDE"/>
    <w:rsid w:val="00554E8B"/>
    <w:rsid w:val="00571B43"/>
    <w:rsid w:val="0058168A"/>
    <w:rsid w:val="005835A3"/>
    <w:rsid w:val="00596EB1"/>
    <w:rsid w:val="005A4692"/>
    <w:rsid w:val="005C1F17"/>
    <w:rsid w:val="005D1A7A"/>
    <w:rsid w:val="005D43F8"/>
    <w:rsid w:val="005E1B9F"/>
    <w:rsid w:val="005E30F2"/>
    <w:rsid w:val="005E3E5B"/>
    <w:rsid w:val="0061502C"/>
    <w:rsid w:val="00615242"/>
    <w:rsid w:val="00653225"/>
    <w:rsid w:val="00697811"/>
    <w:rsid w:val="006B0893"/>
    <w:rsid w:val="006B6D82"/>
    <w:rsid w:val="006D011F"/>
    <w:rsid w:val="006D7A70"/>
    <w:rsid w:val="006E5781"/>
    <w:rsid w:val="006F2629"/>
    <w:rsid w:val="006F2F46"/>
    <w:rsid w:val="00703533"/>
    <w:rsid w:val="007233F6"/>
    <w:rsid w:val="007304B1"/>
    <w:rsid w:val="007A29CB"/>
    <w:rsid w:val="007D1A8E"/>
    <w:rsid w:val="007D76CA"/>
    <w:rsid w:val="0083676C"/>
    <w:rsid w:val="00840114"/>
    <w:rsid w:val="008836A1"/>
    <w:rsid w:val="008C478F"/>
    <w:rsid w:val="008D2501"/>
    <w:rsid w:val="008D3BED"/>
    <w:rsid w:val="008E56E6"/>
    <w:rsid w:val="008F3E16"/>
    <w:rsid w:val="00901B24"/>
    <w:rsid w:val="009322F1"/>
    <w:rsid w:val="00943900"/>
    <w:rsid w:val="00984795"/>
    <w:rsid w:val="00992072"/>
    <w:rsid w:val="009C03FC"/>
    <w:rsid w:val="009F2077"/>
    <w:rsid w:val="00A055C0"/>
    <w:rsid w:val="00A1791B"/>
    <w:rsid w:val="00A56546"/>
    <w:rsid w:val="00AA2DCD"/>
    <w:rsid w:val="00AA5D04"/>
    <w:rsid w:val="00AB271D"/>
    <w:rsid w:val="00AB314E"/>
    <w:rsid w:val="00AC0E8A"/>
    <w:rsid w:val="00AC28CB"/>
    <w:rsid w:val="00AD71C1"/>
    <w:rsid w:val="00AE7458"/>
    <w:rsid w:val="00AF71DB"/>
    <w:rsid w:val="00B17ECF"/>
    <w:rsid w:val="00B80D24"/>
    <w:rsid w:val="00B91658"/>
    <w:rsid w:val="00B97831"/>
    <w:rsid w:val="00BF180E"/>
    <w:rsid w:val="00BF6C61"/>
    <w:rsid w:val="00C20FED"/>
    <w:rsid w:val="00C51AA7"/>
    <w:rsid w:val="00C5638D"/>
    <w:rsid w:val="00C71B04"/>
    <w:rsid w:val="00C77259"/>
    <w:rsid w:val="00C934FB"/>
    <w:rsid w:val="00C936BE"/>
    <w:rsid w:val="00CC309C"/>
    <w:rsid w:val="00CD09F3"/>
    <w:rsid w:val="00CD715B"/>
    <w:rsid w:val="00CF2F6E"/>
    <w:rsid w:val="00D35749"/>
    <w:rsid w:val="00D4448C"/>
    <w:rsid w:val="00D52873"/>
    <w:rsid w:val="00D577EE"/>
    <w:rsid w:val="00D72385"/>
    <w:rsid w:val="00D84ABD"/>
    <w:rsid w:val="00DB74C5"/>
    <w:rsid w:val="00DD02F9"/>
    <w:rsid w:val="00DD7647"/>
    <w:rsid w:val="00DE4C21"/>
    <w:rsid w:val="00DF35A0"/>
    <w:rsid w:val="00DF566F"/>
    <w:rsid w:val="00E12DC0"/>
    <w:rsid w:val="00E17168"/>
    <w:rsid w:val="00E2703C"/>
    <w:rsid w:val="00E37801"/>
    <w:rsid w:val="00E50BD0"/>
    <w:rsid w:val="00E51286"/>
    <w:rsid w:val="00E6079C"/>
    <w:rsid w:val="00E611F7"/>
    <w:rsid w:val="00E655C9"/>
    <w:rsid w:val="00E91A1F"/>
    <w:rsid w:val="00E91DAA"/>
    <w:rsid w:val="00EF2EA6"/>
    <w:rsid w:val="00EF3B1E"/>
    <w:rsid w:val="00F12A86"/>
    <w:rsid w:val="00F12E24"/>
    <w:rsid w:val="00F35EC1"/>
    <w:rsid w:val="00F37A11"/>
    <w:rsid w:val="00F708D6"/>
    <w:rsid w:val="00F72536"/>
    <w:rsid w:val="00F90C97"/>
    <w:rsid w:val="00FB78B8"/>
    <w:rsid w:val="00FC4668"/>
    <w:rsid w:val="00FE1CC9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BF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C03F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7831"/>
    <w:rPr>
      <w:rFonts w:asciiTheme="majorHAnsi" w:eastAsiaTheme="majorEastAsia" w:hAnsiTheme="majorHAnsi" w:cstheme="majorBidi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8D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ECF"/>
    <w:pPr>
      <w:ind w:left="720"/>
      <w:contextualSpacing/>
    </w:pPr>
  </w:style>
  <w:style w:type="paragraph" w:styleId="NoSpacing">
    <w:name w:val="No Spacing"/>
    <w:uiPriority w:val="1"/>
    <w:qFormat/>
    <w:rsid w:val="003374A3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Revision">
    <w:name w:val="Revision"/>
    <w:hidden/>
    <w:uiPriority w:val="99"/>
    <w:semiHidden/>
    <w:rsid w:val="00DB7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A7"/>
  </w:style>
  <w:style w:type="paragraph" w:styleId="Footer">
    <w:name w:val="footer"/>
    <w:basedOn w:val="Normal"/>
    <w:link w:val="FooterChar"/>
    <w:uiPriority w:val="99"/>
    <w:unhideWhenUsed/>
    <w:rsid w:val="00C5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A7"/>
  </w:style>
  <w:style w:type="character" w:styleId="PageNumber">
    <w:name w:val="page number"/>
    <w:basedOn w:val="DefaultParagraphFont"/>
    <w:uiPriority w:val="99"/>
    <w:semiHidden/>
    <w:unhideWhenUsed/>
    <w:rsid w:val="00C5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2673</Words>
  <Characters>15240</Characters>
  <Application>Microsoft Macintosh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Gary W</dc:creator>
  <cp:lastModifiedBy>SS</cp:lastModifiedBy>
  <cp:revision>3</cp:revision>
  <cp:lastPrinted>2016-07-14T16:51:00Z</cp:lastPrinted>
  <dcterms:created xsi:type="dcterms:W3CDTF">2017-05-02T14:28:00Z</dcterms:created>
  <dcterms:modified xsi:type="dcterms:W3CDTF">2017-06-16T20:17:00Z</dcterms:modified>
</cp:coreProperties>
</file>