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2F0AD" w14:textId="77777777" w:rsidR="00763264" w:rsidRPr="00630AE9" w:rsidRDefault="00763264" w:rsidP="00630AE9">
      <w:pPr>
        <w:keepNext/>
        <w:autoSpaceDE w:val="0"/>
        <w:autoSpaceDN w:val="0"/>
        <w:adjustRightInd w:val="0"/>
        <w:spacing w:after="0" w:line="240" w:lineRule="auto"/>
        <w:jc w:val="center"/>
        <w:rPr>
          <w:rFonts w:ascii="Times New Roman" w:eastAsia="ＭＳ 明朝" w:hAnsi="Times New Roman" w:cs="Times New Roman"/>
          <w:bCs/>
          <w:i/>
          <w:sz w:val="36"/>
          <w:szCs w:val="36"/>
        </w:rPr>
      </w:pPr>
      <w:r w:rsidRPr="00630AE9">
        <w:rPr>
          <w:rFonts w:ascii="Times New Roman" w:eastAsia="ＭＳ 明朝" w:hAnsi="Times New Roman" w:cs="Times New Roman"/>
          <w:bCs/>
          <w:i/>
          <w:sz w:val="36"/>
          <w:szCs w:val="36"/>
        </w:rPr>
        <w:t>Online Appendix</w:t>
      </w:r>
    </w:p>
    <w:p w14:paraId="6770834F" w14:textId="77777777" w:rsidR="00630AE9" w:rsidRPr="00630AE9" w:rsidRDefault="00630AE9" w:rsidP="00630AE9">
      <w:pPr>
        <w:keepNext/>
        <w:autoSpaceDE w:val="0"/>
        <w:autoSpaceDN w:val="0"/>
        <w:adjustRightInd w:val="0"/>
        <w:spacing w:after="0" w:line="240" w:lineRule="auto"/>
        <w:jc w:val="center"/>
        <w:rPr>
          <w:rFonts w:ascii="Times New Roman" w:eastAsia="ＭＳ 明朝" w:hAnsi="Times New Roman" w:cs="Times New Roman"/>
          <w:b/>
          <w:bCs/>
          <w:sz w:val="20"/>
          <w:szCs w:val="20"/>
        </w:rPr>
      </w:pPr>
    </w:p>
    <w:p w14:paraId="6B581BC6" w14:textId="3956E947" w:rsidR="00763264" w:rsidRPr="00630AE9" w:rsidRDefault="00763264" w:rsidP="00630AE9">
      <w:pPr>
        <w:autoSpaceDE w:val="0"/>
        <w:autoSpaceDN w:val="0"/>
        <w:adjustRightInd w:val="0"/>
        <w:spacing w:after="0" w:line="240" w:lineRule="auto"/>
        <w:ind w:firstLine="540"/>
        <w:jc w:val="both"/>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This </w:t>
      </w:r>
      <w:r w:rsidR="00630AE9" w:rsidRPr="00630AE9">
        <w:rPr>
          <w:rFonts w:ascii="Times New Roman" w:eastAsia="ＭＳ 明朝" w:hAnsi="Times New Roman" w:cs="Times New Roman"/>
          <w:sz w:val="20"/>
          <w:szCs w:val="20"/>
        </w:rPr>
        <w:t>A</w:t>
      </w:r>
      <w:r w:rsidRPr="00630AE9">
        <w:rPr>
          <w:rFonts w:ascii="Times New Roman" w:eastAsia="ＭＳ 明朝" w:hAnsi="Times New Roman" w:cs="Times New Roman"/>
          <w:sz w:val="20"/>
          <w:szCs w:val="20"/>
        </w:rPr>
        <w:t xml:space="preserve">ppendix provides further documentation on the construction of samples employed in the regression analyses while informing readers interested in building their own genealogical datasets about methodological considerations involved in coding charts. We will proceed by first illustrating a range of information contained in a genealogical chart. We then discuss a subset of the information available for this study, highlighting a necessity for focusing on essential information. Finally, we describe how we transformed coded data into datasets employed in regression analyses.  </w:t>
      </w:r>
    </w:p>
    <w:p w14:paraId="2E2E6F98" w14:textId="23D9F8E6" w:rsidR="00763264" w:rsidRPr="00630AE9" w:rsidRDefault="00763264" w:rsidP="00630AE9">
      <w:pPr>
        <w:autoSpaceDE w:val="0"/>
        <w:autoSpaceDN w:val="0"/>
        <w:adjustRightInd w:val="0"/>
        <w:spacing w:after="0" w:line="240" w:lineRule="auto"/>
        <w:ind w:firstLine="540"/>
        <w:jc w:val="both"/>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A genealogical chart in </w:t>
      </w:r>
      <w:r w:rsidR="00630AE9" w:rsidRPr="00630AE9">
        <w:rPr>
          <w:rFonts w:ascii="Times New Roman" w:eastAsia="ＭＳ 明朝" w:hAnsi="Times New Roman" w:cs="Times New Roman"/>
          <w:sz w:val="20"/>
          <w:szCs w:val="20"/>
        </w:rPr>
        <w:t>Shintar</w:t>
      </w:r>
      <w:r w:rsidR="00876DD5">
        <w:rPr>
          <w:rFonts w:ascii="Times New Roman" w:eastAsia="ＭＳ 明朝" w:hAnsi="Times New Roman" w:cs="Times New Roman"/>
          <w:sz w:val="20"/>
          <w:szCs w:val="20"/>
        </w:rPr>
        <w:t>ō</w:t>
      </w:r>
      <w:r w:rsidR="00630AE9" w:rsidRPr="00630AE9">
        <w:rPr>
          <w:rFonts w:ascii="Times New Roman" w:eastAsia="ＭＳ 明朝" w:hAnsi="Times New Roman" w:cs="Times New Roman"/>
          <w:sz w:val="20"/>
          <w:szCs w:val="20"/>
        </w:rPr>
        <w:t xml:space="preserve"> </w:t>
      </w:r>
      <w:r w:rsidRPr="00630AE9">
        <w:rPr>
          <w:rFonts w:ascii="Times New Roman" w:eastAsia="ＭＳ 明朝" w:hAnsi="Times New Roman" w:cs="Times New Roman"/>
          <w:sz w:val="20"/>
          <w:szCs w:val="20"/>
        </w:rPr>
        <w:t xml:space="preserve">Yagura and </w:t>
      </w:r>
      <w:r w:rsidR="00630AE9" w:rsidRPr="00630AE9">
        <w:rPr>
          <w:rFonts w:ascii="Times New Roman" w:eastAsia="ＭＳ 明朝" w:hAnsi="Times New Roman" w:cs="Times New Roman"/>
          <w:sz w:val="20"/>
          <w:szCs w:val="20"/>
        </w:rPr>
        <w:t>Yoshir</w:t>
      </w:r>
      <w:r w:rsidR="00876DD5">
        <w:rPr>
          <w:rFonts w:ascii="Times New Roman" w:eastAsia="ＭＳ 明朝" w:hAnsi="Times New Roman" w:cs="Times New Roman"/>
          <w:sz w:val="20"/>
          <w:szCs w:val="20"/>
        </w:rPr>
        <w:t>ō</w:t>
      </w:r>
      <w:r w:rsidR="00630AE9" w:rsidRPr="00630AE9">
        <w:rPr>
          <w:rFonts w:ascii="Times New Roman" w:eastAsia="ＭＳ 明朝" w:hAnsi="Times New Roman" w:cs="Times New Roman"/>
          <w:sz w:val="20"/>
          <w:szCs w:val="20"/>
        </w:rPr>
        <w:t xml:space="preserve"> </w:t>
      </w:r>
      <w:r w:rsidRPr="00630AE9">
        <w:rPr>
          <w:rFonts w:ascii="Times New Roman" w:eastAsia="ＭＳ 明朝" w:hAnsi="Times New Roman" w:cs="Times New Roman"/>
          <w:sz w:val="20"/>
          <w:szCs w:val="20"/>
        </w:rPr>
        <w:t xml:space="preserve">Ikushima (1986) summarizes a subject company’s organizational transformations since its original foundation, presented in a diagrammatical format. A genealogical chart mainly consists of </w:t>
      </w:r>
      <w:r w:rsidRPr="00630AE9">
        <w:rPr>
          <w:rFonts w:ascii="Times New Roman" w:eastAsia="ＭＳ 明朝" w:hAnsi="Times New Roman" w:cs="Times New Roman"/>
          <w:i/>
          <w:sz w:val="20"/>
          <w:szCs w:val="20"/>
        </w:rPr>
        <w:t>nodes</w:t>
      </w:r>
      <w:r w:rsidRPr="00630AE9">
        <w:rPr>
          <w:rFonts w:ascii="Times New Roman" w:eastAsia="ＭＳ 明朝" w:hAnsi="Times New Roman" w:cs="Times New Roman"/>
          <w:sz w:val="20"/>
          <w:szCs w:val="20"/>
        </w:rPr>
        <w:t xml:space="preserve"> containing information about units, and </w:t>
      </w:r>
      <w:r w:rsidRPr="00630AE9">
        <w:rPr>
          <w:rFonts w:ascii="Times New Roman" w:eastAsia="ＭＳ 明朝" w:hAnsi="Times New Roman" w:cs="Times New Roman"/>
          <w:i/>
          <w:sz w:val="20"/>
          <w:szCs w:val="20"/>
        </w:rPr>
        <w:t>branches</w:t>
      </w:r>
      <w:r w:rsidRPr="00630AE9">
        <w:rPr>
          <w:rFonts w:ascii="Times New Roman" w:eastAsia="ＭＳ 明朝" w:hAnsi="Times New Roman" w:cs="Times New Roman"/>
          <w:sz w:val="20"/>
          <w:szCs w:val="20"/>
        </w:rPr>
        <w:t xml:space="preserve"> indicating types of organizational transformation from one unit to another. Figure A1 is a stylized representation of a genealogical chart for a subject company named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xml:space="preserve">, established at </w:t>
      </w:r>
      <w:r w:rsidRPr="00630AE9">
        <w:rPr>
          <w:rFonts w:ascii="Times New Roman" w:eastAsia="ＭＳ 明朝" w:hAnsi="Times New Roman" w:cs="Times New Roman"/>
          <w:i/>
          <w:sz w:val="20"/>
          <w:szCs w:val="20"/>
        </w:rPr>
        <w:t>t</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xml:space="preserve">, taking an organizational form of </w:t>
      </w:r>
      <w:r w:rsidRPr="00630AE9">
        <w:rPr>
          <w:rFonts w:ascii="Times New Roman" w:eastAsia="ＭＳ 明朝" w:hAnsi="Times New Roman" w:cs="Times New Roman"/>
          <w:i/>
          <w:sz w:val="20"/>
          <w:szCs w:val="20"/>
        </w:rPr>
        <w:t>f</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The boxes containing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i</w:t>
      </w:r>
      <w:r w:rsidRPr="00630AE9">
        <w:rPr>
          <w:rFonts w:ascii="Times New Roman" w:eastAsia="ＭＳ 明朝" w:hAnsi="Times New Roman" w:cs="Times New Roman"/>
          <w:i/>
          <w:sz w:val="20"/>
          <w:szCs w:val="20"/>
        </w:rPr>
        <w:t>, t</w:t>
      </w:r>
      <w:r w:rsidRPr="00630AE9">
        <w:rPr>
          <w:rFonts w:ascii="Times New Roman" w:eastAsia="ＭＳ 明朝" w:hAnsi="Times New Roman" w:cs="Times New Roman"/>
          <w:i/>
          <w:sz w:val="20"/>
          <w:szCs w:val="20"/>
          <w:vertAlign w:val="subscript"/>
        </w:rPr>
        <w:t>i</w:t>
      </w:r>
      <w:r w:rsidRPr="00630AE9">
        <w:rPr>
          <w:rFonts w:ascii="Times New Roman" w:eastAsia="ＭＳ 明朝" w:hAnsi="Times New Roman" w:cs="Times New Roman"/>
          <w:i/>
          <w:sz w:val="20"/>
          <w:szCs w:val="20"/>
        </w:rPr>
        <w:t>, f</w:t>
      </w:r>
      <w:r w:rsidRPr="00630AE9">
        <w:rPr>
          <w:rFonts w:ascii="Times New Roman" w:eastAsia="ＭＳ 明朝" w:hAnsi="Times New Roman" w:cs="Times New Roman"/>
          <w:i/>
          <w:sz w:val="20"/>
          <w:szCs w:val="20"/>
          <w:vertAlign w:val="subscript"/>
        </w:rPr>
        <w:t>i</w:t>
      </w:r>
      <w:r w:rsidRPr="00630AE9">
        <w:rPr>
          <w:rFonts w:ascii="Times New Roman" w:eastAsia="ＭＳ 明朝" w:hAnsi="Times New Roman" w:cs="Times New Roman"/>
          <w:sz w:val="20"/>
          <w:szCs w:val="20"/>
        </w:rPr>
        <w:t xml:space="preserve">) represent nodes. The connecting lines are branches. The straight line initiating from company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2</w:t>
      </w:r>
      <w:r w:rsidRPr="00630AE9">
        <w:rPr>
          <w:rFonts w:ascii="Times New Roman" w:eastAsia="ＭＳ 明朝" w:hAnsi="Times New Roman" w:cs="Times New Roman"/>
          <w:sz w:val="20"/>
          <w:szCs w:val="20"/>
        </w:rPr>
        <w:t xml:space="preserve"> and going though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xml:space="preserve"> represents the main lineage.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2</w:t>
      </w:r>
      <w:r w:rsidRPr="00630AE9">
        <w:rPr>
          <w:rFonts w:ascii="Times New Roman" w:eastAsia="ＭＳ 明朝" w:hAnsi="Times New Roman" w:cs="Times New Roman"/>
          <w:sz w:val="20"/>
          <w:szCs w:val="20"/>
        </w:rPr>
        <w:t xml:space="preserve"> is the earliest ancestor from which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xml:space="preserve"> evolved. In this example, the numerical subscripts indicate the number of transformation from the subject company so it is in reverse chronological order. The arrow leading from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a</w:t>
      </w:r>
      <w:r w:rsidRPr="00630AE9">
        <w:rPr>
          <w:rFonts w:ascii="Times New Roman" w:eastAsia="ＭＳ 明朝" w:hAnsi="Times New Roman" w:cs="Times New Roman"/>
          <w:sz w:val="20"/>
          <w:szCs w:val="20"/>
        </w:rPr>
        <w:t xml:space="preserve"> to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2</w:t>
      </w:r>
      <w:r w:rsidRPr="00630AE9">
        <w:rPr>
          <w:rFonts w:ascii="Times New Roman" w:eastAsia="ＭＳ 明朝" w:hAnsi="Times New Roman" w:cs="Times New Roman"/>
          <w:sz w:val="20"/>
          <w:szCs w:val="20"/>
        </w:rPr>
        <w:t xml:space="preserve"> indicates that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2</w:t>
      </w:r>
      <w:r w:rsidRPr="00630AE9">
        <w:rPr>
          <w:rFonts w:ascii="Times New Roman" w:eastAsia="ＭＳ 明朝" w:hAnsi="Times New Roman" w:cs="Times New Roman"/>
          <w:sz w:val="20"/>
          <w:szCs w:val="20"/>
        </w:rPr>
        <w:t xml:space="preserve"> obtained an asset from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a</w:t>
      </w:r>
      <w:r w:rsidRPr="00630AE9">
        <w:rPr>
          <w:rFonts w:ascii="Times New Roman" w:eastAsia="ＭＳ 明朝" w:hAnsi="Times New Roman" w:cs="Times New Roman"/>
          <w:sz w:val="20"/>
          <w:szCs w:val="20"/>
        </w:rPr>
        <w:t xml:space="preserve">, a firm dissolved at </w:t>
      </w:r>
      <w:r w:rsidRPr="00630AE9">
        <w:rPr>
          <w:rFonts w:ascii="Times New Roman" w:eastAsia="ＭＳ 明朝" w:hAnsi="Times New Roman" w:cs="Times New Roman"/>
          <w:i/>
          <w:sz w:val="20"/>
          <w:szCs w:val="20"/>
        </w:rPr>
        <w:t>t'</w:t>
      </w:r>
      <w:r w:rsidRPr="00630AE9">
        <w:rPr>
          <w:rFonts w:ascii="Times New Roman" w:eastAsia="ＭＳ 明朝" w:hAnsi="Times New Roman" w:cs="Times New Roman"/>
          <w:sz w:val="20"/>
          <w:szCs w:val="20"/>
        </w:rPr>
        <w:t xml:space="preserve">. Another arrow leading from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b</w:t>
      </w:r>
      <w:r w:rsidRPr="00630AE9">
        <w:rPr>
          <w:rFonts w:ascii="Times New Roman" w:eastAsia="ＭＳ 明朝" w:hAnsi="Times New Roman" w:cs="Times New Roman"/>
          <w:sz w:val="20"/>
          <w:szCs w:val="20"/>
        </w:rPr>
        <w:t xml:space="preserve"> to the main-lineage line indicates that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2</w:t>
      </w:r>
      <w:r w:rsidRPr="00630AE9">
        <w:rPr>
          <w:rFonts w:ascii="Times New Roman" w:eastAsia="ＭＳ 明朝" w:hAnsi="Times New Roman" w:cs="Times New Roman"/>
          <w:sz w:val="20"/>
          <w:szCs w:val="20"/>
        </w:rPr>
        <w:t xml:space="preserve"> acquired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b</w:t>
      </w:r>
      <w:r w:rsidRPr="00630AE9">
        <w:rPr>
          <w:rFonts w:ascii="Times New Roman" w:eastAsia="ＭＳ 明朝" w:hAnsi="Times New Roman" w:cs="Times New Roman"/>
          <w:sz w:val="20"/>
          <w:szCs w:val="20"/>
        </w:rPr>
        <w:t xml:space="preserve"> at time </w:t>
      </w:r>
      <w:r w:rsidRPr="00630AE9">
        <w:rPr>
          <w:rFonts w:ascii="Times New Roman" w:eastAsia="ＭＳ 明朝" w:hAnsi="Times New Roman" w:cs="Times New Roman"/>
          <w:i/>
          <w:sz w:val="20"/>
          <w:szCs w:val="20"/>
        </w:rPr>
        <w:t>t''</w:t>
      </w:r>
      <w:r w:rsidRPr="00630AE9">
        <w:rPr>
          <w:rFonts w:ascii="Times New Roman" w:eastAsia="ＭＳ 明朝" w:hAnsi="Times New Roman" w:cs="Times New Roman"/>
          <w:sz w:val="20"/>
          <w:szCs w:val="20"/>
        </w:rPr>
        <w:t xml:space="preserve">. Notice that unlike in a game tree in the game theory, branches need not intersect at nodes. A line without an arrow leading from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c</w:t>
      </w:r>
      <w:r w:rsidRPr="00630AE9">
        <w:rPr>
          <w:rFonts w:ascii="Times New Roman" w:eastAsia="ＭＳ 明朝" w:hAnsi="Times New Roman" w:cs="Times New Roman"/>
          <w:sz w:val="20"/>
          <w:szCs w:val="20"/>
        </w:rPr>
        <w:t xml:space="preserve"> and joining the main-lineage line indicates that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1</w:t>
      </w:r>
      <w:r w:rsidRPr="00630AE9">
        <w:rPr>
          <w:rFonts w:ascii="Times New Roman" w:eastAsia="ＭＳ 明朝" w:hAnsi="Times New Roman" w:cs="Times New Roman"/>
          <w:sz w:val="20"/>
          <w:szCs w:val="20"/>
        </w:rPr>
        <w:t xml:space="preserve"> merged with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c</w:t>
      </w:r>
      <w:r w:rsidRPr="00630AE9">
        <w:rPr>
          <w:rFonts w:ascii="Times New Roman" w:eastAsia="ＭＳ 明朝" w:hAnsi="Times New Roman" w:cs="Times New Roman"/>
          <w:sz w:val="20"/>
          <w:szCs w:val="20"/>
        </w:rPr>
        <w:t xml:space="preserve"> at time </w:t>
      </w:r>
      <w:r w:rsidRPr="00630AE9">
        <w:rPr>
          <w:rFonts w:ascii="Times New Roman" w:eastAsia="ＭＳ 明朝" w:hAnsi="Times New Roman" w:cs="Times New Roman"/>
          <w:i/>
          <w:sz w:val="20"/>
          <w:szCs w:val="20"/>
        </w:rPr>
        <w:t>t'''</w:t>
      </w:r>
      <w:r w:rsidRPr="00630AE9">
        <w:rPr>
          <w:rFonts w:ascii="Times New Roman" w:eastAsia="ＭＳ 明朝" w:hAnsi="Times New Roman" w:cs="Times New Roman"/>
          <w:sz w:val="20"/>
          <w:szCs w:val="20"/>
        </w:rPr>
        <w:t xml:space="preserve">. Figure A1 omits the ancestry of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c</w:t>
      </w:r>
      <w:r w:rsidRPr="00630AE9">
        <w:rPr>
          <w:rFonts w:ascii="Times New Roman" w:eastAsia="ＭＳ 明朝" w:hAnsi="Times New Roman" w:cs="Times New Roman"/>
          <w:sz w:val="20"/>
          <w:szCs w:val="20"/>
        </w:rPr>
        <w:t xml:space="preserve"> for brevity, but a genealogical chart in practice contains lineages of targets in corporate takeovers. </w:t>
      </w:r>
    </w:p>
    <w:p w14:paraId="1B408148" w14:textId="4D319D51" w:rsidR="00763264" w:rsidRPr="00630AE9" w:rsidRDefault="00763264" w:rsidP="00630AE9">
      <w:pPr>
        <w:autoSpaceDE w:val="0"/>
        <w:autoSpaceDN w:val="0"/>
        <w:adjustRightInd w:val="0"/>
        <w:spacing w:after="0" w:line="240" w:lineRule="auto"/>
        <w:ind w:firstLine="540"/>
        <w:jc w:val="both"/>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While simplified, this stylized chart contains various pieces of information. One type of information is about a given business unit, such as a period over which a unit existed under a constant name and same organizational form. For instance, we can see that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1</w:t>
      </w:r>
      <w:r w:rsidRPr="00630AE9">
        <w:rPr>
          <w:rFonts w:ascii="Times New Roman" w:eastAsia="ＭＳ 明朝" w:hAnsi="Times New Roman" w:cs="Times New Roman"/>
          <w:sz w:val="20"/>
          <w:szCs w:val="20"/>
        </w:rPr>
        <w:t xml:space="preserve"> existed from </w:t>
      </w:r>
      <w:r w:rsidRPr="00630AE9">
        <w:rPr>
          <w:rFonts w:ascii="Times New Roman" w:eastAsia="ＭＳ 明朝" w:hAnsi="Times New Roman" w:cs="Times New Roman"/>
          <w:i/>
          <w:sz w:val="20"/>
          <w:szCs w:val="20"/>
        </w:rPr>
        <w:t>t</w:t>
      </w:r>
      <w:r w:rsidRPr="00630AE9">
        <w:rPr>
          <w:rFonts w:ascii="Times New Roman" w:eastAsia="ＭＳ 明朝" w:hAnsi="Times New Roman" w:cs="Times New Roman"/>
          <w:i/>
          <w:sz w:val="20"/>
          <w:szCs w:val="20"/>
          <w:vertAlign w:val="subscript"/>
        </w:rPr>
        <w:t xml:space="preserve">1 </w:t>
      </w:r>
      <w:r w:rsidRPr="00630AE9">
        <w:rPr>
          <w:rFonts w:ascii="Times New Roman" w:eastAsia="ＭＳ 明朝" w:hAnsi="Times New Roman" w:cs="Times New Roman"/>
          <w:sz w:val="20"/>
          <w:szCs w:val="20"/>
        </w:rPr>
        <w:t xml:space="preserve">until the merger with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 xml:space="preserve">c </w:t>
      </w:r>
      <w:r w:rsidRPr="00630AE9">
        <w:rPr>
          <w:rFonts w:ascii="Times New Roman" w:eastAsia="ＭＳ 明朝" w:hAnsi="Times New Roman" w:cs="Times New Roman"/>
          <w:sz w:val="20"/>
          <w:szCs w:val="20"/>
        </w:rPr>
        <w:t xml:space="preserve">that led to a formation of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xml:space="preserve"> at </w:t>
      </w:r>
      <w:r w:rsidRPr="00630AE9">
        <w:rPr>
          <w:rFonts w:ascii="Times New Roman" w:eastAsia="ＭＳ 明朝" w:hAnsi="Times New Roman" w:cs="Times New Roman"/>
          <w:i/>
          <w:sz w:val="20"/>
          <w:szCs w:val="20"/>
        </w:rPr>
        <w:t>t</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Another type of information is the relationship between units appearing on a chart. Links among units in Figure A1 represent organizational transformations, such as name changes, mergers, and acquisitions. Actual charts in addition contain much more information. Annotations throughout the genealogical chart</w:t>
      </w:r>
      <w:r w:rsidR="00630AE9" w:rsidRPr="00630AE9">
        <w:rPr>
          <w:rFonts w:ascii="Times New Roman" w:eastAsia="ＭＳ 明朝" w:hAnsi="Times New Roman" w:cs="Times New Roman"/>
          <w:sz w:val="20"/>
          <w:szCs w:val="20"/>
        </w:rPr>
        <w:t>, for example,</w:t>
      </w:r>
      <w:r w:rsidRPr="00630AE9">
        <w:rPr>
          <w:rFonts w:ascii="Times New Roman" w:eastAsia="ＭＳ 明朝" w:hAnsi="Times New Roman" w:cs="Times New Roman"/>
          <w:sz w:val="20"/>
          <w:szCs w:val="20"/>
        </w:rPr>
        <w:t xml:space="preserve"> indicate company location, names of individuals who founded early an</w:t>
      </w:r>
      <w:r w:rsidR="00630AE9" w:rsidRPr="00630AE9">
        <w:rPr>
          <w:rFonts w:ascii="Times New Roman" w:eastAsia="ＭＳ 明朝" w:hAnsi="Times New Roman" w:cs="Times New Roman"/>
          <w:sz w:val="20"/>
          <w:szCs w:val="20"/>
        </w:rPr>
        <w:t>cestors, and assets transferred</w:t>
      </w:r>
      <w:r w:rsidRPr="00630AE9">
        <w:rPr>
          <w:rFonts w:ascii="Times New Roman" w:eastAsia="ＭＳ 明朝" w:hAnsi="Times New Roman" w:cs="Times New Roman"/>
          <w:sz w:val="20"/>
          <w:szCs w:val="20"/>
        </w:rPr>
        <w:t xml:space="preserve">. Organizational transformations include nine types, each indicated by different schematic. To give a better sense of what an actual chart looks like, Figure A2 re-produces an example of </w:t>
      </w:r>
      <w:r w:rsidRPr="00630AE9">
        <w:rPr>
          <w:rFonts w:ascii="Times New Roman" w:eastAsia="ＭＳ 明朝" w:hAnsi="Times New Roman" w:cs="Times New Roman"/>
          <w:i/>
          <w:sz w:val="20"/>
          <w:szCs w:val="20"/>
        </w:rPr>
        <w:t xml:space="preserve">Shikishima Bōseki </w:t>
      </w:r>
      <w:r w:rsidRPr="00630AE9">
        <w:rPr>
          <w:rFonts w:ascii="Times New Roman" w:eastAsia="ＭＳ 明朝" w:hAnsi="Times New Roman" w:cs="Times New Roman"/>
          <w:sz w:val="20"/>
          <w:szCs w:val="20"/>
        </w:rPr>
        <w:t>(5-13).</w:t>
      </w:r>
      <w:r w:rsidRPr="00630AE9">
        <w:rPr>
          <w:rFonts w:ascii="Times New Roman" w:eastAsia="ＭＳ 明朝" w:hAnsi="Times New Roman" w:cs="Times New Roman"/>
          <w:sz w:val="20"/>
          <w:szCs w:val="20"/>
          <w:vertAlign w:val="superscript"/>
        </w:rPr>
        <w:footnoteReference w:id="1"/>
      </w:r>
      <w:r w:rsidRPr="00630AE9">
        <w:rPr>
          <w:rFonts w:ascii="Times New Roman" w:eastAsia="ＭＳ 明朝" w:hAnsi="Times New Roman" w:cs="Times New Roman"/>
          <w:sz w:val="20"/>
          <w:szCs w:val="20"/>
        </w:rPr>
        <w:t xml:space="preserve"> A brief inspection of this example shows the complexity of actual charts and wealth of information contained in them. Notice that this chart contains a “loop,” which represents a divesture and a subsequent acquisition of the divested firm. Since a tree diagram must not contain a loop, a better term to describe this figure is a chart rather than a tree.  </w:t>
      </w:r>
    </w:p>
    <w:p w14:paraId="1F249B8E" w14:textId="77777777" w:rsidR="00D703CE" w:rsidRDefault="00763264" w:rsidP="00630AE9">
      <w:pPr>
        <w:autoSpaceDE w:val="0"/>
        <w:autoSpaceDN w:val="0"/>
        <w:adjustRightInd w:val="0"/>
        <w:spacing w:after="0" w:line="240" w:lineRule="auto"/>
        <w:ind w:firstLine="540"/>
        <w:jc w:val="both"/>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The volume of information poses a challenge in organizing and systematizing data appropriate for an empirical study. Our source document consists of 844 pages with the dimension of 12.2×9.4×2.4 inches so that coding charts in a format suitable for empirical analysis is a non-trivial undertaking. Researchers under resource constraints therefore must decide on which information contained in charts is essential in addressing research questions at hand. The research question in our study primarily requires firm-level observations on organizational form, since we are interested in the pervasiveness of organizational forms at given point in time. We thus utilize </w:t>
      </w:r>
      <w:r w:rsidR="00630AE9" w:rsidRPr="00630AE9">
        <w:rPr>
          <w:rFonts w:ascii="Times New Roman" w:eastAsia="ＭＳ 明朝" w:hAnsi="Times New Roman" w:cs="Times New Roman"/>
          <w:sz w:val="20"/>
          <w:szCs w:val="20"/>
        </w:rPr>
        <w:t xml:space="preserve">John P. </w:t>
      </w:r>
      <w:r w:rsidRPr="00630AE9">
        <w:rPr>
          <w:rFonts w:ascii="Times New Roman" w:eastAsia="ＭＳ 明朝" w:hAnsi="Times New Roman" w:cs="Times New Roman"/>
          <w:sz w:val="20"/>
          <w:szCs w:val="20"/>
        </w:rPr>
        <w:t xml:space="preserve">Tang’s (2011, </w:t>
      </w:r>
      <w:r w:rsidR="00D703CE">
        <w:rPr>
          <w:rFonts w:ascii="Times New Roman" w:eastAsia="ＭＳ 明朝" w:hAnsi="Times New Roman" w:cs="Times New Roman"/>
          <w:sz w:val="20"/>
          <w:szCs w:val="20"/>
        </w:rPr>
        <w:br/>
      </w:r>
    </w:p>
    <w:p w14:paraId="2B07F941" w14:textId="5C70668A" w:rsidR="00D703CE" w:rsidRDefault="00000024" w:rsidP="00000024">
      <w:pPr>
        <w:autoSpaceDE w:val="0"/>
        <w:autoSpaceDN w:val="0"/>
        <w:adjustRightInd w:val="0"/>
        <w:spacing w:after="0" w:line="240" w:lineRule="auto"/>
        <w:jc w:val="center"/>
        <w:rPr>
          <w:rFonts w:ascii="Times New Roman" w:eastAsia="ＭＳ 明朝" w:hAnsi="Times New Roman" w:cs="Times New Roman"/>
          <w:sz w:val="20"/>
          <w:szCs w:val="20"/>
        </w:rPr>
      </w:pPr>
      <w:r>
        <w:rPr>
          <w:rFonts w:ascii="Times New Roman" w:eastAsia="ＭＳ 明朝" w:hAnsi="Times New Roman" w:cs="Times New Roman"/>
          <w:noProof/>
          <w:sz w:val="20"/>
          <w:szCs w:val="20"/>
          <w:lang w:eastAsia="en-US"/>
        </w:rPr>
        <w:lastRenderedPageBreak/>
        <w:drawing>
          <wp:inline distT="0" distB="0" distL="0" distR="0" wp14:anchorId="53B5B002" wp14:editId="78C5EF0B">
            <wp:extent cx="4425950" cy="186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ji_App_FigA1.eps"/>
                    <pic:cNvPicPr/>
                  </pic:nvPicPr>
                  <pic:blipFill>
                    <a:blip r:embed="rId6">
                      <a:extLst>
                        <a:ext uri="{28A0092B-C50C-407E-A947-70E740481C1C}">
                          <a14:useLocalDpi xmlns:a14="http://schemas.microsoft.com/office/drawing/2010/main" val="0"/>
                        </a:ext>
                      </a:extLst>
                    </a:blip>
                    <a:stretch>
                      <a:fillRect/>
                    </a:stretch>
                  </pic:blipFill>
                  <pic:spPr>
                    <a:xfrm>
                      <a:off x="0" y="0"/>
                      <a:ext cx="4425950" cy="1860550"/>
                    </a:xfrm>
                    <a:prstGeom prst="rect">
                      <a:avLst/>
                    </a:prstGeom>
                  </pic:spPr>
                </pic:pic>
              </a:graphicData>
            </a:graphic>
          </wp:inline>
        </w:drawing>
      </w:r>
    </w:p>
    <w:p w14:paraId="6BF1F718" w14:textId="77777777" w:rsidR="00D703CE" w:rsidRDefault="00D703CE" w:rsidP="00D703CE">
      <w:pPr>
        <w:autoSpaceDE w:val="0"/>
        <w:autoSpaceDN w:val="0"/>
        <w:adjustRightInd w:val="0"/>
        <w:spacing w:after="0" w:line="240" w:lineRule="auto"/>
        <w:jc w:val="both"/>
        <w:rPr>
          <w:rFonts w:ascii="Times New Roman" w:eastAsia="ＭＳ 明朝" w:hAnsi="Times New Roman" w:cs="Times New Roman"/>
          <w:sz w:val="20"/>
          <w:szCs w:val="20"/>
        </w:rPr>
      </w:pPr>
    </w:p>
    <w:p w14:paraId="3CA154AC" w14:textId="77777777" w:rsidR="00D703CE" w:rsidRDefault="00D703CE" w:rsidP="00D703CE">
      <w:pPr>
        <w:autoSpaceDE w:val="0"/>
        <w:autoSpaceDN w:val="0"/>
        <w:adjustRightInd w:val="0"/>
        <w:spacing w:after="0" w:line="240" w:lineRule="auto"/>
        <w:jc w:val="both"/>
        <w:rPr>
          <w:rFonts w:ascii="Times New Roman" w:eastAsia="ＭＳ 明朝" w:hAnsi="Times New Roman" w:cs="Times New Roman"/>
          <w:sz w:val="20"/>
          <w:szCs w:val="20"/>
        </w:rPr>
      </w:pPr>
    </w:p>
    <w:p w14:paraId="339C44D6" w14:textId="5A705526" w:rsidR="00763264" w:rsidRPr="00630AE9" w:rsidRDefault="00763264" w:rsidP="00D703CE">
      <w:pPr>
        <w:autoSpaceDE w:val="0"/>
        <w:autoSpaceDN w:val="0"/>
        <w:adjustRightInd w:val="0"/>
        <w:spacing w:after="0" w:line="240" w:lineRule="auto"/>
        <w:jc w:val="both"/>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2013) dataset, which we illustrate in Table A1 using the above example. Table A1 shows information extracted from the chart including a genealogy identifier (GID), company identifier, name, organizational form, and year. The structure of the dataset is an unbalanced panel of firms/units, containing firm-year observations on organizational forms. The real dataset contains additional firm-level information such as industry classification that employ in the analysis. GID in practice identifies a unit and consists of three segments: AAAA.BB.CCC. The AAAA is the industry identifier for the subject company, the BB is the genealogy identifier, and the CCC is the unit identifier. With this dataset, we can observe organizational form for each firm in existence at a given point in time. Since the information on relationship was not required in Tang (2011, 2013), the dataset does not contain information on the relationship between firms except for GID. This precludes us from combining units on the main-lineage line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0</w:t>
      </w:r>
      <w:r w:rsidRPr="00630AE9">
        <w:rPr>
          <w:rFonts w:ascii="Times New Roman" w:eastAsia="ＭＳ 明朝" w:hAnsi="Times New Roman" w:cs="Times New Roman"/>
          <w:sz w:val="20"/>
          <w:szCs w:val="20"/>
        </w:rPr>
        <w:t xml:space="preserve">,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1</w:t>
      </w:r>
      <w:r w:rsidR="00630AE9" w:rsidRPr="00630AE9">
        <w:rPr>
          <w:rFonts w:ascii="Times New Roman" w:eastAsia="ＭＳ 明朝" w:hAnsi="Times New Roman" w:cs="Times New Roman"/>
          <w:i/>
          <w:sz w:val="20"/>
          <w:szCs w:val="20"/>
        </w:rPr>
        <w:t>,</w:t>
      </w:r>
      <w:r w:rsidRPr="00630AE9">
        <w:rPr>
          <w:rFonts w:ascii="Times New Roman" w:eastAsia="ＭＳ 明朝" w:hAnsi="Times New Roman" w:cs="Times New Roman"/>
          <w:sz w:val="20"/>
          <w:szCs w:val="20"/>
        </w:rPr>
        <w:t xml:space="preserve"> and </w:t>
      </w:r>
      <w:r w:rsidRPr="00630AE9">
        <w:rPr>
          <w:rFonts w:ascii="Times New Roman" w:eastAsia="ＭＳ 明朝" w:hAnsi="Times New Roman" w:cs="Times New Roman"/>
          <w:i/>
          <w:sz w:val="20"/>
          <w:szCs w:val="20"/>
        </w:rPr>
        <w:t>n</w:t>
      </w:r>
      <w:r w:rsidRPr="00630AE9">
        <w:rPr>
          <w:rFonts w:ascii="Times New Roman" w:eastAsia="ＭＳ 明朝" w:hAnsi="Times New Roman" w:cs="Times New Roman"/>
          <w:i/>
          <w:sz w:val="20"/>
          <w:szCs w:val="20"/>
          <w:vertAlign w:val="subscript"/>
        </w:rPr>
        <w:t>2</w:t>
      </w:r>
      <w:r w:rsidRPr="00630AE9">
        <w:rPr>
          <w:rFonts w:ascii="Times New Roman" w:eastAsia="ＭＳ 明朝" w:hAnsi="Times New Roman" w:cs="Times New Roman"/>
          <w:sz w:val="20"/>
          <w:szCs w:val="20"/>
        </w:rPr>
        <w:t xml:space="preserve">) and treating them as a single firm. As explained in the main text, the lack of relationship information precludes us from conditioning analysis on past status. Although we face this limitation in implementing additional analyses, we are able to employ this base dataset to examine the main research question. </w:t>
      </w:r>
    </w:p>
    <w:p w14:paraId="40FD59B0" w14:textId="77777777" w:rsidR="00763264" w:rsidRPr="00630AE9" w:rsidRDefault="00763264" w:rsidP="00630AE9">
      <w:pPr>
        <w:autoSpaceDE w:val="0"/>
        <w:autoSpaceDN w:val="0"/>
        <w:adjustRightInd w:val="0"/>
        <w:spacing w:after="0" w:line="240" w:lineRule="auto"/>
        <w:ind w:firstLine="540"/>
        <w:jc w:val="both"/>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From this firm-year dataset, one can construct a panel dataset in a straight-forward manner by aggregating information over a relevant panel unit of interest. To construct a genealogy panel dataset, we aggregated over the genealogy identifier and year employing a STATA command, </w:t>
      </w:r>
      <w:r w:rsidRPr="00630AE9">
        <w:rPr>
          <w:rFonts w:ascii="Times New Roman" w:eastAsia="ＭＳ 明朝" w:hAnsi="Times New Roman" w:cs="Times New Roman"/>
          <w:i/>
          <w:sz w:val="20"/>
          <w:szCs w:val="20"/>
        </w:rPr>
        <w:t>collapse</w:t>
      </w:r>
      <w:r w:rsidRPr="00630AE9">
        <w:rPr>
          <w:rFonts w:ascii="Times New Roman" w:eastAsia="ＭＳ 明朝" w:hAnsi="Times New Roman" w:cs="Times New Roman"/>
          <w:sz w:val="20"/>
          <w:szCs w:val="20"/>
        </w:rPr>
        <w:t>, over GID and year. To construct an industry panel dataset, we aggregated by industry code and year.</w:t>
      </w:r>
    </w:p>
    <w:p w14:paraId="3631D6E2" w14:textId="77777777" w:rsidR="00630AE9" w:rsidRPr="00630AE9" w:rsidRDefault="00630AE9" w:rsidP="00630AE9">
      <w:pPr>
        <w:spacing w:after="0" w:line="240" w:lineRule="auto"/>
        <w:rPr>
          <w:rFonts w:ascii="Times New Roman" w:hAnsi="Times New Roman" w:cs="Times New Roman"/>
          <w:sz w:val="20"/>
          <w:szCs w:val="20"/>
        </w:rPr>
      </w:pPr>
    </w:p>
    <w:p w14:paraId="5F1AAB8D" w14:textId="77777777" w:rsidR="00000024" w:rsidRDefault="00000024" w:rsidP="00630AE9">
      <w:pPr>
        <w:spacing w:after="0" w:line="240" w:lineRule="auto"/>
        <w:rPr>
          <w:rFonts w:ascii="Times New Roman" w:hAnsi="Times New Roman" w:cs="Times New Roman"/>
          <w:sz w:val="20"/>
          <w:szCs w:val="20"/>
        </w:rPr>
      </w:pPr>
    </w:p>
    <w:p w14:paraId="1D341DE3" w14:textId="74F1EBDB" w:rsidR="00000024" w:rsidRDefault="00000024">
      <w:pPr>
        <w:rPr>
          <w:rFonts w:ascii="Times New Roman" w:hAnsi="Times New Roman" w:cs="Times New Roman"/>
          <w:sz w:val="20"/>
          <w:szCs w:val="20"/>
        </w:rPr>
      </w:pPr>
      <w:r>
        <w:rPr>
          <w:rFonts w:ascii="Times New Roman" w:hAnsi="Times New Roman" w:cs="Times New Roman"/>
          <w:sz w:val="20"/>
          <w:szCs w:val="20"/>
        </w:rPr>
        <w:br w:type="page"/>
      </w:r>
    </w:p>
    <w:p w14:paraId="7FF23840" w14:textId="7F968F03" w:rsidR="00000024" w:rsidRDefault="004A2C3E" w:rsidP="00672CBD">
      <w:pPr>
        <w:tabs>
          <w:tab w:val="right" w:pos="6970"/>
        </w:tabs>
        <w:spacing w:after="0" w:line="240" w:lineRule="auto"/>
        <w:ind w:left="-1530"/>
        <w:rPr>
          <w:rFonts w:ascii="Times New Roman" w:hAnsi="Times New Roman" w:cs="Times New Roman"/>
          <w:sz w:val="20"/>
          <w:szCs w:val="20"/>
        </w:rPr>
      </w:pPr>
      <w:r>
        <w:rPr>
          <w:rFonts w:ascii="Times New Roman" w:hAnsi="Times New Roman" w:cs="Times New Roman"/>
          <w:noProof/>
          <w:sz w:val="20"/>
          <w:szCs w:val="20"/>
          <w:lang w:eastAsia="en-US"/>
        </w:rPr>
        <w:lastRenderedPageBreak/>
        <mc:AlternateContent>
          <mc:Choice Requires="wps">
            <w:drawing>
              <wp:anchor distT="0" distB="0" distL="114300" distR="114300" simplePos="0" relativeHeight="251659264" behindDoc="0" locked="0" layoutInCell="1" allowOverlap="1" wp14:anchorId="6B7F54CA" wp14:editId="4E4AB6DB">
                <wp:simplePos x="0" y="0"/>
                <wp:positionH relativeFrom="column">
                  <wp:posOffset>4224141</wp:posOffset>
                </wp:positionH>
                <wp:positionV relativeFrom="paragraph">
                  <wp:posOffset>564</wp:posOffset>
                </wp:positionV>
                <wp:extent cx="974090" cy="8009961"/>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974090" cy="800996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53059D" w14:textId="024284EC" w:rsidR="004A2C3E" w:rsidRPr="004A2C3E" w:rsidRDefault="004A2C3E">
                            <w:pPr>
                              <w:rPr>
                                <w:rFonts w:ascii="Times New Roman" w:hAnsi="Times New Roman" w:cs="Times New Roman"/>
                                <w:sz w:val="20"/>
                                <w:szCs w:val="20"/>
                              </w:rPr>
                            </w:pPr>
                            <w:bookmarkStart w:id="0" w:name="_GoBack"/>
                            <w:bookmarkEnd w:id="0"/>
                            <w:r w:rsidRPr="004A2C3E">
                              <w:rPr>
                                <w:rFonts w:ascii="Times New Roman" w:hAnsi="Times New Roman" w:cs="Times New Roman"/>
                                <w:sz w:val="20"/>
                                <w:szCs w:val="20"/>
                              </w:rPr>
                              <w:t>Available at https://docs.google.com/viewer?a=v&amp;pid=sites&amp;srcid=ZGVmYXVsdGRvbWFpbnxvbmppa2F6dWtpfGd4OjQ3N2E3M2RhMGQ1MDkzNWM.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F54CA" id="_x0000_t202" coordsize="21600,21600" o:spt="202" path="m0,0l0,21600,21600,21600,21600,0xe">
                <v:stroke joinstyle="miter"/>
                <v:path gradientshapeok="t" o:connecttype="rect"/>
              </v:shapetype>
              <v:shape id="Text Box 5" o:spid="_x0000_s1026" type="#_x0000_t202" style="position:absolute;left:0;text-align:left;margin-left:332.6pt;margin-top:.05pt;width:76.7pt;height:6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" filled="f" stroked="f">
                <v:textbox style="layout-flow:vertical;mso-layout-flow-alt:bottom-to-top">
                  <w:txbxContent>
                    <w:p w14:paraId="7853059D" w14:textId="024284EC" w:rsidR="004A2C3E" w:rsidRPr="004A2C3E" w:rsidRDefault="004A2C3E">
                      <w:pPr>
                        <w:rPr>
                          <w:rFonts w:ascii="Times New Roman" w:hAnsi="Times New Roman" w:cs="Times New Roman"/>
                          <w:sz w:val="20"/>
                          <w:szCs w:val="20"/>
                        </w:rPr>
                      </w:pPr>
                      <w:bookmarkStart w:id="1" w:name="_GoBack"/>
                      <w:bookmarkEnd w:id="1"/>
                      <w:r w:rsidRPr="004A2C3E">
                        <w:rPr>
                          <w:rFonts w:ascii="Times New Roman" w:hAnsi="Times New Roman" w:cs="Times New Roman"/>
                          <w:sz w:val="20"/>
                          <w:szCs w:val="20"/>
                        </w:rPr>
                        <w:t>Available at https://docs.google.com/viewer?a=v&amp;pid=sites&amp;srcid=ZGVmYXVsdGRvbWFpbnxvbmppa2F6dWtpfGd4OjQ3N2E3M2RhMGQ1MDkzNWM.</w:t>
                      </w:r>
                    </w:p>
                  </w:txbxContent>
                </v:textbox>
                <w10:wrap type="square"/>
              </v:shape>
            </w:pict>
          </mc:Fallback>
        </mc:AlternateContent>
      </w:r>
      <w:r w:rsidR="005C62E6">
        <w:rPr>
          <w:rFonts w:ascii="Times New Roman" w:hAnsi="Times New Roman" w:cs="Times New Roman"/>
          <w:noProof/>
          <w:sz w:val="20"/>
          <w:szCs w:val="20"/>
          <w:lang w:eastAsia="en-US"/>
        </w:rPr>
        <w:drawing>
          <wp:inline distT="0" distB="0" distL="0" distR="0" wp14:anchorId="7FEB40C7" wp14:editId="2F4EABA8">
            <wp:extent cx="8069827" cy="5001672"/>
            <wp:effectExtent l="1016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ji_App_FigA2.tif"/>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109067" cy="5025993"/>
                    </a:xfrm>
                    <a:prstGeom prst="rect">
                      <a:avLst/>
                    </a:prstGeom>
                  </pic:spPr>
                </pic:pic>
              </a:graphicData>
            </a:graphic>
          </wp:inline>
        </w:drawing>
      </w:r>
      <w:r w:rsidR="00672CBD">
        <w:rPr>
          <w:rFonts w:ascii="Times New Roman" w:hAnsi="Times New Roman" w:cs="Times New Roman"/>
          <w:sz w:val="20"/>
          <w:szCs w:val="20"/>
        </w:rPr>
        <w:tab/>
      </w:r>
    </w:p>
    <w:p w14:paraId="736B42E3" w14:textId="77777777" w:rsidR="00000024" w:rsidRDefault="00000024" w:rsidP="00630AE9">
      <w:pPr>
        <w:spacing w:after="0" w:line="240" w:lineRule="auto"/>
        <w:rPr>
          <w:rFonts w:ascii="Times New Roman" w:hAnsi="Times New Roman" w:cs="Times New Roman"/>
          <w:sz w:val="20"/>
          <w:szCs w:val="20"/>
        </w:rPr>
      </w:pPr>
    </w:p>
    <w:p w14:paraId="0A64EDA8" w14:textId="77777777" w:rsidR="00000024" w:rsidRDefault="00000024" w:rsidP="00630AE9">
      <w:pPr>
        <w:spacing w:after="0" w:line="240" w:lineRule="auto"/>
        <w:rPr>
          <w:rFonts w:ascii="Times New Roman" w:hAnsi="Times New Roman" w:cs="Times New Roman"/>
          <w:sz w:val="20"/>
          <w:szCs w:val="20"/>
        </w:rPr>
      </w:pPr>
    </w:p>
    <w:p w14:paraId="5CFE09FD" w14:textId="22A214FE" w:rsidR="00000024" w:rsidRDefault="00EC2893" w:rsidP="00630AE9">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0" distR="0" wp14:anchorId="3F0C0A5F" wp14:editId="3042545D">
            <wp:extent cx="4425950" cy="37223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ji_App_Tab1.eps"/>
                    <pic:cNvPicPr/>
                  </pic:nvPicPr>
                  <pic:blipFill>
                    <a:blip r:embed="rId8">
                      <a:extLst>
                        <a:ext uri="{28A0092B-C50C-407E-A947-70E740481C1C}">
                          <a14:useLocalDpi xmlns:a14="http://schemas.microsoft.com/office/drawing/2010/main" val="0"/>
                        </a:ext>
                      </a:extLst>
                    </a:blip>
                    <a:stretch>
                      <a:fillRect/>
                    </a:stretch>
                  </pic:blipFill>
                  <pic:spPr>
                    <a:xfrm>
                      <a:off x="0" y="0"/>
                      <a:ext cx="4425950" cy="3722370"/>
                    </a:xfrm>
                    <a:prstGeom prst="rect">
                      <a:avLst/>
                    </a:prstGeom>
                  </pic:spPr>
                </pic:pic>
              </a:graphicData>
            </a:graphic>
          </wp:inline>
        </w:drawing>
      </w:r>
    </w:p>
    <w:p w14:paraId="18D22573" w14:textId="77777777" w:rsidR="00000024" w:rsidRDefault="00000024" w:rsidP="00630AE9">
      <w:pPr>
        <w:spacing w:after="0" w:line="240" w:lineRule="auto"/>
        <w:rPr>
          <w:rFonts w:ascii="Times New Roman" w:hAnsi="Times New Roman" w:cs="Times New Roman"/>
          <w:sz w:val="20"/>
          <w:szCs w:val="20"/>
        </w:rPr>
      </w:pPr>
    </w:p>
    <w:p w14:paraId="50F36DE4" w14:textId="77777777" w:rsidR="00000024" w:rsidRDefault="00000024" w:rsidP="00630AE9">
      <w:pPr>
        <w:spacing w:after="0" w:line="240" w:lineRule="auto"/>
        <w:rPr>
          <w:rFonts w:ascii="Times New Roman" w:hAnsi="Times New Roman" w:cs="Times New Roman"/>
          <w:sz w:val="20"/>
          <w:szCs w:val="20"/>
        </w:rPr>
      </w:pPr>
    </w:p>
    <w:p w14:paraId="25CB97C0" w14:textId="77777777" w:rsidR="00000024" w:rsidRDefault="00000024" w:rsidP="00630AE9">
      <w:pPr>
        <w:spacing w:after="0" w:line="240" w:lineRule="auto"/>
        <w:rPr>
          <w:rFonts w:ascii="Times New Roman" w:hAnsi="Times New Roman" w:cs="Times New Roman"/>
          <w:sz w:val="20"/>
          <w:szCs w:val="20"/>
        </w:rPr>
      </w:pPr>
    </w:p>
    <w:p w14:paraId="52667F31" w14:textId="0E896503" w:rsidR="00647289" w:rsidRPr="00EC2893" w:rsidRDefault="0008119B" w:rsidP="00EC2893">
      <w:pPr>
        <w:spacing w:after="0" w:line="240" w:lineRule="auto"/>
        <w:jc w:val="center"/>
        <w:rPr>
          <w:rFonts w:ascii="Times New Roman" w:hAnsi="Times New Roman" w:cs="Times New Roman"/>
          <w:caps/>
          <w:sz w:val="20"/>
          <w:szCs w:val="20"/>
        </w:rPr>
      </w:pPr>
      <w:r w:rsidRPr="00EC2893">
        <w:rPr>
          <w:rFonts w:ascii="Times New Roman" w:hAnsi="Times New Roman" w:cs="Times New Roman"/>
          <w:caps/>
          <w:sz w:val="20"/>
          <w:szCs w:val="20"/>
        </w:rPr>
        <w:t>References</w:t>
      </w:r>
    </w:p>
    <w:p w14:paraId="3E750F76" w14:textId="77777777" w:rsidR="00EC2893" w:rsidRDefault="00EC2893" w:rsidP="00630AE9">
      <w:pPr>
        <w:widowControl w:val="0"/>
        <w:spacing w:after="0" w:line="240" w:lineRule="auto"/>
        <w:ind w:left="567" w:hanging="567"/>
        <w:rPr>
          <w:rFonts w:ascii="Times New Roman" w:eastAsia="ＭＳ 明朝" w:hAnsi="Times New Roman" w:cs="Times New Roman"/>
          <w:sz w:val="20"/>
          <w:szCs w:val="20"/>
        </w:rPr>
      </w:pPr>
    </w:p>
    <w:p w14:paraId="28624358" w14:textId="77777777" w:rsidR="00630AE9" w:rsidRPr="00630AE9" w:rsidRDefault="00630AE9" w:rsidP="00630AE9">
      <w:pPr>
        <w:widowControl w:val="0"/>
        <w:spacing w:after="0" w:line="240" w:lineRule="auto"/>
        <w:ind w:left="567" w:hanging="567"/>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Tang, John P. “Technological Leadership and Late Development: Evidence from Meiji Japan, 1868–1912.” </w:t>
      </w:r>
      <w:r w:rsidRPr="00630AE9">
        <w:rPr>
          <w:rFonts w:ascii="Times New Roman" w:eastAsia="ＭＳ 明朝" w:hAnsi="Times New Roman" w:cs="Times New Roman"/>
          <w:i/>
          <w:iCs/>
          <w:sz w:val="20"/>
          <w:szCs w:val="20"/>
        </w:rPr>
        <w:t>Economic History Review</w:t>
      </w:r>
      <w:r w:rsidRPr="00630AE9">
        <w:rPr>
          <w:rFonts w:ascii="Times New Roman" w:eastAsia="ＭＳ 明朝" w:hAnsi="Times New Roman" w:cs="Times New Roman"/>
          <w:sz w:val="20"/>
          <w:szCs w:val="20"/>
        </w:rPr>
        <w:t xml:space="preserve"> 64, no. S1 (2011): 99–116.</w:t>
      </w:r>
    </w:p>
    <w:p w14:paraId="5CBE3CD7" w14:textId="77777777" w:rsidR="00630AE9" w:rsidRPr="00630AE9" w:rsidRDefault="00630AE9" w:rsidP="00630AE9">
      <w:pPr>
        <w:widowControl w:val="0"/>
        <w:spacing w:after="0" w:line="240" w:lineRule="auto"/>
        <w:ind w:left="567" w:hanging="567"/>
        <w:rPr>
          <w:rFonts w:ascii="Times New Roman" w:eastAsia="ＭＳ 明朝" w:hAnsi="Times New Roman" w:cs="Times New Roman"/>
          <w:sz w:val="20"/>
          <w:szCs w:val="20"/>
        </w:rPr>
      </w:pPr>
      <w:r w:rsidRPr="00630AE9">
        <w:rPr>
          <w:rFonts w:ascii="Times New Roman" w:eastAsia="ＭＳ 明朝" w:hAnsi="Times New Roman" w:cs="Times New Roman"/>
          <w:sz w:val="20"/>
          <w:szCs w:val="20"/>
        </w:rPr>
        <w:t xml:space="preserve">———. “Financial Intermediation and Late Development in Meiji Japan, 1868 to 1912.” </w:t>
      </w:r>
      <w:r w:rsidRPr="00630AE9">
        <w:rPr>
          <w:rFonts w:ascii="Times New Roman" w:eastAsia="ＭＳ 明朝" w:hAnsi="Times New Roman" w:cs="Times New Roman"/>
          <w:i/>
          <w:iCs/>
          <w:sz w:val="20"/>
          <w:szCs w:val="20"/>
        </w:rPr>
        <w:t>Financial History Review</w:t>
      </w:r>
      <w:r w:rsidRPr="00630AE9">
        <w:rPr>
          <w:rFonts w:ascii="Times New Roman" w:eastAsia="ＭＳ 明朝" w:hAnsi="Times New Roman" w:cs="Times New Roman"/>
          <w:sz w:val="20"/>
          <w:szCs w:val="20"/>
        </w:rPr>
        <w:t xml:space="preserve"> 20, no. 02 (2013): 111–35.</w:t>
      </w:r>
    </w:p>
    <w:p w14:paraId="100688DE" w14:textId="4DCE8630" w:rsidR="0008119B" w:rsidRPr="00630AE9" w:rsidRDefault="0008119B" w:rsidP="00EC2893">
      <w:pPr>
        <w:spacing w:after="0" w:line="240" w:lineRule="auto"/>
        <w:ind w:left="540" w:hanging="540"/>
        <w:rPr>
          <w:rFonts w:ascii="Times New Roman" w:hAnsi="Times New Roman" w:cs="Times New Roman"/>
          <w:sz w:val="20"/>
          <w:szCs w:val="20"/>
        </w:rPr>
      </w:pPr>
      <w:r w:rsidRPr="00630AE9">
        <w:rPr>
          <w:rFonts w:ascii="Times New Roman" w:eastAsia="ＭＳ 明朝" w:hAnsi="Times New Roman" w:cs="Times New Roman"/>
          <w:sz w:val="20"/>
          <w:szCs w:val="20"/>
        </w:rPr>
        <w:t>Yagura, Shintar</w:t>
      </w:r>
      <w:r w:rsidR="00876DD5">
        <w:rPr>
          <w:rFonts w:ascii="Times New Roman" w:eastAsia="ＭＳ 明朝" w:hAnsi="Times New Roman" w:cs="Times New Roman"/>
          <w:sz w:val="20"/>
          <w:szCs w:val="20"/>
        </w:rPr>
        <w:t>ō</w:t>
      </w:r>
      <w:r w:rsidRPr="00630AE9">
        <w:rPr>
          <w:rFonts w:ascii="Times New Roman" w:eastAsia="ＭＳ 明朝" w:hAnsi="Times New Roman" w:cs="Times New Roman"/>
          <w:sz w:val="20"/>
          <w:szCs w:val="20"/>
        </w:rPr>
        <w:t>, and Yoshir</w:t>
      </w:r>
      <w:r w:rsidR="00876DD5">
        <w:rPr>
          <w:rFonts w:ascii="Times New Roman" w:eastAsia="ＭＳ 明朝" w:hAnsi="Times New Roman" w:cs="Times New Roman"/>
          <w:sz w:val="20"/>
          <w:szCs w:val="20"/>
        </w:rPr>
        <w:t>ō</w:t>
      </w:r>
      <w:r w:rsidRPr="00630AE9">
        <w:rPr>
          <w:rFonts w:ascii="Times New Roman" w:eastAsia="ＭＳ 明朝" w:hAnsi="Times New Roman" w:cs="Times New Roman"/>
          <w:sz w:val="20"/>
          <w:szCs w:val="20"/>
        </w:rPr>
        <w:t xml:space="preserve"> Ikushima. </w:t>
      </w:r>
      <w:r w:rsidRPr="00630AE9">
        <w:rPr>
          <w:rFonts w:ascii="Times New Roman" w:eastAsia="ＭＳ 明朝" w:hAnsi="Times New Roman" w:cs="Times New Roman"/>
          <w:i/>
          <w:sz w:val="20"/>
          <w:szCs w:val="20"/>
        </w:rPr>
        <w:t>Shuyō kigyō no keifuzu</w:t>
      </w:r>
      <w:r w:rsidRPr="00630AE9">
        <w:rPr>
          <w:rFonts w:ascii="Times New Roman" w:eastAsia="ＭＳ 明朝" w:hAnsi="Times New Roman" w:cs="Times New Roman"/>
          <w:sz w:val="20"/>
          <w:szCs w:val="20"/>
        </w:rPr>
        <w:t xml:space="preserve"> </w:t>
      </w:r>
      <w:r w:rsidRPr="00630AE9">
        <w:rPr>
          <w:rFonts w:ascii="Times New Roman" w:eastAsia="ＭＳ 明朝" w:hAnsi="Times New Roman" w:cs="Times New Roman"/>
          <w:i/>
          <w:sz w:val="20"/>
          <w:szCs w:val="20"/>
        </w:rPr>
        <w:t>[</w:t>
      </w:r>
      <w:r w:rsidRPr="00630AE9">
        <w:rPr>
          <w:rFonts w:ascii="Times New Roman" w:eastAsia="ＭＳ 明朝" w:hAnsi="Times New Roman" w:cs="Times New Roman"/>
          <w:i/>
          <w:iCs/>
          <w:sz w:val="20"/>
          <w:szCs w:val="20"/>
        </w:rPr>
        <w:t>Genealogical charts of Japanese major corporations]</w:t>
      </w:r>
      <w:r w:rsidRPr="00630AE9">
        <w:rPr>
          <w:rFonts w:ascii="Times New Roman" w:eastAsia="ＭＳ 明朝" w:hAnsi="Times New Roman" w:cs="Times New Roman"/>
          <w:sz w:val="20"/>
          <w:szCs w:val="20"/>
        </w:rPr>
        <w:t>. Tokyo: Yushōdō, 1986.</w:t>
      </w:r>
    </w:p>
    <w:sectPr w:rsidR="0008119B" w:rsidRPr="00630AE9" w:rsidSect="007A572C">
      <w:headerReference w:type="even" r:id="rId9"/>
      <w:headerReference w:type="default" r:id="rId10"/>
      <w:footerReference w:type="first" r:id="rId11"/>
      <w:pgSz w:w="12240" w:h="15840"/>
      <w:pgMar w:top="1786" w:right="2635" w:bottom="1555" w:left="2635" w:header="1786" w:footer="1195"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66867" w14:textId="77777777" w:rsidR="001742C6" w:rsidRDefault="001742C6" w:rsidP="00763264">
      <w:pPr>
        <w:spacing w:after="0" w:line="240" w:lineRule="auto"/>
      </w:pPr>
      <w:r>
        <w:separator/>
      </w:r>
    </w:p>
  </w:endnote>
  <w:endnote w:type="continuationSeparator" w:id="0">
    <w:p w14:paraId="34C52B2F" w14:textId="77777777" w:rsidR="001742C6" w:rsidRDefault="001742C6" w:rsidP="0076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游明朝">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7ADC" w14:textId="01F6977C" w:rsidR="007A572C" w:rsidRPr="007A572C" w:rsidRDefault="007A572C" w:rsidP="00370E57">
    <w:pPr>
      <w:pStyle w:val="Footer"/>
      <w:framePr w:wrap="none" w:vAnchor="text" w:hAnchor="margin" w:xAlign="center" w:y="1"/>
      <w:rPr>
        <w:rStyle w:val="PageNumber"/>
        <w:rFonts w:ascii="Times New Roman" w:hAnsi="Times New Roman" w:cs="Times New Roman"/>
        <w:sz w:val="24"/>
        <w:szCs w:val="24"/>
      </w:rPr>
    </w:pPr>
    <w:r w:rsidRPr="007A572C">
      <w:rPr>
        <w:rStyle w:val="PageNumber"/>
        <w:rFonts w:ascii="Times New Roman" w:hAnsi="Times New Roman" w:cs="Times New Roman"/>
        <w:sz w:val="24"/>
        <w:szCs w:val="24"/>
      </w:rPr>
      <w:fldChar w:fldCharType="begin"/>
    </w:r>
    <w:r w:rsidRPr="007A572C">
      <w:rPr>
        <w:rStyle w:val="PageNumber"/>
        <w:rFonts w:ascii="Times New Roman" w:hAnsi="Times New Roman" w:cs="Times New Roman"/>
        <w:sz w:val="24"/>
        <w:szCs w:val="24"/>
      </w:rPr>
      <w:instrText xml:space="preserve">PAGE  </w:instrText>
    </w:r>
    <w:r w:rsidRPr="007A572C">
      <w:rPr>
        <w:rStyle w:val="PageNumber"/>
        <w:rFonts w:ascii="Times New Roman" w:hAnsi="Times New Roman" w:cs="Times New Roman"/>
        <w:sz w:val="24"/>
        <w:szCs w:val="24"/>
      </w:rPr>
      <w:fldChar w:fldCharType="separate"/>
    </w:r>
    <w:r w:rsidR="00DE1F32">
      <w:rPr>
        <w:rStyle w:val="PageNumber"/>
        <w:rFonts w:ascii="Times New Roman" w:hAnsi="Times New Roman" w:cs="Times New Roman"/>
        <w:noProof/>
        <w:sz w:val="24"/>
        <w:szCs w:val="24"/>
      </w:rPr>
      <w:t>1</w:t>
    </w:r>
    <w:r w:rsidRPr="007A572C">
      <w:rPr>
        <w:rStyle w:val="PageNumber"/>
        <w:rFonts w:ascii="Times New Roman" w:hAnsi="Times New Roman" w:cs="Times New Roman"/>
        <w:sz w:val="24"/>
        <w:szCs w:val="24"/>
      </w:rPr>
      <w:fldChar w:fldCharType="end"/>
    </w:r>
  </w:p>
  <w:p w14:paraId="3E2D76EC" w14:textId="77777777" w:rsidR="007A572C" w:rsidRDefault="007A57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9B57E" w14:textId="77777777" w:rsidR="001742C6" w:rsidRDefault="001742C6" w:rsidP="00763264">
      <w:pPr>
        <w:spacing w:after="0" w:line="240" w:lineRule="auto"/>
      </w:pPr>
      <w:r>
        <w:separator/>
      </w:r>
    </w:p>
  </w:footnote>
  <w:footnote w:type="continuationSeparator" w:id="0">
    <w:p w14:paraId="0DC364EB" w14:textId="77777777" w:rsidR="001742C6" w:rsidRDefault="001742C6" w:rsidP="00763264">
      <w:pPr>
        <w:spacing w:after="0" w:line="240" w:lineRule="auto"/>
      </w:pPr>
      <w:r>
        <w:continuationSeparator/>
      </w:r>
    </w:p>
  </w:footnote>
  <w:footnote w:id="1">
    <w:p w14:paraId="7A3A06B8" w14:textId="77777777" w:rsidR="00763264" w:rsidRPr="00D703CE" w:rsidRDefault="00763264" w:rsidP="00763264">
      <w:pPr>
        <w:pStyle w:val="FootnoteText"/>
        <w:rPr>
          <w:rFonts w:ascii="Times New Roman" w:hAnsi="Times New Roman" w:cs="Times New Roman"/>
          <w:sz w:val="18"/>
          <w:szCs w:val="18"/>
        </w:rPr>
      </w:pPr>
      <w:r w:rsidRPr="00D703CE">
        <w:rPr>
          <w:rStyle w:val="FootnoteReference"/>
          <w:rFonts w:ascii="Times New Roman" w:hAnsi="Times New Roman" w:cs="Times New Roman"/>
          <w:sz w:val="18"/>
          <w:szCs w:val="18"/>
        </w:rPr>
        <w:footnoteRef/>
      </w:r>
      <w:r w:rsidRPr="00D703CE">
        <w:rPr>
          <w:rFonts w:ascii="Times New Roman" w:hAnsi="Times New Roman" w:cs="Times New Roman"/>
          <w:sz w:val="18"/>
          <w:szCs w:val="18"/>
        </w:rPr>
        <w:t xml:space="preserve"> We are grateful to the publisher for permission to reproduce the chart.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96C46" w14:textId="148C98D8" w:rsidR="007A572C" w:rsidRPr="007A572C" w:rsidRDefault="007A572C" w:rsidP="00370E57">
    <w:pPr>
      <w:pStyle w:val="Header"/>
      <w:framePr w:wrap="none" w:vAnchor="text" w:hAnchor="margin" w:xAlign="outside" w:y="1"/>
      <w:rPr>
        <w:rStyle w:val="PageNumber"/>
        <w:rFonts w:ascii="Times New Roman" w:hAnsi="Times New Roman" w:cs="Times New Roman"/>
        <w:sz w:val="24"/>
        <w:szCs w:val="24"/>
      </w:rPr>
    </w:pPr>
    <w:r w:rsidRPr="007A572C">
      <w:rPr>
        <w:rStyle w:val="PageNumber"/>
        <w:rFonts w:ascii="Times New Roman" w:hAnsi="Times New Roman" w:cs="Times New Roman"/>
        <w:sz w:val="24"/>
        <w:szCs w:val="24"/>
      </w:rPr>
      <w:fldChar w:fldCharType="begin"/>
    </w:r>
    <w:r w:rsidRPr="007A572C">
      <w:rPr>
        <w:rStyle w:val="PageNumber"/>
        <w:rFonts w:ascii="Times New Roman" w:hAnsi="Times New Roman" w:cs="Times New Roman"/>
        <w:sz w:val="24"/>
        <w:szCs w:val="24"/>
      </w:rPr>
      <w:instrText xml:space="preserve">PAGE  </w:instrText>
    </w:r>
    <w:r w:rsidRPr="007A572C">
      <w:rPr>
        <w:rStyle w:val="PageNumber"/>
        <w:rFonts w:ascii="Times New Roman" w:hAnsi="Times New Roman" w:cs="Times New Roman"/>
        <w:sz w:val="24"/>
        <w:szCs w:val="24"/>
      </w:rPr>
      <w:fldChar w:fldCharType="separate"/>
    </w:r>
    <w:r w:rsidR="00DE1F32">
      <w:rPr>
        <w:rStyle w:val="PageNumber"/>
        <w:rFonts w:ascii="Times New Roman" w:hAnsi="Times New Roman" w:cs="Times New Roman"/>
        <w:noProof/>
        <w:sz w:val="24"/>
        <w:szCs w:val="24"/>
      </w:rPr>
      <w:t>2</w:t>
    </w:r>
    <w:r w:rsidRPr="007A572C">
      <w:rPr>
        <w:rStyle w:val="PageNumber"/>
        <w:rFonts w:ascii="Times New Roman" w:hAnsi="Times New Roman" w:cs="Times New Roman"/>
        <w:sz w:val="24"/>
        <w:szCs w:val="24"/>
      </w:rPr>
      <w:fldChar w:fldCharType="end"/>
    </w:r>
  </w:p>
  <w:p w14:paraId="060B48F4" w14:textId="112BF359" w:rsidR="007A572C" w:rsidRDefault="007A572C" w:rsidP="007A572C">
    <w:pPr>
      <w:pStyle w:val="Header"/>
      <w:ind w:right="360" w:firstLine="360"/>
      <w:jc w:val="center"/>
      <w:rPr>
        <w:rFonts w:ascii="Times New Roman" w:hAnsi="Times New Roman" w:cs="Times New Roman"/>
        <w:i/>
        <w:sz w:val="24"/>
        <w:szCs w:val="24"/>
      </w:rPr>
    </w:pPr>
    <w:r w:rsidRPr="007A572C">
      <w:rPr>
        <w:rFonts w:ascii="Times New Roman" w:hAnsi="Times New Roman" w:cs="Times New Roman"/>
        <w:i/>
        <w:sz w:val="24"/>
        <w:szCs w:val="24"/>
      </w:rPr>
      <w:t>Onji and Tang</w:t>
    </w:r>
  </w:p>
  <w:p w14:paraId="5E2349FD" w14:textId="77777777" w:rsidR="007A572C" w:rsidRPr="007A572C" w:rsidRDefault="007A572C" w:rsidP="007A572C">
    <w:pPr>
      <w:pStyle w:val="Header"/>
      <w:ind w:right="360" w:firstLine="360"/>
      <w:jc w:val="center"/>
      <w:rPr>
        <w:rFonts w:ascii="Times New Roman" w:hAnsi="Times New Roman" w:cs="Times New Roman"/>
        <w:i/>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BB643" w14:textId="5D9A1A0E" w:rsidR="007A572C" w:rsidRPr="007A572C" w:rsidRDefault="007A572C" w:rsidP="00370E57">
    <w:pPr>
      <w:pStyle w:val="Header"/>
      <w:framePr w:wrap="none" w:vAnchor="text" w:hAnchor="margin" w:xAlign="outside" w:y="1"/>
      <w:rPr>
        <w:rStyle w:val="PageNumber"/>
        <w:rFonts w:ascii="Times New Roman" w:hAnsi="Times New Roman" w:cs="Times New Roman"/>
        <w:sz w:val="24"/>
        <w:szCs w:val="24"/>
      </w:rPr>
    </w:pPr>
    <w:r w:rsidRPr="007A572C">
      <w:rPr>
        <w:rStyle w:val="PageNumber"/>
        <w:rFonts w:ascii="Times New Roman" w:hAnsi="Times New Roman" w:cs="Times New Roman"/>
        <w:sz w:val="24"/>
        <w:szCs w:val="24"/>
      </w:rPr>
      <w:fldChar w:fldCharType="begin"/>
    </w:r>
    <w:r w:rsidRPr="007A572C">
      <w:rPr>
        <w:rStyle w:val="PageNumber"/>
        <w:rFonts w:ascii="Times New Roman" w:hAnsi="Times New Roman" w:cs="Times New Roman"/>
        <w:sz w:val="24"/>
        <w:szCs w:val="24"/>
      </w:rPr>
      <w:instrText xml:space="preserve">PAGE  </w:instrText>
    </w:r>
    <w:r w:rsidRPr="007A572C">
      <w:rPr>
        <w:rStyle w:val="PageNumber"/>
        <w:rFonts w:ascii="Times New Roman" w:hAnsi="Times New Roman" w:cs="Times New Roman"/>
        <w:sz w:val="24"/>
        <w:szCs w:val="24"/>
      </w:rPr>
      <w:fldChar w:fldCharType="separate"/>
    </w:r>
    <w:r w:rsidR="00DE1F32">
      <w:rPr>
        <w:rStyle w:val="PageNumber"/>
        <w:rFonts w:ascii="Times New Roman" w:hAnsi="Times New Roman" w:cs="Times New Roman"/>
        <w:noProof/>
        <w:sz w:val="24"/>
        <w:szCs w:val="24"/>
      </w:rPr>
      <w:t>3</w:t>
    </w:r>
    <w:r w:rsidRPr="007A572C">
      <w:rPr>
        <w:rStyle w:val="PageNumber"/>
        <w:rFonts w:ascii="Times New Roman" w:hAnsi="Times New Roman" w:cs="Times New Roman"/>
        <w:sz w:val="24"/>
        <w:szCs w:val="24"/>
      </w:rPr>
      <w:fldChar w:fldCharType="end"/>
    </w:r>
  </w:p>
  <w:p w14:paraId="185D1DB3" w14:textId="0ADA52A5" w:rsidR="007A572C" w:rsidRDefault="007A572C" w:rsidP="007A572C">
    <w:pPr>
      <w:pStyle w:val="Header"/>
      <w:ind w:right="360" w:firstLine="360"/>
      <w:rPr>
        <w:rFonts w:ascii="Times New Roman" w:hAnsi="Times New Roman" w:cs="Times New Roman"/>
        <w:i/>
        <w:sz w:val="24"/>
        <w:szCs w:val="24"/>
      </w:rPr>
    </w:pPr>
    <w:r w:rsidRPr="007A572C">
      <w:rPr>
        <w:rFonts w:ascii="Times New Roman" w:hAnsi="Times New Roman" w:cs="Times New Roman"/>
        <w:i/>
        <w:sz w:val="24"/>
        <w:szCs w:val="24"/>
      </w:rPr>
      <w:t>Taxes and the Choice of Organizational Form in Japan</w:t>
    </w:r>
  </w:p>
  <w:p w14:paraId="74A12E59" w14:textId="77777777" w:rsidR="007A572C" w:rsidRPr="007A572C" w:rsidRDefault="007A572C" w:rsidP="007A572C">
    <w:pPr>
      <w:pStyle w:val="Header"/>
      <w:ind w:right="360" w:firstLine="360"/>
      <w:rPr>
        <w:rFonts w:ascii="Times New Roman" w:hAnsi="Times New Roman" w:cs="Times New Roman"/>
        <w:i/>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64"/>
    <w:rsid w:val="00000024"/>
    <w:rsid w:val="00027E74"/>
    <w:rsid w:val="00044A90"/>
    <w:rsid w:val="00055D6D"/>
    <w:rsid w:val="000567A2"/>
    <w:rsid w:val="0006462E"/>
    <w:rsid w:val="00070E2D"/>
    <w:rsid w:val="00072E41"/>
    <w:rsid w:val="0008119B"/>
    <w:rsid w:val="0008767A"/>
    <w:rsid w:val="000D6F46"/>
    <w:rsid w:val="000D79E4"/>
    <w:rsid w:val="000E7956"/>
    <w:rsid w:val="000E7B2D"/>
    <w:rsid w:val="00115023"/>
    <w:rsid w:val="001154DD"/>
    <w:rsid w:val="001306F1"/>
    <w:rsid w:val="001344C7"/>
    <w:rsid w:val="001572FE"/>
    <w:rsid w:val="001742C6"/>
    <w:rsid w:val="001918D3"/>
    <w:rsid w:val="0019299F"/>
    <w:rsid w:val="001B4CC6"/>
    <w:rsid w:val="001D0752"/>
    <w:rsid w:val="001E181D"/>
    <w:rsid w:val="00230E20"/>
    <w:rsid w:val="00234E2E"/>
    <w:rsid w:val="0024234C"/>
    <w:rsid w:val="00247479"/>
    <w:rsid w:val="002637F1"/>
    <w:rsid w:val="00275DB0"/>
    <w:rsid w:val="00292CC0"/>
    <w:rsid w:val="002A32FD"/>
    <w:rsid w:val="002A52D4"/>
    <w:rsid w:val="002B6318"/>
    <w:rsid w:val="002C3B87"/>
    <w:rsid w:val="002D35FD"/>
    <w:rsid w:val="002D4FD7"/>
    <w:rsid w:val="002D5986"/>
    <w:rsid w:val="002E00BB"/>
    <w:rsid w:val="002E128B"/>
    <w:rsid w:val="002E170F"/>
    <w:rsid w:val="002E24E0"/>
    <w:rsid w:val="002F7DAE"/>
    <w:rsid w:val="00307C99"/>
    <w:rsid w:val="00311B0C"/>
    <w:rsid w:val="003365D6"/>
    <w:rsid w:val="00336DE0"/>
    <w:rsid w:val="003523DA"/>
    <w:rsid w:val="0036486A"/>
    <w:rsid w:val="00374CC5"/>
    <w:rsid w:val="003813F8"/>
    <w:rsid w:val="00382E62"/>
    <w:rsid w:val="00392DBD"/>
    <w:rsid w:val="003A741F"/>
    <w:rsid w:val="003A77B9"/>
    <w:rsid w:val="003B4759"/>
    <w:rsid w:val="003C7302"/>
    <w:rsid w:val="003C7D47"/>
    <w:rsid w:val="003D3DDF"/>
    <w:rsid w:val="00405C05"/>
    <w:rsid w:val="00415A77"/>
    <w:rsid w:val="004263E8"/>
    <w:rsid w:val="00440E72"/>
    <w:rsid w:val="0044392C"/>
    <w:rsid w:val="00474803"/>
    <w:rsid w:val="004748E0"/>
    <w:rsid w:val="004772AD"/>
    <w:rsid w:val="004A2C3E"/>
    <w:rsid w:val="004A428E"/>
    <w:rsid w:val="004B055B"/>
    <w:rsid w:val="004C34BB"/>
    <w:rsid w:val="004D3F27"/>
    <w:rsid w:val="004E1788"/>
    <w:rsid w:val="004F7D11"/>
    <w:rsid w:val="00501040"/>
    <w:rsid w:val="00541AE6"/>
    <w:rsid w:val="005512CF"/>
    <w:rsid w:val="00552AF2"/>
    <w:rsid w:val="00557D87"/>
    <w:rsid w:val="00570A60"/>
    <w:rsid w:val="00573C0C"/>
    <w:rsid w:val="00577065"/>
    <w:rsid w:val="005C5280"/>
    <w:rsid w:val="005C62E6"/>
    <w:rsid w:val="005C7678"/>
    <w:rsid w:val="005E0826"/>
    <w:rsid w:val="005E4780"/>
    <w:rsid w:val="005F7808"/>
    <w:rsid w:val="00604FE5"/>
    <w:rsid w:val="0062177E"/>
    <w:rsid w:val="00630AE9"/>
    <w:rsid w:val="006334F9"/>
    <w:rsid w:val="00647289"/>
    <w:rsid w:val="0064734E"/>
    <w:rsid w:val="006511E3"/>
    <w:rsid w:val="00672CBD"/>
    <w:rsid w:val="00675850"/>
    <w:rsid w:val="006A000A"/>
    <w:rsid w:val="006A31DB"/>
    <w:rsid w:val="006F3754"/>
    <w:rsid w:val="00710716"/>
    <w:rsid w:val="00721EA0"/>
    <w:rsid w:val="0073181C"/>
    <w:rsid w:val="007363EA"/>
    <w:rsid w:val="00740070"/>
    <w:rsid w:val="00742E28"/>
    <w:rsid w:val="00751ADB"/>
    <w:rsid w:val="00752FB5"/>
    <w:rsid w:val="007567DC"/>
    <w:rsid w:val="00763264"/>
    <w:rsid w:val="00767D98"/>
    <w:rsid w:val="007756C5"/>
    <w:rsid w:val="00775DED"/>
    <w:rsid w:val="00783C2A"/>
    <w:rsid w:val="007A4BC1"/>
    <w:rsid w:val="007A572C"/>
    <w:rsid w:val="007D76FB"/>
    <w:rsid w:val="0080312C"/>
    <w:rsid w:val="008064AA"/>
    <w:rsid w:val="00814DF5"/>
    <w:rsid w:val="00827E84"/>
    <w:rsid w:val="008310DC"/>
    <w:rsid w:val="008351A8"/>
    <w:rsid w:val="00835D6A"/>
    <w:rsid w:val="00854098"/>
    <w:rsid w:val="00856F29"/>
    <w:rsid w:val="00860694"/>
    <w:rsid w:val="00873B4F"/>
    <w:rsid w:val="00876DD5"/>
    <w:rsid w:val="008813F8"/>
    <w:rsid w:val="00882461"/>
    <w:rsid w:val="00885610"/>
    <w:rsid w:val="00896C94"/>
    <w:rsid w:val="0089795A"/>
    <w:rsid w:val="008C1629"/>
    <w:rsid w:val="009034C1"/>
    <w:rsid w:val="00911CE1"/>
    <w:rsid w:val="00915D02"/>
    <w:rsid w:val="00932122"/>
    <w:rsid w:val="009323C7"/>
    <w:rsid w:val="00935E50"/>
    <w:rsid w:val="009A31AD"/>
    <w:rsid w:val="009B1BC2"/>
    <w:rsid w:val="009C2825"/>
    <w:rsid w:val="009C5F7B"/>
    <w:rsid w:val="009E2C93"/>
    <w:rsid w:val="00A033AD"/>
    <w:rsid w:val="00A17D30"/>
    <w:rsid w:val="00A40264"/>
    <w:rsid w:val="00A463D4"/>
    <w:rsid w:val="00A714DF"/>
    <w:rsid w:val="00A72A40"/>
    <w:rsid w:val="00A8202B"/>
    <w:rsid w:val="00AB45B9"/>
    <w:rsid w:val="00AB63D3"/>
    <w:rsid w:val="00AB6A7B"/>
    <w:rsid w:val="00AC7EBF"/>
    <w:rsid w:val="00AD0B95"/>
    <w:rsid w:val="00AF1A70"/>
    <w:rsid w:val="00B0005B"/>
    <w:rsid w:val="00B06960"/>
    <w:rsid w:val="00B13C61"/>
    <w:rsid w:val="00B1567C"/>
    <w:rsid w:val="00B22537"/>
    <w:rsid w:val="00B25879"/>
    <w:rsid w:val="00B32400"/>
    <w:rsid w:val="00B55F05"/>
    <w:rsid w:val="00B65FCE"/>
    <w:rsid w:val="00B74DA7"/>
    <w:rsid w:val="00B84F59"/>
    <w:rsid w:val="00B95CE5"/>
    <w:rsid w:val="00BA2773"/>
    <w:rsid w:val="00BC08C8"/>
    <w:rsid w:val="00BD4F41"/>
    <w:rsid w:val="00BE3000"/>
    <w:rsid w:val="00BF7F28"/>
    <w:rsid w:val="00C17ACA"/>
    <w:rsid w:val="00C21E99"/>
    <w:rsid w:val="00C51670"/>
    <w:rsid w:val="00C73727"/>
    <w:rsid w:val="00C74285"/>
    <w:rsid w:val="00C76F50"/>
    <w:rsid w:val="00C877C9"/>
    <w:rsid w:val="00C92A11"/>
    <w:rsid w:val="00CA185F"/>
    <w:rsid w:val="00CB00D2"/>
    <w:rsid w:val="00CC0F7D"/>
    <w:rsid w:val="00CC7DE8"/>
    <w:rsid w:val="00CE7645"/>
    <w:rsid w:val="00CF0E71"/>
    <w:rsid w:val="00D24D16"/>
    <w:rsid w:val="00D522EB"/>
    <w:rsid w:val="00D60045"/>
    <w:rsid w:val="00D703CE"/>
    <w:rsid w:val="00D93657"/>
    <w:rsid w:val="00DB19C6"/>
    <w:rsid w:val="00DB4016"/>
    <w:rsid w:val="00DB4B1B"/>
    <w:rsid w:val="00DC3449"/>
    <w:rsid w:val="00DD5E5B"/>
    <w:rsid w:val="00DE0414"/>
    <w:rsid w:val="00DE1EF5"/>
    <w:rsid w:val="00DE1F32"/>
    <w:rsid w:val="00DE4EBB"/>
    <w:rsid w:val="00DF6B1F"/>
    <w:rsid w:val="00E32EEC"/>
    <w:rsid w:val="00E34D6A"/>
    <w:rsid w:val="00E42FEE"/>
    <w:rsid w:val="00E452FD"/>
    <w:rsid w:val="00E6552B"/>
    <w:rsid w:val="00E74838"/>
    <w:rsid w:val="00EA59BD"/>
    <w:rsid w:val="00EB3F3B"/>
    <w:rsid w:val="00EB5407"/>
    <w:rsid w:val="00EC2893"/>
    <w:rsid w:val="00EC73C8"/>
    <w:rsid w:val="00EC7C5E"/>
    <w:rsid w:val="00EE4EF9"/>
    <w:rsid w:val="00EF4694"/>
    <w:rsid w:val="00F05EE4"/>
    <w:rsid w:val="00F64A0C"/>
    <w:rsid w:val="00F915E7"/>
    <w:rsid w:val="00F92726"/>
    <w:rsid w:val="00FD4344"/>
    <w:rsid w:val="00FE1034"/>
    <w:rsid w:val="00FE1186"/>
    <w:rsid w:val="00FF2B34"/>
    <w:rsid w:val="00FF2E62"/>
    <w:rsid w:val="00FF5F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30371"/>
  <w15:chartTrackingRefBased/>
  <w15:docId w15:val="{04E6421D-6542-46D0-B6B5-15DC4FB8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A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632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264"/>
    <w:rPr>
      <w:sz w:val="20"/>
      <w:szCs w:val="20"/>
    </w:rPr>
  </w:style>
  <w:style w:type="character" w:styleId="FootnoteReference">
    <w:name w:val="footnote reference"/>
    <w:basedOn w:val="DefaultParagraphFont"/>
    <w:uiPriority w:val="99"/>
    <w:unhideWhenUsed/>
    <w:rsid w:val="00763264"/>
    <w:rPr>
      <w:vertAlign w:val="superscript"/>
    </w:rPr>
  </w:style>
  <w:style w:type="paragraph" w:styleId="Header">
    <w:name w:val="header"/>
    <w:basedOn w:val="Normal"/>
    <w:link w:val="HeaderChar"/>
    <w:uiPriority w:val="99"/>
    <w:unhideWhenUsed/>
    <w:rsid w:val="007A5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72C"/>
  </w:style>
  <w:style w:type="paragraph" w:styleId="Footer">
    <w:name w:val="footer"/>
    <w:basedOn w:val="Normal"/>
    <w:link w:val="FooterChar"/>
    <w:uiPriority w:val="99"/>
    <w:unhideWhenUsed/>
    <w:rsid w:val="007A5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72C"/>
  </w:style>
  <w:style w:type="character" w:styleId="PageNumber">
    <w:name w:val="page number"/>
    <w:basedOn w:val="DefaultParagraphFont"/>
    <w:uiPriority w:val="99"/>
    <w:semiHidden/>
    <w:unhideWhenUsed/>
    <w:rsid w:val="007A572C"/>
  </w:style>
  <w:style w:type="paragraph" w:styleId="BalloonText">
    <w:name w:val="Balloon Text"/>
    <w:basedOn w:val="Normal"/>
    <w:link w:val="BalloonTextChar"/>
    <w:uiPriority w:val="99"/>
    <w:semiHidden/>
    <w:unhideWhenUsed/>
    <w:rsid w:val="00336DE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6DE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tiff"/><Relationship Id="rId8" Type="http://schemas.openxmlformats.org/officeDocument/2006/relationships/image" Target="media/image3.em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935</Words>
  <Characters>5330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Kazuki Onji</dc:creator>
  <cp:keywords/>
  <dc:description/>
  <cp:lastModifiedBy>SS</cp:lastModifiedBy>
  <cp:revision>6</cp:revision>
  <cp:lastPrinted>2017-03-30T17:02:00Z</cp:lastPrinted>
  <dcterms:created xsi:type="dcterms:W3CDTF">2017-03-20T03:07:00Z</dcterms:created>
  <dcterms:modified xsi:type="dcterms:W3CDTF">2017-03-30T17:04:00Z</dcterms:modified>
</cp:coreProperties>
</file>