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2559E4" w14:textId="0DF4FFE2" w:rsidR="0016555F" w:rsidRPr="0016555F" w:rsidRDefault="0016555F" w:rsidP="0016555F">
      <w:pPr>
        <w:pStyle w:val="Heading3"/>
        <w:jc w:val="center"/>
        <w:rPr>
          <w:rStyle w:val="titlemark"/>
          <w:rFonts w:eastAsia="Times New Roman" w:cs="Times New Roman"/>
          <w:b w:val="0"/>
          <w:i/>
          <w:sz w:val="36"/>
          <w:szCs w:val="36"/>
        </w:rPr>
      </w:pPr>
      <w:bookmarkStart w:id="0" w:name="_GoBack"/>
      <w:bookmarkEnd w:id="0"/>
      <w:r w:rsidRPr="0016555F">
        <w:rPr>
          <w:rStyle w:val="titlemark"/>
          <w:rFonts w:eastAsia="Times New Roman" w:cs="Times New Roman"/>
          <w:b w:val="0"/>
          <w:i/>
          <w:sz w:val="36"/>
          <w:szCs w:val="36"/>
        </w:rPr>
        <w:t>Online Appendix</w:t>
      </w:r>
    </w:p>
    <w:p w14:paraId="250BC665" w14:textId="0B094703" w:rsidR="000B7137" w:rsidRPr="0016555F" w:rsidRDefault="00060DC1" w:rsidP="0016555F">
      <w:pPr>
        <w:pStyle w:val="Heading3"/>
        <w:jc w:val="center"/>
        <w:rPr>
          <w:rFonts w:eastAsia="Times New Roman" w:cs="Times New Roman"/>
          <w:b w:val="0"/>
          <w:caps/>
          <w:sz w:val="20"/>
          <w:szCs w:val="20"/>
        </w:rPr>
      </w:pPr>
      <w:r w:rsidRPr="0016555F">
        <w:rPr>
          <w:rStyle w:val="titlemark"/>
          <w:rFonts w:eastAsia="Times New Roman" w:cs="Times New Roman"/>
          <w:b w:val="0"/>
          <w:caps/>
          <w:sz w:val="20"/>
          <w:szCs w:val="20"/>
        </w:rPr>
        <w:t>A</w:t>
      </w:r>
      <w:r w:rsidR="00995869" w:rsidRPr="0016555F">
        <w:rPr>
          <w:rStyle w:val="titlemark"/>
          <w:rFonts w:eastAsia="Times New Roman" w:cs="Times New Roman"/>
          <w:b w:val="0"/>
          <w:caps/>
          <w:sz w:val="20"/>
          <w:szCs w:val="20"/>
        </w:rPr>
        <w:t>ppendix</w:t>
      </w:r>
      <w:r w:rsidR="00C066A1" w:rsidRPr="0016555F">
        <w:rPr>
          <w:rStyle w:val="titlemark"/>
          <w:rFonts w:eastAsia="Times New Roman" w:cs="Times New Roman"/>
          <w:b w:val="0"/>
          <w:caps/>
          <w:sz w:val="20"/>
          <w:szCs w:val="20"/>
        </w:rPr>
        <w:t xml:space="preserve"> 1</w:t>
      </w:r>
      <w:r w:rsidR="0016555F" w:rsidRPr="0016555F">
        <w:rPr>
          <w:rStyle w:val="titlemark"/>
          <w:rFonts w:eastAsia="Times New Roman" w:cs="Times New Roman"/>
          <w:b w:val="0"/>
          <w:caps/>
          <w:sz w:val="20"/>
          <w:szCs w:val="20"/>
        </w:rPr>
        <w:t xml:space="preserve">: </w:t>
      </w:r>
      <w:r w:rsidRPr="0016555F">
        <w:rPr>
          <w:rFonts w:eastAsia="Times New Roman" w:cs="Times New Roman"/>
          <w:b w:val="0"/>
          <w:caps/>
          <w:sz w:val="20"/>
          <w:szCs w:val="20"/>
        </w:rPr>
        <w:t>Deriving the Segregation Measure</w:t>
      </w:r>
    </w:p>
    <w:p w14:paraId="4FC6C4EA" w14:textId="65A63D2D" w:rsidR="000B7137" w:rsidRPr="0016555F" w:rsidRDefault="00060DC1" w:rsidP="0016555F">
      <w:pPr>
        <w:pStyle w:val="noindent"/>
        <w:spacing w:before="0" w:beforeAutospacing="0" w:after="0" w:afterAutospacing="0"/>
        <w:ind w:firstLine="360"/>
        <w:jc w:val="both"/>
        <w:rPr>
          <w:rFonts w:cs="Times New Roman"/>
        </w:rPr>
      </w:pPr>
      <w:r w:rsidRPr="0016555F">
        <w:rPr>
          <w:rFonts w:cs="Times New Roman"/>
        </w:rPr>
        <w:t>Construction of the measure begins by identifying neighbors in the census. The complete set of household heads in the census is sorted by reel number, microfilm sequence number, page number</w:t>
      </w:r>
      <w:r w:rsidR="00BA1C0A">
        <w:rPr>
          <w:rFonts w:cs="Times New Roman"/>
        </w:rPr>
        <w:t>,</w:t>
      </w:r>
      <w:r w:rsidRPr="0016555F">
        <w:rPr>
          <w:rFonts w:cs="Times New Roman"/>
        </w:rPr>
        <w:t xml:space="preserve"> and line number. This orders the household heads by the order in which they appear on the original census manuscript pages, meaning that adjacent households appear next to one another. There are two different methods for identifying each household head’s next-door neighbors. The first is to simply define the next-door neighbors as the household head appearing before the individual on the census manuscript page and the household head appearing after the individual on the census manuscript page. An individual that is either the first or last household head on a particular census page will only have one next</w:t>
      </w:r>
      <w:r w:rsidR="003F799C">
        <w:rPr>
          <w:rFonts w:cs="Times New Roman"/>
        </w:rPr>
        <w:t>-</w:t>
      </w:r>
      <w:r w:rsidRPr="0016555F">
        <w:rPr>
          <w:rFonts w:cs="Times New Roman"/>
        </w:rPr>
        <w:t xml:space="preserve">door neighbor identified using this method. </w:t>
      </w:r>
    </w:p>
    <w:p w14:paraId="177D3601" w14:textId="6C6A2565" w:rsidR="000B7137" w:rsidRPr="0016555F" w:rsidRDefault="00060DC1" w:rsidP="0016555F">
      <w:pPr>
        <w:pStyle w:val="indent"/>
        <w:spacing w:before="0" w:beforeAutospacing="0" w:after="0" w:afterAutospacing="0"/>
        <w:jc w:val="both"/>
        <w:rPr>
          <w:rFonts w:cs="Times New Roman"/>
        </w:rPr>
      </w:pPr>
      <w:r w:rsidRPr="0016555F">
        <w:rPr>
          <w:rFonts w:cs="Times New Roman"/>
        </w:rPr>
        <w:t>To allow for the next</w:t>
      </w:r>
      <w:r w:rsidR="003F799C">
        <w:rPr>
          <w:rFonts w:cs="Times New Roman"/>
        </w:rPr>
        <w:t>-</w:t>
      </w:r>
      <w:r w:rsidRPr="0016555F">
        <w:rPr>
          <w:rFonts w:cs="Times New Roman"/>
        </w:rPr>
        <w:t xml:space="preserve">door neighbor appearing on either the previous or next census page and to account for the possibility that two different streets are covered on the same census manuscript page, an alternative method for identifying neighbors is also used that relies on street name rather than census manuscript page. In this alternative measure next-door neighbors are now identified by looking at the observations directly before and after the household head in question and declaring them next-door neighbors </w:t>
      </w:r>
      <w:r w:rsidRPr="0016555F">
        <w:rPr>
          <w:rStyle w:val="cmti-121"/>
          <w:rFonts w:cs="Times New Roman"/>
        </w:rPr>
        <w:t>if and only</w:t>
      </w:r>
      <w:r w:rsidRPr="0016555F">
        <w:rPr>
          <w:rFonts w:cs="Times New Roman"/>
        </w:rPr>
        <w:t xml:space="preserve"> </w:t>
      </w:r>
      <w:r w:rsidRPr="0016555F">
        <w:rPr>
          <w:rStyle w:val="cmti-121"/>
          <w:rFonts w:cs="Times New Roman"/>
        </w:rPr>
        <w:t xml:space="preserve">if </w:t>
      </w:r>
      <w:r w:rsidRPr="0016555F">
        <w:rPr>
          <w:rFonts w:cs="Times New Roman"/>
        </w:rPr>
        <w:t xml:space="preserve">the street name matches the street name of the individual of interest (and the street name must be given, two blank street names are not considered a match). This approach has the advantage of finding the last household head on the previous page if an individual is the first household head on his census manuscript page or the first household head on the next page if the individual was the last household head on a manuscript page. However, the number of observations is reduced substantially relative to the first method because many individuals have no street name given. Few roads had names in historical census records. This is particularly true in rural areas. </w:t>
      </w:r>
    </w:p>
    <w:p w14:paraId="398D748B" w14:textId="5E8CAC7D" w:rsidR="000B7137" w:rsidRPr="0016555F" w:rsidRDefault="003F799C" w:rsidP="0016555F">
      <w:pPr>
        <w:pStyle w:val="indent"/>
        <w:spacing w:before="0" w:beforeAutospacing="0" w:after="0" w:afterAutospacing="0"/>
        <w:jc w:val="both"/>
        <w:rPr>
          <w:rFonts w:cs="Times New Roman"/>
        </w:rPr>
      </w:pPr>
      <w:r>
        <w:rPr>
          <w:rFonts w:cs="Times New Roman"/>
        </w:rPr>
        <w:t>Once next-</w:t>
      </w:r>
      <w:r w:rsidR="00060DC1" w:rsidRPr="0016555F">
        <w:rPr>
          <w:rFonts w:cs="Times New Roman"/>
        </w:rPr>
        <w:t>door neighbors are identified, an indicator variable is constructed that equals one if the individual has a next</w:t>
      </w:r>
      <w:r>
        <w:rPr>
          <w:rFonts w:cs="Times New Roman"/>
        </w:rPr>
        <w:t>-</w:t>
      </w:r>
      <w:r w:rsidR="00060DC1" w:rsidRPr="0016555F">
        <w:rPr>
          <w:rFonts w:cs="Times New Roman"/>
        </w:rPr>
        <w:t>door neighbor of a different race and zero if both next-door neighbors are of the same race as the household head.</w:t>
      </w:r>
      <w:r w:rsidR="00206936" w:rsidRPr="0016555F">
        <w:rPr>
          <w:rStyle w:val="FootnoteReference"/>
          <w:rFonts w:cs="Times New Roman"/>
        </w:rPr>
        <w:footnoteReference w:customMarkFollows="1" w:id="1"/>
        <w:t>1</w:t>
      </w:r>
      <w:r w:rsidR="00206936" w:rsidRPr="00BA1C0A">
        <w:rPr>
          <w:rFonts w:cs="Times New Roman"/>
        </w:rPr>
        <w:t xml:space="preserve"> </w:t>
      </w:r>
      <w:r w:rsidR="00060DC1" w:rsidRPr="0016555F">
        <w:rPr>
          <w:rFonts w:cs="Times New Roman"/>
        </w:rPr>
        <w:t xml:space="preserve">Two versions of this indicator variable are constructed, one in which all observations are used and one in which only those observations for which both next-door neighbors are observed are used. This latter version reduces the sample size but, for the remaining individuals, gives a more accurate measure of the percentage of individuals with a neighbor of a different race. </w:t>
      </w:r>
    </w:p>
    <w:p w14:paraId="02BCCA79" w14:textId="77777777" w:rsidR="000B7137" w:rsidRDefault="00060DC1" w:rsidP="0016555F">
      <w:pPr>
        <w:pStyle w:val="indent"/>
        <w:spacing w:before="0" w:beforeAutospacing="0" w:after="0" w:afterAutospacing="0"/>
        <w:jc w:val="both"/>
        <w:rPr>
          <w:rFonts w:cs="Times New Roman"/>
        </w:rPr>
      </w:pPr>
      <w:r w:rsidRPr="0016555F">
        <w:rPr>
          <w:rFonts w:cs="Times New Roman"/>
        </w:rPr>
        <w:t xml:space="preserve">Formally, we begin with the following: </w:t>
      </w:r>
    </w:p>
    <w:p w14:paraId="0B86DDC8" w14:textId="77777777" w:rsidR="00BA1C0A" w:rsidRPr="0016555F" w:rsidRDefault="00BA1C0A" w:rsidP="0016555F">
      <w:pPr>
        <w:pStyle w:val="indent"/>
        <w:spacing w:before="0" w:beforeAutospacing="0" w:after="0" w:afterAutospacing="0"/>
        <w:jc w:val="both"/>
        <w:rPr>
          <w:rFonts w:cs="Times New Roman"/>
        </w:rPr>
      </w:pPr>
    </w:p>
    <w:p w14:paraId="1FB02C7F" w14:textId="0A3F8EF4" w:rsidR="000B7137" w:rsidRPr="0016555F" w:rsidRDefault="002405F5" w:rsidP="0016555F">
      <w:pPr>
        <w:numPr>
          <w:ilvl w:val="0"/>
          <w:numId w:val="1"/>
        </w:numPr>
        <w:jc w:val="both"/>
        <w:rPr>
          <w:rFonts w:eastAsia="Times New Roman"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all</m:t>
            </m:r>
          </m:sub>
        </m:sSub>
      </m:oMath>
      <w:r w:rsidR="005078C8" w:rsidRPr="0016555F">
        <w:rPr>
          <w:rFonts w:eastAsia="Times New Roman" w:cs="Times New Roman"/>
        </w:rPr>
        <w:t xml:space="preserve">: </w:t>
      </w:r>
      <w:r w:rsidR="00060DC1" w:rsidRPr="0016555F">
        <w:rPr>
          <w:rFonts w:eastAsia="Times New Roman" w:cs="Times New Roman"/>
        </w:rPr>
        <w:t xml:space="preserve">the total number of black household heads in the area </w:t>
      </w:r>
    </w:p>
    <w:p w14:paraId="44A7C1E1" w14:textId="45F1150E" w:rsidR="000B7137" w:rsidRPr="0016555F" w:rsidRDefault="002405F5" w:rsidP="0016555F">
      <w:pPr>
        <w:numPr>
          <w:ilvl w:val="0"/>
          <w:numId w:val="1"/>
        </w:numPr>
        <w:jc w:val="both"/>
        <w:rPr>
          <w:rFonts w:eastAsia="Times New Roman"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b,B=1</m:t>
            </m:r>
          </m:sub>
        </m:sSub>
      </m:oMath>
      <w:r w:rsidR="005078C8" w:rsidRPr="0016555F">
        <w:rPr>
          <w:rFonts w:eastAsia="Times New Roman" w:cs="Times New Roman"/>
        </w:rPr>
        <w:t xml:space="preserve">: </w:t>
      </w:r>
      <w:r w:rsidR="00060DC1" w:rsidRPr="0016555F">
        <w:rPr>
          <w:rFonts w:eastAsia="Times New Roman" w:cs="Times New Roman"/>
        </w:rPr>
        <w:t xml:space="preserve">the number of black household heads in the area with two observed neighbors </w:t>
      </w:r>
    </w:p>
    <w:p w14:paraId="72C5B8FD" w14:textId="2CC25492" w:rsidR="000B7137" w:rsidRPr="0016555F" w:rsidRDefault="002405F5" w:rsidP="0016555F">
      <w:pPr>
        <w:numPr>
          <w:ilvl w:val="0"/>
          <w:numId w:val="1"/>
        </w:numPr>
        <w:jc w:val="both"/>
        <w:rPr>
          <w:rFonts w:eastAsia="Times New Roman"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b,B=0</m:t>
            </m:r>
          </m:sub>
        </m:sSub>
      </m:oMath>
      <w:r w:rsidR="005078C8" w:rsidRPr="0016555F">
        <w:rPr>
          <w:rFonts w:eastAsia="Times New Roman" w:cs="Times New Roman"/>
        </w:rPr>
        <w:t xml:space="preserve">: </w:t>
      </w:r>
      <w:r w:rsidR="00060DC1" w:rsidRPr="0016555F">
        <w:rPr>
          <w:rFonts w:eastAsia="Times New Roman" w:cs="Times New Roman"/>
        </w:rPr>
        <w:t xml:space="preserve">the number of black household heads in the area with one observed neighbor </w:t>
      </w:r>
    </w:p>
    <w:p w14:paraId="2656C377" w14:textId="36E510AB" w:rsidR="000B7137" w:rsidRPr="0016555F" w:rsidRDefault="002405F5" w:rsidP="0016555F">
      <w:pPr>
        <w:numPr>
          <w:ilvl w:val="0"/>
          <w:numId w:val="1"/>
        </w:numPr>
        <w:jc w:val="both"/>
        <w:rPr>
          <w:rFonts w:eastAsia="Times New Roman"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b</m:t>
            </m:r>
          </m:sub>
        </m:sSub>
      </m:oMath>
      <w:r w:rsidR="005078C8" w:rsidRPr="0016555F">
        <w:rPr>
          <w:rFonts w:eastAsia="Times New Roman" w:cs="Times New Roman"/>
        </w:rPr>
        <w:t xml:space="preserve">: </w:t>
      </w:r>
      <w:r w:rsidR="00060DC1" w:rsidRPr="0016555F">
        <w:rPr>
          <w:rFonts w:eastAsia="Times New Roman" w:cs="Times New Roman"/>
        </w:rPr>
        <w:t>the number of black household heads in the area with a neighbor of a different race</w:t>
      </w:r>
    </w:p>
    <w:p w14:paraId="756F5114" w14:textId="77777777" w:rsidR="00A157D9" w:rsidRDefault="00A157D9" w:rsidP="0016555F">
      <w:pPr>
        <w:pStyle w:val="indent"/>
        <w:spacing w:before="0" w:beforeAutospacing="0" w:after="0" w:afterAutospacing="0"/>
        <w:jc w:val="both"/>
        <w:rPr>
          <w:rFonts w:cs="Times New Roman"/>
        </w:rPr>
      </w:pPr>
    </w:p>
    <w:p w14:paraId="699561F4" w14:textId="77777777" w:rsidR="000B7137" w:rsidRPr="0016555F" w:rsidRDefault="00060DC1" w:rsidP="0016555F">
      <w:pPr>
        <w:pStyle w:val="indent"/>
        <w:spacing w:before="0" w:beforeAutospacing="0" w:after="0" w:afterAutospacing="0"/>
        <w:jc w:val="both"/>
        <w:rPr>
          <w:rFonts w:cs="Times New Roman"/>
        </w:rPr>
      </w:pPr>
      <w:r w:rsidRPr="0016555F">
        <w:rPr>
          <w:rFonts w:cs="Times New Roman"/>
        </w:rPr>
        <w:t xml:space="preserve">The equivalent variables for the set of white household heads are similarly defined. These components, by themselves, can be used to derive new measures of social interaction between races. For example, using the measures above one can calculate the share of households with an opposite race neighbor. </w:t>
      </w:r>
    </w:p>
    <w:p w14:paraId="22DBB08C" w14:textId="7173A692" w:rsidR="000B7137" w:rsidRPr="0016555F" w:rsidRDefault="00060DC1" w:rsidP="0016555F">
      <w:pPr>
        <w:pStyle w:val="indent"/>
        <w:spacing w:before="0" w:beforeAutospacing="0" w:after="0" w:afterAutospacing="0"/>
        <w:jc w:val="both"/>
        <w:rPr>
          <w:rFonts w:cs="Times New Roman"/>
        </w:rPr>
      </w:pPr>
      <w:r w:rsidRPr="0016555F">
        <w:rPr>
          <w:rFonts w:cs="Times New Roman"/>
        </w:rPr>
        <w:t>Given these measures, the basic measure of segregation is calculated as the distance the area is between the two extremes of complete segregation and the case where neighbor’s race is entirely independent of an individual’s own race.</w:t>
      </w:r>
      <w:r w:rsidR="005078C8" w:rsidRPr="0016555F">
        <w:rPr>
          <w:rStyle w:val="FootnoteReference"/>
          <w:rFonts w:cs="Times New Roman"/>
        </w:rPr>
        <w:footnoteReference w:customMarkFollows="1" w:id="2"/>
        <w:t>2</w:t>
      </w:r>
      <w:r w:rsidR="005078C8" w:rsidRPr="00791C45">
        <w:rPr>
          <w:rStyle w:val="FootnoteReference"/>
          <w:rFonts w:cs="Times New Roman"/>
          <w:vertAlign w:val="baseline"/>
        </w:rPr>
        <w:t xml:space="preserve"> </w:t>
      </w:r>
      <w:r w:rsidRPr="0016555F">
        <w:rPr>
          <w:rFonts w:cs="Times New Roman"/>
        </w:rPr>
        <w:t xml:space="preserve">There are a total of four versions of the segregation measure. Each of these measures corresponds to one of the two different methods of defining next-door neighbors (whether the specific street of residence is identified on the census manuscript form) and whether all individuals with a neighbor present are included or only those individuals with both neighbors identified are used. </w:t>
      </w:r>
    </w:p>
    <w:p w14:paraId="1581BCD8" w14:textId="7BF3E85B" w:rsidR="005078C8" w:rsidRDefault="00060DC1" w:rsidP="0016555F">
      <w:pPr>
        <w:pStyle w:val="indent"/>
        <w:spacing w:before="0" w:beforeAutospacing="0" w:after="0" w:afterAutospacing="0"/>
        <w:jc w:val="both"/>
        <w:rPr>
          <w:rFonts w:cs="Times New Roman"/>
        </w:rPr>
      </w:pPr>
      <w:r w:rsidRPr="0016555F">
        <w:rPr>
          <w:rFonts w:cs="Times New Roman"/>
        </w:rPr>
        <w:t>In the case of random neighbors, the number of black residents with at least one white neighbor will be a function of the fraction of black households relative to all households. In particular, the probability that any given neighbor of a black household will be black will be</w:t>
      </w:r>
      <w:r w:rsidR="005078C8" w:rsidRPr="0016555F">
        <w:rPr>
          <w:rFonts w:cs="Times New Roman"/>
        </w:rPr>
        <w:t xml:space="preserve">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-1</m:t>
            </m:r>
          </m:num>
          <m:den>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-1</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all</m:t>
                </m:r>
              </m:sub>
            </m:sSub>
          </m:den>
        </m:f>
      </m:oMath>
      <w:r w:rsidRPr="0016555F">
        <w:rPr>
          <w:rFonts w:cs="Times New Roman"/>
        </w:rPr>
        <w:t>.</w:t>
      </w:r>
      <w:r w:rsidR="005078C8" w:rsidRPr="0016555F">
        <w:rPr>
          <w:rFonts w:cs="Times New Roman"/>
        </w:rPr>
        <w:t xml:space="preserve"> </w:t>
      </w:r>
      <w:r w:rsidRPr="0016555F">
        <w:rPr>
          <w:rFonts w:cs="Times New Roman"/>
        </w:rPr>
        <w:t>The probability that the second neighbor will be black if the first neighbor is black will then be</w:t>
      </w:r>
      <w:r w:rsidR="005078C8" w:rsidRPr="0016555F">
        <w:rPr>
          <w:rFonts w:cs="Times New Roman"/>
        </w:rPr>
        <w:t xml:space="preserve">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-2</m:t>
            </m:r>
          </m:num>
          <m:den>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all</m:t>
                </m:r>
              </m:sub>
            </m:sSub>
          </m:den>
        </m:f>
      </m:oMath>
      <w:r w:rsidRPr="0016555F">
        <w:rPr>
          <w:rFonts w:cs="Times New Roman"/>
        </w:rPr>
        <w:t xml:space="preserve">. The probability that a black household head will have at least one white neighbor can be written as a function of these probabilities by expressing it as: </w:t>
      </w:r>
    </w:p>
    <w:p w14:paraId="7CCA1371" w14:textId="77777777" w:rsidR="00791C45" w:rsidRPr="0016555F" w:rsidRDefault="00791C45" w:rsidP="0016555F">
      <w:pPr>
        <w:pStyle w:val="indent"/>
        <w:spacing w:before="0" w:beforeAutospacing="0" w:after="0" w:afterAutospacing="0"/>
        <w:jc w:val="both"/>
        <w:rPr>
          <w:rFonts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666"/>
        <w:gridCol w:w="394"/>
      </w:tblGrid>
      <w:tr w:rsidR="000B7137" w:rsidRPr="0016555F" w14:paraId="4CF052C4" w14:textId="77777777">
        <w:trPr>
          <w:tblCellSpacing w:w="15" w:type="dxa"/>
        </w:trPr>
        <w:tc>
          <w:tcPr>
            <w:tcW w:w="0" w:type="auto"/>
            <w:vAlign w:val="center"/>
            <w:hideMark/>
          </w:tcPr>
          <w:p w14:paraId="59FDE838" w14:textId="6CF8B312" w:rsidR="000B7137" w:rsidRPr="0016555F" w:rsidRDefault="005078C8" w:rsidP="0016555F">
            <w:pPr>
              <w:jc w:val="both"/>
              <w:rPr>
                <w:rFonts w:eastAsia="Times New Roman" w:cs="Times New Roman"/>
              </w:rPr>
            </w:pPr>
            <m:oMathPara>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white neighbor</m:t>
                    </m:r>
                  </m:e>
                </m:d>
                <m:r>
                  <w:rPr>
                    <w:rFonts w:ascii="Cambria Math" w:hAnsi="Cambria Math" w:cs="Times New Roman"/>
                  </w:rPr>
                  <m:t>=1-(</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all</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-2</m:t>
                    </m:r>
                  </m:num>
                  <m:den>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all</m:t>
                        </m:r>
                      </m:sub>
                    </m:sSub>
                  </m:den>
                </m:f>
                <m:r>
                  <w:rPr>
                    <w:rFonts w:ascii="Cambria Math" w:hAnsi="Cambria Math" w:cs="Times New Roman"/>
                  </w:rPr>
                  <m:t>)</m:t>
                </m:r>
              </m:oMath>
            </m:oMathPara>
          </w:p>
        </w:tc>
        <w:tc>
          <w:tcPr>
            <w:tcW w:w="250" w:type="pct"/>
            <w:vAlign w:val="center"/>
            <w:hideMark/>
          </w:tcPr>
          <w:p w14:paraId="7CC28189" w14:textId="77777777" w:rsidR="000B7137" w:rsidRPr="0016555F" w:rsidRDefault="00060DC1" w:rsidP="0016555F">
            <w:pPr>
              <w:jc w:val="both"/>
              <w:rPr>
                <w:rFonts w:eastAsia="Times New Roman" w:cs="Times New Roman"/>
              </w:rPr>
            </w:pPr>
            <w:r w:rsidRPr="0016555F">
              <w:rPr>
                <w:rFonts w:eastAsia="Times New Roman" w:cs="Times New Roman"/>
              </w:rPr>
              <w:t>(1)</w:t>
            </w:r>
          </w:p>
        </w:tc>
      </w:tr>
    </w:tbl>
    <w:p w14:paraId="6F58BF2C" w14:textId="77777777" w:rsidR="00791C45" w:rsidRDefault="00791C45" w:rsidP="0016555F">
      <w:pPr>
        <w:pStyle w:val="nopar"/>
        <w:spacing w:before="0" w:beforeAutospacing="0" w:after="0" w:afterAutospacing="0"/>
        <w:jc w:val="both"/>
        <w:rPr>
          <w:rFonts w:cs="Times New Roman"/>
        </w:rPr>
      </w:pPr>
    </w:p>
    <w:p w14:paraId="01617B75" w14:textId="214FF91D" w:rsidR="005078C8" w:rsidRPr="0016555F" w:rsidRDefault="00060DC1" w:rsidP="0016555F">
      <w:pPr>
        <w:pStyle w:val="nopar"/>
        <w:spacing w:before="0" w:beforeAutospacing="0" w:after="0" w:afterAutospacing="0"/>
        <w:jc w:val="both"/>
        <w:rPr>
          <w:rFonts w:cs="Times New Roman"/>
        </w:rPr>
      </w:pPr>
      <w:r w:rsidRPr="0016555F">
        <w:rPr>
          <w:rFonts w:cs="Times New Roman"/>
        </w:rPr>
        <w:t>where the second term comes from the assumption that the races of adjacent neighbors are uncorrelated, a reasonable assumption given that we are considering randomly located neighbors. The expected value of</w:t>
      </w:r>
      <w:r w:rsidR="005078C8"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oMath>
      <w:r w:rsidRPr="0016555F">
        <w:rPr>
          <w:rFonts w:cs="Times New Roman"/>
        </w:rPr>
        <w:t xml:space="preserve"> under random assignment of neighbors would then be: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666"/>
        <w:gridCol w:w="394"/>
      </w:tblGrid>
      <w:tr w:rsidR="000B7137" w:rsidRPr="0016555F" w14:paraId="522A7E51" w14:textId="77777777">
        <w:trPr>
          <w:tblCellSpacing w:w="15" w:type="dxa"/>
        </w:trPr>
        <w:tc>
          <w:tcPr>
            <w:tcW w:w="0" w:type="auto"/>
            <w:vAlign w:val="center"/>
            <w:hideMark/>
          </w:tcPr>
          <w:p w14:paraId="3F1025F2" w14:textId="257BCCD4" w:rsidR="000B7137" w:rsidRPr="0016555F" w:rsidRDefault="00B43522" w:rsidP="0016555F">
            <w:pPr>
              <w:jc w:val="both"/>
              <w:rPr>
                <w:rFonts w:eastAsia="Times New Roman" w:cs="Times New Roman"/>
              </w:rPr>
            </w:pPr>
            <m:oMathPara>
              <m:oMath>
                <m:r>
                  <w:rPr>
                    <w:rFonts w:ascii="Cambria Math" w:hAnsi="Cambria Math" w:cs="Times New Roman"/>
                  </w:rPr>
                  <m:t>E</m:t>
                </m:r>
                <m:d>
                  <m:dPr>
                    <m:ctrlPr>
                      <w:rPr>
                        <w:rFonts w:ascii="Cambria Math" w:hAnsi="Cambria Math" w:cs="Times New Roman"/>
                        <w:i/>
                      </w:rPr>
                    </m:ctrlPr>
                  </m:dPr>
                  <m:e>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acc>
                  </m:e>
                </m:d>
                <m:r>
                  <w:rPr>
                    <w:rFonts w:ascii="Cambria Math" w:hAnsi="Cambria Math" w:cs="Times New Roman"/>
                  </w:rPr>
                  <m:t>=p</m:t>
                </m:r>
                <m:d>
                  <m:dPr>
                    <m:ctrlPr>
                      <w:rPr>
                        <w:rFonts w:ascii="Cambria Math" w:hAnsi="Cambria Math" w:cs="Times New Roman"/>
                        <w:i/>
                      </w:rPr>
                    </m:ctrlPr>
                  </m:dPr>
                  <m:e>
                    <m:r>
                      <w:rPr>
                        <w:rFonts w:ascii="Cambria Math" w:hAnsi="Cambria Math" w:cs="Times New Roman"/>
                      </w:rPr>
                      <m:t>white neighbor</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oMath>
            </m:oMathPara>
          </w:p>
        </w:tc>
        <w:tc>
          <w:tcPr>
            <w:tcW w:w="250" w:type="pct"/>
            <w:vAlign w:val="center"/>
            <w:hideMark/>
          </w:tcPr>
          <w:p w14:paraId="698C9B30" w14:textId="77777777" w:rsidR="000B7137" w:rsidRPr="0016555F" w:rsidRDefault="00060DC1" w:rsidP="0016555F">
            <w:pPr>
              <w:jc w:val="both"/>
              <w:rPr>
                <w:rFonts w:eastAsia="Times New Roman" w:cs="Times New Roman"/>
              </w:rPr>
            </w:pPr>
            <w:r w:rsidRPr="0016555F">
              <w:rPr>
                <w:rFonts w:eastAsia="Times New Roman" w:cs="Times New Roman"/>
              </w:rPr>
              <w:t>(2)</w:t>
            </w:r>
          </w:p>
        </w:tc>
      </w:tr>
      <w:tr w:rsidR="00B43522" w:rsidRPr="0016555F" w14:paraId="7AB792DE" w14:textId="77777777">
        <w:trPr>
          <w:tblCellSpacing w:w="15" w:type="dxa"/>
        </w:trPr>
        <w:tc>
          <w:tcPr>
            <w:tcW w:w="0" w:type="auto"/>
            <w:vAlign w:val="center"/>
          </w:tcPr>
          <w:p w14:paraId="131EBB6D" w14:textId="4CBFC867" w:rsidR="00B43522" w:rsidRPr="0016555F" w:rsidRDefault="00B43522" w:rsidP="0016555F">
            <w:pPr>
              <w:jc w:val="both"/>
              <w:rPr>
                <w:rFonts w:eastAsia="MS Mincho" w:cs="Times New Roman"/>
              </w:rPr>
            </w:pPr>
          </w:p>
        </w:tc>
        <w:tc>
          <w:tcPr>
            <w:tcW w:w="250" w:type="pct"/>
            <w:vAlign w:val="center"/>
          </w:tcPr>
          <w:p w14:paraId="1D08EEA3" w14:textId="77777777" w:rsidR="00B43522" w:rsidRPr="0016555F" w:rsidRDefault="00B43522" w:rsidP="0016555F">
            <w:pPr>
              <w:jc w:val="both"/>
              <w:rPr>
                <w:rFonts w:eastAsia="Times New Roman" w:cs="Times New Roman"/>
              </w:rPr>
            </w:pPr>
          </w:p>
        </w:tc>
      </w:tr>
    </w:tbl>
    <w:p w14:paraId="433CC942" w14:textId="77777777" w:rsidR="000B7137" w:rsidRPr="0016555F" w:rsidRDefault="000B7137" w:rsidP="0016555F">
      <w:pPr>
        <w:pStyle w:val="nopar"/>
        <w:spacing w:before="0" w:beforeAutospacing="0" w:after="0" w:afterAutospacing="0"/>
        <w:jc w:val="both"/>
        <w:rPr>
          <w:rFonts w:cs="Times New Roman"/>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666"/>
        <w:gridCol w:w="394"/>
      </w:tblGrid>
      <w:tr w:rsidR="000B7137" w:rsidRPr="0016555F" w14:paraId="47CF3C26" w14:textId="77777777">
        <w:trPr>
          <w:tblCellSpacing w:w="15" w:type="dxa"/>
        </w:trPr>
        <w:tc>
          <w:tcPr>
            <w:tcW w:w="0" w:type="auto"/>
            <w:vAlign w:val="center"/>
            <w:hideMark/>
          </w:tcPr>
          <w:p w14:paraId="0E01CF08" w14:textId="7C6F1684" w:rsidR="000B7137" w:rsidRPr="0016555F" w:rsidRDefault="00B43522" w:rsidP="0016555F">
            <w:pPr>
              <w:jc w:val="both"/>
              <w:rPr>
                <w:rFonts w:eastAsia="Times New Roman" w:cs="Times New Roman"/>
              </w:rPr>
            </w:pPr>
            <m:oMathPara>
              <m:oMath>
                <m:r>
                  <w:rPr>
                    <w:rFonts w:ascii="Cambria Math" w:eastAsia="MS Mincho" w:hAnsi="Cambria Math" w:cs="Times New Roman"/>
                  </w:rPr>
                  <w:lastRenderedPageBreak/>
                  <m:t>E</m:t>
                </m:r>
                <m:d>
                  <m:dPr>
                    <m:ctrlPr>
                      <w:rPr>
                        <w:rFonts w:ascii="Cambria Math" w:eastAsia="MS Mincho" w:hAnsi="Cambria Math" w:cs="Times New Roman"/>
                        <w:i/>
                      </w:rPr>
                    </m:ctrlPr>
                  </m:dPr>
                  <m:e>
                    <m:acc>
                      <m:accPr>
                        <m:chr m:val="̅"/>
                        <m:ctrlPr>
                          <w:rPr>
                            <w:rFonts w:ascii="Cambria Math" w:eastAsia="MS Mincho" w:hAnsi="Cambria Math" w:cs="Times New Roman"/>
                            <w:i/>
                          </w:rPr>
                        </m:ctrlPr>
                      </m:accPr>
                      <m:e>
                        <m:sSub>
                          <m:sSubPr>
                            <m:ctrlPr>
                              <w:rPr>
                                <w:rFonts w:ascii="Cambria Math" w:eastAsia="MS Mincho" w:hAnsi="Cambria Math" w:cs="Times New Roman"/>
                                <w:i/>
                              </w:rPr>
                            </m:ctrlPr>
                          </m:sSubPr>
                          <m:e>
                            <m:r>
                              <w:rPr>
                                <w:rFonts w:ascii="Cambria Math" w:eastAsia="MS Mincho" w:hAnsi="Cambria Math" w:cs="Times New Roman"/>
                              </w:rPr>
                              <m:t>x</m:t>
                            </m:r>
                          </m:e>
                          <m:sub>
                            <m:r>
                              <w:rPr>
                                <w:rFonts w:ascii="Cambria Math" w:eastAsia="MS Mincho" w:hAnsi="Cambria Math" w:cs="Times New Roman"/>
                              </w:rPr>
                              <m:t>b</m:t>
                            </m:r>
                          </m:sub>
                        </m:sSub>
                      </m:e>
                    </m:acc>
                  </m:e>
                </m:d>
                <m:r>
                  <w:rPr>
                    <w:rFonts w:ascii="Cambria Math" w:eastAsia="MS Mincho" w:hAnsi="Cambria Math" w:cs="Times New Roman"/>
                  </w:rPr>
                  <m:t>=</m:t>
                </m:r>
                <m:sSub>
                  <m:sSubPr>
                    <m:ctrlPr>
                      <w:rPr>
                        <w:rFonts w:ascii="Cambria Math" w:eastAsia="MS Mincho" w:hAnsi="Cambria Math" w:cs="Times New Roman"/>
                        <w:i/>
                      </w:rPr>
                    </m:ctrlPr>
                  </m:sSubPr>
                  <m:e>
                    <m:r>
                      <w:rPr>
                        <w:rFonts w:ascii="Cambria Math" w:eastAsia="MS Mincho" w:hAnsi="Cambria Math" w:cs="Times New Roman"/>
                      </w:rPr>
                      <m:t>n</m:t>
                    </m:r>
                  </m:e>
                  <m:sub>
                    <m:r>
                      <w:rPr>
                        <w:rFonts w:ascii="Cambria Math" w:eastAsia="MS Mincho" w:hAnsi="Cambria Math" w:cs="Times New Roman"/>
                      </w:rPr>
                      <m:t>b</m:t>
                    </m:r>
                  </m:sub>
                </m:sSub>
                <m:r>
                  <w:rPr>
                    <w:rFonts w:ascii="Cambria Math" w:eastAsia="MS Mincho" w:hAnsi="Cambria Math" w:cs="Times New Roman"/>
                  </w:rPr>
                  <m:t>(1-</m:t>
                </m:r>
                <m:d>
                  <m:dPr>
                    <m:ctrlPr>
                      <w:rPr>
                        <w:rFonts w:ascii="Cambria Math" w:eastAsia="MS Mincho" w:hAnsi="Cambria Math" w:cs="Times New Roman"/>
                        <w:i/>
                      </w:rPr>
                    </m:ctrlPr>
                  </m:dPr>
                  <m:e>
                    <m:f>
                      <m:fPr>
                        <m:ctrlPr>
                          <w:rPr>
                            <w:rFonts w:ascii="Cambria Math" w:eastAsia="MS Mincho" w:hAnsi="Cambria Math" w:cs="Times New Roman"/>
                            <w:i/>
                          </w:rPr>
                        </m:ctrlPr>
                      </m:fPr>
                      <m:num>
                        <m:sSub>
                          <m:sSubPr>
                            <m:ctrlPr>
                              <w:rPr>
                                <w:rFonts w:ascii="Cambria Math" w:eastAsia="MS Mincho" w:hAnsi="Cambria Math" w:cs="Times New Roman"/>
                                <w:i/>
                              </w:rPr>
                            </m:ctrlPr>
                          </m:sSubPr>
                          <m:e>
                            <m:r>
                              <w:rPr>
                                <w:rFonts w:ascii="Cambria Math" w:eastAsia="MS Mincho" w:hAnsi="Cambria Math" w:cs="Times New Roman"/>
                              </w:rPr>
                              <m:t>b</m:t>
                            </m:r>
                          </m:e>
                          <m:sub>
                            <m:r>
                              <w:rPr>
                                <w:rFonts w:ascii="Cambria Math" w:eastAsia="MS Mincho" w:hAnsi="Cambria Math" w:cs="Times New Roman"/>
                              </w:rPr>
                              <m:t>all</m:t>
                            </m:r>
                          </m:sub>
                        </m:sSub>
                        <m:r>
                          <w:rPr>
                            <w:rFonts w:ascii="Cambria Math" w:eastAsia="MS Mincho" w:hAnsi="Cambria Math" w:cs="Times New Roman"/>
                          </w:rPr>
                          <m:t>-1</m:t>
                        </m:r>
                      </m:num>
                      <m:den>
                        <m:sSub>
                          <m:sSubPr>
                            <m:ctrlPr>
                              <w:rPr>
                                <w:rFonts w:ascii="Cambria Math" w:eastAsia="MS Mincho" w:hAnsi="Cambria Math" w:cs="Times New Roman"/>
                                <w:i/>
                              </w:rPr>
                            </m:ctrlPr>
                          </m:sSubPr>
                          <m:e>
                            <m:r>
                              <w:rPr>
                                <w:rFonts w:ascii="Cambria Math" w:eastAsia="MS Mincho" w:hAnsi="Cambria Math" w:cs="Times New Roman"/>
                              </w:rPr>
                              <m:t>b</m:t>
                            </m:r>
                          </m:e>
                          <m:sub>
                            <m:r>
                              <w:rPr>
                                <w:rFonts w:ascii="Cambria Math" w:eastAsia="MS Mincho" w:hAnsi="Cambria Math" w:cs="Times New Roman"/>
                              </w:rPr>
                              <m:t>all</m:t>
                            </m:r>
                          </m:sub>
                        </m:sSub>
                        <m:r>
                          <w:rPr>
                            <w:rFonts w:ascii="Cambria Math" w:eastAsia="MS Mincho" w:hAnsi="Cambria Math" w:cs="Times New Roman"/>
                          </w:rPr>
                          <m:t>-1+</m:t>
                        </m:r>
                        <m:sSub>
                          <m:sSubPr>
                            <m:ctrlPr>
                              <w:rPr>
                                <w:rFonts w:ascii="Cambria Math" w:eastAsia="MS Mincho" w:hAnsi="Cambria Math" w:cs="Times New Roman"/>
                                <w:i/>
                              </w:rPr>
                            </m:ctrlPr>
                          </m:sSubPr>
                          <m:e>
                            <m:r>
                              <w:rPr>
                                <w:rFonts w:ascii="Cambria Math" w:eastAsia="MS Mincho" w:hAnsi="Cambria Math" w:cs="Times New Roman"/>
                              </w:rPr>
                              <m:t>w</m:t>
                            </m:r>
                          </m:e>
                          <m:sub>
                            <m:r>
                              <w:rPr>
                                <w:rFonts w:ascii="Cambria Math" w:eastAsia="MS Mincho" w:hAnsi="Cambria Math" w:cs="Times New Roman"/>
                              </w:rPr>
                              <m:t>all</m:t>
                            </m:r>
                          </m:sub>
                        </m:sSub>
                      </m:den>
                    </m:f>
                  </m:e>
                </m:d>
                <m:d>
                  <m:dPr>
                    <m:ctrlPr>
                      <w:rPr>
                        <w:rFonts w:ascii="Cambria Math" w:eastAsia="MS Mincho" w:hAnsi="Cambria Math" w:cs="Times New Roman"/>
                        <w:i/>
                      </w:rPr>
                    </m:ctrlPr>
                  </m:dPr>
                  <m:e>
                    <m:f>
                      <m:fPr>
                        <m:ctrlPr>
                          <w:rPr>
                            <w:rFonts w:ascii="Cambria Math" w:eastAsia="MS Mincho" w:hAnsi="Cambria Math" w:cs="Times New Roman"/>
                            <w:i/>
                          </w:rPr>
                        </m:ctrlPr>
                      </m:fPr>
                      <m:num>
                        <m:sSub>
                          <m:sSubPr>
                            <m:ctrlPr>
                              <w:rPr>
                                <w:rFonts w:ascii="Cambria Math" w:eastAsia="MS Mincho" w:hAnsi="Cambria Math" w:cs="Times New Roman"/>
                                <w:i/>
                              </w:rPr>
                            </m:ctrlPr>
                          </m:sSubPr>
                          <m:e>
                            <m:r>
                              <w:rPr>
                                <w:rFonts w:ascii="Cambria Math" w:eastAsia="MS Mincho" w:hAnsi="Cambria Math" w:cs="Times New Roman"/>
                              </w:rPr>
                              <m:t>b</m:t>
                            </m:r>
                          </m:e>
                          <m:sub>
                            <m:r>
                              <w:rPr>
                                <w:rFonts w:ascii="Cambria Math" w:eastAsia="MS Mincho" w:hAnsi="Cambria Math" w:cs="Times New Roman"/>
                              </w:rPr>
                              <m:t>all</m:t>
                            </m:r>
                          </m:sub>
                        </m:sSub>
                        <m:r>
                          <w:rPr>
                            <w:rFonts w:ascii="Cambria Math" w:eastAsia="MS Mincho" w:hAnsi="Cambria Math" w:cs="Times New Roman"/>
                          </w:rPr>
                          <m:t>-2</m:t>
                        </m:r>
                      </m:num>
                      <m:den>
                        <m:sSub>
                          <m:sSubPr>
                            <m:ctrlPr>
                              <w:rPr>
                                <w:rFonts w:ascii="Cambria Math" w:eastAsia="MS Mincho" w:hAnsi="Cambria Math" w:cs="Times New Roman"/>
                                <w:i/>
                              </w:rPr>
                            </m:ctrlPr>
                          </m:sSubPr>
                          <m:e>
                            <m:r>
                              <w:rPr>
                                <w:rFonts w:ascii="Cambria Math" w:eastAsia="MS Mincho" w:hAnsi="Cambria Math" w:cs="Times New Roman"/>
                              </w:rPr>
                              <m:t>b</m:t>
                            </m:r>
                          </m:e>
                          <m:sub>
                            <m:r>
                              <w:rPr>
                                <w:rFonts w:ascii="Cambria Math" w:eastAsia="MS Mincho" w:hAnsi="Cambria Math" w:cs="Times New Roman"/>
                              </w:rPr>
                              <m:t>all</m:t>
                            </m:r>
                          </m:sub>
                        </m:sSub>
                        <m:r>
                          <w:rPr>
                            <w:rFonts w:ascii="Cambria Math" w:eastAsia="MS Mincho" w:hAnsi="Cambria Math" w:cs="Times New Roman"/>
                          </w:rPr>
                          <m:t>-2+</m:t>
                        </m:r>
                        <m:sSub>
                          <m:sSubPr>
                            <m:ctrlPr>
                              <w:rPr>
                                <w:rFonts w:ascii="Cambria Math" w:eastAsia="MS Mincho" w:hAnsi="Cambria Math" w:cs="Times New Roman"/>
                                <w:i/>
                              </w:rPr>
                            </m:ctrlPr>
                          </m:sSubPr>
                          <m:e>
                            <m:r>
                              <w:rPr>
                                <w:rFonts w:ascii="Cambria Math" w:eastAsia="MS Mincho" w:hAnsi="Cambria Math" w:cs="Times New Roman"/>
                              </w:rPr>
                              <m:t>w</m:t>
                            </m:r>
                          </m:e>
                          <m:sub>
                            <m:r>
                              <w:rPr>
                                <w:rFonts w:ascii="Cambria Math" w:eastAsia="MS Mincho" w:hAnsi="Cambria Math" w:cs="Times New Roman"/>
                              </w:rPr>
                              <m:t>all</m:t>
                            </m:r>
                          </m:sub>
                        </m:sSub>
                      </m:den>
                    </m:f>
                  </m:e>
                </m:d>
                <m:r>
                  <w:rPr>
                    <w:rFonts w:ascii="Cambria Math" w:eastAsia="MS Mincho" w:hAnsi="Cambria Math" w:cs="Times New Roman"/>
                  </w:rPr>
                  <m:t>)</m:t>
                </m:r>
              </m:oMath>
            </m:oMathPara>
          </w:p>
        </w:tc>
        <w:tc>
          <w:tcPr>
            <w:tcW w:w="250" w:type="pct"/>
            <w:vAlign w:val="center"/>
            <w:hideMark/>
          </w:tcPr>
          <w:p w14:paraId="76702884" w14:textId="77777777" w:rsidR="000B7137" w:rsidRPr="0016555F" w:rsidRDefault="00060DC1" w:rsidP="0016555F">
            <w:pPr>
              <w:jc w:val="both"/>
              <w:rPr>
                <w:rFonts w:eastAsia="Times New Roman" w:cs="Times New Roman"/>
              </w:rPr>
            </w:pPr>
            <w:r w:rsidRPr="0016555F">
              <w:rPr>
                <w:rFonts w:eastAsia="Times New Roman" w:cs="Times New Roman"/>
              </w:rPr>
              <w:t>(3)</w:t>
            </w:r>
          </w:p>
        </w:tc>
      </w:tr>
    </w:tbl>
    <w:p w14:paraId="04D5B9EB" w14:textId="77777777" w:rsidR="00791C45" w:rsidRDefault="00791C45" w:rsidP="0016555F">
      <w:pPr>
        <w:pStyle w:val="indent"/>
        <w:spacing w:before="0" w:beforeAutospacing="0" w:after="0" w:afterAutospacing="0"/>
        <w:jc w:val="both"/>
        <w:rPr>
          <w:rFonts w:cs="Times New Roman"/>
        </w:rPr>
      </w:pPr>
    </w:p>
    <w:p w14:paraId="744362BB" w14:textId="5687DF9E" w:rsidR="000B7137" w:rsidRPr="0016555F" w:rsidRDefault="00060DC1" w:rsidP="00FC608C">
      <w:pPr>
        <w:pStyle w:val="indent"/>
        <w:spacing w:before="0" w:beforeAutospacing="0" w:after="0" w:afterAutospacing="0"/>
        <w:jc w:val="both"/>
        <w:rPr>
          <w:rFonts w:cs="Times New Roman"/>
        </w:rPr>
      </w:pPr>
      <w:r w:rsidRPr="0016555F">
        <w:rPr>
          <w:rFonts w:cs="Times New Roman"/>
        </w:rPr>
        <w:t>The calculation of this upper bound on</w:t>
      </w:r>
      <w:r w:rsidR="00B43522"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oMath>
      <w:r w:rsidRPr="0016555F">
        <w:rPr>
          <w:rFonts w:cs="Times New Roman"/>
        </w:rPr>
        <w:t xml:space="preserve"> must be modified slightly when including household heads for which only one neighbor is observed. In this case, the expected number of black household heads with a white neighbor under random assignment of neighbors will be composed of two different terms, the first corresponding to those household heads with both neighbors observed and the second corresponding to those household heads with only one neighbor observed. Letting </w:t>
      </w:r>
      <m:oMath>
        <m:r>
          <w:rPr>
            <w:rFonts w:ascii="Cambria Math" w:hAnsi="Cambria Math" w:cs="Times New Roman"/>
          </w:rPr>
          <m:t>B</m:t>
        </m:r>
      </m:oMath>
      <w:r w:rsidRPr="0016555F">
        <w:rPr>
          <w:rStyle w:val="cmmi-121"/>
          <w:rFonts w:cs="Times New Roman"/>
        </w:rPr>
        <w:t xml:space="preserve"> </w:t>
      </w:r>
      <w:r w:rsidRPr="0016555F">
        <w:rPr>
          <w:rFonts w:cs="Times New Roman"/>
        </w:rPr>
        <w:t xml:space="preserve">be an indicator variable equal to one if both neighbors are observed and equal to zero if only one neighbor is observed, the expected total number of black household heads with a white neighbor is then: </w:t>
      </w:r>
    </w:p>
    <w:p w14:paraId="05A13EF0" w14:textId="1A364E18" w:rsidR="001A19AE" w:rsidRPr="0016555F" w:rsidRDefault="001A19AE" w:rsidP="0016555F">
      <w:pPr>
        <w:pStyle w:val="indent"/>
        <w:spacing w:before="0" w:beforeAutospacing="0" w:after="0" w:afterAutospacing="0"/>
        <w:jc w:val="both"/>
        <w:rPr>
          <w:rFonts w:cs="Times New Roman"/>
        </w:rPr>
      </w:pPr>
    </w:p>
    <w:p w14:paraId="58BD1FC4" w14:textId="48EB7452" w:rsidR="009A04B6" w:rsidRPr="0016555F" w:rsidRDefault="009A04B6" w:rsidP="0016555F">
      <w:pPr>
        <w:pStyle w:val="indent"/>
        <w:spacing w:before="0" w:beforeAutospacing="0" w:after="0" w:afterAutospacing="0"/>
        <w:jc w:val="both"/>
        <w:rPr>
          <w:rFonts w:cs="Times New Roman"/>
        </w:rPr>
      </w:pPr>
    </w:p>
    <w:tbl>
      <w:tblPr>
        <w:tblW w:w="4920" w:type="pct"/>
        <w:tblCellSpacing w:w="15" w:type="dxa"/>
        <w:tblInd w:w="45" w:type="dxa"/>
        <w:tblCellMar>
          <w:top w:w="15" w:type="dxa"/>
          <w:left w:w="15" w:type="dxa"/>
          <w:bottom w:w="15" w:type="dxa"/>
          <w:right w:w="15" w:type="dxa"/>
        </w:tblCellMar>
        <w:tblLook w:val="04A0" w:firstRow="1" w:lastRow="0" w:firstColumn="1" w:lastColumn="0" w:noHBand="0" w:noVBand="1"/>
      </w:tblPr>
      <w:tblGrid>
        <w:gridCol w:w="6638"/>
        <w:gridCol w:w="309"/>
      </w:tblGrid>
      <w:tr w:rsidR="008D0E93" w:rsidRPr="0016555F" w14:paraId="1919F794" w14:textId="77777777" w:rsidTr="008D0E93">
        <w:trPr>
          <w:tblCellSpacing w:w="15" w:type="dxa"/>
        </w:trPr>
        <w:tc>
          <w:tcPr>
            <w:tcW w:w="4793" w:type="pct"/>
            <w:vAlign w:val="center"/>
            <w:hideMark/>
          </w:tcPr>
          <w:p w14:paraId="582F9379" w14:textId="1B9D7425" w:rsidR="000B7137" w:rsidRPr="0016555F" w:rsidRDefault="001A19AE" w:rsidP="00791C45">
            <w:pPr>
              <w:ind w:left="-312"/>
              <w:jc w:val="both"/>
              <w:rPr>
                <w:rFonts w:eastAsia="Times New Roman" w:cs="Times New Roman"/>
              </w:rPr>
            </w:pPr>
            <m:oMathPara>
              <m:oMath>
                <m:r>
                  <w:rPr>
                    <w:rFonts w:ascii="Cambria Math" w:hAnsi="Cambria Math" w:cs="Times New Roman"/>
                  </w:rPr>
                  <m:t>E</m:t>
                </m:r>
                <m:d>
                  <m:dPr>
                    <m:ctrlPr>
                      <w:rPr>
                        <w:rFonts w:ascii="Cambria Math" w:hAnsi="Cambria Math" w:cs="Times New Roman"/>
                        <w:i/>
                      </w:rPr>
                    </m:ctrlPr>
                  </m:dPr>
                  <m:e>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acc>
                  </m:e>
                </m:d>
                <m:r>
                  <w:rPr>
                    <w:rFonts w:ascii="Cambria Math" w:hAnsi="Cambria Math" w:cs="Times New Roman"/>
                  </w:rPr>
                  <m:t>=p</m:t>
                </m:r>
                <m:d>
                  <m:dPr>
                    <m:ctrlPr>
                      <w:rPr>
                        <w:rFonts w:ascii="Cambria Math" w:hAnsi="Cambria Math" w:cs="Times New Roman"/>
                        <w:i/>
                      </w:rPr>
                    </m:ctrlPr>
                  </m:dPr>
                  <m:e>
                    <m:r>
                      <w:rPr>
                        <w:rFonts w:ascii="Cambria Math" w:hAnsi="Cambria Math" w:cs="Times New Roman"/>
                      </w:rPr>
                      <m:t>w. neighbor</m:t>
                    </m:r>
                  </m:e>
                  <m:e>
                    <m:r>
                      <w:rPr>
                        <w:rFonts w:ascii="Cambria Math" w:hAnsi="Cambria Math" w:cs="Times New Roman"/>
                      </w:rPr>
                      <m:t>B=1</m:t>
                    </m:r>
                  </m:e>
                </m:d>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b,B=1</m:t>
                    </m:r>
                  </m:sub>
                </m:sSub>
                <m:r>
                  <w:rPr>
                    <w:rFonts w:ascii="Cambria Math" w:hAnsi="Cambria Math" w:cs="Times New Roman"/>
                  </w:rPr>
                  <m:t>+p</m:t>
                </m:r>
                <m:d>
                  <m:dPr>
                    <m:ctrlPr>
                      <w:rPr>
                        <w:rFonts w:ascii="Cambria Math" w:hAnsi="Cambria Math" w:cs="Times New Roman"/>
                        <w:i/>
                      </w:rPr>
                    </m:ctrlPr>
                  </m:dPr>
                  <m:e>
                    <m:r>
                      <w:rPr>
                        <w:rFonts w:ascii="Cambria Math" w:hAnsi="Cambria Math" w:cs="Times New Roman"/>
                      </w:rPr>
                      <m:t>w. neighbor</m:t>
                    </m:r>
                  </m:e>
                  <m:e>
                    <m:r>
                      <w:rPr>
                        <w:rFonts w:ascii="Cambria Math" w:hAnsi="Cambria Math" w:cs="Times New Roman"/>
                      </w:rPr>
                      <m:t>B=0</m:t>
                    </m:r>
                  </m:e>
                </m:d>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b,B=0</m:t>
                    </m:r>
                  </m:sub>
                </m:sSub>
              </m:oMath>
            </m:oMathPara>
          </w:p>
        </w:tc>
        <w:tc>
          <w:tcPr>
            <w:tcW w:w="155" w:type="pct"/>
            <w:vAlign w:val="center"/>
            <w:hideMark/>
          </w:tcPr>
          <w:p w14:paraId="34396665" w14:textId="77777777" w:rsidR="000B7137" w:rsidRPr="0016555F" w:rsidRDefault="00060DC1" w:rsidP="0016555F">
            <w:pPr>
              <w:jc w:val="both"/>
              <w:rPr>
                <w:rFonts w:eastAsia="Times New Roman" w:cs="Times New Roman"/>
              </w:rPr>
            </w:pPr>
            <w:r w:rsidRPr="0016555F">
              <w:rPr>
                <w:rFonts w:eastAsia="Times New Roman" w:cs="Times New Roman"/>
              </w:rPr>
              <w:t>(4)</w:t>
            </w:r>
          </w:p>
        </w:tc>
      </w:tr>
    </w:tbl>
    <w:p w14:paraId="143B95CD" w14:textId="77777777" w:rsidR="000B7137" w:rsidRPr="0016555F" w:rsidRDefault="000B7137" w:rsidP="0016555F">
      <w:pPr>
        <w:pStyle w:val="nopar"/>
        <w:spacing w:before="0" w:beforeAutospacing="0" w:after="0" w:afterAutospacing="0"/>
        <w:jc w:val="both"/>
        <w:rPr>
          <w:rFonts w:cs="Times New Roman"/>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666"/>
        <w:gridCol w:w="394"/>
      </w:tblGrid>
      <w:tr w:rsidR="000B7137" w:rsidRPr="0016555F" w14:paraId="60DEC75F" w14:textId="77777777">
        <w:trPr>
          <w:tblCellSpacing w:w="15" w:type="dxa"/>
        </w:trPr>
        <w:tc>
          <w:tcPr>
            <w:tcW w:w="0" w:type="auto"/>
            <w:vAlign w:val="center"/>
            <w:hideMark/>
          </w:tcPr>
          <w:p w14:paraId="43162B80" w14:textId="4FAFE5F0" w:rsidR="000B7137" w:rsidRPr="00791C45" w:rsidRDefault="00791C45" w:rsidP="00791C45">
            <w:pPr>
              <w:jc w:val="both"/>
              <w:rPr>
                <w:rFonts w:eastAsia="Times New Roman" w:cs="Times New Roman"/>
              </w:rPr>
            </w:pPr>
            <m:oMathPara>
              <m:oMathParaPr>
                <m:jc m:val="left"/>
              </m:oMathParaPr>
              <m:oMath>
                <m:r>
                  <w:rPr>
                    <w:rFonts w:ascii="Cambria Math" w:eastAsia="Times New Roman" w:hAnsi="Cambria Math" w:cs="Times New Roman"/>
                  </w:rPr>
                  <m:t xml:space="preserve">                 E</m:t>
                </m:r>
                <m:d>
                  <m:dPr>
                    <m:ctrlPr>
                      <w:rPr>
                        <w:rFonts w:ascii="Cambria Math" w:eastAsia="Times New Roman" w:hAnsi="Cambria Math" w:cs="Times New Roman"/>
                        <w:i/>
                      </w:rPr>
                    </m:ctrlPr>
                  </m:dPr>
                  <m:e>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b</m:t>
                            </m:r>
                          </m:sub>
                        </m:sSub>
                      </m:e>
                    </m:acc>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b,B=1</m:t>
                    </m:r>
                  </m:sub>
                </m:sSub>
                <m:d>
                  <m:dPr>
                    <m:ctrlPr>
                      <w:rPr>
                        <w:rFonts w:ascii="Cambria Math" w:eastAsia="Times New Roman" w:hAnsi="Cambria Math" w:cs="Times New Roman"/>
                        <w:i/>
                      </w:rPr>
                    </m:ctrlPr>
                  </m:dPr>
                  <m:e>
                    <m:r>
                      <w:rPr>
                        <w:rFonts w:ascii="Cambria Math" w:eastAsia="Times New Roman" w:hAnsi="Cambria Math" w:cs="Times New Roman"/>
                      </w:rPr>
                      <m:t>1-</m:t>
                    </m:r>
                    <m:d>
                      <m:dPr>
                        <m:ctrlPr>
                          <w:rPr>
                            <w:rFonts w:ascii="Cambria Math" w:eastAsia="Times New Roman" w:hAnsi="Cambria Math" w:cs="Times New Roman"/>
                            <w:i/>
                          </w:rPr>
                        </m:ctrlPr>
                      </m:dPr>
                      <m:e>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all</m:t>
                                </m:r>
                              </m:sub>
                            </m:sSub>
                            <m:r>
                              <w:rPr>
                                <w:rFonts w:ascii="Cambria Math" w:eastAsia="Times New Roman" w:hAnsi="Cambria Math" w:cs="Times New Roman"/>
                              </w:rPr>
                              <m:t>-1</m:t>
                            </m:r>
                          </m:num>
                          <m:den>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all</m:t>
                                </m:r>
                              </m:sub>
                            </m:sSub>
                            <m:r>
                              <w:rPr>
                                <w:rFonts w:ascii="Cambria Math" w:eastAsia="Times New Roman" w:hAnsi="Cambria Math" w:cs="Times New Roman"/>
                              </w:rPr>
                              <m:t>-1+</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all</m:t>
                                </m:r>
                              </m:sub>
                            </m:sSub>
                          </m:den>
                        </m:f>
                      </m:e>
                    </m:d>
                    <m:d>
                      <m:dPr>
                        <m:ctrlPr>
                          <w:rPr>
                            <w:rFonts w:ascii="Cambria Math" w:eastAsia="Times New Roman" w:hAnsi="Cambria Math" w:cs="Times New Roman"/>
                            <w:i/>
                          </w:rPr>
                        </m:ctrlPr>
                      </m:dPr>
                      <m:e>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all</m:t>
                                </m:r>
                              </m:sub>
                            </m:sSub>
                            <m:r>
                              <w:rPr>
                                <w:rFonts w:ascii="Cambria Math" w:eastAsia="Times New Roman" w:hAnsi="Cambria Math" w:cs="Times New Roman"/>
                              </w:rPr>
                              <m:t>-2</m:t>
                            </m:r>
                          </m:num>
                          <m:den>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all</m:t>
                                </m:r>
                              </m:sub>
                            </m:sSub>
                            <m:r>
                              <w:rPr>
                                <w:rFonts w:ascii="Cambria Math" w:eastAsia="Times New Roman" w:hAnsi="Cambria Math" w:cs="Times New Roman"/>
                              </w:rPr>
                              <m:t>-2+</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all</m:t>
                                </m:r>
                              </m:sub>
                            </m:sSub>
                          </m:den>
                        </m:f>
                      </m:e>
                    </m:d>
                  </m:e>
                </m:d>
                <m:r>
                  <m:rPr>
                    <m:sty m:val="p"/>
                  </m:rPr>
                  <w:rPr>
                    <w:rFonts w:ascii="Cambria Math" w:eastAsia="Times New Roman" w:hAnsi="Cambria Math" w:cs="Times New Roman"/>
                  </w:rPr>
                  <w:br/>
                </m:r>
              </m:oMath>
              <m:oMath>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b,B=0</m:t>
                    </m:r>
                  </m:sub>
                </m:sSub>
                <m:r>
                  <w:rPr>
                    <w:rFonts w:ascii="Cambria Math" w:eastAsia="Times New Roman" w:hAnsi="Cambria Math" w:cs="Times New Roman"/>
                  </w:rPr>
                  <m:t>(1-</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all</m:t>
                        </m:r>
                      </m:sub>
                    </m:sSub>
                    <m:r>
                      <w:rPr>
                        <w:rFonts w:ascii="Cambria Math" w:eastAsia="Times New Roman" w:hAnsi="Cambria Math" w:cs="Times New Roman"/>
                      </w:rPr>
                      <m:t>-1</m:t>
                    </m:r>
                  </m:num>
                  <m:den>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all</m:t>
                        </m:r>
                      </m:sub>
                    </m:sSub>
                    <m:r>
                      <w:rPr>
                        <w:rFonts w:ascii="Cambria Math" w:eastAsia="Times New Roman" w:hAnsi="Cambria Math" w:cs="Times New Roman"/>
                      </w:rPr>
                      <m:t>-1+</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all</m:t>
                        </m:r>
                      </m:sub>
                    </m:sSub>
                  </m:den>
                </m:f>
                <m:r>
                  <w:rPr>
                    <w:rFonts w:ascii="Cambria Math" w:eastAsia="Times New Roman" w:hAnsi="Cambria Math" w:cs="Times New Roman"/>
                  </w:rPr>
                  <m:t>)</m:t>
                </m:r>
              </m:oMath>
            </m:oMathPara>
          </w:p>
          <w:p w14:paraId="4CEE9351" w14:textId="511475A6" w:rsidR="008D0E93" w:rsidRPr="0016555F" w:rsidRDefault="008D0E93" w:rsidP="0016555F">
            <w:pPr>
              <w:jc w:val="both"/>
              <w:rPr>
                <w:rFonts w:eastAsia="Times New Roman" w:cs="Times New Roman"/>
              </w:rPr>
            </w:pPr>
          </w:p>
        </w:tc>
        <w:tc>
          <w:tcPr>
            <w:tcW w:w="250" w:type="pct"/>
            <w:vAlign w:val="center"/>
            <w:hideMark/>
          </w:tcPr>
          <w:p w14:paraId="77966CF4" w14:textId="77777777" w:rsidR="000B7137" w:rsidRPr="0016555F" w:rsidRDefault="00060DC1" w:rsidP="0016555F">
            <w:pPr>
              <w:jc w:val="both"/>
              <w:rPr>
                <w:rFonts w:eastAsia="Times New Roman" w:cs="Times New Roman"/>
              </w:rPr>
            </w:pPr>
            <w:r w:rsidRPr="0016555F">
              <w:rPr>
                <w:rFonts w:eastAsia="Times New Roman" w:cs="Times New Roman"/>
              </w:rPr>
              <w:t>(5)</w:t>
            </w:r>
          </w:p>
        </w:tc>
      </w:tr>
    </w:tbl>
    <w:p w14:paraId="3B70F963" w14:textId="3CB1E27F" w:rsidR="007C7390" w:rsidRDefault="00060DC1" w:rsidP="0016555F">
      <w:pPr>
        <w:pStyle w:val="indent"/>
        <w:spacing w:before="0" w:beforeAutospacing="0" w:after="0" w:afterAutospacing="0"/>
        <w:jc w:val="both"/>
        <w:rPr>
          <w:rFonts w:cs="Times New Roman"/>
        </w:rPr>
      </w:pPr>
      <w:r w:rsidRPr="0016555F">
        <w:rPr>
          <w:rFonts w:cs="Times New Roman"/>
        </w:rPr>
        <w:t xml:space="preserve">Under complete segregation, the number of black individuals living next to white neighbors would simply be two, the two individuals on either end of the neighborhood of black residents, giving a lower bound for the value of </w:t>
      </w:r>
      <w:proofErr w:type="spellStart"/>
      <w:r w:rsidRPr="0016555F">
        <w:rPr>
          <w:rStyle w:val="cmmi-121"/>
          <w:rFonts w:cs="Times New Roman"/>
        </w:rPr>
        <w:t>x</w:t>
      </w:r>
      <w:r w:rsidRPr="0016555F">
        <w:rPr>
          <w:rStyle w:val="cmmi-81"/>
          <w:rFonts w:cs="Times New Roman"/>
          <w:sz w:val="20"/>
          <w:szCs w:val="20"/>
          <w:vertAlign w:val="subscript"/>
        </w:rPr>
        <w:t>b</w:t>
      </w:r>
      <w:proofErr w:type="spellEnd"/>
      <w:r w:rsidRPr="0016555F">
        <w:rPr>
          <w:rFonts w:cs="Times New Roman"/>
        </w:rPr>
        <w:t xml:space="preserve">. However, it is necessary to account for observing only a fraction of the household heads. The expected observed number of black household heads living next to a white neighbor when sampling from an area with only two such residents will be: </w:t>
      </w:r>
    </w:p>
    <w:p w14:paraId="2A14FB0F" w14:textId="77777777" w:rsidR="00791C45" w:rsidRPr="0016555F" w:rsidRDefault="00791C45" w:rsidP="0016555F">
      <w:pPr>
        <w:pStyle w:val="indent"/>
        <w:spacing w:before="0" w:beforeAutospacing="0" w:after="0" w:afterAutospacing="0"/>
        <w:jc w:val="both"/>
        <w:rPr>
          <w:rFonts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666"/>
        <w:gridCol w:w="394"/>
      </w:tblGrid>
      <w:tr w:rsidR="000B7137" w:rsidRPr="0016555F" w14:paraId="445FA996" w14:textId="77777777">
        <w:trPr>
          <w:tblCellSpacing w:w="15" w:type="dxa"/>
        </w:trPr>
        <w:tc>
          <w:tcPr>
            <w:tcW w:w="0" w:type="auto"/>
            <w:vAlign w:val="center"/>
            <w:hideMark/>
          </w:tcPr>
          <w:p w14:paraId="7D186830" w14:textId="39EA6119" w:rsidR="000B7137" w:rsidRPr="0016555F" w:rsidRDefault="007C7390" w:rsidP="0016555F">
            <w:pPr>
              <w:jc w:val="both"/>
              <w:rPr>
                <w:rFonts w:eastAsia="Times New Roman" w:cs="Times New Roman"/>
              </w:rPr>
            </w:pPr>
            <m:oMathPara>
              <m:oMath>
                <m:r>
                  <w:rPr>
                    <w:rFonts w:ascii="Cambria Math" w:hAnsi="Cambria Math" w:cs="Times New Roman"/>
                  </w:rPr>
                  <m:t>E</m:t>
                </m:r>
                <m:d>
                  <m:dPr>
                    <m:ctrlPr>
                      <w:rPr>
                        <w:rFonts w:ascii="Cambria Math" w:hAnsi="Cambria Math" w:cs="Times New Roman"/>
                        <w:i/>
                      </w:rPr>
                    </m:ctrlPr>
                  </m:dPr>
                  <m:e>
                    <m:bar>
                      <m:barPr>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e>
                </m:d>
                <m:r>
                  <w:rPr>
                    <w:rFonts w:ascii="Cambria Math" w:hAnsi="Cambria Math" w:cs="Times New Roman"/>
                  </w:rPr>
                  <m:t>=p</m:t>
                </m:r>
                <m:d>
                  <m:dPr>
                    <m:ctrlPr>
                      <w:rPr>
                        <w:rFonts w:ascii="Cambria Math" w:hAnsi="Cambria Math" w:cs="Times New Roman"/>
                        <w:i/>
                      </w:rPr>
                    </m:ctrlPr>
                  </m:dPr>
                  <m:e>
                    <m:r>
                      <w:rPr>
                        <w:rFonts w:ascii="Cambria Math" w:hAnsi="Cambria Math" w:cs="Times New Roman"/>
                      </w:rPr>
                      <m:t xml:space="preserve">observe one of the two in </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 xml:space="preserve"> draws</m:t>
                    </m:r>
                  </m:e>
                </m:d>
                <m:r>
                  <w:rPr>
                    <w:rFonts w:ascii="Cambria Math" w:hAnsi="Cambria Math" w:cs="Times New Roman"/>
                  </w:rPr>
                  <m:t xml:space="preserve">∙1+p(observe both in </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 xml:space="preserve"> draws)∙2</m:t>
                </m:r>
              </m:oMath>
            </m:oMathPara>
          </w:p>
        </w:tc>
        <w:tc>
          <w:tcPr>
            <w:tcW w:w="250" w:type="pct"/>
            <w:vAlign w:val="center"/>
            <w:hideMark/>
          </w:tcPr>
          <w:p w14:paraId="2C61F0CD" w14:textId="77777777" w:rsidR="000B7137" w:rsidRPr="0016555F" w:rsidRDefault="00060DC1" w:rsidP="0016555F">
            <w:pPr>
              <w:jc w:val="both"/>
              <w:rPr>
                <w:rFonts w:eastAsia="Times New Roman" w:cs="Times New Roman"/>
              </w:rPr>
            </w:pPr>
            <w:r w:rsidRPr="0016555F">
              <w:rPr>
                <w:rFonts w:eastAsia="Times New Roman" w:cs="Times New Roman"/>
              </w:rPr>
              <w:t>(6)</w:t>
            </w:r>
          </w:p>
        </w:tc>
      </w:tr>
    </w:tbl>
    <w:p w14:paraId="24F9B36A" w14:textId="77777777" w:rsidR="000B7137" w:rsidRPr="0016555F" w:rsidRDefault="000B7137" w:rsidP="0016555F">
      <w:pPr>
        <w:pStyle w:val="nopar"/>
        <w:spacing w:before="0" w:beforeAutospacing="0" w:after="0" w:afterAutospacing="0"/>
        <w:jc w:val="both"/>
        <w:rPr>
          <w:rFonts w:cs="Times New Roman"/>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666"/>
        <w:gridCol w:w="394"/>
      </w:tblGrid>
      <w:tr w:rsidR="000B7137" w:rsidRPr="0016555F" w14:paraId="605A823D" w14:textId="77777777">
        <w:trPr>
          <w:tblCellSpacing w:w="15" w:type="dxa"/>
        </w:trPr>
        <w:tc>
          <w:tcPr>
            <w:tcW w:w="0" w:type="auto"/>
            <w:vAlign w:val="center"/>
            <w:hideMark/>
          </w:tcPr>
          <w:p w14:paraId="1A64ADC5" w14:textId="5894B7C9" w:rsidR="000B7137" w:rsidRPr="0016555F" w:rsidRDefault="007C7390" w:rsidP="0016555F">
            <w:pPr>
              <w:jc w:val="both"/>
              <w:rPr>
                <w:rFonts w:eastAsia="Times New Roman" w:cs="Times New Roman"/>
              </w:rPr>
            </w:pPr>
            <m:oMathPara>
              <m:oMath>
                <m:r>
                  <w:rPr>
                    <w:rFonts w:ascii="Cambria Math" w:hAnsi="Cambria Math" w:cs="Times New Roman"/>
                  </w:rPr>
                  <m:t>E</m:t>
                </m:r>
                <m:d>
                  <m:dPr>
                    <m:ctrlPr>
                      <w:rPr>
                        <w:rFonts w:ascii="Cambria Math" w:hAnsi="Cambria Math" w:cs="Times New Roman"/>
                        <w:i/>
                      </w:rPr>
                    </m:ctrlPr>
                  </m:dPr>
                  <m:e>
                    <m:bar>
                      <m:barPr>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+1</m:t>
                        </m:r>
                      </m:e>
                    </m:d>
                  </m:den>
                </m:f>
                <m:d>
                  <m:dPr>
                    <m:ctrlPr>
                      <w:rPr>
                        <w:rFonts w:ascii="Cambria Math" w:hAnsi="Cambria Math" w:cs="Times New Roman"/>
                        <w:i/>
                      </w:rPr>
                    </m:ctrlPr>
                  </m:dPr>
                  <m:e>
                    <m:r>
                      <w:rPr>
                        <w:rFonts w:ascii="Cambria Math" w:hAnsi="Cambria Math" w:cs="Times New Roman"/>
                      </w:rPr>
                      <m:t>1-</m:t>
                    </m:r>
                    <m:nary>
                      <m:naryPr>
                        <m:chr m:val="∏"/>
                        <m:limLoc m:val="undOvr"/>
                        <m:ctrlPr>
                          <w:rPr>
                            <w:rFonts w:ascii="Cambria Math" w:hAnsi="Cambria Math" w:cs="Times New Roman"/>
                            <w:i/>
                          </w:rPr>
                        </m:ctrlPr>
                      </m:naryPr>
                      <m:sub>
                        <m:r>
                          <w:rPr>
                            <w:rFonts w:ascii="Cambria Math" w:hAnsi="Cambria Math" w:cs="Times New Roman"/>
                          </w:rPr>
                          <m:t>i=0</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-1</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-i-2</m:t>
                            </m:r>
                          </m:num>
                          <m:den>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-i</m:t>
                            </m:r>
                          </m:den>
                        </m:f>
                      </m:e>
                    </m:nary>
                  </m:e>
                </m:d>
                <m:r>
                  <w:rPr>
                    <w:rFonts w:ascii="Cambria Math" w:hAnsi="Cambria Math" w:cs="Times New Roman"/>
                  </w:rPr>
                  <m:t>+2</m:t>
                </m:r>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+1</m:t>
                            </m:r>
                          </m:e>
                        </m:d>
                      </m:den>
                    </m:f>
                  </m:e>
                </m:d>
                <m:d>
                  <m:dPr>
                    <m:ctrlPr>
                      <w:rPr>
                        <w:rFonts w:ascii="Cambria Math" w:hAnsi="Cambria Math" w:cs="Times New Roman"/>
                        <w:i/>
                      </w:rPr>
                    </m:ctrlPr>
                  </m:dPr>
                  <m:e>
                    <m:r>
                      <w:rPr>
                        <w:rFonts w:ascii="Cambria Math" w:hAnsi="Cambria Math" w:cs="Times New Roman"/>
                      </w:rPr>
                      <m:t>1-</m:t>
                    </m:r>
                    <m:nary>
                      <m:naryPr>
                        <m:chr m:val="∏"/>
                        <m:limLoc m:val="undOvr"/>
                        <m:ctrlPr>
                          <w:rPr>
                            <w:rFonts w:ascii="Cambria Math" w:hAnsi="Cambria Math" w:cs="Times New Roman"/>
                            <w:i/>
                          </w:rPr>
                        </m:ctrlPr>
                      </m:naryPr>
                      <m:sub>
                        <m:r>
                          <w:rPr>
                            <w:rFonts w:ascii="Cambria Math" w:hAnsi="Cambria Math" w:cs="Times New Roman"/>
                          </w:rPr>
                          <m:t>i=0</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-1</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-i-2</m:t>
                            </m:r>
                          </m:num>
                          <m:den>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-i</m:t>
                            </m:r>
                          </m:den>
                        </m:f>
                      </m:e>
                    </m:nary>
                  </m:e>
                </m:d>
              </m:oMath>
            </m:oMathPara>
          </w:p>
        </w:tc>
        <w:tc>
          <w:tcPr>
            <w:tcW w:w="250" w:type="pct"/>
            <w:vAlign w:val="center"/>
            <w:hideMark/>
          </w:tcPr>
          <w:p w14:paraId="236B2440" w14:textId="77777777" w:rsidR="000B7137" w:rsidRPr="0016555F" w:rsidRDefault="00060DC1" w:rsidP="0016555F">
            <w:pPr>
              <w:jc w:val="both"/>
              <w:rPr>
                <w:rFonts w:eastAsia="Times New Roman" w:cs="Times New Roman"/>
              </w:rPr>
            </w:pPr>
            <w:r w:rsidRPr="0016555F">
              <w:rPr>
                <w:rFonts w:eastAsia="Times New Roman" w:cs="Times New Roman"/>
              </w:rPr>
              <w:t>(7)</w:t>
            </w:r>
          </w:p>
        </w:tc>
      </w:tr>
    </w:tbl>
    <w:p w14:paraId="0068402A" w14:textId="77777777" w:rsidR="00791C45" w:rsidRDefault="00791C45" w:rsidP="0016555F">
      <w:pPr>
        <w:pStyle w:val="nopar"/>
        <w:spacing w:before="0" w:beforeAutospacing="0" w:after="0" w:afterAutospacing="0"/>
        <w:jc w:val="both"/>
        <w:rPr>
          <w:rFonts w:cs="Times New Roman"/>
        </w:rPr>
      </w:pPr>
    </w:p>
    <w:p w14:paraId="0B4359F2" w14:textId="33C73BC7" w:rsidR="000B7137" w:rsidRPr="0016555F" w:rsidRDefault="00060DC1" w:rsidP="0016555F">
      <w:pPr>
        <w:pStyle w:val="nopar"/>
        <w:spacing w:before="0" w:beforeAutospacing="0" w:after="0" w:afterAutospacing="0"/>
        <w:jc w:val="both"/>
        <w:rPr>
          <w:rFonts w:cs="Times New Roman"/>
        </w:rPr>
      </w:pPr>
      <w:r w:rsidRPr="0016555F">
        <w:rPr>
          <w:rFonts w:cs="Times New Roman"/>
        </w:rPr>
        <w:t>The product in the expression above gives the probability of selecting neither of the two black household heads with white neighbors in</w:t>
      </w:r>
      <w:r w:rsidR="0096762D"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oMath>
      <w:r w:rsidRPr="0016555F">
        <w:rPr>
          <w:rFonts w:cs="Times New Roman"/>
        </w:rPr>
        <w:t xml:space="preserve"> successive draws from the</w:t>
      </w:r>
      <w:r w:rsidR="0096762D"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oMath>
      <w:r w:rsidRPr="0016555F">
        <w:rPr>
          <w:rFonts w:cs="Times New Roman"/>
        </w:rPr>
        <w:t xml:space="preserve"> black household heads. Thus one minus this product is the probability of drawing either one or both of the two household heads with white neighbors. Note that the product notation is used above because it makes it easier to see how the probability is being derived. In practice, the product reduces to</w:t>
      </w:r>
      <w:r w:rsidR="0096762D" w:rsidRPr="0016555F">
        <w:rPr>
          <w:rFonts w:cs="Times New Roman"/>
        </w:rPr>
        <w:t xml:space="preserve"> </w:t>
      </w: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-1)</m:t>
            </m:r>
          </m:den>
        </m:f>
      </m:oMath>
      <w:r w:rsidRPr="0016555F">
        <w:rPr>
          <w:rFonts w:cs="Times New Roman"/>
        </w:rPr>
        <w:t>. The ratio</w:t>
      </w:r>
      <w:r w:rsidR="0096762D" w:rsidRPr="0016555F">
        <w:rPr>
          <w:rFonts w:cs="Times New Roman"/>
        </w:rPr>
        <w:t xml:space="preserve"> </w:t>
      </w:r>
      <m:oMath>
        <m:f>
          <m:fPr>
            <m:ctrlPr>
              <w:rPr>
                <w:rFonts w:ascii="Cambria Math" w:hAnsi="Cambria Math" w:cs="Times New Roman"/>
                <w:i/>
              </w:rPr>
            </m:ctrlPr>
          </m:fPr>
          <m:num>
            <m:r>
              <w:rPr>
                <w:rFonts w:ascii="Cambria Math" w:hAnsi="Cambria Math" w:cs="Times New Roman"/>
              </w:rPr>
              <m:t>1</m:t>
            </m:r>
          </m:num>
          <m:den>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+1)</m:t>
            </m:r>
          </m:den>
        </m:f>
      </m:oMath>
      <w:r w:rsidRPr="0016555F">
        <w:rPr>
          <w:rFonts w:cs="Times New Roman"/>
        </w:rPr>
        <w:t xml:space="preserve"> gives the fraction of these cases that correspond to drawing just one of the two household heads with white neighbors. This comes from noting that with</w:t>
      </w:r>
      <w:r w:rsidR="0096762D"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oMath>
      <w:r w:rsidRPr="0016555F">
        <w:rPr>
          <w:rFonts w:cs="Times New Roman"/>
        </w:rPr>
        <w:t xml:space="preserve"> draws, </w:t>
      </w:r>
      <w:r w:rsidRPr="0016555F">
        <w:rPr>
          <w:rFonts w:cs="Times New Roman"/>
        </w:rPr>
        <w:lastRenderedPageBreak/>
        <w:t>that there are</w:t>
      </w:r>
      <w:r w:rsidR="0096762D"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oMath>
      <w:r w:rsidRPr="0016555F">
        <w:rPr>
          <w:rFonts w:cs="Times New Roman"/>
        </w:rPr>
        <w:t xml:space="preserve"> ways to draw one of the two household heads while there are</w:t>
      </w:r>
      <w:r w:rsidR="0096762D" w:rsidRPr="0016555F">
        <w:rPr>
          <w:rFonts w:cs="Times New Roman"/>
        </w:rPr>
        <w:t xml:space="preserve"> </w:t>
      </w:r>
      <m:oMath>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n-1</m:t>
            </m:r>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-i)</m:t>
            </m:r>
          </m:e>
        </m:nary>
      </m:oMath>
      <w:r w:rsidRPr="0016555F">
        <w:rPr>
          <w:rFonts w:cs="Times New Roman"/>
        </w:rPr>
        <w:t xml:space="preserve"> or</w:t>
      </w:r>
      <w:r w:rsidR="00C9293C"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-1</m:t>
            </m:r>
          </m:e>
        </m:d>
        <m:r>
          <w:rPr>
            <w:rFonts w:ascii="Cambria Math" w:hAnsi="Cambria Math" w:cs="Times New Roman"/>
          </w:rPr>
          <m:t>-</m:t>
        </m:r>
        <m:f>
          <m:fPr>
            <m:ctrlPr>
              <w:rPr>
                <w:rFonts w:ascii="Cambria Math" w:hAnsi="Cambria Math" w:cs="Times New Roman"/>
                <w:i/>
              </w:rPr>
            </m:ctrlPr>
          </m:fPr>
          <m:num>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-1</m:t>
                </m:r>
              </m:e>
            </m:d>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num>
          <m:den>
            <m:r>
              <w:rPr>
                <w:rFonts w:ascii="Cambria Math" w:hAnsi="Cambria Math" w:cs="Times New Roman"/>
              </w:rPr>
              <m:t>2</m:t>
            </m:r>
          </m:den>
        </m:f>
      </m:oMath>
      <w:r w:rsidRPr="0016555F">
        <w:rPr>
          <w:rFonts w:cs="Times New Roman"/>
        </w:rPr>
        <w:t xml:space="preserve"> ways to draw both of the household heads. </w:t>
      </w:r>
    </w:p>
    <w:p w14:paraId="1CF09C89" w14:textId="1C0B59D2" w:rsidR="00AB39DD" w:rsidRDefault="00060DC1" w:rsidP="0016555F">
      <w:pPr>
        <w:pStyle w:val="indent"/>
        <w:spacing w:before="0" w:beforeAutospacing="0" w:after="0" w:afterAutospacing="0"/>
        <w:jc w:val="both"/>
        <w:rPr>
          <w:rFonts w:cs="Times New Roman"/>
        </w:rPr>
      </w:pPr>
      <w:r w:rsidRPr="0016555F">
        <w:rPr>
          <w:rFonts w:cs="Times New Roman"/>
        </w:rPr>
        <w:t>Finally, in the case where household heads with only one observed neighbor are included, it is necessary to account for the probability that a black household head with a white neighbor will be drawn but that white neighbor is not the observed neighbor. The expected value of</w:t>
      </w:r>
      <w:r w:rsidR="00281826"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oMath>
      <w:r w:rsidRPr="0016555F">
        <w:rPr>
          <w:rFonts w:cs="Times New Roman"/>
        </w:rPr>
        <w:t xml:space="preserve"> accounting for the probability that the white neighbor is unobserved for a household head with only one observed neighbor is: </w:t>
      </w:r>
    </w:p>
    <w:p w14:paraId="69B5E222" w14:textId="77777777" w:rsidR="00791C45" w:rsidRPr="0016555F" w:rsidRDefault="00791C45" w:rsidP="0016555F">
      <w:pPr>
        <w:pStyle w:val="indent"/>
        <w:spacing w:before="0" w:beforeAutospacing="0" w:after="0" w:afterAutospacing="0"/>
        <w:jc w:val="both"/>
        <w:rPr>
          <w:rFonts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651"/>
        <w:gridCol w:w="409"/>
      </w:tblGrid>
      <w:tr w:rsidR="001F42E0" w:rsidRPr="0016555F" w14:paraId="5D81E1C1" w14:textId="77777777" w:rsidTr="001F42E0">
        <w:trPr>
          <w:tblCellSpacing w:w="15" w:type="dxa"/>
        </w:trPr>
        <w:tc>
          <w:tcPr>
            <w:tcW w:w="0" w:type="auto"/>
            <w:vAlign w:val="center"/>
            <w:hideMark/>
          </w:tcPr>
          <w:p w14:paraId="117794E4" w14:textId="1932E4F9" w:rsidR="001F42E0" w:rsidRPr="0016555F" w:rsidRDefault="001F42E0" w:rsidP="0016555F">
            <w:pPr>
              <w:jc w:val="both"/>
              <w:rPr>
                <w:rFonts w:eastAsia="Times New Roman" w:cs="Times New Roman"/>
              </w:rPr>
            </w:pPr>
            <m:oMathPara>
              <m:oMath>
                <m:r>
                  <w:rPr>
                    <w:rFonts w:ascii="Cambria Math" w:hAnsi="Cambria Math" w:cs="Times New Roman"/>
                  </w:rPr>
                  <m:t>E</m:t>
                </m:r>
                <m:d>
                  <m:dPr>
                    <m:ctrlPr>
                      <w:rPr>
                        <w:rFonts w:ascii="Cambria Math" w:hAnsi="Cambria Math" w:cs="Times New Roman"/>
                        <w:i/>
                      </w:rPr>
                    </m:ctrlPr>
                  </m:dPr>
                  <m:e>
                    <m:bar>
                      <m:barPr>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e>
                </m:d>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b,B=1</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b,B=0</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e>
                </m:d>
              </m:oMath>
            </m:oMathPara>
          </w:p>
        </w:tc>
        <w:tc>
          <w:tcPr>
            <w:tcW w:w="242" w:type="pct"/>
            <w:vAlign w:val="center"/>
            <w:hideMark/>
          </w:tcPr>
          <w:p w14:paraId="3397B184" w14:textId="64E22D4A" w:rsidR="001F42E0" w:rsidRPr="0016555F" w:rsidRDefault="001F42E0" w:rsidP="0016555F">
            <w:pPr>
              <w:jc w:val="both"/>
              <w:rPr>
                <w:rFonts w:eastAsia="Times New Roman" w:cs="Times New Roman"/>
              </w:rPr>
            </w:pPr>
            <w:r w:rsidRPr="0016555F">
              <w:rPr>
                <w:rFonts w:eastAsia="Times New Roman" w:cs="Times New Roman"/>
              </w:rPr>
              <w:t>(8)</w:t>
            </w:r>
          </w:p>
        </w:tc>
      </w:tr>
      <w:tr w:rsidR="001F42E0" w:rsidRPr="0016555F" w14:paraId="43B7FA49" w14:textId="77777777" w:rsidTr="004E43FC">
        <w:trPr>
          <w:tblCellSpacing w:w="15" w:type="dxa"/>
        </w:trPr>
        <w:tc>
          <w:tcPr>
            <w:tcW w:w="0" w:type="auto"/>
            <w:vAlign w:val="center"/>
            <w:hideMark/>
          </w:tcPr>
          <w:p w14:paraId="2E6AFD18" w14:textId="77777777" w:rsidR="00791C45" w:rsidRDefault="00791C45" w:rsidP="0016555F">
            <w:pPr>
              <w:jc w:val="both"/>
            </w:pPr>
          </w:p>
          <w:p w14:paraId="5ABE89EB" w14:textId="7E95507F" w:rsidR="001F42E0" w:rsidRPr="0016555F" w:rsidRDefault="001F42E0" w:rsidP="0016555F">
            <w:pPr>
              <w:jc w:val="both"/>
              <w:rPr>
                <w:rFonts w:ascii="Cambria Math" w:hAnsi="Cambria Math" w:cs="Times New Roman"/>
                <w:oMath/>
              </w:rPr>
            </w:pPr>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+1</m:t>
                        </m:r>
                      </m:e>
                    </m:d>
                  </m:den>
                </m:f>
                <m:d>
                  <m:dPr>
                    <m:ctrlPr>
                      <w:rPr>
                        <w:rFonts w:ascii="Cambria Math" w:hAnsi="Cambria Math" w:cs="Times New Roman"/>
                        <w:i/>
                      </w:rPr>
                    </m:ctrlPr>
                  </m:dPr>
                  <m:e>
                    <m:r>
                      <w:rPr>
                        <w:rFonts w:ascii="Cambria Math" w:hAnsi="Cambria Math" w:cs="Times New Roman"/>
                      </w:rPr>
                      <m:t>1-</m:t>
                    </m:r>
                    <m:nary>
                      <m:naryPr>
                        <m:chr m:val="∏"/>
                        <m:limLoc m:val="undOvr"/>
                        <m:ctrlPr>
                          <w:rPr>
                            <w:rFonts w:ascii="Cambria Math" w:hAnsi="Cambria Math" w:cs="Times New Roman"/>
                            <w:i/>
                          </w:rPr>
                        </m:ctrlPr>
                      </m:naryPr>
                      <m:sub>
                        <m:r>
                          <w:rPr>
                            <w:rFonts w:ascii="Cambria Math" w:hAnsi="Cambria Math" w:cs="Times New Roman"/>
                          </w:rPr>
                          <m:t>i=0</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-1</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-i-2</m:t>
                            </m:r>
                          </m:num>
                          <m:den>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-i</m:t>
                            </m:r>
                          </m:den>
                        </m:f>
                      </m:e>
                    </m:nary>
                  </m:e>
                </m:d>
                <m:r>
                  <w:rPr>
                    <w:rFonts w:ascii="Cambria Math" w:hAnsi="Cambria Math" w:cs="Times New Roman"/>
                  </w:rPr>
                  <m:t>+</m:t>
                </m:r>
              </m:oMath>
            </m:oMathPara>
          </w:p>
        </w:tc>
        <w:tc>
          <w:tcPr>
            <w:tcW w:w="242" w:type="pct"/>
            <w:vAlign w:val="center"/>
            <w:hideMark/>
          </w:tcPr>
          <w:p w14:paraId="5ABDF049" w14:textId="46E11201" w:rsidR="001F42E0" w:rsidRPr="0016555F" w:rsidRDefault="001F42E0" w:rsidP="0016555F">
            <w:pPr>
              <w:jc w:val="both"/>
              <w:rPr>
                <w:rFonts w:eastAsia="Times New Roman" w:cs="Times New Roman"/>
              </w:rPr>
            </w:pPr>
            <w:r w:rsidRPr="0016555F">
              <w:rPr>
                <w:rFonts w:eastAsia="Times New Roman" w:cs="Times New Roman"/>
              </w:rPr>
              <w:t>(9)</w:t>
            </w:r>
          </w:p>
        </w:tc>
      </w:tr>
      <w:tr w:rsidR="001F42E0" w:rsidRPr="0016555F" w14:paraId="0AE4AF33" w14:textId="77777777" w:rsidTr="004E43FC">
        <w:trPr>
          <w:tblCellSpacing w:w="15" w:type="dxa"/>
        </w:trPr>
        <w:tc>
          <w:tcPr>
            <w:tcW w:w="0" w:type="auto"/>
            <w:vAlign w:val="center"/>
          </w:tcPr>
          <w:p w14:paraId="708FD871" w14:textId="77777777" w:rsidR="00791C45" w:rsidRDefault="00791C45" w:rsidP="0016555F">
            <w:pPr>
              <w:jc w:val="both"/>
            </w:pPr>
          </w:p>
          <w:p w14:paraId="04098D3A" w14:textId="2431D662" w:rsidR="001F42E0" w:rsidRPr="0016555F" w:rsidRDefault="001F42E0" w:rsidP="0016555F">
            <w:pPr>
              <w:jc w:val="both"/>
              <w:rPr>
                <w:rFonts w:ascii="Cambria Math" w:hAnsi="Cambria Math" w:cs="Times New Roman"/>
                <w:oMath/>
              </w:rPr>
            </w:pPr>
            <m:oMathPara>
              <m:oMath>
                <m:r>
                  <w:rPr>
                    <w:rFonts w:ascii="Cambria Math" w:hAnsi="Cambria Math" w:cs="Times New Roman"/>
                  </w:rPr>
                  <m:t>2</m:t>
                </m:r>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+1</m:t>
                            </m:r>
                          </m:e>
                        </m:d>
                      </m:den>
                    </m:f>
                  </m:e>
                </m:d>
                <m:d>
                  <m:dPr>
                    <m:ctrlPr>
                      <w:rPr>
                        <w:rFonts w:ascii="Cambria Math" w:hAnsi="Cambria Math" w:cs="Times New Roman"/>
                        <w:i/>
                      </w:rPr>
                    </m:ctrlPr>
                  </m:dPr>
                  <m:e>
                    <m:r>
                      <w:rPr>
                        <w:rFonts w:ascii="Cambria Math" w:hAnsi="Cambria Math" w:cs="Times New Roman"/>
                      </w:rPr>
                      <m:t>1-</m:t>
                    </m:r>
                    <m:nary>
                      <m:naryPr>
                        <m:chr m:val="∏"/>
                        <m:limLoc m:val="undOvr"/>
                        <m:ctrlPr>
                          <w:rPr>
                            <w:rFonts w:ascii="Cambria Math" w:hAnsi="Cambria Math" w:cs="Times New Roman"/>
                            <w:i/>
                          </w:rPr>
                        </m:ctrlPr>
                      </m:naryPr>
                      <m:sub>
                        <m:r>
                          <w:rPr>
                            <w:rFonts w:ascii="Cambria Math" w:hAnsi="Cambria Math" w:cs="Times New Roman"/>
                          </w:rPr>
                          <m:t>i=0</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-1</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-i-2</m:t>
                            </m:r>
                          </m:num>
                          <m:den>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all</m:t>
                                </m:r>
                              </m:sub>
                            </m:sSub>
                            <m:r>
                              <w:rPr>
                                <w:rFonts w:ascii="Cambria Math" w:hAnsi="Cambria Math" w:cs="Times New Roman"/>
                              </w:rPr>
                              <m:t>-i</m:t>
                            </m:r>
                          </m:den>
                        </m:f>
                      </m:e>
                    </m:nary>
                  </m:e>
                </m:d>
                <m:r>
                  <w:rPr>
                    <w:rFonts w:ascii="Cambria Math" w:hAnsi="Cambria Math" w:cs="Times New Roman"/>
                  </w:rPr>
                  <m:t>]</m:t>
                </m:r>
              </m:oMath>
            </m:oMathPara>
          </w:p>
        </w:tc>
        <w:tc>
          <w:tcPr>
            <w:tcW w:w="242" w:type="pct"/>
            <w:vAlign w:val="center"/>
            <w:hideMark/>
          </w:tcPr>
          <w:p w14:paraId="7D7BA137" w14:textId="1CCE930E" w:rsidR="001F42E0" w:rsidRPr="0016555F" w:rsidRDefault="001F42E0" w:rsidP="0016555F">
            <w:pPr>
              <w:jc w:val="both"/>
              <w:rPr>
                <w:rFonts w:eastAsia="Times New Roman" w:cs="Times New Roman"/>
              </w:rPr>
            </w:pPr>
            <w:r w:rsidRPr="0016555F">
              <w:rPr>
                <w:rFonts w:eastAsia="Times New Roman" w:cs="Times New Roman"/>
              </w:rPr>
              <w:t>(10)</w:t>
            </w:r>
          </w:p>
        </w:tc>
      </w:tr>
    </w:tbl>
    <w:p w14:paraId="388CE558" w14:textId="00F83BF0" w:rsidR="000B7137" w:rsidRPr="0016555F" w:rsidRDefault="000B7137" w:rsidP="0016555F">
      <w:pPr>
        <w:jc w:val="both"/>
        <w:rPr>
          <w:rFonts w:eastAsia="Times New Roman" w:cs="Times New Roman"/>
        </w:rPr>
      </w:pPr>
    </w:p>
    <w:p w14:paraId="10473F75" w14:textId="2BFB0EED" w:rsidR="000B7137" w:rsidRPr="0016555F" w:rsidRDefault="00060DC1" w:rsidP="0016555F">
      <w:pPr>
        <w:jc w:val="both"/>
        <w:rPr>
          <w:rFonts w:eastAsia="Times New Roman" w:cs="Times New Roman"/>
        </w:rPr>
      </w:pPr>
      <w:r w:rsidRPr="0016555F">
        <w:rPr>
          <w:rFonts w:eastAsia="Times New Roman" w:cs="Times New Roman"/>
        </w:rPr>
        <w:t>In this equation, the fraction of black household heads with only one observed neighbor,</w:t>
      </w:r>
      <w:r w:rsidR="001F42E0" w:rsidRPr="0016555F">
        <w:rPr>
          <w:rFonts w:eastAsia="Times New Roman" w:cs="Times New Roman"/>
        </w:rPr>
        <w:t xml:space="preserve"> </w:t>
      </w:r>
      <m:oMath>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b,B=0</m:t>
                </m:r>
              </m:sub>
            </m:sSub>
          </m:num>
          <m:den>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b</m:t>
                </m:r>
              </m:sub>
            </m:sSub>
          </m:den>
        </m:f>
      </m:oMath>
      <w:r w:rsidRPr="0016555F">
        <w:rPr>
          <w:rFonts w:eastAsia="Times New Roman" w:cs="Times New Roman"/>
        </w:rPr>
        <w:t>, has its expected value of</w:t>
      </w:r>
      <w:r w:rsidR="001F42E0" w:rsidRPr="0016555F">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b</m:t>
            </m:r>
          </m:sub>
        </m:sSub>
      </m:oMath>
      <w:r w:rsidRPr="0016555F">
        <w:rPr>
          <w:rFonts w:eastAsia="Times New Roman" w:cs="Times New Roman"/>
        </w:rPr>
        <w:t xml:space="preserve"> reduced by an additional factor of</w:t>
      </w:r>
      <w:r w:rsidR="001F42E0" w:rsidRPr="0016555F">
        <w:rPr>
          <w:rFonts w:eastAsia="Times New Roman" w:cs="Times New Roman"/>
        </w:rPr>
        <w:t xml:space="preserve">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oMath>
      <w:r w:rsidRPr="0016555F">
        <w:rPr>
          <w:rFonts w:eastAsia="Times New Roman" w:cs="Times New Roman"/>
        </w:rPr>
        <w:t xml:space="preserve"> to account for the fact that if one of these individuals is one of the two black household heads living next to a white neighbor there is only a 50 percent chance that the white neighbor is the observed neighbor. </w:t>
      </w:r>
    </w:p>
    <w:p w14:paraId="185A20DB" w14:textId="672F9A99" w:rsidR="000B7137" w:rsidRDefault="00060DC1" w:rsidP="0016555F">
      <w:pPr>
        <w:pStyle w:val="indent"/>
        <w:spacing w:before="0" w:beforeAutospacing="0" w:after="0" w:afterAutospacing="0"/>
        <w:jc w:val="both"/>
        <w:rPr>
          <w:rFonts w:cs="Times New Roman"/>
        </w:rPr>
      </w:pPr>
      <w:r w:rsidRPr="0016555F">
        <w:rPr>
          <w:rFonts w:cs="Times New Roman"/>
        </w:rPr>
        <w:t>The degree of segregation in an area,</w:t>
      </w:r>
      <w:r w:rsidR="001F42E0" w:rsidRPr="0016555F">
        <w:rPr>
          <w:rFonts w:cs="Times New Roman"/>
        </w:rPr>
        <w:t xml:space="preserve"> </w:t>
      </w:r>
      <m:oMath>
        <m:r>
          <w:rPr>
            <w:rFonts w:ascii="Cambria Math" w:hAnsi="Cambria Math" w:cs="Times New Roman"/>
          </w:rPr>
          <m:t>η</m:t>
        </m:r>
      </m:oMath>
      <w:r w:rsidRPr="0016555F">
        <w:rPr>
          <w:rFonts w:cs="Times New Roman"/>
        </w:rPr>
        <w:t>, can then be defined as the distance between these two extremes, measured from the case of no segregation:</w:t>
      </w:r>
    </w:p>
    <w:p w14:paraId="2F15CAE2" w14:textId="77777777" w:rsidR="00251264" w:rsidRPr="0016555F" w:rsidRDefault="00251264" w:rsidP="0016555F">
      <w:pPr>
        <w:pStyle w:val="indent"/>
        <w:spacing w:before="0" w:beforeAutospacing="0" w:after="0" w:afterAutospacing="0"/>
        <w:jc w:val="both"/>
        <w:rPr>
          <w:rFonts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651"/>
        <w:gridCol w:w="409"/>
      </w:tblGrid>
      <w:tr w:rsidR="000B7137" w:rsidRPr="0016555F" w14:paraId="5778C392" w14:textId="77777777">
        <w:trPr>
          <w:tblCellSpacing w:w="15" w:type="dxa"/>
        </w:trPr>
        <w:tc>
          <w:tcPr>
            <w:tcW w:w="0" w:type="auto"/>
            <w:vAlign w:val="center"/>
            <w:hideMark/>
          </w:tcPr>
          <w:p w14:paraId="54AB319F" w14:textId="5B78E906" w:rsidR="000B7137" w:rsidRPr="0016555F" w:rsidRDefault="001F42E0" w:rsidP="0016555F">
            <w:pPr>
              <w:jc w:val="both"/>
              <w:rPr>
                <w:rFonts w:eastAsia="Times New Roman" w:cs="Times New Roman"/>
              </w:rPr>
            </w:pPr>
            <m:oMathPara>
              <m:oMath>
                <m:r>
                  <w:rPr>
                    <w:rFonts w:ascii="Cambria Math" w:hAnsi="Cambria Math" w:cs="Times New Roman"/>
                  </w:rPr>
                  <m:t>η=</m:t>
                </m:r>
                <m:f>
                  <m:fPr>
                    <m:ctrlPr>
                      <w:rPr>
                        <w:rFonts w:ascii="Cambria Math" w:hAnsi="Cambria Math" w:cs="Times New Roman"/>
                        <w:i/>
                      </w:rPr>
                    </m:ctrlPr>
                  </m:fPr>
                  <m:num>
                    <m:r>
                      <w:rPr>
                        <w:rFonts w:ascii="Cambria Math" w:hAnsi="Cambria Math" w:cs="Times New Roman"/>
                      </w:rPr>
                      <m:t>E</m:t>
                    </m:r>
                    <m:d>
                      <m:dPr>
                        <m:ctrlPr>
                          <w:rPr>
                            <w:rFonts w:ascii="Cambria Math" w:hAnsi="Cambria Math" w:cs="Times New Roman"/>
                            <w:i/>
                          </w:rPr>
                        </m:ctrlPr>
                      </m:dPr>
                      <m:e>
                        <m:bar>
                          <m:barPr>
                            <m:pos m:val="top"/>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num>
                  <m:den>
                    <m:r>
                      <w:rPr>
                        <w:rFonts w:ascii="Cambria Math" w:hAnsi="Cambria Math" w:cs="Times New Roman"/>
                      </w:rPr>
                      <m:t>E</m:t>
                    </m:r>
                    <m:d>
                      <m:dPr>
                        <m:ctrlPr>
                          <w:rPr>
                            <w:rFonts w:ascii="Cambria Math" w:hAnsi="Cambria Math" w:cs="Times New Roman"/>
                            <w:i/>
                          </w:rPr>
                        </m:ctrlPr>
                      </m:dPr>
                      <m:e>
                        <m:bar>
                          <m:barPr>
                            <m:pos m:val="top"/>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e>
                    </m:d>
                    <m:r>
                      <w:rPr>
                        <w:rFonts w:ascii="Cambria Math" w:hAnsi="Cambria Math" w:cs="Times New Roman"/>
                      </w:rPr>
                      <m:t>-E(</m:t>
                    </m:r>
                    <m:bar>
                      <m:barPr>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r>
                      <w:rPr>
                        <w:rFonts w:ascii="Cambria Math" w:hAnsi="Cambria Math" w:cs="Times New Roman"/>
                      </w:rPr>
                      <m:t>)</m:t>
                    </m:r>
                  </m:den>
                </m:f>
              </m:oMath>
            </m:oMathPara>
          </w:p>
        </w:tc>
        <w:tc>
          <w:tcPr>
            <w:tcW w:w="250" w:type="pct"/>
            <w:vAlign w:val="center"/>
            <w:hideMark/>
          </w:tcPr>
          <w:p w14:paraId="469B8637" w14:textId="77777777" w:rsidR="000B7137" w:rsidRPr="0016555F" w:rsidRDefault="00060DC1" w:rsidP="0016555F">
            <w:pPr>
              <w:jc w:val="both"/>
              <w:rPr>
                <w:rFonts w:eastAsia="Times New Roman" w:cs="Times New Roman"/>
              </w:rPr>
            </w:pPr>
            <w:r w:rsidRPr="0016555F">
              <w:rPr>
                <w:rFonts w:eastAsia="Times New Roman" w:cs="Times New Roman"/>
              </w:rPr>
              <w:t>(11)</w:t>
            </w:r>
          </w:p>
        </w:tc>
      </w:tr>
    </w:tbl>
    <w:p w14:paraId="231F4534" w14:textId="77777777" w:rsidR="00251264" w:rsidRDefault="00251264" w:rsidP="0016555F">
      <w:pPr>
        <w:pStyle w:val="nopar"/>
        <w:spacing w:before="0" w:beforeAutospacing="0" w:after="0" w:afterAutospacing="0"/>
        <w:jc w:val="both"/>
        <w:rPr>
          <w:rFonts w:cs="Times New Roman"/>
        </w:rPr>
      </w:pPr>
    </w:p>
    <w:p w14:paraId="4EF39ED7" w14:textId="1F815262" w:rsidR="000B7137" w:rsidRPr="0016555F" w:rsidRDefault="00060DC1" w:rsidP="0016555F">
      <w:pPr>
        <w:pStyle w:val="nopar"/>
        <w:spacing w:before="0" w:beforeAutospacing="0" w:after="0" w:afterAutospacing="0"/>
        <w:jc w:val="both"/>
        <w:rPr>
          <w:rFonts w:cs="Times New Roman"/>
        </w:rPr>
      </w:pPr>
      <w:r w:rsidRPr="0016555F">
        <w:rPr>
          <w:rFonts w:cs="Times New Roman"/>
        </w:rPr>
        <w:t xml:space="preserve">This segregation measure increases as black residents become more segregated within an area, equaling zero in the case of random assignment of neighbors (no segregation) and </w:t>
      </w:r>
      <w:proofErr w:type="spellStart"/>
      <w:r w:rsidRPr="0016555F">
        <w:rPr>
          <w:rFonts w:cs="Times New Roman"/>
        </w:rPr>
        <w:t>equalling</w:t>
      </w:r>
      <w:proofErr w:type="spellEnd"/>
      <w:r w:rsidRPr="0016555F">
        <w:rPr>
          <w:rFonts w:cs="Times New Roman"/>
        </w:rPr>
        <w:t xml:space="preserve"> one in the case of complete segregation.</w:t>
      </w:r>
      <w:r w:rsidR="004E43FC" w:rsidRPr="0016555F">
        <w:rPr>
          <w:rStyle w:val="FootnoteReference"/>
          <w:rFonts w:cs="Times New Roman"/>
        </w:rPr>
        <w:footnoteReference w:customMarkFollows="1" w:id="3"/>
        <w:t>3</w:t>
      </w:r>
      <w:r w:rsidR="001F297C" w:rsidRPr="0016555F">
        <w:rPr>
          <w:rFonts w:cs="Times New Roman"/>
          <w:vertAlign w:val="superscript"/>
        </w:rPr>
        <w:t xml:space="preserve"> </w:t>
      </w:r>
      <w:r w:rsidRPr="0016555F">
        <w:rPr>
          <w:rFonts w:cs="Times New Roman"/>
        </w:rPr>
        <w:t xml:space="preserve">Note that it is possible for this </w:t>
      </w:r>
      <w:r w:rsidRPr="0016555F">
        <w:rPr>
          <w:rFonts w:cs="Times New Roman"/>
        </w:rPr>
        <w:lastRenderedPageBreak/>
        <w:t>measure to be less than zero if the particular sample of household heads is actually more integrated than random assignment of neighbors. For example, suppose every other household head on the manuscript pages were black in an area that is 50 percent black. With random assignment of neighbors</w:t>
      </w:r>
      <w:r w:rsidR="00255C98">
        <w:rPr>
          <w:rFonts w:cs="Times New Roman"/>
        </w:rPr>
        <w:t>,</w:t>
      </w:r>
      <w:r w:rsidRPr="0016555F">
        <w:rPr>
          <w:rFonts w:cs="Times New Roman"/>
        </w:rPr>
        <w:t xml:space="preserve"> we would expect to observe at least some black household heads having black neighbors. In this case,</w:t>
      </w:r>
      <w:r w:rsidR="001F297C"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oMath>
      <w:r w:rsidRPr="0016555F">
        <w:rPr>
          <w:rFonts w:cs="Times New Roman"/>
        </w:rPr>
        <w:t xml:space="preserve"> would be larger than</w:t>
      </w:r>
      <w:r w:rsidR="001F297C" w:rsidRPr="0016555F">
        <w:rPr>
          <w:rFonts w:cs="Times New Roman"/>
        </w:rPr>
        <w:t xml:space="preserve"> </w:t>
      </w:r>
      <m:oMath>
        <m:r>
          <w:rPr>
            <w:rFonts w:ascii="Cambria Math" w:hAnsi="Cambria Math" w:cs="Times New Roman"/>
          </w:rPr>
          <m:t>E(</m:t>
        </m:r>
        <m:bar>
          <m:barPr>
            <m:pos m:val="top"/>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r>
          <w:rPr>
            <w:rFonts w:ascii="Cambria Math" w:hAnsi="Cambria Math" w:cs="Times New Roman"/>
          </w:rPr>
          <m:t>)</m:t>
        </m:r>
      </m:oMath>
      <w:r w:rsidRPr="0016555F">
        <w:rPr>
          <w:rFonts w:cs="Times New Roman"/>
        </w:rPr>
        <w:t xml:space="preserve"> making</w:t>
      </w:r>
      <w:r w:rsidR="001F297C" w:rsidRPr="0016555F">
        <w:rPr>
          <w:rFonts w:cs="Times New Roman"/>
        </w:rPr>
        <w:t xml:space="preserve"> </w:t>
      </w:r>
      <m:oMath>
        <m:r>
          <w:rPr>
            <w:rFonts w:ascii="Cambria Math" w:hAnsi="Cambria Math" w:cs="Times New Roman"/>
          </w:rPr>
          <m:t>η</m:t>
        </m:r>
      </m:oMath>
      <w:r w:rsidRPr="0016555F">
        <w:rPr>
          <w:rFonts w:cs="Times New Roman"/>
        </w:rPr>
        <w:t xml:space="preserve"> negative. The measure can also exceed one in the rare cases where only zero or one black household heads with a white neighbor are observed. In these cases</w:t>
      </w:r>
      <w:r w:rsidR="001F297C"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oMath>
      <w:r w:rsidRPr="0016555F">
        <w:rPr>
          <w:rFonts w:cs="Times New Roman"/>
        </w:rPr>
        <w:t xml:space="preserve"> may actually be smaller than</w:t>
      </w:r>
      <w:r w:rsidR="001F297C" w:rsidRPr="0016555F">
        <w:rPr>
          <w:rFonts w:cs="Times New Roman"/>
        </w:rPr>
        <w:t xml:space="preserve"> </w:t>
      </w:r>
      <m:oMath>
        <m:r>
          <w:rPr>
            <w:rFonts w:ascii="Cambria Math" w:hAnsi="Cambria Math" w:cs="Times New Roman"/>
          </w:rPr>
          <m:t>E(</m:t>
        </m:r>
        <m:bar>
          <m:barPr>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r>
          <w:rPr>
            <w:rFonts w:ascii="Cambria Math" w:hAnsi="Cambria Math" w:cs="Times New Roman"/>
          </w:rPr>
          <m:t>)</m:t>
        </m:r>
      </m:oMath>
      <w:r w:rsidRPr="0016555F">
        <w:rPr>
          <w:rFonts w:cs="Times New Roman"/>
        </w:rPr>
        <w:t xml:space="preserve">. We do not observe this for counties with more than ten black households. </w:t>
      </w:r>
    </w:p>
    <w:p w14:paraId="16EB02F5" w14:textId="495FD2DD" w:rsidR="00460689" w:rsidRPr="0016555F" w:rsidRDefault="00060DC1" w:rsidP="0016555F">
      <w:pPr>
        <w:pStyle w:val="indent"/>
        <w:spacing w:before="0" w:beforeAutospacing="0" w:after="0" w:afterAutospacing="0"/>
        <w:jc w:val="both"/>
        <w:rPr>
          <w:rFonts w:cs="Times New Roman"/>
        </w:rPr>
      </w:pPr>
      <w:r w:rsidRPr="0016555F">
        <w:rPr>
          <w:rFonts w:cs="Times New Roman"/>
        </w:rPr>
        <w:t>In communities with large numbers of both black and white households,</w:t>
      </w:r>
      <w:r w:rsidR="001F297C" w:rsidRPr="0016555F">
        <w:rPr>
          <w:rFonts w:cs="Times New Roman"/>
        </w:rPr>
        <w:t xml:space="preserve"> </w:t>
      </w:r>
      <m:oMath>
        <m:r>
          <w:rPr>
            <w:rFonts w:ascii="Cambria Math" w:hAnsi="Cambria Math" w:cs="Times New Roman"/>
          </w:rPr>
          <m:t>E(</m:t>
        </m:r>
        <m:bar>
          <m:barPr>
            <m:pos m:val="top"/>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r>
          <w:rPr>
            <w:rFonts w:ascii="Cambria Math" w:hAnsi="Cambria Math" w:cs="Times New Roman"/>
          </w:rPr>
          <m:t>)</m:t>
        </m:r>
      </m:oMath>
      <w:r w:rsidRPr="0016555F">
        <w:rPr>
          <w:rFonts w:cs="Times New Roman"/>
        </w:rPr>
        <w:t xml:space="preserve"> will be substantially larger than</w:t>
      </w:r>
      <w:r w:rsidR="001F297C" w:rsidRPr="0016555F">
        <w:rPr>
          <w:rFonts w:cs="Times New Roman"/>
        </w:rPr>
        <w:t xml:space="preserve"> </w:t>
      </w:r>
      <m:oMath>
        <m:r>
          <w:rPr>
            <w:rFonts w:ascii="Cambria Math" w:hAnsi="Cambria Math" w:cs="Times New Roman"/>
          </w:rPr>
          <m:t>E(</m:t>
        </m:r>
        <m:bar>
          <m:barPr>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r>
          <w:rPr>
            <w:rFonts w:ascii="Cambria Math" w:hAnsi="Cambria Math" w:cs="Times New Roman"/>
          </w:rPr>
          <m:t>)</m:t>
        </m:r>
      </m:oMath>
      <w:r w:rsidRPr="0016555F">
        <w:rPr>
          <w:rFonts w:cs="Times New Roman"/>
        </w:rPr>
        <w:t xml:space="preserve">, allowing us to approximate the above equation as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651"/>
        <w:gridCol w:w="409"/>
      </w:tblGrid>
      <w:tr w:rsidR="000B7137" w:rsidRPr="0016555F" w14:paraId="543738F7" w14:textId="77777777">
        <w:trPr>
          <w:tblCellSpacing w:w="15" w:type="dxa"/>
        </w:trPr>
        <w:tc>
          <w:tcPr>
            <w:tcW w:w="0" w:type="auto"/>
            <w:vAlign w:val="center"/>
            <w:hideMark/>
          </w:tcPr>
          <w:p w14:paraId="6739C29E" w14:textId="3F42ED2F" w:rsidR="000B7137" w:rsidRPr="0016555F" w:rsidRDefault="00460689" w:rsidP="0016555F">
            <w:pPr>
              <w:jc w:val="both"/>
              <w:rPr>
                <w:rFonts w:eastAsia="Times New Roman" w:cs="Times New Roman"/>
              </w:rPr>
            </w:pPr>
            <m:oMathPara>
              <m:oMath>
                <m:r>
                  <w:rPr>
                    <w:rFonts w:ascii="Cambria Math" w:hAnsi="Cambria Math" w:cs="Times New Roman"/>
                  </w:rPr>
                  <m:t>η≈1-</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num>
                  <m:den>
                    <m:r>
                      <w:rPr>
                        <w:rFonts w:ascii="Cambria Math" w:hAnsi="Cambria Math" w:cs="Times New Roman"/>
                      </w:rPr>
                      <m:t>E(</m:t>
                    </m:r>
                    <m:bar>
                      <m:barPr>
                        <m:pos m:val="top"/>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r>
                      <w:rPr>
                        <w:rFonts w:ascii="Cambria Math" w:hAnsi="Cambria Math" w:cs="Times New Roman"/>
                      </w:rPr>
                      <m:t>)</m:t>
                    </m:r>
                  </m:den>
                </m:f>
              </m:oMath>
            </m:oMathPara>
          </w:p>
        </w:tc>
        <w:tc>
          <w:tcPr>
            <w:tcW w:w="250" w:type="pct"/>
            <w:vAlign w:val="center"/>
            <w:hideMark/>
          </w:tcPr>
          <w:p w14:paraId="2DEC1039" w14:textId="77777777" w:rsidR="000B7137" w:rsidRPr="0016555F" w:rsidRDefault="00060DC1" w:rsidP="0016555F">
            <w:pPr>
              <w:jc w:val="both"/>
              <w:rPr>
                <w:rFonts w:eastAsia="Times New Roman" w:cs="Times New Roman"/>
              </w:rPr>
            </w:pPr>
            <w:r w:rsidRPr="0016555F">
              <w:rPr>
                <w:rFonts w:eastAsia="Times New Roman" w:cs="Times New Roman"/>
              </w:rPr>
              <w:t>(12)</w:t>
            </w:r>
          </w:p>
        </w:tc>
      </w:tr>
    </w:tbl>
    <w:p w14:paraId="0568ED85" w14:textId="77777777" w:rsidR="00603E66" w:rsidRDefault="00603E66" w:rsidP="0016555F">
      <w:pPr>
        <w:pStyle w:val="nopar"/>
        <w:spacing w:before="0" w:beforeAutospacing="0" w:after="0" w:afterAutospacing="0"/>
        <w:jc w:val="both"/>
        <w:rPr>
          <w:rFonts w:cs="Times New Roman"/>
        </w:rPr>
      </w:pPr>
    </w:p>
    <w:p w14:paraId="659148E6" w14:textId="77777777" w:rsidR="000B7137" w:rsidRPr="0016555F" w:rsidRDefault="00060DC1" w:rsidP="0016555F">
      <w:pPr>
        <w:pStyle w:val="nopar"/>
        <w:spacing w:before="0" w:beforeAutospacing="0" w:after="0" w:afterAutospacing="0"/>
        <w:jc w:val="both"/>
        <w:rPr>
          <w:rFonts w:cs="Times New Roman"/>
        </w:rPr>
      </w:pPr>
      <w:r w:rsidRPr="0016555F">
        <w:rPr>
          <w:rFonts w:cs="Times New Roman"/>
        </w:rPr>
        <w:t xml:space="preserve">This form of the segregation index is similar to measures of segregation based on evenness that take the following form </w:t>
      </w:r>
    </w:p>
    <w:p w14:paraId="78ABEF2F" w14:textId="21B8492A" w:rsidR="008E0A01" w:rsidRPr="0016555F" w:rsidRDefault="008E0A01" w:rsidP="00603E66">
      <w:pPr>
        <w:pStyle w:val="nopar"/>
        <w:spacing w:before="0" w:beforeAutospacing="0" w:after="0" w:afterAutospacing="0" w:line="120" w:lineRule="auto"/>
        <w:jc w:val="both"/>
        <w:rPr>
          <w:rFonts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651"/>
        <w:gridCol w:w="409"/>
      </w:tblGrid>
      <w:tr w:rsidR="000B7137" w:rsidRPr="0016555F" w14:paraId="161C2BC5" w14:textId="77777777">
        <w:trPr>
          <w:tblCellSpacing w:w="15" w:type="dxa"/>
        </w:trPr>
        <w:tc>
          <w:tcPr>
            <w:tcW w:w="0" w:type="auto"/>
            <w:vAlign w:val="center"/>
            <w:hideMark/>
          </w:tcPr>
          <w:p w14:paraId="11A69259" w14:textId="3A59CA72" w:rsidR="000B7137" w:rsidRPr="0016555F" w:rsidRDefault="008E0A01" w:rsidP="0016555F">
            <w:pPr>
              <w:jc w:val="both"/>
              <w:rPr>
                <w:rFonts w:eastAsia="Times New Roman" w:cs="Times New Roman"/>
              </w:rPr>
            </w:pPr>
            <m:oMathPara>
              <m:oMath>
                <m:r>
                  <w:rPr>
                    <w:rFonts w:ascii="Cambria Math" w:hAnsi="Cambria Math" w:cs="Times New Roman"/>
                  </w:rPr>
                  <m:t>ρ=1-</m:t>
                </m:r>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m</m:t>
                        </m:r>
                      </m:sup>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e>
                    </m:nary>
                  </m:num>
                  <m:den>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m</m:t>
                        </m:r>
                      </m:sup>
                      <m:e>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r>
                          <w:rPr>
                            <w:rFonts w:ascii="Cambria Math" w:hAnsi="Cambria Math" w:cs="Times New Roman"/>
                          </w:rPr>
                          <m:t>|no segregation)</m:t>
                        </m:r>
                      </m:e>
                    </m:nary>
                  </m:den>
                </m:f>
              </m:oMath>
            </m:oMathPara>
          </w:p>
        </w:tc>
        <w:tc>
          <w:tcPr>
            <w:tcW w:w="250" w:type="pct"/>
            <w:vAlign w:val="center"/>
            <w:hideMark/>
          </w:tcPr>
          <w:p w14:paraId="3E491E4C" w14:textId="77777777" w:rsidR="000B7137" w:rsidRPr="0016555F" w:rsidRDefault="00060DC1" w:rsidP="0016555F">
            <w:pPr>
              <w:jc w:val="both"/>
              <w:rPr>
                <w:rFonts w:eastAsia="Times New Roman" w:cs="Times New Roman"/>
              </w:rPr>
            </w:pPr>
            <w:r w:rsidRPr="0016555F">
              <w:rPr>
                <w:rFonts w:eastAsia="Times New Roman" w:cs="Times New Roman"/>
              </w:rPr>
              <w:t>(13)</w:t>
            </w:r>
          </w:p>
        </w:tc>
      </w:tr>
    </w:tbl>
    <w:p w14:paraId="5AFBF7D1" w14:textId="77777777" w:rsidR="00603E66" w:rsidRDefault="00603E66" w:rsidP="0016555F">
      <w:pPr>
        <w:pStyle w:val="nopar"/>
        <w:spacing w:before="0" w:beforeAutospacing="0" w:after="0" w:afterAutospacing="0"/>
        <w:jc w:val="both"/>
        <w:rPr>
          <w:rFonts w:cs="Times New Roman"/>
        </w:rPr>
      </w:pPr>
    </w:p>
    <w:p w14:paraId="6544EFE9" w14:textId="6A3C7C4D" w:rsidR="008E0A01" w:rsidRDefault="00603E66" w:rsidP="0016555F">
      <w:pPr>
        <w:pStyle w:val="nopar"/>
        <w:spacing w:before="0" w:beforeAutospacing="0" w:after="0" w:afterAutospacing="0"/>
        <w:jc w:val="both"/>
        <w:rPr>
          <w:rFonts w:cs="Times New Roman"/>
        </w:rPr>
      </w:pPr>
      <w:r>
        <w:rPr>
          <w:rFonts w:cs="Times New Roman"/>
        </w:rPr>
        <w:t>w</w:t>
      </w:r>
      <w:r w:rsidR="00060DC1" w:rsidRPr="0016555F">
        <w:rPr>
          <w:rFonts w:cs="Times New Roman"/>
        </w:rPr>
        <w:t>here</w:t>
      </w:r>
      <w:r w:rsidR="008E0A01" w:rsidRPr="0016555F">
        <w:rPr>
          <w:rFonts w:cs="Times New Roman"/>
        </w:rPr>
        <w:t xml:space="preserve"> </w:t>
      </w:r>
      <m:oMath>
        <m:r>
          <w:rPr>
            <w:rFonts w:ascii="Cambria Math" w:hAnsi="Cambria Math" w:cs="Times New Roman"/>
          </w:rPr>
          <m:t>N</m:t>
        </m:r>
      </m:oMath>
      <w:r w:rsidR="00060DC1" w:rsidRPr="0016555F">
        <w:rPr>
          <w:rStyle w:val="cmmi-121"/>
          <w:rFonts w:cs="Times New Roman"/>
        </w:rPr>
        <w:t xml:space="preserve"> </w:t>
      </w:r>
      <w:r w:rsidR="00060DC1" w:rsidRPr="0016555F">
        <w:rPr>
          <w:rFonts w:cs="Times New Roman"/>
        </w:rPr>
        <w:t>is the total population of interest across all</w:t>
      </w:r>
      <w:r w:rsidR="008E0A01" w:rsidRPr="0016555F">
        <w:rPr>
          <w:rFonts w:cs="Times New Roman"/>
        </w:rPr>
        <w:t xml:space="preserve"> </w:t>
      </w:r>
      <m:oMath>
        <m:r>
          <w:rPr>
            <w:rFonts w:ascii="Cambria Math" w:hAnsi="Cambria Math" w:cs="Times New Roman"/>
          </w:rPr>
          <m:t>m</m:t>
        </m:r>
      </m:oMath>
      <w:r w:rsidR="00060DC1" w:rsidRPr="0016555F">
        <w:rPr>
          <w:rStyle w:val="cmmi-121"/>
          <w:rFonts w:cs="Times New Roman"/>
        </w:rPr>
        <w:t xml:space="preserve"> </w:t>
      </w:r>
      <w:r w:rsidR="00060DC1" w:rsidRPr="0016555F">
        <w:rPr>
          <w:rFonts w:cs="Times New Roman"/>
        </w:rPr>
        <w:t>subunits of the larger area,</w:t>
      </w:r>
      <w:r w:rsidR="008E0A01"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oMath>
      <w:r w:rsidR="00060DC1" w:rsidRPr="0016555F">
        <w:rPr>
          <w:rFonts w:cs="Times New Roman"/>
        </w:rPr>
        <w:t xml:space="preserve"> is the population of interest in subunit</w:t>
      </w:r>
      <w:r w:rsidR="008E0A01" w:rsidRPr="0016555F">
        <w:rPr>
          <w:rFonts w:cs="Times New Roman"/>
        </w:rPr>
        <w:t xml:space="preserve"> </w:t>
      </w:r>
      <m:oMath>
        <m:r>
          <w:rPr>
            <w:rFonts w:ascii="Cambria Math" w:hAnsi="Cambria Math" w:cs="Times New Roman"/>
          </w:rPr>
          <m:t>i</m:t>
        </m:r>
      </m:oMath>
      <w:r w:rsidR="00060DC1" w:rsidRPr="0016555F">
        <w:rPr>
          <w:rFonts w:cs="Times New Roman"/>
        </w:rPr>
        <w:t>, and</w:t>
      </w:r>
      <w:r w:rsidR="008E0A01"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oMath>
      <w:r w:rsidR="00060DC1" w:rsidRPr="0016555F">
        <w:rPr>
          <w:rFonts w:cs="Times New Roman"/>
        </w:rPr>
        <w:t xml:space="preserve"> is the relevant measure of diversity in that subunit. If we define the subunit to be as small as possible, namely an individual black household, then</w:t>
      </w:r>
      <w:r w:rsidR="008E0A01" w:rsidRPr="0016555F">
        <w:rPr>
          <w:rFonts w:cs="Times New Roman"/>
        </w:rPr>
        <w:t xml:space="preserve"> </w:t>
      </w:r>
      <m:oMath>
        <m:r>
          <w:rPr>
            <w:rFonts w:ascii="Cambria Math" w:hAnsi="Cambria Math" w:cs="Times New Roman"/>
          </w:rPr>
          <m:t>N</m:t>
        </m:r>
      </m:oMath>
      <w:r w:rsidR="00060DC1" w:rsidRPr="0016555F">
        <w:rPr>
          <w:rStyle w:val="cmmi-121"/>
          <w:rFonts w:cs="Times New Roman"/>
        </w:rPr>
        <w:t xml:space="preserve"> </w:t>
      </w:r>
      <w:r w:rsidR="00060DC1" w:rsidRPr="0016555F">
        <w:rPr>
          <w:rFonts w:cs="Times New Roman"/>
        </w:rPr>
        <w:t>becomes the number of black households and</w:t>
      </w:r>
      <w:r w:rsidR="008E0A01"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oMath>
      <w:r w:rsidR="00060DC1" w:rsidRPr="0016555F">
        <w:rPr>
          <w:rFonts w:cs="Times New Roman"/>
        </w:rPr>
        <w:t xml:space="preserve"> simply becomes one, reducing the above expression to </w:t>
      </w:r>
    </w:p>
    <w:p w14:paraId="2D799248" w14:textId="77777777" w:rsidR="00603E66" w:rsidRPr="0016555F" w:rsidRDefault="00603E66" w:rsidP="0016555F">
      <w:pPr>
        <w:pStyle w:val="nopar"/>
        <w:spacing w:before="0" w:beforeAutospacing="0" w:after="0" w:afterAutospacing="0"/>
        <w:jc w:val="both"/>
        <w:rPr>
          <w:rFonts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651"/>
        <w:gridCol w:w="409"/>
      </w:tblGrid>
      <w:tr w:rsidR="000B7137" w:rsidRPr="0016555F" w14:paraId="4F2DE69E" w14:textId="77777777">
        <w:trPr>
          <w:tblCellSpacing w:w="15" w:type="dxa"/>
        </w:trPr>
        <w:tc>
          <w:tcPr>
            <w:tcW w:w="0" w:type="auto"/>
            <w:vAlign w:val="center"/>
            <w:hideMark/>
          </w:tcPr>
          <w:p w14:paraId="7A6D3307" w14:textId="0344C196" w:rsidR="000B7137" w:rsidRPr="0016555F" w:rsidRDefault="008E0A01" w:rsidP="0016555F">
            <w:pPr>
              <w:jc w:val="both"/>
              <w:rPr>
                <w:rFonts w:eastAsia="Times New Roman" w:cs="Times New Roman"/>
              </w:rPr>
            </w:pPr>
            <m:oMathPara>
              <m:oMath>
                <m:r>
                  <w:rPr>
                    <w:rFonts w:ascii="Cambria Math" w:hAnsi="Cambria Math" w:cs="Times New Roman"/>
                  </w:rPr>
                  <m:t>ρ=1-</m:t>
                </m:r>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en>
                    </m:f>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m</m:t>
                        </m:r>
                      </m:sup>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e>
                    </m:nary>
                  </m:num>
                  <m:den>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en>
                    </m:f>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m</m:t>
                        </m:r>
                      </m:sup>
                      <m:e>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r>
                          <w:rPr>
                            <w:rFonts w:ascii="Cambria Math" w:hAnsi="Cambria Math" w:cs="Times New Roman"/>
                          </w:rPr>
                          <m:t>|no segregation)</m:t>
                        </m:r>
                      </m:e>
                    </m:nary>
                  </m:den>
                </m:f>
              </m:oMath>
            </m:oMathPara>
          </w:p>
        </w:tc>
        <w:tc>
          <w:tcPr>
            <w:tcW w:w="250" w:type="pct"/>
            <w:vAlign w:val="center"/>
            <w:hideMark/>
          </w:tcPr>
          <w:p w14:paraId="4A4B8B5A" w14:textId="77777777" w:rsidR="000B7137" w:rsidRPr="0016555F" w:rsidRDefault="00060DC1" w:rsidP="0016555F">
            <w:pPr>
              <w:jc w:val="both"/>
              <w:rPr>
                <w:rFonts w:eastAsia="Times New Roman" w:cs="Times New Roman"/>
              </w:rPr>
            </w:pPr>
            <w:r w:rsidRPr="0016555F">
              <w:rPr>
                <w:rFonts w:eastAsia="Times New Roman" w:cs="Times New Roman"/>
              </w:rPr>
              <w:t>(14)</w:t>
            </w:r>
          </w:p>
        </w:tc>
      </w:tr>
    </w:tbl>
    <w:p w14:paraId="2BED94BF" w14:textId="77777777" w:rsidR="00603E66" w:rsidRDefault="00603E66" w:rsidP="0016555F">
      <w:pPr>
        <w:pStyle w:val="nopar"/>
        <w:spacing w:before="0" w:beforeAutospacing="0" w:after="0" w:afterAutospacing="0"/>
        <w:jc w:val="both"/>
        <w:rPr>
          <w:rFonts w:cs="Times New Roman"/>
        </w:rPr>
      </w:pPr>
    </w:p>
    <w:p w14:paraId="32D245BE" w14:textId="669A23D2" w:rsidR="00BA7C9F" w:rsidRDefault="00603E66" w:rsidP="0016555F">
      <w:pPr>
        <w:pStyle w:val="nopar"/>
        <w:spacing w:before="0" w:beforeAutospacing="0" w:after="0" w:afterAutospacing="0"/>
        <w:jc w:val="both"/>
        <w:rPr>
          <w:rFonts w:cs="Times New Roman"/>
        </w:rPr>
      </w:pPr>
      <w:r>
        <w:rPr>
          <w:rFonts w:cs="Times New Roman"/>
        </w:rPr>
        <w:t>w</w:t>
      </w:r>
      <w:r w:rsidR="00060DC1" w:rsidRPr="0016555F">
        <w:rPr>
          <w:rFonts w:cs="Times New Roman"/>
        </w:rPr>
        <w:t>here</w:t>
      </w:r>
      <w:r w:rsidR="008E0A01"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oMath>
      <w:r w:rsidR="00060DC1" w:rsidRPr="0016555F">
        <w:rPr>
          <w:rFonts w:cs="Times New Roman"/>
        </w:rPr>
        <w:t xml:space="preserve"> is the same number of black households used in the derivation of our measure above. In the context of our measure, the diversity measure</w:t>
      </w:r>
      <w:r w:rsidR="008E0A01"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oMath>
      <w:r w:rsidR="00060DC1" w:rsidRPr="0016555F">
        <w:rPr>
          <w:rFonts w:cs="Times New Roman"/>
        </w:rPr>
        <w:t xml:space="preserve"> is equal to one if a black household has a white neighbor and zero if it does not. Noting that</w:t>
      </w:r>
      <w:r w:rsidR="008E0A01"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oMath>
      <w:r w:rsidR="00060DC1" w:rsidRPr="0016555F">
        <w:rPr>
          <w:rFonts w:cs="Times New Roman"/>
        </w:rPr>
        <w:t xml:space="preserve"> is the number of black households for which</w:t>
      </w:r>
      <w:r w:rsidR="008E0A01"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oMath>
      <w:r w:rsidR="00060DC1" w:rsidRPr="0016555F">
        <w:rPr>
          <w:rFonts w:cs="Times New Roman"/>
        </w:rPr>
        <w:t xml:space="preserve"> is equal to one and</w:t>
      </w:r>
      <w:r w:rsidR="00BA7C9F" w:rsidRPr="0016555F">
        <w:rPr>
          <w:rFonts w:cs="Times New Roman"/>
        </w:rPr>
        <w:t xml:space="preserve"> </w:t>
      </w:r>
      <m:oMath>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r>
          <w:rPr>
            <w:rFonts w:ascii="Cambria Math" w:hAnsi="Cambria Math" w:cs="Times New Roman"/>
          </w:rPr>
          <m:t>)</m:t>
        </m:r>
      </m:oMath>
      <w:r w:rsidR="00060DC1" w:rsidRPr="0016555F">
        <w:rPr>
          <w:rFonts w:cs="Times New Roman"/>
        </w:rPr>
        <w:t xml:space="preserve"> is the expected number of black households for which</w:t>
      </w:r>
      <w:r w:rsidR="00BA7C9F" w:rsidRPr="0016555F">
        <w:rPr>
          <w:rFonts w:cs="Times New Roman"/>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oMath>
      <w:r w:rsidR="00060DC1" w:rsidRPr="0016555F">
        <w:rPr>
          <w:rFonts w:cs="Times New Roman"/>
        </w:rPr>
        <w:t xml:space="preserve"> is equal to one under no segregation, this generic expression for a measure of evenness becomes </w:t>
      </w:r>
    </w:p>
    <w:p w14:paraId="048782B8" w14:textId="77777777" w:rsidR="00603E66" w:rsidRPr="0016555F" w:rsidRDefault="00603E66" w:rsidP="00603E66">
      <w:pPr>
        <w:pStyle w:val="nopar"/>
        <w:spacing w:before="0" w:beforeAutospacing="0" w:after="0" w:afterAutospacing="0" w:line="120" w:lineRule="auto"/>
        <w:jc w:val="both"/>
        <w:rPr>
          <w:rFonts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651"/>
        <w:gridCol w:w="409"/>
      </w:tblGrid>
      <w:tr w:rsidR="000B7137" w:rsidRPr="0016555F" w14:paraId="6A8992AD" w14:textId="77777777">
        <w:trPr>
          <w:tblCellSpacing w:w="15" w:type="dxa"/>
        </w:trPr>
        <w:tc>
          <w:tcPr>
            <w:tcW w:w="0" w:type="auto"/>
            <w:vAlign w:val="center"/>
            <w:hideMark/>
          </w:tcPr>
          <w:p w14:paraId="0C64A984" w14:textId="2FA9D174" w:rsidR="000B7137" w:rsidRPr="0016555F" w:rsidRDefault="00BA7C9F" w:rsidP="0016555F">
            <w:pPr>
              <w:jc w:val="both"/>
              <w:rPr>
                <w:rFonts w:eastAsia="Times New Roman" w:cs="Times New Roman"/>
              </w:rPr>
            </w:pPr>
            <m:oMathPara>
              <m:oMath>
                <m:r>
                  <w:rPr>
                    <w:rFonts w:ascii="Cambria Math" w:hAnsi="Cambria Math" w:cs="Times New Roman"/>
                  </w:rPr>
                  <m:t>ρ=1-</m:t>
                </m:r>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en>
                    </m:f>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num>
                  <m:den>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en>
                    </m:f>
                    <m:r>
                      <w:rPr>
                        <w:rFonts w:ascii="Cambria Math" w:hAnsi="Cambria Math" w:cs="Times New Roman"/>
                      </w:rPr>
                      <m:t>E</m:t>
                    </m:r>
                    <m:d>
                      <m:dPr>
                        <m:ctrlPr>
                          <w:rPr>
                            <w:rFonts w:ascii="Cambria Math" w:hAnsi="Cambria Math" w:cs="Times New Roman"/>
                            <w:i/>
                          </w:rPr>
                        </m:ctrlPr>
                      </m:dPr>
                      <m:e>
                        <m:bar>
                          <m:barPr>
                            <m:pos m:val="top"/>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e>
                    </m:d>
                  </m:den>
                </m:f>
                <m:r>
                  <w:rPr>
                    <w:rFonts w:ascii="Cambria Math" w:hAnsi="Cambria Math" w:cs="Times New Roman"/>
                  </w:rPr>
                  <m:t>=1-</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num>
                  <m:den>
                    <m:r>
                      <w:rPr>
                        <w:rFonts w:ascii="Cambria Math" w:hAnsi="Cambria Math" w:cs="Times New Roman"/>
                      </w:rPr>
                      <m:t>E(</m:t>
                    </m:r>
                    <m:bar>
                      <m:barPr>
                        <m:pos m:val="top"/>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r>
                      <w:rPr>
                        <w:rFonts w:ascii="Cambria Math" w:hAnsi="Cambria Math" w:cs="Times New Roman"/>
                      </w:rPr>
                      <m:t>)</m:t>
                    </m:r>
                  </m:den>
                </m:f>
              </m:oMath>
            </m:oMathPara>
          </w:p>
        </w:tc>
        <w:tc>
          <w:tcPr>
            <w:tcW w:w="250" w:type="pct"/>
            <w:vAlign w:val="center"/>
            <w:hideMark/>
          </w:tcPr>
          <w:p w14:paraId="0CC7DD83" w14:textId="77777777" w:rsidR="000B7137" w:rsidRPr="0016555F" w:rsidRDefault="00060DC1" w:rsidP="0016555F">
            <w:pPr>
              <w:jc w:val="both"/>
              <w:rPr>
                <w:rFonts w:eastAsia="Times New Roman" w:cs="Times New Roman"/>
              </w:rPr>
            </w:pPr>
            <w:r w:rsidRPr="0016555F">
              <w:rPr>
                <w:rFonts w:eastAsia="Times New Roman" w:cs="Times New Roman"/>
              </w:rPr>
              <w:t>(15)</w:t>
            </w:r>
          </w:p>
        </w:tc>
      </w:tr>
    </w:tbl>
    <w:p w14:paraId="425D2500" w14:textId="77777777" w:rsidR="00603E66" w:rsidRDefault="00603E66" w:rsidP="00603E66">
      <w:pPr>
        <w:pStyle w:val="nopar"/>
        <w:spacing w:before="0" w:beforeAutospacing="0" w:after="0" w:afterAutospacing="0" w:line="120" w:lineRule="auto"/>
        <w:jc w:val="both"/>
        <w:rPr>
          <w:rFonts w:cs="Times New Roman"/>
        </w:rPr>
      </w:pPr>
    </w:p>
    <w:p w14:paraId="3ACCD781" w14:textId="46B91C6E" w:rsidR="000B7137" w:rsidRPr="0016555F" w:rsidRDefault="00060DC1" w:rsidP="0016555F">
      <w:pPr>
        <w:pStyle w:val="nopar"/>
        <w:spacing w:before="0" w:beforeAutospacing="0" w:after="0" w:afterAutospacing="0"/>
        <w:jc w:val="both"/>
        <w:rPr>
          <w:rFonts w:cs="Times New Roman"/>
        </w:rPr>
      </w:pPr>
      <w:r w:rsidRPr="0016555F">
        <w:rPr>
          <w:rFonts w:cs="Times New Roman"/>
        </w:rPr>
        <w:t xml:space="preserve">which is identical to </w:t>
      </w:r>
      <w:r w:rsidR="00BA7C9F" w:rsidRPr="0016555F">
        <w:t>Equation 12,</w:t>
      </w:r>
      <w:r w:rsidRPr="0016555F">
        <w:rPr>
          <w:rFonts w:cs="Times New Roman"/>
        </w:rPr>
        <w:t xml:space="preserve"> the approximation of our measure in the case of large numbers of black and white households. Thus our measure can be thought of as a </w:t>
      </w:r>
      <w:r w:rsidRPr="0016555F">
        <w:rPr>
          <w:rFonts w:cs="Times New Roman"/>
        </w:rPr>
        <w:lastRenderedPageBreak/>
        <w:t xml:space="preserve">household-level measure of evenness when the number of black and white households is large. </w:t>
      </w:r>
    </w:p>
    <w:p w14:paraId="5F7455D7" w14:textId="7FCEC4A6" w:rsidR="000B7137" w:rsidRPr="0016555F" w:rsidRDefault="00060DC1" w:rsidP="0016555F">
      <w:pPr>
        <w:pStyle w:val="indent"/>
        <w:spacing w:before="0" w:beforeAutospacing="0" w:after="0" w:afterAutospacing="0"/>
        <w:jc w:val="both"/>
        <w:rPr>
          <w:rFonts w:cs="Times New Roman"/>
        </w:rPr>
      </w:pPr>
      <w:r w:rsidRPr="0016555F">
        <w:rPr>
          <w:rFonts w:cs="Times New Roman"/>
        </w:rPr>
        <w:t>It is important to note that the assumption required for this reformulation of the measure, that</w:t>
      </w:r>
      <w:r w:rsidR="00BA7C9F" w:rsidRPr="0016555F">
        <w:rPr>
          <w:rFonts w:cs="Times New Roman"/>
        </w:rPr>
        <w:t xml:space="preserve"> </w:t>
      </w:r>
      <m:oMath>
        <m:r>
          <w:rPr>
            <w:rFonts w:ascii="Cambria Math" w:hAnsi="Cambria Math" w:cs="Times New Roman"/>
          </w:rPr>
          <m:t>E(</m:t>
        </m:r>
        <m:bar>
          <m:barPr>
            <m:pos m:val="top"/>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r>
          <w:rPr>
            <w:rFonts w:ascii="Cambria Math" w:hAnsi="Cambria Math" w:cs="Times New Roman"/>
          </w:rPr>
          <m:t>)</m:t>
        </m:r>
      </m:oMath>
      <w:r w:rsidRPr="0016555F">
        <w:rPr>
          <w:rFonts w:cs="Times New Roman"/>
        </w:rPr>
        <w:t xml:space="preserve"> is substantially larger than</w:t>
      </w:r>
      <w:r w:rsidR="00BA7C9F" w:rsidRPr="0016555F">
        <w:rPr>
          <w:rFonts w:cs="Times New Roman"/>
        </w:rPr>
        <w:t xml:space="preserve"> </w:t>
      </w:r>
      <m:oMath>
        <m:r>
          <w:rPr>
            <w:rFonts w:ascii="Cambria Math" w:hAnsi="Cambria Math" w:cs="Times New Roman"/>
          </w:rPr>
          <m:t>E(</m:t>
        </m:r>
        <m:bar>
          <m:barPr>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r>
          <w:rPr>
            <w:rFonts w:ascii="Cambria Math" w:hAnsi="Cambria Math" w:cs="Times New Roman"/>
          </w:rPr>
          <m:t>)</m:t>
        </m:r>
      </m:oMath>
      <w:r w:rsidRPr="0016555F">
        <w:rPr>
          <w:rFonts w:cs="Times New Roman"/>
        </w:rPr>
        <w:t>, is a strong assumption. When applying our measure to smaller geographical areas such as individual enumeration districts and to areas with very small numbers of black households,</w:t>
      </w:r>
      <w:r w:rsidR="00BA7C9F" w:rsidRPr="0016555F">
        <w:rPr>
          <w:rFonts w:cs="Times New Roman"/>
        </w:rPr>
        <w:t xml:space="preserve"> </w:t>
      </w:r>
      <m:oMath>
        <m:r>
          <w:rPr>
            <w:rFonts w:ascii="Cambria Math" w:hAnsi="Cambria Math" w:cs="Times New Roman"/>
          </w:rPr>
          <m:t>E(</m:t>
        </m:r>
        <m:bar>
          <m:barPr>
            <m:pos m:val="top"/>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r>
          <w:rPr>
            <w:rFonts w:ascii="Cambria Math" w:hAnsi="Cambria Math" w:cs="Times New Roman"/>
          </w:rPr>
          <m:t>)</m:t>
        </m:r>
      </m:oMath>
      <w:r w:rsidRPr="0016555F">
        <w:rPr>
          <w:rFonts w:cs="Times New Roman"/>
        </w:rPr>
        <w:t xml:space="preserve"> will not be orders of magnitude larger than</w:t>
      </w:r>
      <m:oMath>
        <m:r>
          <w:rPr>
            <w:rFonts w:ascii="Cambria Math" w:hAnsi="Cambria Math" w:cs="Times New Roman"/>
          </w:rPr>
          <m:t xml:space="preserve"> E(</m:t>
        </m:r>
        <m:bar>
          <m:barPr>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bar>
        <m:r>
          <w:rPr>
            <w:rFonts w:ascii="Cambria Math" w:hAnsi="Cambria Math" w:cs="Times New Roman"/>
          </w:rPr>
          <m:t>)</m:t>
        </m:r>
      </m:oMath>
      <w:r w:rsidRPr="0016555F">
        <w:rPr>
          <w:rFonts w:cs="Times New Roman"/>
        </w:rPr>
        <w:t>. One key advantage of our measure as defined in</w:t>
      </w:r>
      <w:r w:rsidR="00BA7C9F" w:rsidRPr="0016555F">
        <w:rPr>
          <w:rFonts w:cs="Times New Roman"/>
        </w:rPr>
        <w:t xml:space="preserve"> Equation 11</w:t>
      </w:r>
      <w:r w:rsidR="00BA7C9F" w:rsidRPr="0016555F">
        <w:t xml:space="preserve"> </w:t>
      </w:r>
      <w:r w:rsidRPr="0016555F">
        <w:rPr>
          <w:rFonts w:cs="Times New Roman"/>
        </w:rPr>
        <w:t xml:space="preserve">relative to traditional measures is that it can still be applied to small black populations and small total populations while maintaining a consistent interpretation for the values of zero and one. As the simulations in the </w:t>
      </w:r>
      <w:r w:rsidR="00603E66">
        <w:rPr>
          <w:rFonts w:cs="Times New Roman"/>
        </w:rPr>
        <w:t>A</w:t>
      </w:r>
      <w:r w:rsidRPr="0016555F">
        <w:rPr>
          <w:rFonts w:cs="Times New Roman"/>
        </w:rPr>
        <w:t xml:space="preserve">ppendix demonstrate, traditional measures of segregation such as dissimilarity and isolation do not reliably converge to zero in the case of complete integration or one in the case of complete segregation when populations are small while our measure does. </w:t>
      </w:r>
    </w:p>
    <w:p w14:paraId="3A5B0F0A" w14:textId="77777777" w:rsidR="00603E66" w:rsidRDefault="00603E66" w:rsidP="0016555F">
      <w:pPr>
        <w:pStyle w:val="Heading3"/>
        <w:spacing w:before="0" w:beforeAutospacing="0" w:after="0" w:afterAutospacing="0"/>
        <w:jc w:val="both"/>
        <w:rPr>
          <w:rStyle w:val="titlemark"/>
          <w:rFonts w:eastAsia="Times New Roman" w:cs="Times New Roman"/>
          <w:sz w:val="20"/>
          <w:szCs w:val="20"/>
        </w:rPr>
      </w:pPr>
    </w:p>
    <w:p w14:paraId="0D0DFB1D" w14:textId="0DEB914E" w:rsidR="000B7137" w:rsidRPr="00603E66" w:rsidRDefault="00C066A1" w:rsidP="00603E66">
      <w:pPr>
        <w:pStyle w:val="Heading3"/>
        <w:spacing w:before="0" w:beforeAutospacing="0" w:after="0" w:afterAutospacing="0"/>
        <w:jc w:val="center"/>
        <w:rPr>
          <w:rFonts w:ascii="Times New Roman" w:eastAsia="Times New Roman" w:hAnsi="Times New Roman" w:cs="Times New Roman"/>
          <w:b w:val="0"/>
          <w:caps/>
          <w:sz w:val="20"/>
          <w:szCs w:val="20"/>
        </w:rPr>
      </w:pPr>
      <w:r w:rsidRPr="00603E66">
        <w:rPr>
          <w:rStyle w:val="titlemark"/>
          <w:rFonts w:ascii="Times New Roman" w:eastAsia="Times New Roman" w:hAnsi="Times New Roman" w:cs="Times New Roman"/>
          <w:b w:val="0"/>
          <w:caps/>
          <w:sz w:val="20"/>
          <w:szCs w:val="20"/>
        </w:rPr>
        <w:t>Appendix 2:</w:t>
      </w:r>
      <w:r w:rsidR="00060DC1" w:rsidRPr="00603E66">
        <w:rPr>
          <w:rStyle w:val="titlemark"/>
          <w:rFonts w:ascii="Times New Roman" w:eastAsia="Times New Roman" w:hAnsi="Times New Roman" w:cs="Times New Roman"/>
          <w:b w:val="0"/>
          <w:caps/>
          <w:sz w:val="20"/>
          <w:szCs w:val="20"/>
        </w:rPr>
        <w:t xml:space="preserve"> </w:t>
      </w:r>
      <w:r w:rsidR="00060DC1" w:rsidRPr="00603E66">
        <w:rPr>
          <w:rFonts w:ascii="Times New Roman" w:eastAsia="Times New Roman" w:hAnsi="Times New Roman" w:cs="Times New Roman"/>
          <w:b w:val="0"/>
          <w:caps/>
          <w:sz w:val="20"/>
          <w:szCs w:val="20"/>
        </w:rPr>
        <w:t>Simulati</w:t>
      </w:r>
      <w:r w:rsidR="00603E66" w:rsidRPr="00603E66">
        <w:rPr>
          <w:rFonts w:ascii="Times New Roman" w:eastAsia="Times New Roman" w:hAnsi="Times New Roman" w:cs="Times New Roman"/>
          <w:b w:val="0"/>
          <w:caps/>
          <w:sz w:val="20"/>
          <w:szCs w:val="20"/>
        </w:rPr>
        <w:t>ons of the Segregation Measure</w:t>
      </w:r>
    </w:p>
    <w:p w14:paraId="525CBA7D" w14:textId="77777777" w:rsidR="00603E66" w:rsidRDefault="00603E66" w:rsidP="0016555F">
      <w:pPr>
        <w:pStyle w:val="noindent"/>
        <w:spacing w:before="0" w:beforeAutospacing="0" w:after="0" w:afterAutospacing="0"/>
        <w:jc w:val="both"/>
        <w:rPr>
          <w:rFonts w:cs="Times New Roman"/>
        </w:rPr>
      </w:pPr>
    </w:p>
    <w:p w14:paraId="6C67517D" w14:textId="77777777" w:rsidR="000B7137" w:rsidRPr="0016555F" w:rsidRDefault="00060DC1" w:rsidP="00051911">
      <w:pPr>
        <w:pStyle w:val="noindent"/>
        <w:spacing w:before="0" w:beforeAutospacing="0" w:after="0" w:afterAutospacing="0"/>
        <w:ind w:firstLine="360"/>
        <w:jc w:val="both"/>
        <w:rPr>
          <w:rFonts w:cs="Times New Roman"/>
        </w:rPr>
      </w:pPr>
      <w:r w:rsidRPr="0016555F">
        <w:rPr>
          <w:rFonts w:cs="Times New Roman"/>
        </w:rPr>
        <w:t xml:space="preserve">In order to assess the sensitivity of our measure to missing information in the census, to compare our measure to traditional segregation indices, and to investigate how sensitive our measure is to areas of different population sizes, we perform a series of simulations calculating our measure. We simulate both completely integrated and completely segregated areas, varying the size and racial composition of the areas as well as the number of missing neighbors. These simulations confirm that our measure accurately identifies the level of segregation even in the presence of missing data and that it does so more precisely than traditional measures based on geographic subunits. </w:t>
      </w:r>
    </w:p>
    <w:p w14:paraId="4D73F992" w14:textId="77777777" w:rsidR="00051911" w:rsidRDefault="00051911" w:rsidP="0016555F">
      <w:pPr>
        <w:pStyle w:val="Heading4"/>
        <w:spacing w:before="0" w:beforeAutospacing="0" w:after="0" w:afterAutospacing="0"/>
        <w:jc w:val="both"/>
        <w:rPr>
          <w:rFonts w:eastAsia="Times New Roman" w:cs="Times New Roman"/>
          <w:sz w:val="20"/>
          <w:szCs w:val="20"/>
        </w:rPr>
      </w:pPr>
    </w:p>
    <w:p w14:paraId="52AE0CF7" w14:textId="69812E5C" w:rsidR="000B7137" w:rsidRPr="00051911" w:rsidRDefault="00060DC1" w:rsidP="0016555F">
      <w:pPr>
        <w:pStyle w:val="Heading4"/>
        <w:spacing w:before="0" w:beforeAutospacing="0" w:after="0" w:afterAutospacing="0"/>
        <w:jc w:val="both"/>
        <w:rPr>
          <w:rFonts w:eastAsia="Times New Roman" w:cs="Times New Roman"/>
          <w:b w:val="0"/>
          <w:i/>
          <w:sz w:val="20"/>
          <w:szCs w:val="20"/>
        </w:rPr>
      </w:pPr>
      <w:r w:rsidRPr="00051911">
        <w:rPr>
          <w:rFonts w:eastAsia="Times New Roman" w:cs="Times New Roman"/>
          <w:b w:val="0"/>
          <w:i/>
          <w:sz w:val="20"/>
          <w:szCs w:val="20"/>
        </w:rPr>
        <w:t>Simulating Segregated and Integrated Communities</w:t>
      </w:r>
    </w:p>
    <w:p w14:paraId="7A343093" w14:textId="77777777" w:rsidR="000B7137" w:rsidRPr="0016555F" w:rsidRDefault="00060DC1" w:rsidP="00051911">
      <w:pPr>
        <w:pStyle w:val="noindent"/>
        <w:spacing w:before="0" w:beforeAutospacing="0" w:after="0" w:afterAutospacing="0"/>
        <w:ind w:firstLine="360"/>
        <w:jc w:val="both"/>
        <w:rPr>
          <w:rFonts w:cs="Times New Roman"/>
        </w:rPr>
      </w:pPr>
      <w:r w:rsidRPr="0016555F">
        <w:rPr>
          <w:rFonts w:cs="Times New Roman"/>
        </w:rPr>
        <w:t xml:space="preserve">We begin by constructing a line of households with the appropriate number of black households followed by the appropriate number of white households, a completely segregated community. To simulate completely integrated areas, we assign a random number to each household and reorder the households along the line on the basis of this number. This produces household locations that are independent of race by design. </w:t>
      </w:r>
    </w:p>
    <w:p w14:paraId="3F38773B" w14:textId="2E9F6FC0" w:rsidR="000B7137" w:rsidRPr="0016555F" w:rsidRDefault="00060DC1" w:rsidP="0016555F">
      <w:pPr>
        <w:pStyle w:val="indent"/>
        <w:spacing w:before="0" w:beforeAutospacing="0" w:after="0" w:afterAutospacing="0"/>
        <w:jc w:val="both"/>
        <w:rPr>
          <w:rFonts w:cs="Times New Roman"/>
        </w:rPr>
      </w:pPr>
      <w:r w:rsidRPr="0016555F">
        <w:rPr>
          <w:rFonts w:cs="Times New Roman"/>
        </w:rPr>
        <w:t xml:space="preserve">We take two approaches to constructing the simulated areas. The first is to hold the relative proportion of black and white households fixed while varying the overall area size from </w:t>
      </w:r>
      <w:r w:rsidR="00ED196F">
        <w:rPr>
          <w:rFonts w:cs="Times New Roman"/>
        </w:rPr>
        <w:t>20</w:t>
      </w:r>
      <w:r w:rsidRPr="0016555F">
        <w:rPr>
          <w:rFonts w:cs="Times New Roman"/>
        </w:rPr>
        <w:t xml:space="preserve"> households to 4</w:t>
      </w:r>
      <w:r w:rsidR="00ED196F">
        <w:rPr>
          <w:rFonts w:cs="Times New Roman"/>
        </w:rPr>
        <w:t>,</w:t>
      </w:r>
      <w:r w:rsidRPr="0016555F">
        <w:rPr>
          <w:rFonts w:cs="Times New Roman"/>
        </w:rPr>
        <w:t>000 households. The second is to hold the area size fixed at 2</w:t>
      </w:r>
      <w:r w:rsidR="00B22922">
        <w:rPr>
          <w:rFonts w:cs="Times New Roman"/>
        </w:rPr>
        <w:t>,</w:t>
      </w:r>
      <w:r w:rsidRPr="0016555F">
        <w:rPr>
          <w:rFonts w:cs="Times New Roman"/>
        </w:rPr>
        <w:t xml:space="preserve">000 households and vary the percentage of black households from </w:t>
      </w:r>
      <w:r w:rsidR="00B22922">
        <w:rPr>
          <w:rFonts w:cs="Times New Roman"/>
        </w:rPr>
        <w:t>1</w:t>
      </w:r>
      <w:r w:rsidRPr="0016555F">
        <w:rPr>
          <w:rFonts w:cs="Times New Roman"/>
        </w:rPr>
        <w:t xml:space="preserve"> to 99 percent. For each area size and racial composition of the population, we simulate 1</w:t>
      </w:r>
      <w:r w:rsidR="00B22922">
        <w:rPr>
          <w:rFonts w:cs="Times New Roman"/>
        </w:rPr>
        <w:t>,</w:t>
      </w:r>
      <w:r w:rsidRPr="0016555F">
        <w:rPr>
          <w:rFonts w:cs="Times New Roman"/>
        </w:rPr>
        <w:t xml:space="preserve">000 different areas, each based on a different draw of random numbers, and calculate our neighbor-based segregation index. To assess how sensitive the measures are to missing individuals, </w:t>
      </w:r>
      <w:r w:rsidR="00B22922">
        <w:rPr>
          <w:rFonts w:cs="Times New Roman"/>
        </w:rPr>
        <w:t>5</w:t>
      </w:r>
      <w:r w:rsidRPr="0016555F">
        <w:rPr>
          <w:rFonts w:cs="Times New Roman"/>
        </w:rPr>
        <w:t xml:space="preserve"> percent of the househol</w:t>
      </w:r>
      <w:r w:rsidR="00B22922">
        <w:rPr>
          <w:rFonts w:cs="Times New Roman"/>
        </w:rPr>
        <w:t>ds are randomly selected to be “missing”</w:t>
      </w:r>
      <w:r w:rsidRPr="0016555F">
        <w:rPr>
          <w:rFonts w:cs="Times New Roman"/>
        </w:rPr>
        <w:t xml:space="preserve"> and therefore not included in the segregation measure calculations.</w:t>
      </w:r>
      <w:r w:rsidR="00FD3679" w:rsidRPr="0016555F">
        <w:rPr>
          <w:rStyle w:val="FootnoteReference"/>
          <w:rFonts w:cs="Times New Roman"/>
        </w:rPr>
        <w:footnoteReference w:customMarkFollows="1" w:id="4"/>
        <w:t>4</w:t>
      </w:r>
      <w:r w:rsidRPr="0016555F">
        <w:rPr>
          <w:rFonts w:cs="Times New Roman"/>
        </w:rPr>
        <w:t xml:space="preserve"> </w:t>
      </w:r>
    </w:p>
    <w:p w14:paraId="7442E7C6" w14:textId="6D6F1FCC" w:rsidR="000B7137" w:rsidRPr="0016555F" w:rsidRDefault="00060DC1" w:rsidP="0016555F">
      <w:pPr>
        <w:pStyle w:val="indent"/>
        <w:spacing w:before="0" w:beforeAutospacing="0" w:after="0" w:afterAutospacing="0"/>
        <w:jc w:val="both"/>
        <w:rPr>
          <w:rFonts w:cs="Times New Roman"/>
        </w:rPr>
      </w:pPr>
      <w:r w:rsidRPr="0016555F">
        <w:rPr>
          <w:rFonts w:cs="Times New Roman"/>
        </w:rPr>
        <w:t xml:space="preserve">Our measure begins from a fundamentally different unit of analysis than existing measures, making it difficult to perform a direct empirical comparison of the methods. Analytically, aggregating our measure to the level of the census tract and block reveals different information about segregation in the subunit than the population shares used in traditional measures. The traditional measures, at their base, require only population shares by race, while our measure uses alignment and is not hierarchical. Subunit </w:t>
      </w:r>
      <w:r w:rsidRPr="0016555F">
        <w:rPr>
          <w:rFonts w:cs="Times New Roman"/>
        </w:rPr>
        <w:lastRenderedPageBreak/>
        <w:t>differences in the neighbor-based segregation measure reflect subtle, but potentially important, differences in spatial distribution.</w:t>
      </w:r>
      <w:r w:rsidR="00FD3679" w:rsidRPr="0016555F">
        <w:rPr>
          <w:rStyle w:val="FootnoteReference"/>
          <w:rFonts w:cs="Times New Roman"/>
        </w:rPr>
        <w:footnoteReference w:customMarkFollows="1" w:id="5"/>
        <w:t>5</w:t>
      </w:r>
    </w:p>
    <w:p w14:paraId="45C292DC" w14:textId="27B65414" w:rsidR="000B7137" w:rsidRPr="0016555F" w:rsidRDefault="00060DC1" w:rsidP="0016555F">
      <w:pPr>
        <w:pStyle w:val="indent"/>
        <w:spacing w:before="0" w:beforeAutospacing="0" w:after="0" w:afterAutospacing="0"/>
        <w:jc w:val="both"/>
        <w:rPr>
          <w:rFonts w:cs="Times New Roman"/>
        </w:rPr>
      </w:pPr>
      <w:r w:rsidRPr="0016555F">
        <w:rPr>
          <w:rFonts w:cs="Times New Roman"/>
        </w:rPr>
        <w:t>To gauge the importance of these effects we also simulate the two most popular measures of segregation, dissimilarity and isolation.</w:t>
      </w:r>
      <w:r w:rsidR="007B4E05" w:rsidRPr="0016555F">
        <w:rPr>
          <w:rStyle w:val="FootnoteReference"/>
          <w:rFonts w:cs="Times New Roman"/>
        </w:rPr>
        <w:footnoteReference w:customMarkFollows="1" w:id="6"/>
        <w:t>6</w:t>
      </w:r>
      <w:r w:rsidR="007B4E05" w:rsidRPr="0016555F">
        <w:rPr>
          <w:rFonts w:cs="Times New Roman"/>
          <w:vertAlign w:val="superscript"/>
        </w:rPr>
        <w:t xml:space="preserve"> </w:t>
      </w:r>
      <w:r w:rsidRPr="0016555F">
        <w:rPr>
          <w:rFonts w:cs="Times New Roman"/>
        </w:rPr>
        <w:t>For the purposes of calculating the dissimilarity index and isolation index, we divide the line into wards of equal size. We simulate ward boundaries that are drawn independent of race by randomly choosing the starting position of the block of black households along the line of households.</w:t>
      </w:r>
      <w:r w:rsidR="007B4E05" w:rsidRPr="0016555F">
        <w:rPr>
          <w:rStyle w:val="FootnoteReference"/>
          <w:rFonts w:cs="Times New Roman"/>
        </w:rPr>
        <w:footnoteReference w:customMarkFollows="1" w:id="7"/>
        <w:t>7</w:t>
      </w:r>
      <w:r w:rsidR="007B4E05" w:rsidRPr="0016555F">
        <w:rPr>
          <w:rFonts w:cs="Times New Roman"/>
          <w:vertAlign w:val="superscript"/>
        </w:rPr>
        <w:t xml:space="preserve"> </w:t>
      </w:r>
      <w:r w:rsidRPr="0016555F">
        <w:rPr>
          <w:rFonts w:cs="Times New Roman"/>
        </w:rPr>
        <w:t xml:space="preserve">Thus the completely segregated area has a single neighborhood of all black households that may or may not cross ward boundaries with a neighborhood of all white households to the right and/or left of it along the line. We also simulate gerrymandered wards, for which the black population is concentrated in as few wards as possible. The neighborhood of black households is placed at the beginning of the line to ensure that the black neighborhood is restricted to the first ward until it exceeds the ward size, at which point it is restricted to the first and second wards and so on. To be clear, we estimate neighbor-based segregation, dissimilarity, and isolation for the same simulated areas. </w:t>
      </w:r>
    </w:p>
    <w:p w14:paraId="3AE101B2" w14:textId="77777777" w:rsidR="00B22922" w:rsidRDefault="00B22922" w:rsidP="0016555F">
      <w:pPr>
        <w:pStyle w:val="Heading4"/>
        <w:spacing w:before="0" w:beforeAutospacing="0" w:after="0" w:afterAutospacing="0"/>
        <w:jc w:val="both"/>
        <w:rPr>
          <w:rFonts w:eastAsia="Times New Roman" w:cs="Times New Roman"/>
          <w:sz w:val="20"/>
          <w:szCs w:val="20"/>
        </w:rPr>
      </w:pPr>
    </w:p>
    <w:p w14:paraId="5488EC8B" w14:textId="1BDC74E9" w:rsidR="000B7137" w:rsidRPr="00B22922" w:rsidRDefault="00060DC1" w:rsidP="0016555F">
      <w:pPr>
        <w:pStyle w:val="Heading4"/>
        <w:spacing w:before="0" w:beforeAutospacing="0" w:after="0" w:afterAutospacing="0"/>
        <w:jc w:val="both"/>
        <w:rPr>
          <w:rFonts w:eastAsia="Times New Roman" w:cs="Times New Roman"/>
          <w:b w:val="0"/>
          <w:i/>
          <w:sz w:val="20"/>
          <w:szCs w:val="20"/>
        </w:rPr>
      </w:pPr>
      <w:r w:rsidRPr="00B22922">
        <w:rPr>
          <w:rFonts w:eastAsia="Times New Roman" w:cs="Times New Roman"/>
          <w:b w:val="0"/>
          <w:i/>
          <w:sz w:val="20"/>
          <w:szCs w:val="20"/>
        </w:rPr>
        <w:t>Simulation Results</w:t>
      </w:r>
    </w:p>
    <w:p w14:paraId="23E77C8B" w14:textId="7ACB4B2E" w:rsidR="000B7137" w:rsidRPr="0016555F" w:rsidRDefault="00C43BF2" w:rsidP="00B22922">
      <w:pPr>
        <w:pStyle w:val="noindent"/>
        <w:spacing w:before="0" w:beforeAutospacing="0" w:after="0" w:afterAutospacing="0"/>
        <w:ind w:firstLine="360"/>
        <w:jc w:val="both"/>
        <w:rPr>
          <w:rFonts w:cs="Times New Roman"/>
        </w:rPr>
      </w:pPr>
      <w:r w:rsidRPr="0016555F">
        <w:rPr>
          <w:rFonts w:cs="Times New Roman"/>
        </w:rPr>
        <w:t xml:space="preserve">Figure A2 </w:t>
      </w:r>
      <w:r w:rsidR="00060DC1" w:rsidRPr="0016555F">
        <w:rPr>
          <w:rFonts w:cs="Times New Roman"/>
        </w:rPr>
        <w:t>shows the results of these simulations for a representative set of cases.</w:t>
      </w:r>
      <w:r w:rsidR="00855240" w:rsidRPr="0016555F">
        <w:rPr>
          <w:rStyle w:val="FootnoteReference"/>
          <w:rFonts w:cs="Times New Roman"/>
        </w:rPr>
        <w:footnoteReference w:customMarkFollows="1" w:id="8"/>
        <w:t>8</w:t>
      </w:r>
      <w:r w:rsidR="00855240" w:rsidRPr="0016555F">
        <w:rPr>
          <w:rFonts w:cs="Times New Roman"/>
          <w:vertAlign w:val="superscript"/>
        </w:rPr>
        <w:t xml:space="preserve"> </w:t>
      </w:r>
      <w:r w:rsidR="00060DC1" w:rsidRPr="0016555F">
        <w:rPr>
          <w:rFonts w:cs="Times New Roman"/>
        </w:rPr>
        <w:t xml:space="preserve">For each graph, the upper curve marked with X’s gives the mean value of the segregation index for the completely segregated areas while the lower curve marked with circles gives the mean value of the segregation index for the completely integrated areas. The shaded regions correspond to the range between the 5th and 95th percentiles of the simulated segregation indices, offering a sense of how reliably the segregation indices capture complete segregation or integration. </w:t>
      </w:r>
    </w:p>
    <w:p w14:paraId="02A1B77E" w14:textId="7C631778" w:rsidR="000B7137" w:rsidRPr="0016555F" w:rsidRDefault="00060DC1" w:rsidP="0016555F">
      <w:pPr>
        <w:pStyle w:val="indent"/>
        <w:spacing w:before="0" w:beforeAutospacing="0" w:after="0" w:afterAutospacing="0"/>
        <w:jc w:val="both"/>
        <w:rPr>
          <w:rFonts w:cs="Times New Roman"/>
        </w:rPr>
      </w:pPr>
      <w:r w:rsidRPr="0016555F">
        <w:rPr>
          <w:rFonts w:cs="Times New Roman"/>
        </w:rPr>
        <w:t>There are several features in</w:t>
      </w:r>
      <w:r w:rsidR="00855240" w:rsidRPr="0016555F">
        <w:rPr>
          <w:rFonts w:cs="Times New Roman"/>
        </w:rPr>
        <w:t xml:space="preserve"> Figure A2</w:t>
      </w:r>
      <w:r w:rsidRPr="0016555F">
        <w:rPr>
          <w:rFonts w:cs="Times New Roman"/>
        </w:rPr>
        <w:t xml:space="preserve"> worth noting. First, our neighbor-based segregation index precisely identifies the completely segregated and completely integrated areas for any area with more than a handful of black households despite the presence of a significant number of </w:t>
      </w:r>
      <w:r w:rsidR="00E7637F">
        <w:rPr>
          <w:rFonts w:cs="Times New Roman"/>
        </w:rPr>
        <w:t>“</w:t>
      </w:r>
      <w:r w:rsidRPr="0016555F">
        <w:rPr>
          <w:rFonts w:cs="Times New Roman"/>
        </w:rPr>
        <w:t>missing</w:t>
      </w:r>
      <w:r w:rsidR="00E7637F">
        <w:rPr>
          <w:rFonts w:cs="Times New Roman"/>
        </w:rPr>
        <w:t>”</w:t>
      </w:r>
      <w:r w:rsidRPr="0016555F">
        <w:rPr>
          <w:rFonts w:cs="Times New Roman"/>
        </w:rPr>
        <w:t xml:space="preserve"> households. Specifically, once an area has more than ten black households, the neighbor-based measure is consistently equal to one for the completely segregated area and zero for the completely integrated area. This is true both when varying the racial composition of the area, as in panel (a), or when varying the size of the area, as in panel (b). </w:t>
      </w:r>
    </w:p>
    <w:p w14:paraId="11090BD5" w14:textId="4F56FBCC" w:rsidR="000B7137" w:rsidRPr="0016555F" w:rsidRDefault="00060DC1" w:rsidP="0016555F">
      <w:pPr>
        <w:pStyle w:val="indent"/>
        <w:spacing w:before="0" w:beforeAutospacing="0" w:after="0" w:afterAutospacing="0"/>
        <w:jc w:val="both"/>
        <w:rPr>
          <w:rFonts w:cs="Times New Roman"/>
        </w:rPr>
      </w:pPr>
      <w:r w:rsidRPr="0016555F">
        <w:rPr>
          <w:rFonts w:cs="Times New Roman"/>
        </w:rPr>
        <w:t xml:space="preserve">In stark contrast to our neighbor-based measure, the traditional segregation measures do not consistently or precisely identify complete segregation or integration. Their performance relative to the neighbor-based measure is quite poor. For segregated areas, the means of dissimilarity and isolation never approach one. For integrated areas, the mean of dissimilarity never approaches zero and is quite large at </w:t>
      </w:r>
      <w:r w:rsidRPr="0016555F">
        <w:rPr>
          <w:rFonts w:cs="Times New Roman"/>
        </w:rPr>
        <w:lastRenderedPageBreak/>
        <w:t>low levels of black households, indicating fairly high levels of segregation. The dissimilarity measure remains relatively large even as the number of black households approaches 100, as seen in panel (d). This overstatement of segregation at smaller numbers of black households is extremely problematic when considering the historical racial composition of U</w:t>
      </w:r>
      <w:r w:rsidR="009C415F">
        <w:rPr>
          <w:rFonts w:cs="Times New Roman"/>
        </w:rPr>
        <w:t>.</w:t>
      </w:r>
      <w:r w:rsidRPr="0016555F">
        <w:rPr>
          <w:rFonts w:cs="Times New Roman"/>
        </w:rPr>
        <w:t>S</w:t>
      </w:r>
      <w:r w:rsidR="009C415F">
        <w:rPr>
          <w:rFonts w:cs="Times New Roman"/>
        </w:rPr>
        <w:t>.</w:t>
      </w:r>
      <w:r w:rsidRPr="0016555F">
        <w:rPr>
          <w:rFonts w:cs="Times New Roman"/>
        </w:rPr>
        <w:t xml:space="preserve"> counties: the median county in 1880 had 59 black households with this number only increasing to 66 black households by 1940. The results of the simulation imply that dissimilarity would be imprecisely estimated for a large number of rural areas. </w:t>
      </w:r>
    </w:p>
    <w:p w14:paraId="2317A08E" w14:textId="2B9C6A4E" w:rsidR="000B7137" w:rsidRPr="0016555F" w:rsidRDefault="00060DC1" w:rsidP="0016555F">
      <w:pPr>
        <w:pStyle w:val="indent"/>
        <w:spacing w:before="0" w:beforeAutospacing="0" w:after="0" w:afterAutospacing="0"/>
        <w:jc w:val="both"/>
        <w:rPr>
          <w:rFonts w:cs="Times New Roman"/>
        </w:rPr>
      </w:pPr>
      <w:r w:rsidRPr="0016555F">
        <w:rPr>
          <w:rFonts w:cs="Times New Roman"/>
        </w:rPr>
        <w:t xml:space="preserve">The isolation index approaches zero more quickly than the dissimilarity index for integrated areas as the number of black households increases, but it exhibits its own problems in segregated areas. At any given area size, the simulated values of the isolation index vary substantially for completely segregated areas. In the case of areas divided into ten wards, panel (e), the 5th percentile of the isolation index for completely segregated wards is just over 0.4 while the 95th percentile is close to 0.9, numbers that have dramatically different interpretations in terms of how segregated an area is. Increasing the number of wards to </w:t>
      </w:r>
      <w:r w:rsidR="009C415F">
        <w:rPr>
          <w:rFonts w:cs="Times New Roman"/>
        </w:rPr>
        <w:t>20</w:t>
      </w:r>
      <w:r w:rsidRPr="0016555F">
        <w:rPr>
          <w:rFonts w:cs="Times New Roman"/>
        </w:rPr>
        <w:t xml:space="preserve"> in panel (f) both increases the average value of the isolation index and reduces the variation in the estimates, demonstrating how sensitive traditional measures are to the choice of geographic subunits. While previous analysis of traditional measures has suggested that they perform poorly in small units or when population shares of blacks are</w:t>
      </w:r>
      <w:r w:rsidR="00855240" w:rsidRPr="0016555F">
        <w:rPr>
          <w:rFonts w:cs="Times New Roman"/>
        </w:rPr>
        <w:t xml:space="preserve"> extremely low (Carrington </w:t>
      </w:r>
      <w:r w:rsidR="00CA4BA2" w:rsidRPr="0016555F">
        <w:rPr>
          <w:rFonts w:cs="Times New Roman"/>
        </w:rPr>
        <w:t>and</w:t>
      </w:r>
      <w:r w:rsidR="009C415F">
        <w:rPr>
          <w:rFonts w:cs="Times New Roman"/>
        </w:rPr>
        <w:t xml:space="preserve"> </w:t>
      </w:r>
      <w:proofErr w:type="spellStart"/>
      <w:r w:rsidR="009C415F">
        <w:rPr>
          <w:rFonts w:cs="Times New Roman"/>
        </w:rPr>
        <w:t>Troske</w:t>
      </w:r>
      <w:proofErr w:type="spellEnd"/>
      <w:r w:rsidR="00DD61B9">
        <w:rPr>
          <w:rFonts w:cs="Times New Roman"/>
        </w:rPr>
        <w:t xml:space="preserve"> 1997; </w:t>
      </w:r>
      <w:proofErr w:type="spellStart"/>
      <w:r w:rsidR="00DD61B9">
        <w:rPr>
          <w:rFonts w:cs="Times New Roman"/>
        </w:rPr>
        <w:t>Cortese</w:t>
      </w:r>
      <w:proofErr w:type="spellEnd"/>
      <w:r w:rsidR="00855240" w:rsidRPr="0016555F">
        <w:rPr>
          <w:rFonts w:cs="Times New Roman"/>
        </w:rPr>
        <w:t>,</w:t>
      </w:r>
      <w:r w:rsidR="00DD61B9">
        <w:rPr>
          <w:rFonts w:cs="Times New Roman"/>
        </w:rPr>
        <w:t xml:space="preserve"> Falk, and Cohen</w:t>
      </w:r>
      <w:r w:rsidR="009C415F">
        <w:rPr>
          <w:rFonts w:cs="Times New Roman"/>
        </w:rPr>
        <w:t xml:space="preserve"> 1976; </w:t>
      </w:r>
      <w:proofErr w:type="spellStart"/>
      <w:r w:rsidR="009C415F">
        <w:rPr>
          <w:rFonts w:cs="Times New Roman"/>
        </w:rPr>
        <w:t>Winship</w:t>
      </w:r>
      <w:proofErr w:type="spellEnd"/>
      <w:r w:rsidR="00855240" w:rsidRPr="0016555F">
        <w:rPr>
          <w:rFonts w:cs="Times New Roman"/>
        </w:rPr>
        <w:t xml:space="preserve"> 1978), </w:t>
      </w:r>
      <w:r w:rsidRPr="0016555F">
        <w:rPr>
          <w:rFonts w:cs="Times New Roman"/>
        </w:rPr>
        <w:t>the results in</w:t>
      </w:r>
      <w:r w:rsidR="00855240" w:rsidRPr="0016555F">
        <w:rPr>
          <w:rFonts w:cs="Times New Roman"/>
        </w:rPr>
        <w:t xml:space="preserve"> Figure A2</w:t>
      </w:r>
      <w:r w:rsidRPr="0016555F">
        <w:rPr>
          <w:rFonts w:cs="Times New Roman"/>
        </w:rPr>
        <w:t xml:space="preserve"> show that traditional segregation measures perform poorly in comparison to our measure even when units are large a</w:t>
      </w:r>
      <w:r w:rsidR="001C2CFC">
        <w:rPr>
          <w:rFonts w:cs="Times New Roman"/>
        </w:rPr>
        <w:t>nd population shares are large.</w:t>
      </w:r>
    </w:p>
    <w:p w14:paraId="5C773E94" w14:textId="2C69C218" w:rsidR="000B7137" w:rsidRPr="0016555F" w:rsidRDefault="00060DC1" w:rsidP="0016555F">
      <w:pPr>
        <w:pStyle w:val="indent"/>
        <w:spacing w:before="0" w:beforeAutospacing="0" w:after="0" w:afterAutospacing="0"/>
        <w:jc w:val="both"/>
        <w:rPr>
          <w:rFonts w:cs="Times New Roman"/>
        </w:rPr>
      </w:pPr>
      <w:r w:rsidRPr="0016555F">
        <w:rPr>
          <w:rFonts w:cs="Times New Roman"/>
        </w:rPr>
        <w:t xml:space="preserve">The traditional measures are also dependent on the number of wards in several important ways. Note the periodicity of the dissimilarity index in panels (c) and (g) when varying the percentage of black households. This is the product of how concentrated the black population can be. With </w:t>
      </w:r>
      <w:r w:rsidR="00665FB9">
        <w:rPr>
          <w:rFonts w:cs="Times New Roman"/>
        </w:rPr>
        <w:t>ten</w:t>
      </w:r>
      <w:r w:rsidRPr="0016555F">
        <w:rPr>
          <w:rFonts w:cs="Times New Roman"/>
        </w:rPr>
        <w:t xml:space="preserve"> wards, the black population can be placed in all-black wards when the overall percentage of the population that is black is near a multiple of ten. At these points, the black population will be at its most segregated according to the traditional measures. When the overall percentage is not a multiple of ten, there must be a ward with both black and white households in it, leading to less segregation as measured by the traditional measures. However, there is nothing different about where black individuals live or who their neighbors are, only how their households are fit into wards. Areas that have arbitrary differences in the number of wards may have different segregation measures for reasons un</w:t>
      </w:r>
      <w:r w:rsidR="00BF57EF">
        <w:rPr>
          <w:rFonts w:cs="Times New Roman"/>
        </w:rPr>
        <w:t>related to residential sorting.</w:t>
      </w:r>
    </w:p>
    <w:p w14:paraId="65A8892F" w14:textId="04139CDE" w:rsidR="000B7137" w:rsidRPr="0016555F" w:rsidRDefault="00060DC1" w:rsidP="0016555F">
      <w:pPr>
        <w:pStyle w:val="indent"/>
        <w:spacing w:before="0" w:beforeAutospacing="0" w:after="0" w:afterAutospacing="0"/>
        <w:jc w:val="both"/>
        <w:rPr>
          <w:rFonts w:cs="Times New Roman"/>
        </w:rPr>
      </w:pPr>
      <w:r w:rsidRPr="0016555F">
        <w:rPr>
          <w:rFonts w:cs="Times New Roman"/>
        </w:rPr>
        <w:t>It is not only the number of wards that affects the dissimilarity and isolation values, it is also how they are drawn. When gerrymandering the ward boundaries to concentrate the black population in as few wards as possible, the variation in the traditional measures disappears and both isolation and dissimilarity approach one. However, nothing has actually changed in terms of the residential living patterns or the probability of a black household having a white neighbor. The difference in segregation moving from panels (c) and (e) to panels (g) and (h) is purely an artifact of how boundaries are drawn. The underlying residential locations are unchanged. The simulation shows the extreme sensitivity of traditional segregation measures to boundaries, a limitation noted by the existing segregatio</w:t>
      </w:r>
      <w:r w:rsidR="00855240" w:rsidRPr="0016555F">
        <w:rPr>
          <w:rFonts w:cs="Times New Roman"/>
        </w:rPr>
        <w:t>n literature (</w:t>
      </w:r>
      <w:proofErr w:type="spellStart"/>
      <w:r w:rsidR="00855240" w:rsidRPr="0016555F">
        <w:rPr>
          <w:rFonts w:cs="Times New Roman"/>
        </w:rPr>
        <w:t>Echenique</w:t>
      </w:r>
      <w:proofErr w:type="spellEnd"/>
      <w:r w:rsidR="00855240" w:rsidRPr="0016555F">
        <w:rPr>
          <w:rFonts w:cs="Times New Roman"/>
        </w:rPr>
        <w:t xml:space="preserve"> </w:t>
      </w:r>
      <w:r w:rsidR="00CA4BA2" w:rsidRPr="0016555F">
        <w:rPr>
          <w:rFonts w:cs="Times New Roman"/>
        </w:rPr>
        <w:t>and</w:t>
      </w:r>
      <w:r w:rsidR="00855240" w:rsidRPr="0016555F">
        <w:rPr>
          <w:rFonts w:cs="Times New Roman"/>
        </w:rPr>
        <w:t xml:space="preserve"> Fryer 2007; Massey </w:t>
      </w:r>
      <w:r w:rsidR="00CA4BA2" w:rsidRPr="0016555F">
        <w:rPr>
          <w:rFonts w:cs="Times New Roman"/>
        </w:rPr>
        <w:t>and</w:t>
      </w:r>
      <w:r w:rsidR="00855240" w:rsidRPr="0016555F">
        <w:rPr>
          <w:rFonts w:cs="Times New Roman"/>
        </w:rPr>
        <w:t xml:space="preserve"> Denton 1993; </w:t>
      </w:r>
      <w:proofErr w:type="spellStart"/>
      <w:r w:rsidR="00855240" w:rsidRPr="0016555F">
        <w:rPr>
          <w:rFonts w:cs="Times New Roman"/>
        </w:rPr>
        <w:t>Taeuber</w:t>
      </w:r>
      <w:proofErr w:type="spellEnd"/>
      <w:r w:rsidR="00855240" w:rsidRPr="0016555F">
        <w:rPr>
          <w:rFonts w:cs="Times New Roman"/>
        </w:rPr>
        <w:t xml:space="preserve"> </w:t>
      </w:r>
      <w:r w:rsidR="00CA4BA2" w:rsidRPr="0016555F">
        <w:rPr>
          <w:rFonts w:cs="Times New Roman"/>
        </w:rPr>
        <w:t>and</w:t>
      </w:r>
      <w:r w:rsidR="00855240" w:rsidRPr="0016555F">
        <w:rPr>
          <w:rFonts w:cs="Times New Roman"/>
        </w:rPr>
        <w:t xml:space="preserve"> </w:t>
      </w:r>
      <w:proofErr w:type="spellStart"/>
      <w:r w:rsidR="00855240" w:rsidRPr="0016555F">
        <w:rPr>
          <w:rFonts w:cs="Times New Roman"/>
        </w:rPr>
        <w:t>Taeuber</w:t>
      </w:r>
      <w:proofErr w:type="spellEnd"/>
      <w:r w:rsidR="00855240" w:rsidRPr="0016555F">
        <w:rPr>
          <w:rFonts w:cs="Times New Roman"/>
        </w:rPr>
        <w:t xml:space="preserve"> 196</w:t>
      </w:r>
      <w:r w:rsidR="00D474E0" w:rsidRPr="0016555F">
        <w:rPr>
          <w:rFonts w:cs="Times New Roman"/>
        </w:rPr>
        <w:t>5</w:t>
      </w:r>
      <w:r w:rsidR="00855240" w:rsidRPr="0016555F">
        <w:rPr>
          <w:rFonts w:cs="Times New Roman"/>
        </w:rPr>
        <w:t>).</w:t>
      </w:r>
    </w:p>
    <w:p w14:paraId="0DA3AC9D" w14:textId="77777777" w:rsidR="000B7137" w:rsidRPr="0016555F" w:rsidRDefault="00060DC1" w:rsidP="0016555F">
      <w:pPr>
        <w:pStyle w:val="indent"/>
        <w:spacing w:before="0" w:beforeAutospacing="0" w:after="0" w:afterAutospacing="0"/>
        <w:jc w:val="both"/>
        <w:rPr>
          <w:rFonts w:cs="Times New Roman"/>
        </w:rPr>
      </w:pPr>
      <w:r w:rsidRPr="0016555F">
        <w:rPr>
          <w:rFonts w:cs="Times New Roman"/>
        </w:rPr>
        <w:t xml:space="preserve">The simulations demonstrate that our measure reliably identifies segregation and integration in communities, even at very low numbers of black households and in the presence of missing data. Dissimilarity and isolation, with their dependence on how subunit boundaries are drawn and how many subunits are used, produce widely </w:t>
      </w:r>
      <w:r w:rsidRPr="0016555F">
        <w:rPr>
          <w:rFonts w:cs="Times New Roman"/>
        </w:rPr>
        <w:lastRenderedPageBreak/>
        <w:t xml:space="preserve">varying estimates of the level of segregation even for our simulated areas with completely segregated or completely integrated black populations. Moreover, the simulations show that the differences between our measure and traditional measures are not due to differences in underlying population sizes, unit size, or the respective sizes of the black and white populations in a given area. Since we allow for the areas to be sampled the differences between our measure and traditional measures are not likely to be due to idiosyncratic differences in enumeration. The simulations demonstrate the distinct advantages of having a measure based on individual household location rather than the racial composition of geographic subunits. By doing away with the need for these geographic subunits and concentrating on the finest level of racial sorting, our neighbor-based measure is not subject to these artificial fluctuations in estimated segregation levels. </w:t>
      </w:r>
    </w:p>
    <w:p w14:paraId="71441EF4" w14:textId="77777777" w:rsidR="00E73CDC" w:rsidRDefault="00E73CDC">
      <w:pPr>
        <w:rPr>
          <w:rStyle w:val="titlemark"/>
          <w:rFonts w:eastAsia="Times New Roman" w:cs="Times New Roman"/>
          <w:b/>
          <w:bCs/>
          <w:sz w:val="27"/>
          <w:szCs w:val="27"/>
        </w:rPr>
      </w:pPr>
      <w:r>
        <w:rPr>
          <w:rStyle w:val="titlemark"/>
          <w:rFonts w:eastAsia="Times New Roman" w:cs="Times New Roman"/>
        </w:rPr>
        <w:br w:type="page"/>
      </w:r>
    </w:p>
    <w:p w14:paraId="5B21C306" w14:textId="11E66027" w:rsidR="000B7137" w:rsidRPr="00BF57EF" w:rsidRDefault="00995869" w:rsidP="00BF57EF">
      <w:pPr>
        <w:pStyle w:val="Heading3"/>
        <w:jc w:val="center"/>
        <w:rPr>
          <w:rFonts w:eastAsia="Times New Roman" w:cs="Times New Roman"/>
          <w:b w:val="0"/>
          <w:caps/>
          <w:sz w:val="20"/>
          <w:szCs w:val="20"/>
        </w:rPr>
      </w:pPr>
      <w:r w:rsidRPr="00BF57EF">
        <w:rPr>
          <w:rStyle w:val="titlemark"/>
          <w:rFonts w:eastAsia="Times New Roman" w:cs="Times New Roman"/>
          <w:b w:val="0"/>
          <w:caps/>
          <w:sz w:val="20"/>
          <w:szCs w:val="20"/>
        </w:rPr>
        <w:lastRenderedPageBreak/>
        <w:t>Appendix</w:t>
      </w:r>
      <w:r w:rsidR="00C066A1" w:rsidRPr="00BF57EF">
        <w:rPr>
          <w:rStyle w:val="titlemark"/>
          <w:rFonts w:eastAsia="Times New Roman" w:cs="Times New Roman"/>
          <w:b w:val="0"/>
          <w:caps/>
          <w:sz w:val="20"/>
          <w:szCs w:val="20"/>
        </w:rPr>
        <w:t xml:space="preserve"> 3:</w:t>
      </w:r>
      <w:r w:rsidR="00060DC1" w:rsidRPr="00BF57EF">
        <w:rPr>
          <w:rFonts w:eastAsia="Times New Roman" w:cs="Times New Roman"/>
          <w:b w:val="0"/>
          <w:caps/>
          <w:sz w:val="20"/>
          <w:szCs w:val="20"/>
        </w:rPr>
        <w:t xml:space="preserve"> Tables and Figur</w:t>
      </w:r>
      <w:r w:rsidR="00BF57EF">
        <w:rPr>
          <w:rFonts w:eastAsia="Times New Roman" w:cs="Times New Roman"/>
          <w:b w:val="0"/>
          <w:caps/>
          <w:sz w:val="20"/>
          <w:szCs w:val="20"/>
        </w:rPr>
        <w:t>es</w:t>
      </w:r>
    </w:p>
    <w:p w14:paraId="33D76004" w14:textId="77777777" w:rsidR="004C6194" w:rsidRDefault="004C6194">
      <w:pPr>
        <w:ind w:hanging="480"/>
        <w:divId w:val="1271858518"/>
        <w:rPr>
          <w:rStyle w:val="id"/>
          <w:rFonts w:eastAsia="Times New Roman" w:cs="Times New Roman"/>
        </w:rPr>
      </w:pPr>
    </w:p>
    <w:p w14:paraId="77767FF3" w14:textId="02E2F06C" w:rsidR="000B7137" w:rsidRPr="00C034B4" w:rsidRDefault="00060DC1" w:rsidP="00BF57EF">
      <w:pPr>
        <w:ind w:hanging="480"/>
        <w:jc w:val="center"/>
        <w:divId w:val="962420777"/>
        <w:rPr>
          <w:rStyle w:val="content"/>
          <w:rFonts w:eastAsia="Times New Roman" w:cs="Times New Roman"/>
          <w:sz w:val="18"/>
          <w:szCs w:val="18"/>
        </w:rPr>
      </w:pPr>
      <w:r w:rsidRPr="00C034B4">
        <w:rPr>
          <w:rStyle w:val="id"/>
          <w:rFonts w:eastAsia="Times New Roman" w:cs="Times New Roman"/>
          <w:smallCaps/>
          <w:sz w:val="18"/>
          <w:szCs w:val="18"/>
        </w:rPr>
        <w:t>Table</w:t>
      </w:r>
      <w:r w:rsidRPr="00C034B4">
        <w:rPr>
          <w:rStyle w:val="id"/>
          <w:rFonts w:eastAsia="Times New Roman" w:cs="Times New Roman"/>
          <w:sz w:val="18"/>
          <w:szCs w:val="18"/>
        </w:rPr>
        <w:t> A1</w:t>
      </w:r>
      <w:r w:rsidR="00BF57EF" w:rsidRPr="00C034B4">
        <w:rPr>
          <w:rStyle w:val="id"/>
          <w:rFonts w:eastAsia="Times New Roman" w:cs="Times New Roman"/>
          <w:sz w:val="18"/>
          <w:szCs w:val="18"/>
        </w:rPr>
        <w:br/>
      </w:r>
      <w:r w:rsidRPr="00C034B4">
        <w:rPr>
          <w:rStyle w:val="content"/>
          <w:rFonts w:eastAsia="Times New Roman" w:cs="Times New Roman"/>
          <w:caps/>
          <w:sz w:val="18"/>
          <w:szCs w:val="18"/>
        </w:rPr>
        <w:t>Means of county-level segregation measures by region, 1880</w:t>
      </w:r>
    </w:p>
    <w:p w14:paraId="320DF1E2" w14:textId="7FCE9D02" w:rsidR="006A769C" w:rsidRDefault="002B7765">
      <w:pPr>
        <w:ind w:hanging="480"/>
        <w:divId w:val="962420777"/>
        <w:rPr>
          <w:rFonts w:eastAsia="Times New Roman" w:cs="Times New Roman"/>
        </w:rPr>
      </w:pPr>
      <w:r>
        <w:rPr>
          <w:rFonts w:eastAsia="Times New Roman" w:cs="Times New Roman"/>
          <w:noProof/>
        </w:rPr>
        <w:drawing>
          <wp:inline distT="0" distB="0" distL="0" distR="0" wp14:anchorId="346A4598" wp14:editId="6E16B4B4">
            <wp:extent cx="4118979" cy="251381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table-A1.pdf"/>
                    <pic:cNvPicPr/>
                  </pic:nvPicPr>
                  <pic:blipFill>
                    <a:blip r:embed="rId8">
                      <a:extLst>
                        <a:ext uri="{28A0092B-C50C-407E-A947-70E740481C1C}">
                          <a14:useLocalDpi xmlns:a14="http://schemas.microsoft.com/office/drawing/2010/main" val="0"/>
                        </a:ext>
                      </a:extLst>
                    </a:blip>
                    <a:stretch>
                      <a:fillRect/>
                    </a:stretch>
                  </pic:blipFill>
                  <pic:spPr>
                    <a:xfrm>
                      <a:off x="0" y="0"/>
                      <a:ext cx="4167687" cy="2543544"/>
                    </a:xfrm>
                    <a:prstGeom prst="rect">
                      <a:avLst/>
                    </a:prstGeom>
                  </pic:spPr>
                </pic:pic>
              </a:graphicData>
            </a:graphic>
          </wp:inline>
        </w:drawing>
      </w:r>
    </w:p>
    <w:p w14:paraId="02921115" w14:textId="77777777" w:rsidR="000B7137" w:rsidRDefault="000B7137">
      <w:pPr>
        <w:pStyle w:val="noindent"/>
        <w:jc w:val="center"/>
        <w:divId w:val="690490623"/>
        <w:rPr>
          <w:rFonts w:cs="Times New Roman"/>
        </w:rPr>
      </w:pPr>
    </w:p>
    <w:p w14:paraId="38A5FE8A" w14:textId="718D4DA4" w:rsidR="000B7137" w:rsidRPr="00C034B4" w:rsidRDefault="00060DC1" w:rsidP="00C2297F">
      <w:pPr>
        <w:ind w:hanging="480"/>
        <w:jc w:val="center"/>
        <w:divId w:val="1413815723"/>
        <w:rPr>
          <w:rStyle w:val="content"/>
          <w:rFonts w:eastAsia="Times New Roman" w:cs="Times New Roman"/>
          <w:sz w:val="18"/>
          <w:szCs w:val="18"/>
        </w:rPr>
      </w:pPr>
      <w:r w:rsidRPr="00C034B4">
        <w:rPr>
          <w:rStyle w:val="id"/>
          <w:rFonts w:eastAsia="Times New Roman" w:cs="Times New Roman"/>
          <w:smallCaps/>
          <w:sz w:val="18"/>
          <w:szCs w:val="18"/>
        </w:rPr>
        <w:t>Table</w:t>
      </w:r>
      <w:r w:rsidRPr="00C034B4">
        <w:rPr>
          <w:rStyle w:val="id"/>
          <w:rFonts w:eastAsia="Times New Roman" w:cs="Times New Roman"/>
          <w:sz w:val="18"/>
          <w:szCs w:val="18"/>
        </w:rPr>
        <w:t> A2</w:t>
      </w:r>
      <w:r w:rsidR="00C2297F" w:rsidRPr="00C034B4">
        <w:rPr>
          <w:rStyle w:val="id"/>
          <w:rFonts w:eastAsia="Times New Roman" w:cs="Times New Roman"/>
          <w:sz w:val="18"/>
          <w:szCs w:val="18"/>
        </w:rPr>
        <w:br/>
      </w:r>
      <w:r w:rsidRPr="00C034B4">
        <w:rPr>
          <w:rStyle w:val="content"/>
          <w:rFonts w:eastAsia="Times New Roman" w:cs="Times New Roman"/>
          <w:caps/>
          <w:sz w:val="18"/>
          <w:szCs w:val="18"/>
        </w:rPr>
        <w:t>Means of county-level segregation measures by region with counties weighted by n</w:t>
      </w:r>
      <w:r w:rsidR="00C2297F" w:rsidRPr="00C034B4">
        <w:rPr>
          <w:rStyle w:val="content"/>
          <w:rFonts w:eastAsia="Times New Roman" w:cs="Times New Roman"/>
          <w:caps/>
          <w:sz w:val="18"/>
          <w:szCs w:val="18"/>
        </w:rPr>
        <w:t>umber of black households, 1880</w:t>
      </w:r>
    </w:p>
    <w:p w14:paraId="51F13F8C" w14:textId="19FD3FEB" w:rsidR="006A769C" w:rsidRDefault="002B7765">
      <w:pPr>
        <w:ind w:hanging="480"/>
        <w:divId w:val="1413815723"/>
        <w:rPr>
          <w:rFonts w:eastAsia="Times New Roman" w:cs="Times New Roman"/>
        </w:rPr>
      </w:pPr>
      <w:r>
        <w:rPr>
          <w:rFonts w:eastAsia="Times New Roman" w:cs="Times New Roman"/>
          <w:noProof/>
        </w:rPr>
        <w:drawing>
          <wp:inline distT="0" distB="0" distL="0" distR="0" wp14:anchorId="2389DE7C" wp14:editId="7EBF1AB5">
            <wp:extent cx="4357967" cy="2660680"/>
            <wp:effectExtent l="0" t="0" r="1143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table-A2.pdf"/>
                    <pic:cNvPicPr/>
                  </pic:nvPicPr>
                  <pic:blipFill>
                    <a:blip r:embed="rId9">
                      <a:extLst>
                        <a:ext uri="{28A0092B-C50C-407E-A947-70E740481C1C}">
                          <a14:useLocalDpi xmlns:a14="http://schemas.microsoft.com/office/drawing/2010/main" val="0"/>
                        </a:ext>
                      </a:extLst>
                    </a:blip>
                    <a:stretch>
                      <a:fillRect/>
                    </a:stretch>
                  </pic:blipFill>
                  <pic:spPr>
                    <a:xfrm>
                      <a:off x="0" y="0"/>
                      <a:ext cx="4381952" cy="2675324"/>
                    </a:xfrm>
                    <a:prstGeom prst="rect">
                      <a:avLst/>
                    </a:prstGeom>
                  </pic:spPr>
                </pic:pic>
              </a:graphicData>
            </a:graphic>
          </wp:inline>
        </w:drawing>
      </w:r>
    </w:p>
    <w:p w14:paraId="28C6683D" w14:textId="77777777" w:rsidR="000B7137" w:rsidRDefault="000B7137">
      <w:pPr>
        <w:pStyle w:val="noindent"/>
        <w:jc w:val="center"/>
        <w:divId w:val="1214197039"/>
        <w:rPr>
          <w:rFonts w:cs="Times New Roman"/>
        </w:rPr>
      </w:pPr>
    </w:p>
    <w:p w14:paraId="14B97705" w14:textId="77777777" w:rsidR="00091908" w:rsidRPr="00091908" w:rsidRDefault="00060DC1" w:rsidP="00091908">
      <w:pPr>
        <w:ind w:hanging="480"/>
        <w:jc w:val="center"/>
        <w:divId w:val="1152713576"/>
        <w:rPr>
          <w:rStyle w:val="id"/>
          <w:rFonts w:eastAsia="Times New Roman" w:cs="Times New Roman"/>
          <w:sz w:val="18"/>
          <w:szCs w:val="18"/>
        </w:rPr>
      </w:pPr>
      <w:r w:rsidRPr="00091908">
        <w:rPr>
          <w:rStyle w:val="id"/>
          <w:rFonts w:eastAsia="Times New Roman" w:cs="Times New Roman"/>
          <w:smallCaps/>
          <w:sz w:val="18"/>
          <w:szCs w:val="18"/>
        </w:rPr>
        <w:lastRenderedPageBreak/>
        <w:t>Table</w:t>
      </w:r>
      <w:r w:rsidRPr="00091908">
        <w:rPr>
          <w:rStyle w:val="id"/>
          <w:rFonts w:eastAsia="Times New Roman" w:cs="Times New Roman"/>
          <w:sz w:val="18"/>
          <w:szCs w:val="18"/>
        </w:rPr>
        <w:t> A3</w:t>
      </w:r>
    </w:p>
    <w:p w14:paraId="5E99AA0D" w14:textId="6A39E2EE" w:rsidR="000B7137" w:rsidRPr="00091908" w:rsidRDefault="00060DC1" w:rsidP="00091908">
      <w:pPr>
        <w:ind w:hanging="480"/>
        <w:jc w:val="center"/>
        <w:divId w:val="1152713576"/>
        <w:rPr>
          <w:rStyle w:val="content"/>
          <w:rFonts w:eastAsia="Times New Roman" w:cs="Times New Roman"/>
          <w:caps/>
          <w:sz w:val="18"/>
          <w:szCs w:val="18"/>
        </w:rPr>
      </w:pPr>
      <w:r w:rsidRPr="00091908">
        <w:rPr>
          <w:rStyle w:val="content"/>
          <w:rFonts w:eastAsia="Times New Roman" w:cs="Times New Roman"/>
          <w:caps/>
          <w:sz w:val="18"/>
          <w:szCs w:val="18"/>
        </w:rPr>
        <w:t>Changes in the county-level dissimilarity index from 1880 to 1940 by region, counties weighte</w:t>
      </w:r>
      <w:r w:rsidR="00091908" w:rsidRPr="00091908">
        <w:rPr>
          <w:rStyle w:val="content"/>
          <w:rFonts w:eastAsia="Times New Roman" w:cs="Times New Roman"/>
          <w:caps/>
          <w:sz w:val="18"/>
          <w:szCs w:val="18"/>
        </w:rPr>
        <w:t>d by number of black households</w:t>
      </w:r>
    </w:p>
    <w:p w14:paraId="7743DD54" w14:textId="42CA043C" w:rsidR="006A769C" w:rsidRDefault="002B7765">
      <w:pPr>
        <w:ind w:hanging="480"/>
        <w:divId w:val="1152713576"/>
        <w:rPr>
          <w:rFonts w:eastAsia="Times New Roman" w:cs="Times New Roman"/>
        </w:rPr>
      </w:pPr>
      <w:r>
        <w:rPr>
          <w:rFonts w:eastAsia="Times New Roman" w:cs="Times New Roman"/>
          <w:noProof/>
        </w:rPr>
        <w:drawing>
          <wp:inline distT="0" distB="0" distL="0" distR="0" wp14:anchorId="5B115048" wp14:editId="74B3FFE3">
            <wp:extent cx="4292100" cy="1796820"/>
            <wp:effectExtent l="0" t="0" r="63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table-A3.pdf"/>
                    <pic:cNvPicPr/>
                  </pic:nvPicPr>
                  <pic:blipFill>
                    <a:blip r:embed="rId10">
                      <a:extLst>
                        <a:ext uri="{28A0092B-C50C-407E-A947-70E740481C1C}">
                          <a14:useLocalDpi xmlns:a14="http://schemas.microsoft.com/office/drawing/2010/main" val="0"/>
                        </a:ext>
                      </a:extLst>
                    </a:blip>
                    <a:stretch>
                      <a:fillRect/>
                    </a:stretch>
                  </pic:blipFill>
                  <pic:spPr>
                    <a:xfrm>
                      <a:off x="0" y="0"/>
                      <a:ext cx="4312230" cy="1805247"/>
                    </a:xfrm>
                    <a:prstGeom prst="rect">
                      <a:avLst/>
                    </a:prstGeom>
                  </pic:spPr>
                </pic:pic>
              </a:graphicData>
            </a:graphic>
          </wp:inline>
        </w:drawing>
      </w:r>
    </w:p>
    <w:p w14:paraId="522F2810" w14:textId="77777777" w:rsidR="000B7137" w:rsidRDefault="000B7137" w:rsidP="006A769C">
      <w:pPr>
        <w:pStyle w:val="noindent"/>
        <w:divId w:val="819347168"/>
        <w:rPr>
          <w:rFonts w:cs="Times New Roman"/>
        </w:rPr>
      </w:pPr>
    </w:p>
    <w:p w14:paraId="710FBC78" w14:textId="77777777" w:rsidR="00091908" w:rsidRPr="00091908" w:rsidRDefault="00060DC1" w:rsidP="00091908">
      <w:pPr>
        <w:ind w:hanging="480"/>
        <w:jc w:val="center"/>
        <w:divId w:val="1358390247"/>
        <w:rPr>
          <w:rStyle w:val="id"/>
          <w:rFonts w:eastAsia="Times New Roman" w:cs="Times New Roman"/>
          <w:sz w:val="18"/>
          <w:szCs w:val="18"/>
        </w:rPr>
      </w:pPr>
      <w:r w:rsidRPr="00091908">
        <w:rPr>
          <w:rStyle w:val="id"/>
          <w:rFonts w:eastAsia="Times New Roman" w:cs="Times New Roman"/>
          <w:smallCaps/>
          <w:sz w:val="18"/>
          <w:szCs w:val="18"/>
        </w:rPr>
        <w:t>Table</w:t>
      </w:r>
      <w:r w:rsidRPr="00091908">
        <w:rPr>
          <w:rStyle w:val="id"/>
          <w:rFonts w:eastAsia="Times New Roman" w:cs="Times New Roman"/>
          <w:sz w:val="18"/>
          <w:szCs w:val="18"/>
        </w:rPr>
        <w:t> A4</w:t>
      </w:r>
    </w:p>
    <w:p w14:paraId="7620C6E6" w14:textId="3EFE0D31" w:rsidR="000B7137" w:rsidRPr="00091908" w:rsidRDefault="00060DC1" w:rsidP="00091908">
      <w:pPr>
        <w:ind w:hanging="480"/>
        <w:jc w:val="center"/>
        <w:divId w:val="1358390247"/>
        <w:rPr>
          <w:rStyle w:val="content"/>
          <w:rFonts w:eastAsia="Times New Roman" w:cs="Times New Roman"/>
          <w:caps/>
          <w:sz w:val="18"/>
          <w:szCs w:val="18"/>
        </w:rPr>
      </w:pPr>
      <w:r w:rsidRPr="00091908">
        <w:rPr>
          <w:rStyle w:val="content"/>
          <w:rFonts w:eastAsia="Times New Roman" w:cs="Times New Roman"/>
          <w:caps/>
          <w:sz w:val="18"/>
          <w:szCs w:val="18"/>
        </w:rPr>
        <w:t>Changes in the county-level isolation index from 1880 to 1940 by region, counties weighte</w:t>
      </w:r>
      <w:r w:rsidR="00091908" w:rsidRPr="00091908">
        <w:rPr>
          <w:rStyle w:val="content"/>
          <w:rFonts w:eastAsia="Times New Roman" w:cs="Times New Roman"/>
          <w:caps/>
          <w:sz w:val="18"/>
          <w:szCs w:val="18"/>
        </w:rPr>
        <w:t>d by number of black households</w:t>
      </w:r>
    </w:p>
    <w:p w14:paraId="021F0047" w14:textId="4997306A" w:rsidR="006A769C" w:rsidRDefault="002B7765">
      <w:pPr>
        <w:ind w:hanging="480"/>
        <w:divId w:val="1358390247"/>
        <w:rPr>
          <w:rFonts w:eastAsia="Times New Roman" w:cs="Times New Roman"/>
        </w:rPr>
      </w:pPr>
      <w:r>
        <w:rPr>
          <w:rFonts w:eastAsia="Times New Roman" w:cs="Times New Roman"/>
          <w:noProof/>
        </w:rPr>
        <w:drawing>
          <wp:inline distT="0" distB="0" distL="0" distR="0" wp14:anchorId="48293424" wp14:editId="4087B368">
            <wp:extent cx="4392668" cy="1823669"/>
            <wp:effectExtent l="0" t="0" r="190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table-A4.pdf"/>
                    <pic:cNvPicPr/>
                  </pic:nvPicPr>
                  <pic:blipFill>
                    <a:blip r:embed="rId11">
                      <a:extLst>
                        <a:ext uri="{28A0092B-C50C-407E-A947-70E740481C1C}">
                          <a14:useLocalDpi xmlns:a14="http://schemas.microsoft.com/office/drawing/2010/main" val="0"/>
                        </a:ext>
                      </a:extLst>
                    </a:blip>
                    <a:stretch>
                      <a:fillRect/>
                    </a:stretch>
                  </pic:blipFill>
                  <pic:spPr>
                    <a:xfrm>
                      <a:off x="0" y="0"/>
                      <a:ext cx="4449122" cy="1847107"/>
                    </a:xfrm>
                    <a:prstGeom prst="rect">
                      <a:avLst/>
                    </a:prstGeom>
                  </pic:spPr>
                </pic:pic>
              </a:graphicData>
            </a:graphic>
          </wp:inline>
        </w:drawing>
      </w:r>
    </w:p>
    <w:p w14:paraId="6F831558" w14:textId="77777777" w:rsidR="000B7137" w:rsidRDefault="000B7137">
      <w:pPr>
        <w:pStyle w:val="noindent"/>
        <w:jc w:val="center"/>
        <w:divId w:val="513760993"/>
        <w:rPr>
          <w:rFonts w:cs="Times New Roman"/>
        </w:rPr>
      </w:pPr>
    </w:p>
    <w:p w14:paraId="322DE96E" w14:textId="77777777" w:rsidR="006A769C" w:rsidRDefault="006A769C">
      <w:pPr>
        <w:rPr>
          <w:rStyle w:val="id"/>
          <w:rFonts w:eastAsia="Times New Roman" w:cs="Times New Roman"/>
        </w:rPr>
      </w:pPr>
      <w:r>
        <w:rPr>
          <w:rStyle w:val="id"/>
          <w:rFonts w:eastAsia="Times New Roman" w:cs="Times New Roman"/>
        </w:rPr>
        <w:br w:type="page"/>
      </w:r>
    </w:p>
    <w:p w14:paraId="29176426" w14:textId="77777777" w:rsidR="00091908" w:rsidRPr="007C54F9" w:rsidRDefault="0052281F" w:rsidP="00091908">
      <w:pPr>
        <w:ind w:hanging="480"/>
        <w:jc w:val="center"/>
        <w:divId w:val="430862391"/>
        <w:rPr>
          <w:rStyle w:val="id"/>
          <w:rFonts w:eastAsia="Times New Roman" w:cs="Times New Roman"/>
          <w:sz w:val="18"/>
          <w:szCs w:val="18"/>
        </w:rPr>
      </w:pPr>
      <w:r w:rsidRPr="007C54F9">
        <w:rPr>
          <w:rStyle w:val="id"/>
          <w:rFonts w:eastAsia="Times New Roman" w:cs="Times New Roman"/>
          <w:smallCaps/>
          <w:sz w:val="18"/>
          <w:szCs w:val="18"/>
        </w:rPr>
        <w:lastRenderedPageBreak/>
        <w:t>Table </w:t>
      </w:r>
      <w:r w:rsidRPr="007C54F9">
        <w:rPr>
          <w:rStyle w:val="id"/>
          <w:rFonts w:eastAsia="Times New Roman" w:cs="Times New Roman"/>
          <w:sz w:val="18"/>
          <w:szCs w:val="18"/>
        </w:rPr>
        <w:t>A5</w:t>
      </w:r>
    </w:p>
    <w:p w14:paraId="4F1B093F" w14:textId="1A1C0B73" w:rsidR="0052281F" w:rsidRPr="007C54F9" w:rsidRDefault="0052281F" w:rsidP="00091908">
      <w:pPr>
        <w:ind w:hanging="480"/>
        <w:jc w:val="center"/>
        <w:divId w:val="430862391"/>
        <w:rPr>
          <w:rStyle w:val="content"/>
          <w:rFonts w:eastAsia="Times New Roman" w:cs="Times New Roman"/>
          <w:caps/>
          <w:sz w:val="18"/>
          <w:szCs w:val="18"/>
        </w:rPr>
      </w:pPr>
      <w:r w:rsidRPr="007C54F9">
        <w:rPr>
          <w:rStyle w:val="content"/>
          <w:rFonts w:eastAsia="Times New Roman" w:cs="Times New Roman"/>
          <w:caps/>
          <w:sz w:val="18"/>
          <w:szCs w:val="18"/>
        </w:rPr>
        <w:t>Changes in county-level percent black from 1880 to 1940 by region, counties weighte</w:t>
      </w:r>
      <w:r w:rsidR="00091908" w:rsidRPr="007C54F9">
        <w:rPr>
          <w:rStyle w:val="content"/>
          <w:rFonts w:eastAsia="Times New Roman" w:cs="Times New Roman"/>
          <w:caps/>
          <w:sz w:val="18"/>
          <w:szCs w:val="18"/>
        </w:rPr>
        <w:t>d by number of black households</w:t>
      </w:r>
    </w:p>
    <w:p w14:paraId="5B3E8742" w14:textId="410D79A9" w:rsidR="0052281F" w:rsidRDefault="002B7765" w:rsidP="0052281F">
      <w:pPr>
        <w:ind w:hanging="480"/>
        <w:divId w:val="430862391"/>
        <w:rPr>
          <w:rFonts w:eastAsia="Times New Roman" w:cs="Times New Roman"/>
        </w:rPr>
      </w:pPr>
      <w:r>
        <w:rPr>
          <w:rFonts w:eastAsia="Times New Roman" w:cs="Times New Roman"/>
          <w:noProof/>
        </w:rPr>
        <w:drawing>
          <wp:inline distT="0" distB="0" distL="0" distR="0" wp14:anchorId="3D012C20" wp14:editId="1FAB96BF">
            <wp:extent cx="4339722" cy="4100134"/>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table-A5.pdf"/>
                    <pic:cNvPicPr/>
                  </pic:nvPicPr>
                  <pic:blipFill>
                    <a:blip r:embed="rId12">
                      <a:extLst>
                        <a:ext uri="{28A0092B-C50C-407E-A947-70E740481C1C}">
                          <a14:useLocalDpi xmlns:a14="http://schemas.microsoft.com/office/drawing/2010/main" val="0"/>
                        </a:ext>
                      </a:extLst>
                    </a:blip>
                    <a:stretch>
                      <a:fillRect/>
                    </a:stretch>
                  </pic:blipFill>
                  <pic:spPr>
                    <a:xfrm>
                      <a:off x="0" y="0"/>
                      <a:ext cx="4374887" cy="4133358"/>
                    </a:xfrm>
                    <a:prstGeom prst="rect">
                      <a:avLst/>
                    </a:prstGeom>
                  </pic:spPr>
                </pic:pic>
              </a:graphicData>
            </a:graphic>
          </wp:inline>
        </w:drawing>
      </w:r>
    </w:p>
    <w:p w14:paraId="664062CC" w14:textId="77777777" w:rsidR="0052281F" w:rsidRDefault="0052281F">
      <w:pPr>
        <w:ind w:hanging="480"/>
        <w:divId w:val="430862391"/>
        <w:rPr>
          <w:rStyle w:val="id"/>
          <w:rFonts w:eastAsia="Times New Roman" w:cs="Times New Roman"/>
        </w:rPr>
      </w:pPr>
    </w:p>
    <w:p w14:paraId="217C6ADB" w14:textId="77777777" w:rsidR="0052281F" w:rsidRDefault="0052281F">
      <w:pPr>
        <w:rPr>
          <w:rStyle w:val="id"/>
          <w:rFonts w:eastAsia="Times New Roman" w:cs="Times New Roman"/>
        </w:rPr>
      </w:pPr>
      <w:r>
        <w:rPr>
          <w:rStyle w:val="id"/>
          <w:rFonts w:eastAsia="Times New Roman" w:cs="Times New Roman"/>
        </w:rPr>
        <w:br w:type="page"/>
      </w:r>
    </w:p>
    <w:p w14:paraId="586C5A55" w14:textId="77777777" w:rsidR="007C54F9" w:rsidRPr="007C54F9" w:rsidRDefault="00060DC1" w:rsidP="007C54F9">
      <w:pPr>
        <w:ind w:hanging="480"/>
        <w:jc w:val="center"/>
        <w:divId w:val="430862391"/>
        <w:rPr>
          <w:rStyle w:val="id"/>
          <w:rFonts w:eastAsia="Times New Roman" w:cs="Times New Roman"/>
          <w:sz w:val="18"/>
          <w:szCs w:val="18"/>
        </w:rPr>
      </w:pPr>
      <w:r w:rsidRPr="007C54F9">
        <w:rPr>
          <w:rStyle w:val="id"/>
          <w:rFonts w:eastAsia="Times New Roman" w:cs="Times New Roman"/>
          <w:smallCaps/>
          <w:sz w:val="18"/>
          <w:szCs w:val="18"/>
        </w:rPr>
        <w:lastRenderedPageBreak/>
        <w:t>Table </w:t>
      </w:r>
      <w:r w:rsidRPr="007C54F9">
        <w:rPr>
          <w:rStyle w:val="id"/>
          <w:rFonts w:eastAsia="Times New Roman" w:cs="Times New Roman"/>
          <w:sz w:val="18"/>
          <w:szCs w:val="18"/>
        </w:rPr>
        <w:t>A</w:t>
      </w:r>
      <w:r w:rsidR="0052281F" w:rsidRPr="007C54F9">
        <w:rPr>
          <w:rStyle w:val="id"/>
          <w:rFonts w:eastAsia="Times New Roman" w:cs="Times New Roman"/>
          <w:sz w:val="18"/>
          <w:szCs w:val="18"/>
        </w:rPr>
        <w:t>6</w:t>
      </w:r>
    </w:p>
    <w:p w14:paraId="12D6D18D" w14:textId="2D56CF48" w:rsidR="000B7137" w:rsidRPr="007C54F9" w:rsidRDefault="00060DC1" w:rsidP="007C54F9">
      <w:pPr>
        <w:ind w:hanging="480"/>
        <w:jc w:val="center"/>
        <w:divId w:val="430862391"/>
        <w:rPr>
          <w:rStyle w:val="content"/>
          <w:rFonts w:eastAsia="Times New Roman" w:cs="Times New Roman"/>
          <w:caps/>
          <w:sz w:val="18"/>
          <w:szCs w:val="18"/>
        </w:rPr>
      </w:pPr>
      <w:r w:rsidRPr="007C54F9">
        <w:rPr>
          <w:rStyle w:val="content"/>
          <w:rFonts w:eastAsia="Times New Roman" w:cs="Times New Roman"/>
          <w:caps/>
          <w:sz w:val="18"/>
          <w:szCs w:val="18"/>
        </w:rPr>
        <w:t>The time series of traditional segregation measures, 1880</w:t>
      </w:r>
      <w:r w:rsidR="007C54F9" w:rsidRPr="007C54F9">
        <w:rPr>
          <w:rStyle w:val="content"/>
          <w:rFonts w:eastAsia="Times New Roman" w:cs="Times New Roman"/>
          <w:caps/>
          <w:sz w:val="18"/>
          <w:szCs w:val="18"/>
        </w:rPr>
        <w:t>–</w:t>
      </w:r>
      <w:r w:rsidRPr="007C54F9">
        <w:rPr>
          <w:rStyle w:val="content"/>
          <w:rFonts w:eastAsia="Times New Roman" w:cs="Times New Roman"/>
          <w:caps/>
          <w:sz w:val="18"/>
          <w:szCs w:val="18"/>
        </w:rPr>
        <w:t>1940, segregatio</w:t>
      </w:r>
      <w:r w:rsidR="007C54F9" w:rsidRPr="007C54F9">
        <w:rPr>
          <w:rStyle w:val="content"/>
          <w:rFonts w:eastAsia="Times New Roman" w:cs="Times New Roman"/>
          <w:caps/>
          <w:sz w:val="18"/>
          <w:szCs w:val="18"/>
        </w:rPr>
        <w:t>n in 1940 as dependent variable</w:t>
      </w:r>
    </w:p>
    <w:p w14:paraId="5DC0179D" w14:textId="77777777" w:rsidR="007C54F9" w:rsidRPr="007C54F9" w:rsidRDefault="007C54F9" w:rsidP="007C54F9">
      <w:pPr>
        <w:spacing w:line="72" w:lineRule="auto"/>
        <w:ind w:hanging="475"/>
        <w:jc w:val="center"/>
        <w:divId w:val="430862391"/>
        <w:rPr>
          <w:rStyle w:val="content"/>
          <w:rFonts w:eastAsia="Times New Roman" w:cs="Times New Roman"/>
          <w:caps/>
        </w:rPr>
      </w:pPr>
    </w:p>
    <w:p w14:paraId="2660F2EF" w14:textId="43D26C1F" w:rsidR="006A769C" w:rsidRDefault="002B7765">
      <w:pPr>
        <w:ind w:hanging="480"/>
        <w:divId w:val="430862391"/>
        <w:rPr>
          <w:rFonts w:eastAsia="Times New Roman" w:cs="Times New Roman"/>
        </w:rPr>
      </w:pPr>
      <w:r>
        <w:rPr>
          <w:rFonts w:eastAsia="Times New Roman" w:cs="Times New Roman"/>
          <w:noProof/>
        </w:rPr>
        <w:drawing>
          <wp:inline distT="0" distB="0" distL="0" distR="0" wp14:anchorId="7A8AAEA9" wp14:editId="5C6C2935">
            <wp:extent cx="4500543" cy="4771488"/>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table-A6.pdf"/>
                    <pic:cNvPicPr/>
                  </pic:nvPicPr>
                  <pic:blipFill>
                    <a:blip r:embed="rId13">
                      <a:extLst>
                        <a:ext uri="{28A0092B-C50C-407E-A947-70E740481C1C}">
                          <a14:useLocalDpi xmlns:a14="http://schemas.microsoft.com/office/drawing/2010/main" val="0"/>
                        </a:ext>
                      </a:extLst>
                    </a:blip>
                    <a:stretch>
                      <a:fillRect/>
                    </a:stretch>
                  </pic:blipFill>
                  <pic:spPr>
                    <a:xfrm>
                      <a:off x="0" y="0"/>
                      <a:ext cx="4524882" cy="4797292"/>
                    </a:xfrm>
                    <a:prstGeom prst="rect">
                      <a:avLst/>
                    </a:prstGeom>
                  </pic:spPr>
                </pic:pic>
              </a:graphicData>
            </a:graphic>
          </wp:inline>
        </w:drawing>
      </w:r>
    </w:p>
    <w:p w14:paraId="64527AEA" w14:textId="77777777" w:rsidR="000B7137" w:rsidRDefault="000B7137">
      <w:pPr>
        <w:pStyle w:val="noindent"/>
        <w:jc w:val="center"/>
        <w:divId w:val="2049793331"/>
        <w:rPr>
          <w:rFonts w:cs="Times New Roman"/>
        </w:rPr>
      </w:pPr>
    </w:p>
    <w:p w14:paraId="077751A8" w14:textId="77777777" w:rsidR="006A769C" w:rsidRDefault="006A769C">
      <w:pPr>
        <w:rPr>
          <w:rStyle w:val="id"/>
          <w:rFonts w:eastAsia="Times New Roman" w:cs="Times New Roman"/>
        </w:rPr>
      </w:pPr>
      <w:r>
        <w:rPr>
          <w:rStyle w:val="id"/>
          <w:rFonts w:eastAsia="Times New Roman" w:cs="Times New Roman"/>
        </w:rPr>
        <w:br w:type="page"/>
      </w:r>
    </w:p>
    <w:p w14:paraId="0E74E668" w14:textId="77777777" w:rsidR="007C54F9" w:rsidRPr="007C54F9" w:rsidRDefault="00060DC1" w:rsidP="007C54F9">
      <w:pPr>
        <w:ind w:hanging="480"/>
        <w:jc w:val="center"/>
        <w:divId w:val="1621910238"/>
        <w:rPr>
          <w:rStyle w:val="id"/>
          <w:rFonts w:eastAsia="Times New Roman" w:cs="Times New Roman"/>
          <w:sz w:val="18"/>
          <w:szCs w:val="18"/>
        </w:rPr>
      </w:pPr>
      <w:r w:rsidRPr="007C54F9">
        <w:rPr>
          <w:rStyle w:val="id"/>
          <w:rFonts w:eastAsia="Times New Roman" w:cs="Times New Roman"/>
          <w:smallCaps/>
          <w:sz w:val="18"/>
          <w:szCs w:val="18"/>
        </w:rPr>
        <w:lastRenderedPageBreak/>
        <w:t>Table</w:t>
      </w:r>
      <w:r w:rsidRPr="007C54F9">
        <w:rPr>
          <w:rStyle w:val="id"/>
          <w:rFonts w:eastAsia="Times New Roman" w:cs="Times New Roman"/>
          <w:sz w:val="18"/>
          <w:szCs w:val="18"/>
        </w:rPr>
        <w:t> A</w:t>
      </w:r>
      <w:r w:rsidR="0052281F" w:rsidRPr="007C54F9">
        <w:rPr>
          <w:rStyle w:val="id"/>
          <w:rFonts w:eastAsia="Times New Roman" w:cs="Times New Roman"/>
          <w:sz w:val="18"/>
          <w:szCs w:val="18"/>
        </w:rPr>
        <w:t>7</w:t>
      </w:r>
    </w:p>
    <w:p w14:paraId="4B4256EC" w14:textId="51FC5FFC" w:rsidR="000B7137" w:rsidRPr="007C54F9" w:rsidRDefault="00060DC1" w:rsidP="007C54F9">
      <w:pPr>
        <w:ind w:hanging="480"/>
        <w:jc w:val="center"/>
        <w:divId w:val="1621910238"/>
        <w:rPr>
          <w:rStyle w:val="content"/>
          <w:rFonts w:eastAsia="Times New Roman" w:cs="Times New Roman"/>
          <w:caps/>
          <w:sz w:val="18"/>
          <w:szCs w:val="18"/>
        </w:rPr>
      </w:pPr>
      <w:r w:rsidRPr="007C54F9">
        <w:rPr>
          <w:rStyle w:val="content"/>
          <w:rFonts w:eastAsia="Times New Roman" w:cs="Times New Roman"/>
          <w:caps/>
          <w:sz w:val="18"/>
          <w:szCs w:val="18"/>
        </w:rPr>
        <w:t>Neighbor-based segregation means by region using random assignment and max</w:t>
      </w:r>
      <w:r w:rsidR="007C54F9" w:rsidRPr="007C54F9">
        <w:rPr>
          <w:rStyle w:val="content"/>
          <w:rFonts w:eastAsia="Times New Roman" w:cs="Times New Roman"/>
          <w:caps/>
          <w:sz w:val="18"/>
          <w:szCs w:val="18"/>
        </w:rPr>
        <w:t xml:space="preserve">imum integration, </w:t>
      </w:r>
      <w:r w:rsidR="008A4407">
        <w:rPr>
          <w:rStyle w:val="content"/>
          <w:rFonts w:eastAsia="Times New Roman" w:cs="Times New Roman"/>
          <w:caps/>
          <w:sz w:val="18"/>
          <w:szCs w:val="18"/>
        </w:rPr>
        <w:br/>
      </w:r>
      <w:r w:rsidR="007C54F9" w:rsidRPr="007C54F9">
        <w:rPr>
          <w:rStyle w:val="content"/>
          <w:rFonts w:eastAsia="Times New Roman" w:cs="Times New Roman"/>
          <w:caps/>
          <w:sz w:val="18"/>
          <w:szCs w:val="18"/>
        </w:rPr>
        <w:t>1880 and 1940</w:t>
      </w:r>
    </w:p>
    <w:p w14:paraId="07844EB6" w14:textId="72F55D7C" w:rsidR="006A769C" w:rsidRDefault="002B7765">
      <w:pPr>
        <w:ind w:hanging="480"/>
        <w:divId w:val="1621910238"/>
        <w:rPr>
          <w:rFonts w:eastAsia="Times New Roman" w:cs="Times New Roman"/>
        </w:rPr>
      </w:pPr>
      <w:r>
        <w:rPr>
          <w:rFonts w:eastAsia="Times New Roman" w:cs="Times New Roman"/>
          <w:noProof/>
        </w:rPr>
        <w:drawing>
          <wp:inline distT="0" distB="0" distL="0" distR="0" wp14:anchorId="4A104932" wp14:editId="1D2F95B9">
            <wp:extent cx="4524999" cy="393790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table-A7.pdf"/>
                    <pic:cNvPicPr/>
                  </pic:nvPicPr>
                  <pic:blipFill>
                    <a:blip r:embed="rId14">
                      <a:extLst>
                        <a:ext uri="{28A0092B-C50C-407E-A947-70E740481C1C}">
                          <a14:useLocalDpi xmlns:a14="http://schemas.microsoft.com/office/drawing/2010/main" val="0"/>
                        </a:ext>
                      </a:extLst>
                    </a:blip>
                    <a:stretch>
                      <a:fillRect/>
                    </a:stretch>
                  </pic:blipFill>
                  <pic:spPr>
                    <a:xfrm>
                      <a:off x="0" y="0"/>
                      <a:ext cx="4541769" cy="3952495"/>
                    </a:xfrm>
                    <a:prstGeom prst="rect">
                      <a:avLst/>
                    </a:prstGeom>
                  </pic:spPr>
                </pic:pic>
              </a:graphicData>
            </a:graphic>
          </wp:inline>
        </w:drawing>
      </w:r>
    </w:p>
    <w:p w14:paraId="1A280F45" w14:textId="77777777" w:rsidR="000B7137" w:rsidRDefault="000B7137">
      <w:pPr>
        <w:pStyle w:val="noindent"/>
        <w:jc w:val="center"/>
        <w:divId w:val="1888830349"/>
        <w:rPr>
          <w:rFonts w:cs="Times New Roman"/>
        </w:rPr>
      </w:pPr>
    </w:p>
    <w:p w14:paraId="480BD2EE" w14:textId="77777777" w:rsidR="006A769C" w:rsidRDefault="006A769C">
      <w:pPr>
        <w:rPr>
          <w:rStyle w:val="id"/>
          <w:rFonts w:eastAsia="Times New Roman" w:cs="Times New Roman"/>
        </w:rPr>
      </w:pPr>
      <w:r>
        <w:rPr>
          <w:rStyle w:val="id"/>
          <w:rFonts w:eastAsia="Times New Roman" w:cs="Times New Roman"/>
        </w:rPr>
        <w:br w:type="page"/>
      </w:r>
    </w:p>
    <w:p w14:paraId="539D3129" w14:textId="77777777" w:rsidR="007C54F9" w:rsidRPr="00DD50CD" w:rsidRDefault="00060DC1" w:rsidP="00DD50CD">
      <w:pPr>
        <w:ind w:hanging="480"/>
        <w:jc w:val="center"/>
        <w:divId w:val="963195213"/>
        <w:rPr>
          <w:rStyle w:val="id"/>
          <w:rFonts w:eastAsia="Times New Roman" w:cs="Times New Roman"/>
          <w:sz w:val="18"/>
          <w:szCs w:val="18"/>
        </w:rPr>
      </w:pPr>
      <w:r w:rsidRPr="00DD50CD">
        <w:rPr>
          <w:rStyle w:val="id"/>
          <w:rFonts w:eastAsia="Times New Roman" w:cs="Times New Roman"/>
          <w:smallCaps/>
          <w:sz w:val="18"/>
          <w:szCs w:val="18"/>
        </w:rPr>
        <w:lastRenderedPageBreak/>
        <w:t>Table</w:t>
      </w:r>
      <w:r w:rsidRPr="00DD50CD">
        <w:rPr>
          <w:rStyle w:val="id"/>
          <w:rFonts w:eastAsia="Times New Roman" w:cs="Times New Roman"/>
          <w:sz w:val="18"/>
          <w:szCs w:val="18"/>
        </w:rPr>
        <w:t> A</w:t>
      </w:r>
      <w:r w:rsidR="0052281F" w:rsidRPr="00DD50CD">
        <w:rPr>
          <w:rStyle w:val="id"/>
          <w:rFonts w:eastAsia="Times New Roman" w:cs="Times New Roman"/>
          <w:sz w:val="18"/>
          <w:szCs w:val="18"/>
        </w:rPr>
        <w:t>8</w:t>
      </w:r>
    </w:p>
    <w:p w14:paraId="0DDE9958" w14:textId="78AC2DDB" w:rsidR="000B7137" w:rsidRPr="00DD50CD" w:rsidRDefault="00060DC1" w:rsidP="00DD50CD">
      <w:pPr>
        <w:ind w:hanging="480"/>
        <w:jc w:val="center"/>
        <w:divId w:val="963195213"/>
        <w:rPr>
          <w:rStyle w:val="content"/>
          <w:rFonts w:eastAsia="Times New Roman" w:cs="Times New Roman"/>
          <w:caps/>
          <w:sz w:val="18"/>
          <w:szCs w:val="18"/>
        </w:rPr>
      </w:pPr>
      <w:r w:rsidRPr="00DD50CD">
        <w:rPr>
          <w:rStyle w:val="content"/>
          <w:rFonts w:eastAsia="Times New Roman" w:cs="Times New Roman"/>
          <w:caps/>
          <w:sz w:val="18"/>
          <w:szCs w:val="18"/>
        </w:rPr>
        <w:t xml:space="preserve">Number of black individuals living with their employer by region </w:t>
      </w:r>
      <w:r w:rsidR="00DD50CD">
        <w:rPr>
          <w:rStyle w:val="content"/>
          <w:rFonts w:eastAsia="Times New Roman" w:cs="Times New Roman"/>
          <w:caps/>
          <w:sz w:val="18"/>
          <w:szCs w:val="18"/>
        </w:rPr>
        <w:t>and year, 1880 and 1940</w:t>
      </w:r>
    </w:p>
    <w:p w14:paraId="08A7C4CA" w14:textId="64B3E2FA" w:rsidR="006A769C" w:rsidRDefault="002B7765">
      <w:pPr>
        <w:ind w:hanging="480"/>
        <w:divId w:val="963195213"/>
        <w:rPr>
          <w:rFonts w:eastAsia="Times New Roman" w:cs="Times New Roman"/>
        </w:rPr>
      </w:pPr>
      <w:r>
        <w:rPr>
          <w:rFonts w:eastAsia="Times New Roman" w:cs="Times New Roman"/>
          <w:noProof/>
        </w:rPr>
        <w:drawing>
          <wp:inline distT="0" distB="0" distL="0" distR="0" wp14:anchorId="641778F8" wp14:editId="5900B29B">
            <wp:extent cx="4350200" cy="25945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table-A8.pdf"/>
                    <pic:cNvPicPr/>
                  </pic:nvPicPr>
                  <pic:blipFill>
                    <a:blip r:embed="rId15">
                      <a:extLst>
                        <a:ext uri="{28A0092B-C50C-407E-A947-70E740481C1C}">
                          <a14:useLocalDpi xmlns:a14="http://schemas.microsoft.com/office/drawing/2010/main" val="0"/>
                        </a:ext>
                      </a:extLst>
                    </a:blip>
                    <a:stretch>
                      <a:fillRect/>
                    </a:stretch>
                  </pic:blipFill>
                  <pic:spPr>
                    <a:xfrm>
                      <a:off x="0" y="0"/>
                      <a:ext cx="4382917" cy="2614025"/>
                    </a:xfrm>
                    <a:prstGeom prst="rect">
                      <a:avLst/>
                    </a:prstGeom>
                  </pic:spPr>
                </pic:pic>
              </a:graphicData>
            </a:graphic>
          </wp:inline>
        </w:drawing>
      </w:r>
    </w:p>
    <w:p w14:paraId="6B593A44" w14:textId="77777777" w:rsidR="006A769C" w:rsidRDefault="006A769C">
      <w:pPr>
        <w:ind w:hanging="480"/>
        <w:divId w:val="2063744294"/>
        <w:rPr>
          <w:rStyle w:val="id"/>
          <w:rFonts w:eastAsia="Times New Roman" w:cs="Times New Roman"/>
        </w:rPr>
      </w:pPr>
    </w:p>
    <w:p w14:paraId="13D238CC" w14:textId="77777777" w:rsidR="006A769C" w:rsidRDefault="006A769C">
      <w:pPr>
        <w:ind w:hanging="480"/>
        <w:divId w:val="2063744294"/>
        <w:rPr>
          <w:rStyle w:val="id"/>
          <w:rFonts w:eastAsia="Times New Roman" w:cs="Times New Roman"/>
        </w:rPr>
      </w:pPr>
    </w:p>
    <w:p w14:paraId="1FEF2BAC" w14:textId="77777777" w:rsidR="00DD50CD" w:rsidRPr="0068366D" w:rsidRDefault="00060DC1" w:rsidP="00DD50CD">
      <w:pPr>
        <w:ind w:hanging="480"/>
        <w:jc w:val="center"/>
        <w:divId w:val="2063744294"/>
        <w:rPr>
          <w:rStyle w:val="id"/>
          <w:rFonts w:eastAsia="Times New Roman" w:cs="Times New Roman"/>
          <w:sz w:val="18"/>
          <w:szCs w:val="18"/>
        </w:rPr>
      </w:pPr>
      <w:r w:rsidRPr="0068366D">
        <w:rPr>
          <w:rStyle w:val="id"/>
          <w:rFonts w:eastAsia="Times New Roman" w:cs="Times New Roman"/>
          <w:smallCaps/>
          <w:sz w:val="18"/>
          <w:szCs w:val="18"/>
        </w:rPr>
        <w:t>Table</w:t>
      </w:r>
      <w:r w:rsidRPr="0068366D">
        <w:rPr>
          <w:rStyle w:val="id"/>
          <w:rFonts w:eastAsia="Times New Roman" w:cs="Times New Roman"/>
          <w:sz w:val="18"/>
          <w:szCs w:val="18"/>
        </w:rPr>
        <w:t> A</w:t>
      </w:r>
      <w:r w:rsidR="0052281F" w:rsidRPr="0068366D">
        <w:rPr>
          <w:rStyle w:val="id"/>
          <w:rFonts w:eastAsia="Times New Roman" w:cs="Times New Roman"/>
          <w:sz w:val="18"/>
          <w:szCs w:val="18"/>
        </w:rPr>
        <w:t>9</w:t>
      </w:r>
    </w:p>
    <w:p w14:paraId="243538FB" w14:textId="1D275317" w:rsidR="000B7137" w:rsidRPr="0068366D" w:rsidRDefault="00060DC1" w:rsidP="00DD50CD">
      <w:pPr>
        <w:ind w:hanging="480"/>
        <w:jc w:val="center"/>
        <w:divId w:val="2063744294"/>
        <w:rPr>
          <w:rStyle w:val="content"/>
          <w:rFonts w:eastAsia="Times New Roman" w:cs="Times New Roman"/>
          <w:caps/>
          <w:sz w:val="18"/>
          <w:szCs w:val="18"/>
        </w:rPr>
      </w:pPr>
      <w:r w:rsidRPr="0068366D">
        <w:rPr>
          <w:rStyle w:val="content"/>
          <w:rFonts w:eastAsia="Times New Roman" w:cs="Times New Roman"/>
          <w:caps/>
          <w:sz w:val="18"/>
          <w:szCs w:val="18"/>
        </w:rPr>
        <w:t>Number of white individuals living with their employer by</w:t>
      </w:r>
      <w:r w:rsidR="0068366D" w:rsidRPr="0068366D">
        <w:rPr>
          <w:rStyle w:val="content"/>
          <w:rFonts w:eastAsia="Times New Roman" w:cs="Times New Roman"/>
          <w:caps/>
          <w:sz w:val="18"/>
          <w:szCs w:val="18"/>
        </w:rPr>
        <w:t xml:space="preserve"> region and year, 1880 and 1940</w:t>
      </w:r>
    </w:p>
    <w:p w14:paraId="591D2BAD" w14:textId="6AE24FFF" w:rsidR="006A769C" w:rsidRDefault="002B7765">
      <w:pPr>
        <w:ind w:hanging="480"/>
        <w:divId w:val="2063744294"/>
        <w:rPr>
          <w:rFonts w:eastAsia="Times New Roman" w:cs="Times New Roman"/>
        </w:rPr>
      </w:pPr>
      <w:r>
        <w:rPr>
          <w:rFonts w:eastAsia="Times New Roman" w:cs="Times New Roman"/>
          <w:noProof/>
        </w:rPr>
        <w:drawing>
          <wp:inline distT="0" distB="0" distL="0" distR="0" wp14:anchorId="0723DD54" wp14:editId="12DCBFE8">
            <wp:extent cx="4490146" cy="2615614"/>
            <wp:effectExtent l="0" t="0" r="571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table-A9.pdf"/>
                    <pic:cNvPicPr/>
                  </pic:nvPicPr>
                  <pic:blipFill>
                    <a:blip r:embed="rId16">
                      <a:extLst>
                        <a:ext uri="{28A0092B-C50C-407E-A947-70E740481C1C}">
                          <a14:useLocalDpi xmlns:a14="http://schemas.microsoft.com/office/drawing/2010/main" val="0"/>
                        </a:ext>
                      </a:extLst>
                    </a:blip>
                    <a:stretch>
                      <a:fillRect/>
                    </a:stretch>
                  </pic:blipFill>
                  <pic:spPr>
                    <a:xfrm>
                      <a:off x="0" y="0"/>
                      <a:ext cx="4495936" cy="2618987"/>
                    </a:xfrm>
                    <a:prstGeom prst="rect">
                      <a:avLst/>
                    </a:prstGeom>
                  </pic:spPr>
                </pic:pic>
              </a:graphicData>
            </a:graphic>
          </wp:inline>
        </w:drawing>
      </w:r>
    </w:p>
    <w:p w14:paraId="060E7E14" w14:textId="77777777" w:rsidR="000B7137" w:rsidRDefault="000B7137">
      <w:pPr>
        <w:pStyle w:val="noindent"/>
        <w:jc w:val="center"/>
        <w:divId w:val="1781737"/>
        <w:rPr>
          <w:rFonts w:cs="Times New Roman"/>
        </w:rPr>
      </w:pPr>
    </w:p>
    <w:p w14:paraId="4F1EFFED" w14:textId="77777777" w:rsidR="006A769C" w:rsidRDefault="006A769C">
      <w:pPr>
        <w:rPr>
          <w:rStyle w:val="id"/>
          <w:rFonts w:eastAsia="Times New Roman" w:cs="Times New Roman"/>
        </w:rPr>
      </w:pPr>
      <w:r>
        <w:rPr>
          <w:rStyle w:val="id"/>
          <w:rFonts w:eastAsia="Times New Roman" w:cs="Times New Roman"/>
        </w:rPr>
        <w:br w:type="page"/>
      </w:r>
    </w:p>
    <w:p w14:paraId="025FDED6" w14:textId="77777777" w:rsidR="0068366D" w:rsidRPr="008A4407" w:rsidRDefault="00060DC1" w:rsidP="008A4407">
      <w:pPr>
        <w:ind w:hanging="480"/>
        <w:jc w:val="center"/>
        <w:divId w:val="1243490360"/>
        <w:rPr>
          <w:rStyle w:val="id"/>
          <w:rFonts w:eastAsia="Times New Roman" w:cs="Times New Roman"/>
          <w:smallCaps/>
          <w:sz w:val="18"/>
          <w:szCs w:val="18"/>
        </w:rPr>
      </w:pPr>
      <w:r w:rsidRPr="008A4407">
        <w:rPr>
          <w:rStyle w:val="id"/>
          <w:rFonts w:eastAsia="Times New Roman" w:cs="Times New Roman"/>
          <w:smallCaps/>
          <w:sz w:val="18"/>
          <w:szCs w:val="18"/>
        </w:rPr>
        <w:lastRenderedPageBreak/>
        <w:t>Table A</w:t>
      </w:r>
      <w:r w:rsidR="0052281F" w:rsidRPr="008A4407">
        <w:rPr>
          <w:rStyle w:val="id"/>
          <w:rFonts w:eastAsia="Times New Roman" w:cs="Times New Roman"/>
          <w:smallCaps/>
          <w:sz w:val="18"/>
          <w:szCs w:val="18"/>
        </w:rPr>
        <w:t>10</w:t>
      </w:r>
    </w:p>
    <w:p w14:paraId="750776DE" w14:textId="3E67B93A" w:rsidR="000B7137" w:rsidRPr="008A4407" w:rsidRDefault="00060DC1" w:rsidP="008A4407">
      <w:pPr>
        <w:ind w:hanging="480"/>
        <w:jc w:val="center"/>
        <w:divId w:val="1243490360"/>
        <w:rPr>
          <w:rStyle w:val="content"/>
          <w:rFonts w:eastAsia="Times New Roman" w:cs="Times New Roman"/>
          <w:caps/>
          <w:sz w:val="18"/>
          <w:szCs w:val="18"/>
        </w:rPr>
      </w:pPr>
      <w:r w:rsidRPr="008A4407">
        <w:rPr>
          <w:rStyle w:val="content"/>
          <w:rFonts w:eastAsia="Times New Roman" w:cs="Times New Roman"/>
          <w:caps/>
          <w:sz w:val="18"/>
          <w:szCs w:val="18"/>
        </w:rPr>
        <w:t xml:space="preserve">Neighbor-based segregation means excluding counties with </w:t>
      </w:r>
      <w:r w:rsidR="008A4407" w:rsidRPr="008A4407">
        <w:rPr>
          <w:rStyle w:val="content"/>
          <w:rFonts w:eastAsia="Times New Roman" w:cs="Times New Roman"/>
          <w:caps/>
          <w:sz w:val="18"/>
          <w:szCs w:val="18"/>
        </w:rPr>
        <w:t>boundary changes, 1880 and 1940</w:t>
      </w:r>
    </w:p>
    <w:p w14:paraId="734D0A60" w14:textId="6599C743" w:rsidR="006A769C" w:rsidRDefault="002B7765">
      <w:pPr>
        <w:ind w:hanging="480"/>
        <w:divId w:val="1243490360"/>
        <w:rPr>
          <w:rFonts w:eastAsia="Times New Roman" w:cs="Times New Roman"/>
        </w:rPr>
      </w:pPr>
      <w:r>
        <w:rPr>
          <w:rFonts w:eastAsia="Times New Roman" w:cs="Times New Roman"/>
          <w:noProof/>
        </w:rPr>
        <w:drawing>
          <wp:inline distT="0" distB="0" distL="0" distR="0" wp14:anchorId="577E38FE" wp14:editId="05BB99B4">
            <wp:extent cx="4120124" cy="2604915"/>
            <wp:effectExtent l="0" t="0" r="0" b="114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table-A10.pdf"/>
                    <pic:cNvPicPr/>
                  </pic:nvPicPr>
                  <pic:blipFill>
                    <a:blip r:embed="rId17">
                      <a:extLst>
                        <a:ext uri="{28A0092B-C50C-407E-A947-70E740481C1C}">
                          <a14:useLocalDpi xmlns:a14="http://schemas.microsoft.com/office/drawing/2010/main" val="0"/>
                        </a:ext>
                      </a:extLst>
                    </a:blip>
                    <a:stretch>
                      <a:fillRect/>
                    </a:stretch>
                  </pic:blipFill>
                  <pic:spPr>
                    <a:xfrm>
                      <a:off x="0" y="0"/>
                      <a:ext cx="4143893" cy="2619943"/>
                    </a:xfrm>
                    <a:prstGeom prst="rect">
                      <a:avLst/>
                    </a:prstGeom>
                  </pic:spPr>
                </pic:pic>
              </a:graphicData>
            </a:graphic>
          </wp:inline>
        </w:drawing>
      </w:r>
    </w:p>
    <w:p w14:paraId="4F3542FB" w14:textId="77777777" w:rsidR="00CD1681" w:rsidRDefault="00CD1681">
      <w:pPr>
        <w:rPr>
          <w:rStyle w:val="id"/>
          <w:rFonts w:eastAsia="Times New Roman" w:cs="Times New Roman"/>
        </w:rPr>
      </w:pPr>
      <w:r>
        <w:rPr>
          <w:rStyle w:val="id"/>
          <w:rFonts w:eastAsia="Times New Roman" w:cs="Times New Roman"/>
        </w:rPr>
        <w:br w:type="page"/>
      </w:r>
    </w:p>
    <w:p w14:paraId="6F630695" w14:textId="77777777" w:rsidR="008A4407" w:rsidRPr="008A4407" w:rsidRDefault="00CD1681" w:rsidP="008A4407">
      <w:pPr>
        <w:ind w:left="990" w:hanging="450"/>
        <w:jc w:val="center"/>
        <w:divId w:val="13925725"/>
        <w:rPr>
          <w:rStyle w:val="id"/>
          <w:rFonts w:eastAsia="Times New Roman" w:cs="Times New Roman"/>
          <w:sz w:val="18"/>
          <w:szCs w:val="18"/>
        </w:rPr>
      </w:pPr>
      <w:r w:rsidRPr="008A4407">
        <w:rPr>
          <w:rStyle w:val="id"/>
          <w:rFonts w:eastAsia="Times New Roman" w:cs="Times New Roman"/>
          <w:smallCaps/>
          <w:sz w:val="18"/>
          <w:szCs w:val="18"/>
        </w:rPr>
        <w:lastRenderedPageBreak/>
        <w:t>Table</w:t>
      </w:r>
      <w:r w:rsidRPr="008A4407">
        <w:rPr>
          <w:rStyle w:val="id"/>
          <w:rFonts w:eastAsia="Times New Roman" w:cs="Times New Roman"/>
          <w:sz w:val="18"/>
          <w:szCs w:val="18"/>
        </w:rPr>
        <w:t> A1</w:t>
      </w:r>
      <w:r w:rsidR="0052281F" w:rsidRPr="008A4407">
        <w:rPr>
          <w:rStyle w:val="id"/>
          <w:rFonts w:eastAsia="Times New Roman" w:cs="Times New Roman"/>
          <w:sz w:val="18"/>
          <w:szCs w:val="18"/>
        </w:rPr>
        <w:t>1</w:t>
      </w:r>
    </w:p>
    <w:p w14:paraId="6F287C58" w14:textId="6725D7E6" w:rsidR="00CD1681" w:rsidRPr="008A4407" w:rsidRDefault="00CD1681" w:rsidP="008A4407">
      <w:pPr>
        <w:ind w:left="990" w:hanging="450"/>
        <w:jc w:val="center"/>
        <w:divId w:val="13925725"/>
        <w:rPr>
          <w:rStyle w:val="content"/>
          <w:rFonts w:eastAsia="Times New Roman" w:cs="Times New Roman"/>
          <w:caps/>
          <w:sz w:val="18"/>
          <w:szCs w:val="18"/>
        </w:rPr>
      </w:pPr>
      <w:r w:rsidRPr="008A4407">
        <w:rPr>
          <w:rStyle w:val="content"/>
          <w:rFonts w:eastAsia="Times New Roman" w:cs="Times New Roman"/>
          <w:caps/>
          <w:sz w:val="18"/>
          <w:szCs w:val="18"/>
        </w:rPr>
        <w:t>Changes in the likelihood of opposite-race neighbors for black households, 1880</w:t>
      </w:r>
      <w:r w:rsidR="008A4407" w:rsidRPr="008A4407">
        <w:rPr>
          <w:rStyle w:val="content"/>
          <w:rFonts w:eastAsia="Times New Roman" w:cs="Times New Roman"/>
          <w:caps/>
          <w:sz w:val="18"/>
          <w:szCs w:val="18"/>
        </w:rPr>
        <w:t>–</w:t>
      </w:r>
      <w:r w:rsidRPr="008A4407">
        <w:rPr>
          <w:rStyle w:val="content"/>
          <w:rFonts w:eastAsia="Times New Roman" w:cs="Times New Roman"/>
          <w:caps/>
          <w:sz w:val="18"/>
          <w:szCs w:val="18"/>
        </w:rPr>
        <w:t>1940, change in probability of having an opposite-race</w:t>
      </w:r>
      <w:r w:rsidR="008A4407" w:rsidRPr="008A4407">
        <w:rPr>
          <w:rStyle w:val="content"/>
          <w:rFonts w:eastAsia="Times New Roman" w:cs="Times New Roman"/>
          <w:caps/>
          <w:sz w:val="18"/>
          <w:szCs w:val="18"/>
        </w:rPr>
        <w:t xml:space="preserve"> neighbor as dependent variable</w:t>
      </w:r>
    </w:p>
    <w:p w14:paraId="7F3734C0" w14:textId="536BA755" w:rsidR="00CD1681" w:rsidRDefault="002B7765" w:rsidP="0018502D">
      <w:pPr>
        <w:ind w:left="990" w:hanging="450"/>
        <w:divId w:val="13925725"/>
        <w:rPr>
          <w:rFonts w:eastAsia="Times New Roman" w:cs="Times New Roman"/>
        </w:rPr>
      </w:pPr>
      <w:r>
        <w:rPr>
          <w:rFonts w:eastAsia="Times New Roman" w:cs="Times New Roman"/>
          <w:noProof/>
        </w:rPr>
        <w:drawing>
          <wp:inline distT="0" distB="0" distL="0" distR="0" wp14:anchorId="63FF57F8" wp14:editId="02FA3F70">
            <wp:extent cx="4346637" cy="4389902"/>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table-A11.pdf"/>
                    <pic:cNvPicPr/>
                  </pic:nvPicPr>
                  <pic:blipFill>
                    <a:blip r:embed="rId18">
                      <a:extLst>
                        <a:ext uri="{28A0092B-C50C-407E-A947-70E740481C1C}">
                          <a14:useLocalDpi xmlns:a14="http://schemas.microsoft.com/office/drawing/2010/main" val="0"/>
                        </a:ext>
                      </a:extLst>
                    </a:blip>
                    <a:stretch>
                      <a:fillRect/>
                    </a:stretch>
                  </pic:blipFill>
                  <pic:spPr>
                    <a:xfrm>
                      <a:off x="0" y="0"/>
                      <a:ext cx="4358409" cy="4401791"/>
                    </a:xfrm>
                    <a:prstGeom prst="rect">
                      <a:avLst/>
                    </a:prstGeom>
                  </pic:spPr>
                </pic:pic>
              </a:graphicData>
            </a:graphic>
          </wp:inline>
        </w:drawing>
      </w:r>
    </w:p>
    <w:p w14:paraId="43B848DD" w14:textId="07165466" w:rsidR="00EE2137" w:rsidRDefault="00EE2137">
      <w:pPr>
        <w:rPr>
          <w:rFonts w:eastAsia="Times New Roman" w:cs="Times New Roman"/>
        </w:rPr>
      </w:pPr>
      <w:r>
        <w:rPr>
          <w:rFonts w:eastAsia="Times New Roman" w:cs="Times New Roman"/>
        </w:rPr>
        <w:br w:type="page"/>
      </w:r>
    </w:p>
    <w:p w14:paraId="540635AA" w14:textId="77777777" w:rsidR="00EE2137" w:rsidRDefault="00EE2137" w:rsidP="008A4407">
      <w:pPr>
        <w:ind w:hanging="480"/>
        <w:jc w:val="right"/>
        <w:divId w:val="13925725"/>
        <w:rPr>
          <w:rStyle w:val="id"/>
          <w:rFonts w:eastAsia="Times New Roman" w:cs="Times New Roman"/>
        </w:rPr>
      </w:pPr>
      <w:r>
        <w:rPr>
          <w:rFonts w:eastAsia="Times New Roman" w:cs="Times New Roman"/>
          <w:noProof/>
        </w:rPr>
        <w:lastRenderedPageBreak/>
        <w:drawing>
          <wp:inline distT="0" distB="0" distL="0" distR="0" wp14:anchorId="0682D1F7" wp14:editId="3B70F8B2">
            <wp:extent cx="2069653" cy="149019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neighbor-full-country.pdf"/>
                    <pic:cNvPicPr/>
                  </pic:nvPicPr>
                  <pic:blipFill>
                    <a:blip r:embed="rId19">
                      <a:grayscl/>
                      <a:extLst>
                        <a:ext uri="{28A0092B-C50C-407E-A947-70E740481C1C}">
                          <a14:useLocalDpi xmlns:a14="http://schemas.microsoft.com/office/drawing/2010/main" val="0"/>
                        </a:ext>
                      </a:extLst>
                    </a:blip>
                    <a:stretch>
                      <a:fillRect/>
                    </a:stretch>
                  </pic:blipFill>
                  <pic:spPr>
                    <a:xfrm>
                      <a:off x="0" y="0"/>
                      <a:ext cx="2084830" cy="1501126"/>
                    </a:xfrm>
                    <a:prstGeom prst="rect">
                      <a:avLst/>
                    </a:prstGeom>
                  </pic:spPr>
                </pic:pic>
              </a:graphicData>
            </a:graphic>
          </wp:inline>
        </w:drawing>
      </w:r>
      <w:r>
        <w:rPr>
          <w:rFonts w:eastAsia="Times New Roman" w:cs="Times New Roman"/>
          <w:noProof/>
        </w:rPr>
        <w:drawing>
          <wp:inline distT="0" distB="0" distL="0" distR="0" wp14:anchorId="7DCFD13B" wp14:editId="01B190B3">
            <wp:extent cx="2022084" cy="1455948"/>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dissimilarity-full-country.pdf"/>
                    <pic:cNvPicPr/>
                  </pic:nvPicPr>
                  <pic:blipFill>
                    <a:blip r:embed="rId20">
                      <a:grayscl/>
                      <a:extLst>
                        <a:ext uri="{28A0092B-C50C-407E-A947-70E740481C1C}">
                          <a14:useLocalDpi xmlns:a14="http://schemas.microsoft.com/office/drawing/2010/main" val="0"/>
                        </a:ext>
                      </a:extLst>
                    </a:blip>
                    <a:stretch>
                      <a:fillRect/>
                    </a:stretch>
                  </pic:blipFill>
                  <pic:spPr>
                    <a:xfrm>
                      <a:off x="0" y="0"/>
                      <a:ext cx="2043905" cy="1471660"/>
                    </a:xfrm>
                    <a:prstGeom prst="rect">
                      <a:avLst/>
                    </a:prstGeom>
                  </pic:spPr>
                </pic:pic>
              </a:graphicData>
            </a:graphic>
          </wp:inline>
        </w:drawing>
      </w:r>
    </w:p>
    <w:p w14:paraId="0D4599FF" w14:textId="6733B9BE" w:rsidR="00EE2137" w:rsidRDefault="00EE2137" w:rsidP="00EE2137">
      <w:pPr>
        <w:ind w:hanging="480"/>
        <w:divId w:val="13925725"/>
        <w:rPr>
          <w:rStyle w:val="id"/>
          <w:rFonts w:eastAsia="Times New Roman" w:cs="Times New Roman"/>
        </w:rPr>
      </w:pPr>
      <w:r>
        <w:rPr>
          <w:rStyle w:val="id"/>
          <w:rFonts w:eastAsia="Times New Roman" w:cs="Times New Roman"/>
        </w:rPr>
        <w:tab/>
      </w:r>
      <w:r>
        <w:rPr>
          <w:rStyle w:val="id"/>
          <w:rFonts w:eastAsia="Times New Roman" w:cs="Times New Roman"/>
        </w:rPr>
        <w:tab/>
      </w:r>
      <w:r>
        <w:rPr>
          <w:rStyle w:val="id"/>
          <w:rFonts w:eastAsia="Times New Roman" w:cs="Times New Roman"/>
        </w:rPr>
        <w:tab/>
      </w:r>
      <w:r w:rsidR="008A4407">
        <w:rPr>
          <w:rStyle w:val="id"/>
          <w:rFonts w:eastAsia="Times New Roman" w:cs="Times New Roman"/>
        </w:rPr>
        <w:t xml:space="preserve">     </w:t>
      </w:r>
      <w:r>
        <w:rPr>
          <w:rStyle w:val="id"/>
          <w:rFonts w:eastAsia="Times New Roman" w:cs="Times New Roman"/>
        </w:rPr>
        <w:t>(a)</w:t>
      </w:r>
      <w:r>
        <w:rPr>
          <w:rStyle w:val="id"/>
          <w:rFonts w:eastAsia="Times New Roman" w:cs="Times New Roman"/>
        </w:rPr>
        <w:tab/>
      </w:r>
      <w:r>
        <w:rPr>
          <w:rStyle w:val="id"/>
          <w:rFonts w:eastAsia="Times New Roman" w:cs="Times New Roman"/>
        </w:rPr>
        <w:tab/>
      </w:r>
      <w:r>
        <w:rPr>
          <w:rStyle w:val="id"/>
          <w:rFonts w:eastAsia="Times New Roman" w:cs="Times New Roman"/>
        </w:rPr>
        <w:tab/>
      </w:r>
      <w:r>
        <w:rPr>
          <w:rStyle w:val="id"/>
          <w:rFonts w:eastAsia="Times New Roman" w:cs="Times New Roman"/>
        </w:rPr>
        <w:tab/>
      </w:r>
      <w:r>
        <w:rPr>
          <w:rStyle w:val="id"/>
          <w:rFonts w:eastAsia="Times New Roman" w:cs="Times New Roman"/>
        </w:rPr>
        <w:tab/>
        <w:t>(b)</w:t>
      </w:r>
    </w:p>
    <w:p w14:paraId="423179F1" w14:textId="77777777" w:rsidR="00EE2137" w:rsidRDefault="00EE2137" w:rsidP="008A4407">
      <w:pPr>
        <w:ind w:hanging="480"/>
        <w:jc w:val="right"/>
        <w:divId w:val="13925725"/>
        <w:rPr>
          <w:rStyle w:val="id"/>
          <w:rFonts w:eastAsia="Times New Roman" w:cs="Times New Roman"/>
        </w:rPr>
      </w:pPr>
      <w:r>
        <w:rPr>
          <w:rFonts w:eastAsia="Times New Roman" w:cs="Times New Roman"/>
          <w:noProof/>
        </w:rPr>
        <w:drawing>
          <wp:inline distT="0" distB="0" distL="0" distR="0" wp14:anchorId="55F7A1A2" wp14:editId="631C2513">
            <wp:extent cx="2121535" cy="1527554"/>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isolation-full-country.pdf"/>
                    <pic:cNvPicPr/>
                  </pic:nvPicPr>
                  <pic:blipFill>
                    <a:blip r:embed="rId21">
                      <a:grayscl/>
                      <a:extLst>
                        <a:ext uri="{28A0092B-C50C-407E-A947-70E740481C1C}">
                          <a14:useLocalDpi xmlns:a14="http://schemas.microsoft.com/office/drawing/2010/main" val="0"/>
                        </a:ext>
                      </a:extLst>
                    </a:blip>
                    <a:stretch>
                      <a:fillRect/>
                    </a:stretch>
                  </pic:blipFill>
                  <pic:spPr>
                    <a:xfrm>
                      <a:off x="0" y="0"/>
                      <a:ext cx="2135635" cy="1537707"/>
                    </a:xfrm>
                    <a:prstGeom prst="rect">
                      <a:avLst/>
                    </a:prstGeom>
                  </pic:spPr>
                </pic:pic>
              </a:graphicData>
            </a:graphic>
          </wp:inline>
        </w:drawing>
      </w:r>
      <w:r>
        <w:rPr>
          <w:rFonts w:eastAsia="Times New Roman" w:cs="Times New Roman"/>
          <w:noProof/>
        </w:rPr>
        <w:drawing>
          <wp:inline distT="0" distB="0" distL="0" distR="0" wp14:anchorId="6963CFD8" wp14:editId="39E45411">
            <wp:extent cx="2085780" cy="1501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percent-black-full-country.pdf"/>
                    <pic:cNvPicPr/>
                  </pic:nvPicPr>
                  <pic:blipFill>
                    <a:blip r:embed="rId22">
                      <a:grayscl/>
                      <a:extLst>
                        <a:ext uri="{28A0092B-C50C-407E-A947-70E740481C1C}">
                          <a14:useLocalDpi xmlns:a14="http://schemas.microsoft.com/office/drawing/2010/main" val="0"/>
                        </a:ext>
                      </a:extLst>
                    </a:blip>
                    <a:stretch>
                      <a:fillRect/>
                    </a:stretch>
                  </pic:blipFill>
                  <pic:spPr>
                    <a:xfrm>
                      <a:off x="0" y="0"/>
                      <a:ext cx="2107049" cy="1517124"/>
                    </a:xfrm>
                    <a:prstGeom prst="rect">
                      <a:avLst/>
                    </a:prstGeom>
                  </pic:spPr>
                </pic:pic>
              </a:graphicData>
            </a:graphic>
          </wp:inline>
        </w:drawing>
      </w:r>
    </w:p>
    <w:p w14:paraId="7F1FF621" w14:textId="0779D02B" w:rsidR="00EE2137" w:rsidRDefault="00EE2137" w:rsidP="00EE2137">
      <w:pPr>
        <w:ind w:hanging="480"/>
        <w:divId w:val="13925725"/>
        <w:rPr>
          <w:rStyle w:val="id"/>
          <w:rFonts w:eastAsia="Times New Roman" w:cs="Times New Roman"/>
        </w:rPr>
      </w:pPr>
      <w:r>
        <w:rPr>
          <w:rStyle w:val="id"/>
          <w:rFonts w:eastAsia="Times New Roman" w:cs="Times New Roman"/>
        </w:rPr>
        <w:tab/>
      </w:r>
      <w:r>
        <w:rPr>
          <w:rStyle w:val="id"/>
          <w:rFonts w:eastAsia="Times New Roman" w:cs="Times New Roman"/>
        </w:rPr>
        <w:tab/>
      </w:r>
      <w:r>
        <w:rPr>
          <w:rStyle w:val="id"/>
          <w:rFonts w:eastAsia="Times New Roman" w:cs="Times New Roman"/>
        </w:rPr>
        <w:tab/>
      </w:r>
      <w:r w:rsidR="008A4407">
        <w:rPr>
          <w:rStyle w:val="id"/>
          <w:rFonts w:eastAsia="Times New Roman" w:cs="Times New Roman"/>
        </w:rPr>
        <w:t xml:space="preserve">      </w:t>
      </w:r>
      <w:r>
        <w:rPr>
          <w:rStyle w:val="id"/>
          <w:rFonts w:eastAsia="Times New Roman" w:cs="Times New Roman"/>
        </w:rPr>
        <w:t>(c)</w:t>
      </w:r>
      <w:r>
        <w:rPr>
          <w:rStyle w:val="id"/>
          <w:rFonts w:eastAsia="Times New Roman" w:cs="Times New Roman"/>
        </w:rPr>
        <w:tab/>
      </w:r>
      <w:r>
        <w:rPr>
          <w:rStyle w:val="id"/>
          <w:rFonts w:eastAsia="Times New Roman" w:cs="Times New Roman"/>
        </w:rPr>
        <w:tab/>
      </w:r>
      <w:r>
        <w:rPr>
          <w:rStyle w:val="id"/>
          <w:rFonts w:eastAsia="Times New Roman" w:cs="Times New Roman"/>
        </w:rPr>
        <w:tab/>
      </w:r>
      <w:r>
        <w:rPr>
          <w:rStyle w:val="id"/>
          <w:rFonts w:eastAsia="Times New Roman" w:cs="Times New Roman"/>
        </w:rPr>
        <w:tab/>
      </w:r>
      <w:r>
        <w:rPr>
          <w:rStyle w:val="id"/>
          <w:rFonts w:eastAsia="Times New Roman" w:cs="Times New Roman"/>
        </w:rPr>
        <w:tab/>
        <w:t>(d)</w:t>
      </w:r>
    </w:p>
    <w:p w14:paraId="59D5D7B9" w14:textId="77777777" w:rsidR="008A4407" w:rsidRPr="008A4407" w:rsidRDefault="00EE2137" w:rsidP="008A4407">
      <w:pPr>
        <w:ind w:hanging="480"/>
        <w:jc w:val="center"/>
        <w:divId w:val="13925725"/>
        <w:rPr>
          <w:rStyle w:val="id"/>
          <w:rFonts w:eastAsia="Times New Roman" w:cs="Times New Roman"/>
          <w:sz w:val="18"/>
          <w:szCs w:val="18"/>
        </w:rPr>
      </w:pPr>
      <w:r w:rsidRPr="008A4407">
        <w:rPr>
          <w:rStyle w:val="id"/>
          <w:rFonts w:eastAsia="Times New Roman" w:cs="Times New Roman"/>
          <w:smallCaps/>
          <w:sz w:val="18"/>
          <w:szCs w:val="18"/>
        </w:rPr>
        <w:t>Figure</w:t>
      </w:r>
      <w:r w:rsidRPr="008A4407">
        <w:rPr>
          <w:rStyle w:val="id"/>
          <w:rFonts w:eastAsia="Times New Roman" w:cs="Times New Roman"/>
          <w:sz w:val="18"/>
          <w:szCs w:val="18"/>
        </w:rPr>
        <w:t> A1</w:t>
      </w:r>
    </w:p>
    <w:p w14:paraId="08323931" w14:textId="59FB2D6C" w:rsidR="00EE2137" w:rsidRPr="008A4407" w:rsidRDefault="00EE2137" w:rsidP="008A4407">
      <w:pPr>
        <w:ind w:hanging="480"/>
        <w:jc w:val="center"/>
        <w:divId w:val="13925725"/>
        <w:rPr>
          <w:rFonts w:eastAsia="Times New Roman" w:cs="Times New Roman"/>
          <w:caps/>
          <w:sz w:val="18"/>
          <w:szCs w:val="18"/>
        </w:rPr>
      </w:pPr>
      <w:r w:rsidRPr="008A4407">
        <w:rPr>
          <w:rStyle w:val="content"/>
          <w:rFonts w:eastAsia="Times New Roman" w:cs="Times New Roman"/>
          <w:caps/>
          <w:sz w:val="18"/>
          <w:szCs w:val="18"/>
        </w:rPr>
        <w:t>Segregation measures by county for the entire United States, 1880: (a) our neighbor-based measure; (b) index of dissimilarity; (c) index of isolation; and, (d) percent black</w:t>
      </w:r>
    </w:p>
    <w:p w14:paraId="09C8C12E" w14:textId="77777777" w:rsidR="00EE2137" w:rsidRDefault="00EE2137" w:rsidP="00EE2137">
      <w:pPr>
        <w:pStyle w:val="noindent"/>
        <w:jc w:val="center"/>
        <w:divId w:val="13925725"/>
        <w:rPr>
          <w:rFonts w:cs="Times New Roman"/>
        </w:rPr>
      </w:pPr>
    </w:p>
    <w:p w14:paraId="75A7B3E9" w14:textId="77777777" w:rsidR="00EE2137" w:rsidRDefault="00EE2137" w:rsidP="00EE2137">
      <w:pPr>
        <w:ind w:hanging="480"/>
        <w:divId w:val="13925725"/>
        <w:rPr>
          <w:rStyle w:val="id"/>
          <w:rFonts w:eastAsia="Times New Roman" w:cs="Times New Roman"/>
        </w:rPr>
      </w:pPr>
      <w:r>
        <w:rPr>
          <w:rFonts w:eastAsia="Times New Roman" w:cs="Times New Roman"/>
          <w:noProof/>
        </w:rPr>
        <w:lastRenderedPageBreak/>
        <w:drawing>
          <wp:inline distT="0" distB="0" distL="0" distR="0" wp14:anchorId="12FD90BE" wp14:editId="5498B32A">
            <wp:extent cx="4506507" cy="563313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ion-graphs-for-writeup.pdf"/>
                    <pic:cNvPicPr/>
                  </pic:nvPicPr>
                  <pic:blipFill>
                    <a:blip r:embed="rId23">
                      <a:extLst>
                        <a:ext uri="{28A0092B-C50C-407E-A947-70E740481C1C}">
                          <a14:useLocalDpi xmlns:a14="http://schemas.microsoft.com/office/drawing/2010/main" val="0"/>
                        </a:ext>
                      </a:extLst>
                    </a:blip>
                    <a:stretch>
                      <a:fillRect/>
                    </a:stretch>
                  </pic:blipFill>
                  <pic:spPr>
                    <a:xfrm>
                      <a:off x="0" y="0"/>
                      <a:ext cx="4511087" cy="5638858"/>
                    </a:xfrm>
                    <a:prstGeom prst="rect">
                      <a:avLst/>
                    </a:prstGeom>
                  </pic:spPr>
                </pic:pic>
              </a:graphicData>
            </a:graphic>
          </wp:inline>
        </w:drawing>
      </w:r>
    </w:p>
    <w:p w14:paraId="11A130A2" w14:textId="77777777" w:rsidR="008A4407" w:rsidRPr="008A4407" w:rsidRDefault="00EE2137" w:rsidP="008A4407">
      <w:pPr>
        <w:ind w:hanging="480"/>
        <w:jc w:val="center"/>
        <w:divId w:val="13925725"/>
        <w:rPr>
          <w:rStyle w:val="id"/>
          <w:rFonts w:eastAsia="Times New Roman" w:cs="Times New Roman"/>
          <w:sz w:val="18"/>
          <w:szCs w:val="18"/>
        </w:rPr>
      </w:pPr>
      <w:r w:rsidRPr="008A4407">
        <w:rPr>
          <w:rStyle w:val="id"/>
          <w:rFonts w:eastAsia="Times New Roman" w:cs="Times New Roman"/>
          <w:smallCaps/>
          <w:sz w:val="18"/>
          <w:szCs w:val="18"/>
        </w:rPr>
        <w:t>Figure</w:t>
      </w:r>
      <w:r w:rsidRPr="008A4407">
        <w:rPr>
          <w:rStyle w:val="id"/>
          <w:rFonts w:eastAsia="Times New Roman" w:cs="Times New Roman"/>
          <w:sz w:val="18"/>
          <w:szCs w:val="18"/>
        </w:rPr>
        <w:t> A2</w:t>
      </w:r>
    </w:p>
    <w:p w14:paraId="2026A1B6" w14:textId="1F0F4A9E" w:rsidR="008A4407" w:rsidRPr="008A4407" w:rsidRDefault="00EE2137" w:rsidP="008A4407">
      <w:pPr>
        <w:ind w:hanging="480"/>
        <w:jc w:val="center"/>
        <w:divId w:val="13925725"/>
        <w:rPr>
          <w:rStyle w:val="content"/>
          <w:rFonts w:eastAsia="Times New Roman" w:cs="Times New Roman"/>
          <w:caps/>
          <w:sz w:val="18"/>
          <w:szCs w:val="18"/>
        </w:rPr>
      </w:pPr>
      <w:r w:rsidRPr="008A4407">
        <w:rPr>
          <w:rStyle w:val="content"/>
          <w:rFonts w:eastAsia="Times New Roman" w:cs="Times New Roman"/>
          <w:caps/>
          <w:sz w:val="18"/>
          <w:szCs w:val="18"/>
        </w:rPr>
        <w:t xml:space="preserve">Simulated values of segregation indices by county size </w:t>
      </w:r>
      <w:r w:rsidR="008A4407">
        <w:rPr>
          <w:rStyle w:val="content"/>
          <w:rFonts w:eastAsia="Times New Roman" w:cs="Times New Roman"/>
          <w:caps/>
          <w:sz w:val="18"/>
          <w:szCs w:val="18"/>
        </w:rPr>
        <w:br/>
      </w:r>
      <w:r w:rsidRPr="008A4407">
        <w:rPr>
          <w:rStyle w:val="content"/>
          <w:rFonts w:eastAsia="Times New Roman" w:cs="Times New Roman"/>
          <w:caps/>
          <w:sz w:val="18"/>
          <w:szCs w:val="18"/>
        </w:rPr>
        <w:t xml:space="preserve">and county racial composition under complete segregation </w:t>
      </w:r>
      <w:r w:rsidR="008A4407">
        <w:rPr>
          <w:rStyle w:val="content"/>
          <w:rFonts w:eastAsia="Times New Roman" w:cs="Times New Roman"/>
          <w:caps/>
          <w:sz w:val="18"/>
          <w:szCs w:val="18"/>
        </w:rPr>
        <w:br/>
      </w:r>
      <w:r w:rsidRPr="008A4407">
        <w:rPr>
          <w:rStyle w:val="content"/>
          <w:rFonts w:eastAsia="Times New Roman" w:cs="Times New Roman"/>
          <w:caps/>
          <w:sz w:val="18"/>
          <w:szCs w:val="18"/>
        </w:rPr>
        <w:t xml:space="preserve">(upper curve marked with X’s) and complete integration </w:t>
      </w:r>
      <w:r w:rsidR="008A4407">
        <w:rPr>
          <w:rStyle w:val="content"/>
          <w:rFonts w:eastAsia="Times New Roman" w:cs="Times New Roman"/>
          <w:caps/>
          <w:sz w:val="18"/>
          <w:szCs w:val="18"/>
        </w:rPr>
        <w:br/>
      </w:r>
      <w:r w:rsidRPr="008A4407">
        <w:rPr>
          <w:rStyle w:val="content"/>
          <w:rFonts w:eastAsia="Times New Roman" w:cs="Times New Roman"/>
          <w:caps/>
          <w:sz w:val="18"/>
          <w:szCs w:val="18"/>
        </w:rPr>
        <w:t>(l</w:t>
      </w:r>
      <w:r w:rsidR="008A4407" w:rsidRPr="008A4407">
        <w:rPr>
          <w:rStyle w:val="content"/>
          <w:rFonts w:eastAsia="Times New Roman" w:cs="Times New Roman"/>
          <w:caps/>
          <w:sz w:val="18"/>
          <w:szCs w:val="18"/>
        </w:rPr>
        <w:t>ower curve marked with circles)</w:t>
      </w:r>
    </w:p>
    <w:p w14:paraId="5923A5A9" w14:textId="77777777" w:rsidR="008A4407" w:rsidRPr="008A4407" w:rsidRDefault="008A4407" w:rsidP="00EE2137">
      <w:pPr>
        <w:ind w:hanging="480"/>
        <w:divId w:val="13925725"/>
        <w:rPr>
          <w:rStyle w:val="content"/>
          <w:rFonts w:eastAsia="Times New Roman" w:cs="Times New Roman"/>
          <w:sz w:val="18"/>
          <w:szCs w:val="18"/>
        </w:rPr>
      </w:pPr>
    </w:p>
    <w:p w14:paraId="3DADE64F" w14:textId="4BECDE94" w:rsidR="00EE2137" w:rsidRPr="008A4407" w:rsidRDefault="008A4407" w:rsidP="008A4407">
      <w:pPr>
        <w:ind w:left="-450"/>
        <w:divId w:val="13925725"/>
        <w:rPr>
          <w:rFonts w:eastAsia="Times New Roman" w:cs="Times New Roman"/>
          <w:sz w:val="18"/>
          <w:szCs w:val="18"/>
        </w:rPr>
      </w:pPr>
      <w:r w:rsidRPr="008A4407">
        <w:rPr>
          <w:rStyle w:val="content"/>
          <w:rFonts w:eastAsia="Times New Roman" w:cs="Times New Roman"/>
          <w:i/>
          <w:sz w:val="18"/>
          <w:szCs w:val="18"/>
        </w:rPr>
        <w:t>Notes</w:t>
      </w:r>
      <w:r w:rsidRPr="008A4407">
        <w:rPr>
          <w:rStyle w:val="content"/>
          <w:rFonts w:eastAsia="Times New Roman" w:cs="Times New Roman"/>
          <w:sz w:val="18"/>
          <w:szCs w:val="18"/>
        </w:rPr>
        <w:t xml:space="preserve">: </w:t>
      </w:r>
      <w:r w:rsidR="00EE2137" w:rsidRPr="008A4407">
        <w:rPr>
          <w:rStyle w:val="content"/>
          <w:rFonts w:eastAsia="Times New Roman" w:cs="Times New Roman"/>
          <w:sz w:val="18"/>
          <w:szCs w:val="18"/>
        </w:rPr>
        <w:t xml:space="preserve">Points give the mean value while the shaded regions give the range between the 5th and 95th percentiles of the value. Dissimilarity and isolation are calculated using ten wards in all panels except (f) which uses twenty wards. Wards are gerrymandered to concentrate the black population in as few wards as possible in panels (g) and (h). Panels with percent black on the horizontal axis use county population sizes of 2020 households. Panels with number of black households on the horizontal axis have the percent black for </w:t>
      </w:r>
      <w:r w:rsidR="00BF47A3" w:rsidRPr="008A4407">
        <w:rPr>
          <w:rStyle w:val="content"/>
          <w:rFonts w:eastAsia="Times New Roman" w:cs="Times New Roman"/>
          <w:sz w:val="18"/>
          <w:szCs w:val="18"/>
        </w:rPr>
        <w:t>the county fixed at 10</w:t>
      </w:r>
      <w:r w:rsidR="00EE2137" w:rsidRPr="008A4407">
        <w:rPr>
          <w:rStyle w:val="content"/>
          <w:rFonts w:eastAsia="Times New Roman" w:cs="Times New Roman"/>
          <w:sz w:val="18"/>
          <w:szCs w:val="18"/>
        </w:rPr>
        <w:t xml:space="preserve"> percent.</w:t>
      </w:r>
    </w:p>
    <w:p w14:paraId="5369377E" w14:textId="77777777" w:rsidR="00EE2137" w:rsidRDefault="00EE2137" w:rsidP="00EE2137">
      <w:pPr>
        <w:divId w:val="13925725"/>
        <w:rPr>
          <w:rFonts w:eastAsia="Times New Roman" w:cs="Times New Roman"/>
        </w:rPr>
      </w:pPr>
    </w:p>
    <w:p w14:paraId="7EB07F07" w14:textId="77777777" w:rsidR="000B7137" w:rsidRDefault="000B7137">
      <w:pPr>
        <w:divId w:val="13925725"/>
        <w:rPr>
          <w:rFonts w:eastAsia="Times New Roman" w:cs="Times New Roman"/>
        </w:rPr>
      </w:pPr>
    </w:p>
    <w:p w14:paraId="513A9075" w14:textId="6970DD5B" w:rsidR="00255C98" w:rsidRDefault="00255C98" w:rsidP="00BF47A3">
      <w:pPr>
        <w:jc w:val="center"/>
        <w:divId w:val="13925725"/>
        <w:rPr>
          <w:rFonts w:eastAsia="Times New Roman" w:cs="Times New Roman"/>
        </w:rPr>
      </w:pPr>
      <w:r>
        <w:rPr>
          <w:rFonts w:eastAsia="Times New Roman" w:cs="Times New Roman"/>
        </w:rPr>
        <w:lastRenderedPageBreak/>
        <w:t>REFERENCES</w:t>
      </w:r>
    </w:p>
    <w:p w14:paraId="4EC4A814" w14:textId="77777777" w:rsidR="00255C98" w:rsidRDefault="00255C98">
      <w:pPr>
        <w:divId w:val="13925725"/>
        <w:rPr>
          <w:rFonts w:eastAsia="Times New Roman" w:cs="Times New Roman"/>
        </w:rPr>
      </w:pPr>
    </w:p>
    <w:p w14:paraId="082410EE" w14:textId="5233CF44" w:rsidR="00857E1A" w:rsidRPr="00C7147F" w:rsidRDefault="00857E1A" w:rsidP="00C7147F">
      <w:pPr>
        <w:spacing w:after="120"/>
        <w:jc w:val="both"/>
        <w:divId w:val="13925725"/>
        <w:rPr>
          <w:rFonts w:ascii="Times New Roman" w:hAnsi="Times New Roman" w:cs="Times New Roman"/>
        </w:rPr>
      </w:pPr>
      <w:r w:rsidRPr="00C7147F">
        <w:rPr>
          <w:rFonts w:ascii="Times New Roman" w:hAnsi="Times New Roman" w:cs="Times New Roman"/>
        </w:rPr>
        <w:t xml:space="preserve">Bayer, Patrick, </w:t>
      </w:r>
      <w:proofErr w:type="spellStart"/>
      <w:r w:rsidRPr="00C7147F">
        <w:rPr>
          <w:rFonts w:ascii="Times New Roman" w:hAnsi="Times New Roman" w:cs="Times New Roman"/>
        </w:rPr>
        <w:t>Hanming</w:t>
      </w:r>
      <w:proofErr w:type="spellEnd"/>
      <w:r w:rsidR="00C7147F">
        <w:rPr>
          <w:rFonts w:ascii="Times New Roman" w:hAnsi="Times New Roman" w:cs="Times New Roman"/>
        </w:rPr>
        <w:t xml:space="preserve"> </w:t>
      </w:r>
      <w:r w:rsidR="00C7147F" w:rsidRPr="00C7147F">
        <w:rPr>
          <w:rFonts w:ascii="Times New Roman" w:hAnsi="Times New Roman" w:cs="Times New Roman"/>
        </w:rPr>
        <w:t xml:space="preserve">Fang, </w:t>
      </w:r>
      <w:r w:rsidRPr="00C7147F">
        <w:rPr>
          <w:rFonts w:ascii="Times New Roman" w:hAnsi="Times New Roman" w:cs="Times New Roman"/>
        </w:rPr>
        <w:t>and Robert</w:t>
      </w:r>
      <w:r w:rsidR="00C7147F">
        <w:rPr>
          <w:rFonts w:ascii="Times New Roman" w:hAnsi="Times New Roman" w:cs="Times New Roman"/>
        </w:rPr>
        <w:t xml:space="preserve"> McMillan</w:t>
      </w:r>
      <w:r w:rsidRPr="00C7147F">
        <w:rPr>
          <w:rFonts w:ascii="Times New Roman" w:hAnsi="Times New Roman" w:cs="Times New Roman"/>
        </w:rPr>
        <w:t xml:space="preserve">. “Separate When Equal? Racial Inequality and Residential Segregation.” </w:t>
      </w:r>
      <w:r w:rsidRPr="00C7147F">
        <w:rPr>
          <w:rFonts w:ascii="Times New Roman" w:hAnsi="Times New Roman" w:cs="Times New Roman"/>
          <w:i/>
        </w:rPr>
        <w:t>Journal of Urban Economics</w:t>
      </w:r>
      <w:r w:rsidRPr="00C7147F">
        <w:rPr>
          <w:rFonts w:ascii="Times New Roman" w:hAnsi="Times New Roman" w:cs="Times New Roman"/>
        </w:rPr>
        <w:t xml:space="preserve"> 82, July (2014): 32</w:t>
      </w:r>
      <w:r w:rsidR="00C7147F">
        <w:rPr>
          <w:rFonts w:ascii="Times New Roman" w:hAnsi="Times New Roman" w:cs="Times New Roman"/>
        </w:rPr>
        <w:t>–</w:t>
      </w:r>
      <w:r w:rsidRPr="00C7147F">
        <w:rPr>
          <w:rFonts w:ascii="Times New Roman" w:hAnsi="Times New Roman" w:cs="Times New Roman"/>
        </w:rPr>
        <w:t>48.</w:t>
      </w:r>
    </w:p>
    <w:p w14:paraId="080B7FF1" w14:textId="1E1D4AD9" w:rsidR="00647CE1" w:rsidRPr="00C7147F" w:rsidRDefault="00647CE1" w:rsidP="00C7147F">
      <w:pPr>
        <w:spacing w:after="120"/>
        <w:jc w:val="both"/>
        <w:divId w:val="13925725"/>
        <w:rPr>
          <w:rFonts w:ascii="Times New Roman" w:hAnsi="Times New Roman" w:cs="Times New Roman"/>
        </w:rPr>
      </w:pPr>
      <w:r w:rsidRPr="00C7147F">
        <w:rPr>
          <w:rFonts w:ascii="Times New Roman" w:hAnsi="Times New Roman" w:cs="Times New Roman"/>
        </w:rPr>
        <w:t>Carrington, William, and Kenneth</w:t>
      </w:r>
      <w:r w:rsidR="00C7147F">
        <w:rPr>
          <w:rFonts w:ascii="Times New Roman" w:hAnsi="Times New Roman" w:cs="Times New Roman"/>
        </w:rPr>
        <w:t xml:space="preserve"> </w:t>
      </w:r>
      <w:proofErr w:type="spellStart"/>
      <w:r w:rsidR="00C7147F">
        <w:rPr>
          <w:rFonts w:ascii="Times New Roman" w:hAnsi="Times New Roman" w:cs="Times New Roman"/>
        </w:rPr>
        <w:t>Troske</w:t>
      </w:r>
      <w:proofErr w:type="spellEnd"/>
      <w:r w:rsidRPr="00C7147F">
        <w:rPr>
          <w:rFonts w:ascii="Times New Roman" w:hAnsi="Times New Roman" w:cs="Times New Roman"/>
        </w:rPr>
        <w:t xml:space="preserve">. “On Measuring Segregation in Samples with Small Units.” </w:t>
      </w:r>
      <w:r w:rsidRPr="00C7147F">
        <w:rPr>
          <w:rStyle w:val="cmti-121"/>
          <w:rFonts w:ascii="Times New Roman" w:hAnsi="Times New Roman" w:cs="Times New Roman"/>
        </w:rPr>
        <w:t>Journal of Business and Economic Statistics</w:t>
      </w:r>
      <w:r w:rsidRPr="00C7147F">
        <w:rPr>
          <w:rFonts w:ascii="Times New Roman" w:hAnsi="Times New Roman" w:cs="Times New Roman"/>
        </w:rPr>
        <w:t xml:space="preserve"> </w:t>
      </w:r>
      <w:r w:rsidRPr="00C7147F">
        <w:rPr>
          <w:rStyle w:val="cmti-121"/>
          <w:rFonts w:ascii="Times New Roman" w:hAnsi="Times New Roman" w:cs="Times New Roman"/>
          <w:i w:val="0"/>
        </w:rPr>
        <w:t>15</w:t>
      </w:r>
      <w:r w:rsidRPr="00C7147F">
        <w:rPr>
          <w:rFonts w:ascii="Times New Roman" w:hAnsi="Times New Roman" w:cs="Times New Roman"/>
        </w:rPr>
        <w:t>, no. 4 (1997): 402–409.</w:t>
      </w:r>
    </w:p>
    <w:p w14:paraId="29E8E0F3" w14:textId="6A00758C" w:rsidR="00255C98" w:rsidRPr="00C7147F" w:rsidRDefault="00255C98" w:rsidP="00C7147F">
      <w:pPr>
        <w:spacing w:after="120"/>
        <w:jc w:val="both"/>
        <w:divId w:val="13925725"/>
        <w:rPr>
          <w:rFonts w:ascii="Times New Roman" w:hAnsi="Times New Roman" w:cs="Times New Roman"/>
        </w:rPr>
      </w:pPr>
      <w:proofErr w:type="spellStart"/>
      <w:r w:rsidRPr="00C7147F">
        <w:rPr>
          <w:rFonts w:ascii="Times New Roman" w:hAnsi="Times New Roman" w:cs="Times New Roman"/>
        </w:rPr>
        <w:t>Coale</w:t>
      </w:r>
      <w:proofErr w:type="spellEnd"/>
      <w:r w:rsidRPr="00C7147F">
        <w:rPr>
          <w:rFonts w:ascii="Times New Roman" w:hAnsi="Times New Roman" w:cs="Times New Roman"/>
        </w:rPr>
        <w:t>, Ansley, and Norfleet</w:t>
      </w:r>
      <w:r w:rsidR="00C7147F">
        <w:rPr>
          <w:rFonts w:ascii="Times New Roman" w:hAnsi="Times New Roman" w:cs="Times New Roman"/>
        </w:rPr>
        <w:t xml:space="preserve"> Rives</w:t>
      </w:r>
      <w:r w:rsidRPr="00C7147F">
        <w:rPr>
          <w:rFonts w:ascii="Times New Roman" w:hAnsi="Times New Roman" w:cs="Times New Roman"/>
        </w:rPr>
        <w:t>. “A Statistical Reconstruction of the Black Population of the United States, 1880</w:t>
      </w:r>
      <w:r w:rsidR="00C7147F">
        <w:rPr>
          <w:rFonts w:ascii="Times New Roman" w:hAnsi="Times New Roman" w:cs="Times New Roman"/>
        </w:rPr>
        <w:t>–</w:t>
      </w:r>
      <w:r w:rsidRPr="00C7147F">
        <w:rPr>
          <w:rFonts w:ascii="Times New Roman" w:hAnsi="Times New Roman" w:cs="Times New Roman"/>
        </w:rPr>
        <w:t xml:space="preserve">1970: Estimates of True Numbers by Age and Sex, Birth Rates, and Total Fertility.” </w:t>
      </w:r>
      <w:r w:rsidRPr="00C7147F">
        <w:rPr>
          <w:rStyle w:val="cmti-121"/>
          <w:rFonts w:ascii="Times New Roman" w:hAnsi="Times New Roman" w:cs="Times New Roman"/>
        </w:rPr>
        <w:t>Population Index</w:t>
      </w:r>
      <w:r w:rsidRPr="00C7147F">
        <w:rPr>
          <w:rFonts w:ascii="Times New Roman" w:hAnsi="Times New Roman" w:cs="Times New Roman"/>
        </w:rPr>
        <w:t xml:space="preserve"> </w:t>
      </w:r>
      <w:r w:rsidRPr="00C7147F">
        <w:rPr>
          <w:rStyle w:val="cmti-121"/>
          <w:rFonts w:ascii="Times New Roman" w:hAnsi="Times New Roman" w:cs="Times New Roman"/>
          <w:i w:val="0"/>
        </w:rPr>
        <w:t>39</w:t>
      </w:r>
      <w:r w:rsidRPr="00C7147F">
        <w:rPr>
          <w:rFonts w:ascii="Times New Roman" w:hAnsi="Times New Roman" w:cs="Times New Roman"/>
        </w:rPr>
        <w:t>, no. 1 (1973): 3–36.</w:t>
      </w:r>
    </w:p>
    <w:p w14:paraId="203E8412" w14:textId="412E622A" w:rsidR="00205CA1" w:rsidRPr="00C7147F" w:rsidRDefault="00205CA1" w:rsidP="00C7147F">
      <w:pPr>
        <w:spacing w:after="120"/>
        <w:jc w:val="both"/>
        <w:divId w:val="13925725"/>
        <w:rPr>
          <w:rFonts w:ascii="Times New Roman" w:hAnsi="Times New Roman" w:cs="Times New Roman"/>
        </w:rPr>
      </w:pPr>
      <w:proofErr w:type="spellStart"/>
      <w:r w:rsidRPr="00C7147F">
        <w:rPr>
          <w:rFonts w:ascii="Times New Roman" w:hAnsi="Times New Roman" w:cs="Times New Roman"/>
        </w:rPr>
        <w:t>Cortese</w:t>
      </w:r>
      <w:proofErr w:type="spellEnd"/>
      <w:r w:rsidRPr="00C7147F">
        <w:rPr>
          <w:rFonts w:ascii="Times New Roman" w:hAnsi="Times New Roman" w:cs="Times New Roman"/>
        </w:rPr>
        <w:t>, Charles, R. Frank</w:t>
      </w:r>
      <w:r w:rsidR="00C7147F" w:rsidRPr="00C7147F">
        <w:rPr>
          <w:rFonts w:ascii="Times New Roman" w:hAnsi="Times New Roman" w:cs="Times New Roman"/>
        </w:rPr>
        <w:t xml:space="preserve"> </w:t>
      </w:r>
      <w:r w:rsidR="00C7147F">
        <w:rPr>
          <w:rFonts w:ascii="Times New Roman" w:hAnsi="Times New Roman" w:cs="Times New Roman"/>
        </w:rPr>
        <w:t>Falk,</w:t>
      </w:r>
      <w:r w:rsidRPr="00C7147F">
        <w:rPr>
          <w:rFonts w:ascii="Times New Roman" w:hAnsi="Times New Roman" w:cs="Times New Roman"/>
        </w:rPr>
        <w:t xml:space="preserve"> and Jack</w:t>
      </w:r>
      <w:r w:rsidR="00C7147F">
        <w:rPr>
          <w:rFonts w:ascii="Times New Roman" w:hAnsi="Times New Roman" w:cs="Times New Roman"/>
        </w:rPr>
        <w:t xml:space="preserve"> Cohen</w:t>
      </w:r>
      <w:r w:rsidRPr="00C7147F">
        <w:rPr>
          <w:rFonts w:ascii="Times New Roman" w:hAnsi="Times New Roman" w:cs="Times New Roman"/>
        </w:rPr>
        <w:t xml:space="preserve">. “Further Considerations on the Methodological Analysis of Segregation Indices.” </w:t>
      </w:r>
      <w:r w:rsidRPr="00C7147F">
        <w:rPr>
          <w:rStyle w:val="cmti-121"/>
          <w:rFonts w:ascii="Times New Roman" w:hAnsi="Times New Roman" w:cs="Times New Roman"/>
        </w:rPr>
        <w:t>American Sociological Review</w:t>
      </w:r>
      <w:r w:rsidRPr="00C7147F">
        <w:rPr>
          <w:rFonts w:ascii="Times New Roman" w:hAnsi="Times New Roman" w:cs="Times New Roman"/>
        </w:rPr>
        <w:t xml:space="preserve"> </w:t>
      </w:r>
      <w:r w:rsidRPr="00C7147F">
        <w:rPr>
          <w:rStyle w:val="cmti-121"/>
          <w:rFonts w:ascii="Times New Roman" w:hAnsi="Times New Roman" w:cs="Times New Roman"/>
          <w:i w:val="0"/>
        </w:rPr>
        <w:t>41</w:t>
      </w:r>
      <w:r w:rsidRPr="00C7147F">
        <w:rPr>
          <w:rFonts w:ascii="Times New Roman" w:hAnsi="Times New Roman" w:cs="Times New Roman"/>
        </w:rPr>
        <w:t>, no. 4 (1976):</w:t>
      </w:r>
      <w:r w:rsidR="00C7147F">
        <w:rPr>
          <w:rFonts w:ascii="Times New Roman" w:hAnsi="Times New Roman" w:cs="Times New Roman"/>
        </w:rPr>
        <w:t xml:space="preserve"> 630–</w:t>
      </w:r>
      <w:r w:rsidRPr="00C7147F">
        <w:rPr>
          <w:rFonts w:ascii="Times New Roman" w:hAnsi="Times New Roman" w:cs="Times New Roman"/>
        </w:rPr>
        <w:t>37.</w:t>
      </w:r>
    </w:p>
    <w:p w14:paraId="2AEB8A9A" w14:textId="43EB0C32" w:rsidR="00405FD8" w:rsidRPr="00C7147F" w:rsidRDefault="00405FD8" w:rsidP="00C7147F">
      <w:pPr>
        <w:spacing w:after="120"/>
        <w:jc w:val="both"/>
        <w:divId w:val="13925725"/>
        <w:rPr>
          <w:rFonts w:ascii="Times New Roman" w:hAnsi="Times New Roman" w:cs="Times New Roman"/>
        </w:rPr>
      </w:pPr>
      <w:r w:rsidRPr="00C7147F">
        <w:rPr>
          <w:rFonts w:ascii="Times New Roman" w:hAnsi="Times New Roman" w:cs="Times New Roman"/>
        </w:rPr>
        <w:t>Cutler, David, Edward</w:t>
      </w:r>
      <w:r w:rsidR="00C7147F">
        <w:rPr>
          <w:rFonts w:ascii="Times New Roman" w:hAnsi="Times New Roman" w:cs="Times New Roman"/>
        </w:rPr>
        <w:t xml:space="preserve"> </w:t>
      </w:r>
      <w:proofErr w:type="spellStart"/>
      <w:r w:rsidR="00C7147F">
        <w:rPr>
          <w:rFonts w:ascii="Times New Roman" w:hAnsi="Times New Roman" w:cs="Times New Roman"/>
        </w:rPr>
        <w:t>Glaeser</w:t>
      </w:r>
      <w:proofErr w:type="spellEnd"/>
      <w:r w:rsidR="00C7147F">
        <w:rPr>
          <w:rFonts w:ascii="Times New Roman" w:hAnsi="Times New Roman" w:cs="Times New Roman"/>
        </w:rPr>
        <w:t>,</w:t>
      </w:r>
      <w:r w:rsidRPr="00C7147F">
        <w:rPr>
          <w:rFonts w:ascii="Times New Roman" w:hAnsi="Times New Roman" w:cs="Times New Roman"/>
        </w:rPr>
        <w:t xml:space="preserve"> and Jacob</w:t>
      </w:r>
      <w:r w:rsidR="00C7147F">
        <w:rPr>
          <w:rFonts w:ascii="Times New Roman" w:hAnsi="Times New Roman" w:cs="Times New Roman"/>
        </w:rPr>
        <w:t xml:space="preserve"> </w:t>
      </w:r>
      <w:proofErr w:type="spellStart"/>
      <w:r w:rsidR="00C7147F">
        <w:rPr>
          <w:rFonts w:ascii="Times New Roman" w:hAnsi="Times New Roman" w:cs="Times New Roman"/>
        </w:rPr>
        <w:t>Vigdor</w:t>
      </w:r>
      <w:proofErr w:type="spellEnd"/>
      <w:r w:rsidRPr="00C7147F">
        <w:rPr>
          <w:rFonts w:ascii="Times New Roman" w:hAnsi="Times New Roman" w:cs="Times New Roman"/>
        </w:rPr>
        <w:t xml:space="preserve">. “The Rise and Decline of the American Ghetto.” </w:t>
      </w:r>
      <w:r w:rsidRPr="00C7147F">
        <w:rPr>
          <w:rStyle w:val="cmti-121"/>
          <w:rFonts w:ascii="Times New Roman" w:hAnsi="Times New Roman" w:cs="Times New Roman"/>
        </w:rPr>
        <w:t>Journal of Political Economy</w:t>
      </w:r>
      <w:r w:rsidRPr="00C7147F">
        <w:rPr>
          <w:rFonts w:ascii="Times New Roman" w:hAnsi="Times New Roman" w:cs="Times New Roman"/>
        </w:rPr>
        <w:t xml:space="preserve"> </w:t>
      </w:r>
      <w:r w:rsidRPr="00C7147F">
        <w:rPr>
          <w:rStyle w:val="cmti-121"/>
          <w:rFonts w:ascii="Times New Roman" w:hAnsi="Times New Roman" w:cs="Times New Roman"/>
          <w:i w:val="0"/>
        </w:rPr>
        <w:t>107</w:t>
      </w:r>
      <w:r w:rsidRPr="00C7147F">
        <w:rPr>
          <w:rFonts w:ascii="Times New Roman" w:hAnsi="Times New Roman" w:cs="Times New Roman"/>
        </w:rPr>
        <w:t>, no. 3 (1999): 455–506.</w:t>
      </w:r>
    </w:p>
    <w:p w14:paraId="5A06C0CD" w14:textId="4345DA6D" w:rsidR="00255C98" w:rsidRPr="00C7147F" w:rsidRDefault="00255C98" w:rsidP="00C7147F">
      <w:pPr>
        <w:spacing w:after="120"/>
        <w:jc w:val="both"/>
        <w:divId w:val="13925725"/>
        <w:rPr>
          <w:rFonts w:ascii="Times New Roman" w:hAnsi="Times New Roman" w:cs="Times New Roman"/>
        </w:rPr>
      </w:pPr>
      <w:proofErr w:type="spellStart"/>
      <w:r w:rsidRPr="00C7147F">
        <w:rPr>
          <w:rFonts w:ascii="Times New Roman" w:hAnsi="Times New Roman" w:cs="Times New Roman"/>
        </w:rPr>
        <w:t>Eblen</w:t>
      </w:r>
      <w:proofErr w:type="spellEnd"/>
      <w:r w:rsidRPr="00C7147F">
        <w:rPr>
          <w:rFonts w:ascii="Times New Roman" w:hAnsi="Times New Roman" w:cs="Times New Roman"/>
        </w:rPr>
        <w:t xml:space="preserve">, Jack. “New Estimates of Vital Rates of United States Black Population During the Nineteenth Century.” </w:t>
      </w:r>
      <w:r w:rsidRPr="00C7147F">
        <w:rPr>
          <w:rStyle w:val="cmti-121"/>
          <w:rFonts w:ascii="Times New Roman" w:hAnsi="Times New Roman" w:cs="Times New Roman"/>
        </w:rPr>
        <w:t>Demography</w:t>
      </w:r>
      <w:r w:rsidRPr="00C7147F">
        <w:rPr>
          <w:rFonts w:ascii="Times New Roman" w:hAnsi="Times New Roman" w:cs="Times New Roman"/>
        </w:rPr>
        <w:t xml:space="preserve"> </w:t>
      </w:r>
      <w:r w:rsidRPr="00C7147F">
        <w:rPr>
          <w:rStyle w:val="cmti-121"/>
          <w:rFonts w:ascii="Times New Roman" w:hAnsi="Times New Roman" w:cs="Times New Roman"/>
          <w:i w:val="0"/>
        </w:rPr>
        <w:t>11</w:t>
      </w:r>
      <w:r w:rsidRPr="00C7147F">
        <w:rPr>
          <w:rFonts w:ascii="Times New Roman" w:hAnsi="Times New Roman" w:cs="Times New Roman"/>
        </w:rPr>
        <w:t>, no. 2 (1974):</w:t>
      </w:r>
      <w:r w:rsidR="00C7147F">
        <w:rPr>
          <w:rFonts w:ascii="Times New Roman" w:hAnsi="Times New Roman" w:cs="Times New Roman"/>
        </w:rPr>
        <w:t xml:space="preserve"> 301–</w:t>
      </w:r>
      <w:r w:rsidRPr="00C7147F">
        <w:rPr>
          <w:rFonts w:ascii="Times New Roman" w:hAnsi="Times New Roman" w:cs="Times New Roman"/>
        </w:rPr>
        <w:t>19.</w:t>
      </w:r>
    </w:p>
    <w:p w14:paraId="0C20AA2A" w14:textId="1EDA6E60" w:rsidR="00465D9D" w:rsidRPr="00C7147F" w:rsidRDefault="00465D9D" w:rsidP="00C7147F">
      <w:pPr>
        <w:spacing w:after="120"/>
        <w:jc w:val="both"/>
        <w:divId w:val="13925725"/>
        <w:rPr>
          <w:rFonts w:ascii="Times New Roman" w:hAnsi="Times New Roman" w:cs="Times New Roman"/>
        </w:rPr>
      </w:pPr>
      <w:proofErr w:type="spellStart"/>
      <w:r w:rsidRPr="00C7147F">
        <w:rPr>
          <w:rFonts w:ascii="Times New Roman" w:hAnsi="Times New Roman" w:cs="Times New Roman"/>
        </w:rPr>
        <w:t>Echenique</w:t>
      </w:r>
      <w:proofErr w:type="spellEnd"/>
      <w:r w:rsidRPr="00C7147F">
        <w:rPr>
          <w:rFonts w:ascii="Times New Roman" w:hAnsi="Times New Roman" w:cs="Times New Roman"/>
        </w:rPr>
        <w:t>, Federico, and Roland</w:t>
      </w:r>
      <w:r w:rsidR="00C7147F">
        <w:rPr>
          <w:rFonts w:ascii="Times New Roman" w:hAnsi="Times New Roman" w:cs="Times New Roman"/>
        </w:rPr>
        <w:t xml:space="preserve"> Fryer</w:t>
      </w:r>
      <w:r w:rsidRPr="00C7147F">
        <w:rPr>
          <w:rFonts w:ascii="Times New Roman" w:hAnsi="Times New Roman" w:cs="Times New Roman"/>
        </w:rPr>
        <w:t xml:space="preserve">. “A </w:t>
      </w:r>
      <w:r w:rsidR="00C7147F">
        <w:rPr>
          <w:rFonts w:ascii="Times New Roman" w:hAnsi="Times New Roman" w:cs="Times New Roman"/>
        </w:rPr>
        <w:t>M</w:t>
      </w:r>
      <w:r w:rsidRPr="00C7147F">
        <w:rPr>
          <w:rFonts w:ascii="Times New Roman" w:hAnsi="Times New Roman" w:cs="Times New Roman"/>
        </w:rPr>
        <w:t xml:space="preserve">easure of </w:t>
      </w:r>
      <w:r w:rsidR="00C7147F">
        <w:rPr>
          <w:rFonts w:ascii="Times New Roman" w:hAnsi="Times New Roman" w:cs="Times New Roman"/>
        </w:rPr>
        <w:t>S</w:t>
      </w:r>
      <w:r w:rsidRPr="00C7147F">
        <w:rPr>
          <w:rFonts w:ascii="Times New Roman" w:hAnsi="Times New Roman" w:cs="Times New Roman"/>
        </w:rPr>
        <w:t xml:space="preserve">egregation </w:t>
      </w:r>
      <w:r w:rsidR="00C7147F">
        <w:rPr>
          <w:rFonts w:ascii="Times New Roman" w:hAnsi="Times New Roman" w:cs="Times New Roman"/>
        </w:rPr>
        <w:t>B</w:t>
      </w:r>
      <w:r w:rsidRPr="00C7147F">
        <w:rPr>
          <w:rFonts w:ascii="Times New Roman" w:hAnsi="Times New Roman" w:cs="Times New Roman"/>
        </w:rPr>
        <w:t xml:space="preserve">ased on </w:t>
      </w:r>
      <w:r w:rsidR="00C7147F">
        <w:rPr>
          <w:rFonts w:ascii="Times New Roman" w:hAnsi="Times New Roman" w:cs="Times New Roman"/>
        </w:rPr>
        <w:t>S</w:t>
      </w:r>
      <w:r w:rsidRPr="00C7147F">
        <w:rPr>
          <w:rFonts w:ascii="Times New Roman" w:hAnsi="Times New Roman" w:cs="Times New Roman"/>
        </w:rPr>
        <w:t xml:space="preserve">ocial </w:t>
      </w:r>
      <w:r w:rsidR="00C7147F">
        <w:rPr>
          <w:rFonts w:ascii="Times New Roman" w:hAnsi="Times New Roman" w:cs="Times New Roman"/>
        </w:rPr>
        <w:t>I</w:t>
      </w:r>
      <w:r w:rsidRPr="00C7147F">
        <w:rPr>
          <w:rFonts w:ascii="Times New Roman" w:hAnsi="Times New Roman" w:cs="Times New Roman"/>
        </w:rPr>
        <w:t xml:space="preserve">nteractions.” </w:t>
      </w:r>
      <w:r w:rsidRPr="00C7147F">
        <w:rPr>
          <w:rStyle w:val="cmti-121"/>
          <w:rFonts w:ascii="Times New Roman" w:hAnsi="Times New Roman" w:cs="Times New Roman"/>
        </w:rPr>
        <w:t>Quarterly Journal of Economics</w:t>
      </w:r>
      <w:r w:rsidRPr="00C7147F">
        <w:rPr>
          <w:rFonts w:ascii="Times New Roman" w:hAnsi="Times New Roman" w:cs="Times New Roman"/>
        </w:rPr>
        <w:t xml:space="preserve"> </w:t>
      </w:r>
      <w:r w:rsidRPr="00C7147F">
        <w:rPr>
          <w:rStyle w:val="cmti-121"/>
          <w:rFonts w:ascii="Times New Roman" w:hAnsi="Times New Roman" w:cs="Times New Roman"/>
          <w:i w:val="0"/>
        </w:rPr>
        <w:t>122</w:t>
      </w:r>
      <w:r w:rsidRPr="00C7147F">
        <w:rPr>
          <w:rFonts w:ascii="Times New Roman" w:hAnsi="Times New Roman" w:cs="Times New Roman"/>
        </w:rPr>
        <w:t>, no. 2 (2007):</w:t>
      </w:r>
      <w:r w:rsidR="00C7147F">
        <w:rPr>
          <w:rFonts w:ascii="Times New Roman" w:hAnsi="Times New Roman" w:cs="Times New Roman"/>
        </w:rPr>
        <w:t xml:space="preserve"> 441–</w:t>
      </w:r>
      <w:r w:rsidRPr="00C7147F">
        <w:rPr>
          <w:rFonts w:ascii="Times New Roman" w:hAnsi="Times New Roman" w:cs="Times New Roman"/>
        </w:rPr>
        <w:t>85.</w:t>
      </w:r>
    </w:p>
    <w:p w14:paraId="4EAF147E" w14:textId="264F431D" w:rsidR="004B6BD3" w:rsidRPr="00C7147F" w:rsidRDefault="004B6BD3" w:rsidP="00C7147F">
      <w:pPr>
        <w:spacing w:after="120"/>
        <w:jc w:val="both"/>
        <w:divId w:val="13925725"/>
        <w:rPr>
          <w:rFonts w:ascii="Times New Roman" w:hAnsi="Times New Roman" w:cs="Times New Roman"/>
        </w:rPr>
      </w:pPr>
      <w:r w:rsidRPr="00C7147F">
        <w:rPr>
          <w:rFonts w:ascii="Times New Roman" w:hAnsi="Times New Roman" w:cs="Times New Roman"/>
        </w:rPr>
        <w:t>Massey, Douglas, and Nancy</w:t>
      </w:r>
      <w:r w:rsidR="00C7147F">
        <w:rPr>
          <w:rFonts w:ascii="Times New Roman" w:hAnsi="Times New Roman" w:cs="Times New Roman"/>
        </w:rPr>
        <w:t xml:space="preserve"> Denton</w:t>
      </w:r>
      <w:r w:rsidRPr="00C7147F">
        <w:rPr>
          <w:rFonts w:ascii="Times New Roman" w:hAnsi="Times New Roman" w:cs="Times New Roman"/>
        </w:rPr>
        <w:t xml:space="preserve">. </w:t>
      </w:r>
      <w:r w:rsidRPr="00C7147F">
        <w:rPr>
          <w:rStyle w:val="cmti-121"/>
          <w:rFonts w:ascii="Times New Roman" w:hAnsi="Times New Roman" w:cs="Times New Roman"/>
        </w:rPr>
        <w:t xml:space="preserve">American </w:t>
      </w:r>
      <w:r w:rsidR="00BF47A3">
        <w:rPr>
          <w:rStyle w:val="cmti-121"/>
          <w:rFonts w:ascii="Times New Roman" w:hAnsi="Times New Roman" w:cs="Times New Roman"/>
        </w:rPr>
        <w:t>A</w:t>
      </w:r>
      <w:r w:rsidRPr="00C7147F">
        <w:rPr>
          <w:rStyle w:val="cmti-121"/>
          <w:rFonts w:ascii="Times New Roman" w:hAnsi="Times New Roman" w:cs="Times New Roman"/>
        </w:rPr>
        <w:t>partheid: Segregation and the Making of the</w:t>
      </w:r>
      <w:r w:rsidRPr="00C7147F">
        <w:rPr>
          <w:rFonts w:ascii="Times New Roman" w:hAnsi="Times New Roman" w:cs="Times New Roman"/>
        </w:rPr>
        <w:t xml:space="preserve"> </w:t>
      </w:r>
      <w:r w:rsidRPr="00C7147F">
        <w:rPr>
          <w:rStyle w:val="cmti-121"/>
          <w:rFonts w:ascii="Times New Roman" w:hAnsi="Times New Roman" w:cs="Times New Roman"/>
        </w:rPr>
        <w:t>Underclass</w:t>
      </w:r>
      <w:r w:rsidRPr="00C7147F">
        <w:rPr>
          <w:rFonts w:ascii="Times New Roman" w:hAnsi="Times New Roman" w:cs="Times New Roman"/>
        </w:rPr>
        <w:t>. Cambridge, MA: Harvard University Press, 1993.</w:t>
      </w:r>
    </w:p>
    <w:p w14:paraId="3A13D25F" w14:textId="6D6ADEBB" w:rsidR="00255C98" w:rsidRPr="00C7147F" w:rsidRDefault="00255C98" w:rsidP="00C7147F">
      <w:pPr>
        <w:spacing w:after="120"/>
        <w:jc w:val="both"/>
        <w:divId w:val="13925725"/>
        <w:rPr>
          <w:rFonts w:ascii="Times New Roman" w:hAnsi="Times New Roman" w:cs="Times New Roman"/>
        </w:rPr>
      </w:pPr>
      <w:r w:rsidRPr="00C7147F">
        <w:rPr>
          <w:rFonts w:ascii="Times New Roman" w:hAnsi="Times New Roman" w:cs="Times New Roman"/>
        </w:rPr>
        <w:t>Preston, Samuel, Irma</w:t>
      </w:r>
      <w:r w:rsidR="00BF47A3" w:rsidRPr="00BF47A3">
        <w:rPr>
          <w:rFonts w:ascii="Times New Roman" w:hAnsi="Times New Roman" w:cs="Times New Roman"/>
        </w:rPr>
        <w:t xml:space="preserve"> </w:t>
      </w:r>
      <w:proofErr w:type="spellStart"/>
      <w:r w:rsidR="00BF47A3">
        <w:rPr>
          <w:rFonts w:ascii="Times New Roman" w:hAnsi="Times New Roman" w:cs="Times New Roman"/>
        </w:rPr>
        <w:t>Elo</w:t>
      </w:r>
      <w:proofErr w:type="spellEnd"/>
      <w:r w:rsidR="00BF47A3">
        <w:rPr>
          <w:rFonts w:ascii="Times New Roman" w:hAnsi="Times New Roman" w:cs="Times New Roman"/>
        </w:rPr>
        <w:t>,</w:t>
      </w:r>
      <w:r w:rsidRPr="00C7147F">
        <w:rPr>
          <w:rFonts w:ascii="Times New Roman" w:hAnsi="Times New Roman" w:cs="Times New Roman"/>
        </w:rPr>
        <w:t xml:space="preserve"> Andrew</w:t>
      </w:r>
      <w:r w:rsidR="00BF47A3" w:rsidRPr="00BF47A3">
        <w:rPr>
          <w:rFonts w:ascii="Times New Roman" w:hAnsi="Times New Roman" w:cs="Times New Roman"/>
        </w:rPr>
        <w:t xml:space="preserve"> </w:t>
      </w:r>
      <w:r w:rsidR="00BF47A3" w:rsidRPr="00C7147F">
        <w:rPr>
          <w:rFonts w:ascii="Times New Roman" w:hAnsi="Times New Roman" w:cs="Times New Roman"/>
        </w:rPr>
        <w:t>Foster,</w:t>
      </w:r>
      <w:r w:rsidR="00BF47A3">
        <w:rPr>
          <w:rFonts w:ascii="Times New Roman" w:hAnsi="Times New Roman" w:cs="Times New Roman"/>
        </w:rPr>
        <w:t xml:space="preserve"> et al</w:t>
      </w:r>
      <w:r w:rsidRPr="00C7147F">
        <w:rPr>
          <w:rFonts w:ascii="Times New Roman" w:hAnsi="Times New Roman" w:cs="Times New Roman"/>
        </w:rPr>
        <w:t>. “Reconstructing the Size of the African American Population by Age and Sex, 1930</w:t>
      </w:r>
      <w:r w:rsidR="00BF47A3">
        <w:rPr>
          <w:rFonts w:ascii="Times New Roman" w:hAnsi="Times New Roman" w:cs="Times New Roman"/>
        </w:rPr>
        <w:t>–</w:t>
      </w:r>
      <w:r w:rsidRPr="00C7147F">
        <w:rPr>
          <w:rFonts w:ascii="Times New Roman" w:hAnsi="Times New Roman" w:cs="Times New Roman"/>
        </w:rPr>
        <w:t xml:space="preserve">1990.” </w:t>
      </w:r>
      <w:r w:rsidRPr="00C7147F">
        <w:rPr>
          <w:rStyle w:val="cmti-121"/>
          <w:rFonts w:ascii="Times New Roman" w:hAnsi="Times New Roman" w:cs="Times New Roman"/>
        </w:rPr>
        <w:t>Demography</w:t>
      </w:r>
      <w:r w:rsidRPr="00C7147F">
        <w:rPr>
          <w:rFonts w:ascii="Times New Roman" w:hAnsi="Times New Roman" w:cs="Times New Roman"/>
        </w:rPr>
        <w:t xml:space="preserve"> </w:t>
      </w:r>
      <w:r w:rsidRPr="00C7147F">
        <w:rPr>
          <w:rStyle w:val="cmti-121"/>
          <w:rFonts w:ascii="Times New Roman" w:hAnsi="Times New Roman" w:cs="Times New Roman"/>
          <w:i w:val="0"/>
        </w:rPr>
        <w:t>35</w:t>
      </w:r>
      <w:r w:rsidRPr="00C7147F">
        <w:rPr>
          <w:rFonts w:ascii="Times New Roman" w:hAnsi="Times New Roman" w:cs="Times New Roman"/>
        </w:rPr>
        <w:t>, no. 1 (1998): 1–21.</w:t>
      </w:r>
    </w:p>
    <w:p w14:paraId="30D6B120" w14:textId="60986CBF" w:rsidR="00C279A3" w:rsidRPr="00C7147F" w:rsidRDefault="00C279A3" w:rsidP="00C7147F">
      <w:pPr>
        <w:spacing w:after="120"/>
        <w:jc w:val="both"/>
        <w:divId w:val="13925725"/>
        <w:rPr>
          <w:rFonts w:ascii="Times New Roman" w:hAnsi="Times New Roman" w:cs="Times New Roman"/>
        </w:rPr>
      </w:pPr>
      <w:proofErr w:type="spellStart"/>
      <w:r w:rsidRPr="00C7147F">
        <w:rPr>
          <w:rFonts w:ascii="Times New Roman" w:hAnsi="Times New Roman" w:cs="Times New Roman"/>
        </w:rPr>
        <w:t>Taeuber</w:t>
      </w:r>
      <w:proofErr w:type="spellEnd"/>
      <w:r w:rsidRPr="00C7147F">
        <w:rPr>
          <w:rFonts w:ascii="Times New Roman" w:hAnsi="Times New Roman" w:cs="Times New Roman"/>
        </w:rPr>
        <w:t>, Karl, and Alma</w:t>
      </w:r>
      <w:r w:rsidR="00BF47A3">
        <w:rPr>
          <w:rFonts w:ascii="Times New Roman" w:hAnsi="Times New Roman" w:cs="Times New Roman"/>
        </w:rPr>
        <w:t xml:space="preserve"> </w:t>
      </w:r>
      <w:proofErr w:type="spellStart"/>
      <w:r w:rsidR="00BF47A3">
        <w:rPr>
          <w:rFonts w:ascii="Times New Roman" w:hAnsi="Times New Roman" w:cs="Times New Roman"/>
        </w:rPr>
        <w:t>Taeuber</w:t>
      </w:r>
      <w:proofErr w:type="spellEnd"/>
      <w:r w:rsidRPr="00C7147F">
        <w:rPr>
          <w:rFonts w:ascii="Times New Roman" w:hAnsi="Times New Roman" w:cs="Times New Roman"/>
        </w:rPr>
        <w:t xml:space="preserve">. </w:t>
      </w:r>
      <w:r w:rsidRPr="00C7147F">
        <w:rPr>
          <w:rStyle w:val="cmti-121"/>
          <w:rFonts w:ascii="Times New Roman" w:hAnsi="Times New Roman" w:cs="Times New Roman"/>
        </w:rPr>
        <w:t xml:space="preserve">Negroes in </w:t>
      </w:r>
      <w:r w:rsidR="00BF47A3">
        <w:rPr>
          <w:rStyle w:val="cmti-121"/>
          <w:rFonts w:ascii="Times New Roman" w:hAnsi="Times New Roman" w:cs="Times New Roman"/>
        </w:rPr>
        <w:t>C</w:t>
      </w:r>
      <w:r w:rsidRPr="00C7147F">
        <w:rPr>
          <w:rStyle w:val="cmti-121"/>
          <w:rFonts w:ascii="Times New Roman" w:hAnsi="Times New Roman" w:cs="Times New Roman"/>
        </w:rPr>
        <w:t xml:space="preserve">ities: Residential </w:t>
      </w:r>
      <w:r w:rsidR="00BF47A3">
        <w:rPr>
          <w:rStyle w:val="cmti-121"/>
          <w:rFonts w:ascii="Times New Roman" w:hAnsi="Times New Roman" w:cs="Times New Roman"/>
        </w:rPr>
        <w:t>S</w:t>
      </w:r>
      <w:r w:rsidRPr="00C7147F">
        <w:rPr>
          <w:rStyle w:val="cmti-121"/>
          <w:rFonts w:ascii="Times New Roman" w:hAnsi="Times New Roman" w:cs="Times New Roman"/>
        </w:rPr>
        <w:t>egregation and</w:t>
      </w:r>
      <w:r w:rsidRPr="00C7147F">
        <w:rPr>
          <w:rFonts w:ascii="Times New Roman" w:hAnsi="Times New Roman" w:cs="Times New Roman"/>
        </w:rPr>
        <w:t xml:space="preserve"> </w:t>
      </w:r>
      <w:r w:rsidR="00BF47A3">
        <w:rPr>
          <w:rStyle w:val="cmti-121"/>
          <w:rFonts w:ascii="Times New Roman" w:hAnsi="Times New Roman" w:cs="Times New Roman"/>
        </w:rPr>
        <w:t>N</w:t>
      </w:r>
      <w:r w:rsidRPr="00C7147F">
        <w:rPr>
          <w:rStyle w:val="cmti-121"/>
          <w:rFonts w:ascii="Times New Roman" w:hAnsi="Times New Roman" w:cs="Times New Roman"/>
        </w:rPr>
        <w:t xml:space="preserve">eighborhood </w:t>
      </w:r>
      <w:r w:rsidR="00BF47A3">
        <w:rPr>
          <w:rStyle w:val="cmti-121"/>
          <w:rFonts w:ascii="Times New Roman" w:hAnsi="Times New Roman" w:cs="Times New Roman"/>
        </w:rPr>
        <w:t>C</w:t>
      </w:r>
      <w:r w:rsidRPr="00C7147F">
        <w:rPr>
          <w:rStyle w:val="cmti-121"/>
          <w:rFonts w:ascii="Times New Roman" w:hAnsi="Times New Roman" w:cs="Times New Roman"/>
        </w:rPr>
        <w:t>hange</w:t>
      </w:r>
      <w:r w:rsidRPr="00C7147F">
        <w:rPr>
          <w:rFonts w:ascii="Times New Roman" w:hAnsi="Times New Roman" w:cs="Times New Roman"/>
        </w:rPr>
        <w:t>. Chicago: Aldine Publishing Co., 1965.</w:t>
      </w:r>
    </w:p>
    <w:p w14:paraId="7E9CD0C6" w14:textId="3D8C2FB0" w:rsidR="00DD61B9" w:rsidRPr="00C7147F" w:rsidRDefault="00DD61B9" w:rsidP="00C7147F">
      <w:pPr>
        <w:spacing w:after="120"/>
        <w:jc w:val="both"/>
        <w:divId w:val="13925725"/>
        <w:rPr>
          <w:rFonts w:ascii="Times New Roman" w:eastAsia="Times New Roman" w:hAnsi="Times New Roman" w:cs="Times New Roman"/>
        </w:rPr>
      </w:pPr>
      <w:proofErr w:type="spellStart"/>
      <w:r w:rsidRPr="00C7147F">
        <w:rPr>
          <w:rFonts w:ascii="Times New Roman" w:hAnsi="Times New Roman" w:cs="Times New Roman"/>
        </w:rPr>
        <w:t>Winship</w:t>
      </w:r>
      <w:proofErr w:type="spellEnd"/>
      <w:r w:rsidRPr="00C7147F">
        <w:rPr>
          <w:rFonts w:ascii="Times New Roman" w:hAnsi="Times New Roman" w:cs="Times New Roman"/>
        </w:rPr>
        <w:t xml:space="preserve">, Christopher. “The Desirability of Using the Index of Dissimilarity or Any Adjustment of </w:t>
      </w:r>
      <w:r w:rsidR="00BF47A3">
        <w:rPr>
          <w:rFonts w:ascii="Times New Roman" w:hAnsi="Times New Roman" w:cs="Times New Roman"/>
        </w:rPr>
        <w:t>I</w:t>
      </w:r>
      <w:r w:rsidRPr="00C7147F">
        <w:rPr>
          <w:rFonts w:ascii="Times New Roman" w:hAnsi="Times New Roman" w:cs="Times New Roman"/>
        </w:rPr>
        <w:t xml:space="preserve">t for Measuring Segregation.” </w:t>
      </w:r>
      <w:r w:rsidRPr="00C7147F">
        <w:rPr>
          <w:rStyle w:val="cmti-121"/>
          <w:rFonts w:ascii="Times New Roman" w:hAnsi="Times New Roman" w:cs="Times New Roman"/>
        </w:rPr>
        <w:t>Social Forces</w:t>
      </w:r>
      <w:r w:rsidRPr="00C7147F">
        <w:rPr>
          <w:rFonts w:ascii="Times New Roman" w:hAnsi="Times New Roman" w:cs="Times New Roman"/>
        </w:rPr>
        <w:t xml:space="preserve"> </w:t>
      </w:r>
      <w:r w:rsidRPr="00C7147F">
        <w:rPr>
          <w:rStyle w:val="cmti-121"/>
          <w:rFonts w:ascii="Times New Roman" w:hAnsi="Times New Roman" w:cs="Times New Roman"/>
          <w:i w:val="0"/>
        </w:rPr>
        <w:t>57</w:t>
      </w:r>
      <w:r w:rsidRPr="00C7147F">
        <w:rPr>
          <w:rFonts w:ascii="Times New Roman" w:hAnsi="Times New Roman" w:cs="Times New Roman"/>
        </w:rPr>
        <w:t xml:space="preserve">, no. 2 (1978): </w:t>
      </w:r>
      <w:r w:rsidR="00BF47A3">
        <w:rPr>
          <w:rFonts w:ascii="Times New Roman" w:hAnsi="Times New Roman" w:cs="Times New Roman"/>
        </w:rPr>
        <w:t>717–</w:t>
      </w:r>
      <w:r w:rsidRPr="00C7147F">
        <w:rPr>
          <w:rFonts w:ascii="Times New Roman" w:hAnsi="Times New Roman" w:cs="Times New Roman"/>
        </w:rPr>
        <w:t>20.</w:t>
      </w:r>
    </w:p>
    <w:sectPr w:rsidR="00DD61B9" w:rsidRPr="00C7147F" w:rsidSect="00EE1861">
      <w:headerReference w:type="even" r:id="rId24"/>
      <w:headerReference w:type="default" r:id="rId25"/>
      <w:footerReference w:type="first" r:id="rId26"/>
      <w:pgSz w:w="12240" w:h="15840"/>
      <w:pgMar w:top="1786" w:right="2635" w:bottom="1555" w:left="2635" w:header="1786" w:footer="1195"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85A81" w14:textId="77777777" w:rsidR="002405F5" w:rsidRDefault="002405F5" w:rsidP="009C4D9C">
      <w:r>
        <w:separator/>
      </w:r>
    </w:p>
  </w:endnote>
  <w:endnote w:type="continuationSeparator" w:id="0">
    <w:p w14:paraId="0FC1C063" w14:textId="77777777" w:rsidR="002405F5" w:rsidRDefault="002405F5" w:rsidP="009C4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A4994" w14:textId="77777777" w:rsidR="00DD50CD" w:rsidRDefault="00DD50CD" w:rsidP="00DD50C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E6CD1">
      <w:rPr>
        <w:rStyle w:val="PageNumber"/>
        <w:noProof/>
      </w:rPr>
      <w:t>1</w:t>
    </w:r>
    <w:r>
      <w:rPr>
        <w:rStyle w:val="PageNumber"/>
      </w:rPr>
      <w:fldChar w:fldCharType="end"/>
    </w:r>
  </w:p>
  <w:p w14:paraId="5862DE24" w14:textId="77777777" w:rsidR="00DD50CD" w:rsidRDefault="00DD50C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14699" w14:textId="77777777" w:rsidR="002405F5" w:rsidRDefault="002405F5" w:rsidP="009C4D9C">
      <w:r>
        <w:separator/>
      </w:r>
    </w:p>
  </w:footnote>
  <w:footnote w:type="continuationSeparator" w:id="0">
    <w:p w14:paraId="5C619E19" w14:textId="77777777" w:rsidR="002405F5" w:rsidRDefault="002405F5" w:rsidP="009C4D9C">
      <w:r>
        <w:continuationSeparator/>
      </w:r>
    </w:p>
  </w:footnote>
  <w:footnote w:id="1">
    <w:p w14:paraId="1249BF69" w14:textId="030DBBEE" w:rsidR="00DD50CD" w:rsidRPr="007627C1" w:rsidRDefault="00DD50CD" w:rsidP="003F799C">
      <w:pPr>
        <w:pStyle w:val="FootnoteText"/>
        <w:jc w:val="both"/>
        <w:rPr>
          <w:sz w:val="20"/>
          <w:szCs w:val="20"/>
        </w:rPr>
      </w:pPr>
      <w:r w:rsidRPr="007627C1">
        <w:rPr>
          <w:rStyle w:val="FootnoteReference"/>
          <w:sz w:val="20"/>
          <w:szCs w:val="20"/>
        </w:rPr>
        <w:t>1</w:t>
      </w:r>
      <w:r w:rsidRPr="007627C1">
        <w:rPr>
          <w:sz w:val="20"/>
          <w:szCs w:val="20"/>
        </w:rPr>
        <w:t xml:space="preserve"> Based on the</w:t>
      </w:r>
      <w:r>
        <w:rPr>
          <w:sz w:val="20"/>
          <w:szCs w:val="20"/>
        </w:rPr>
        <w:t xml:space="preserve"> race assigned at enumeration. </w:t>
      </w:r>
      <w:r w:rsidRPr="007627C1">
        <w:rPr>
          <w:sz w:val="20"/>
          <w:szCs w:val="20"/>
        </w:rPr>
        <w:t xml:space="preserve">This is similar to the </w:t>
      </w:r>
      <w:proofErr w:type="spellStart"/>
      <w:r w:rsidRPr="007627C1">
        <w:rPr>
          <w:i/>
          <w:sz w:val="20"/>
          <w:szCs w:val="20"/>
        </w:rPr>
        <w:t>racesing</w:t>
      </w:r>
      <w:proofErr w:type="spellEnd"/>
      <w:r w:rsidRPr="007627C1">
        <w:rPr>
          <w:sz w:val="20"/>
          <w:szCs w:val="20"/>
        </w:rPr>
        <w:t xml:space="preserve"> coding</w:t>
      </w:r>
      <w:r>
        <w:rPr>
          <w:sz w:val="20"/>
          <w:szCs w:val="20"/>
        </w:rPr>
        <w:t xml:space="preserve"> of race constructed by IPUMS. </w:t>
      </w:r>
      <w:r w:rsidRPr="007627C1">
        <w:rPr>
          <w:sz w:val="20"/>
          <w:szCs w:val="20"/>
        </w:rPr>
        <w:t xml:space="preserve">One key feature of </w:t>
      </w:r>
      <w:proofErr w:type="spellStart"/>
      <w:r w:rsidRPr="007627C1">
        <w:rPr>
          <w:i/>
          <w:sz w:val="20"/>
          <w:szCs w:val="20"/>
        </w:rPr>
        <w:t>racesing</w:t>
      </w:r>
      <w:proofErr w:type="spellEnd"/>
      <w:r w:rsidRPr="007627C1">
        <w:rPr>
          <w:i/>
          <w:sz w:val="20"/>
          <w:szCs w:val="20"/>
        </w:rPr>
        <w:t xml:space="preserve"> </w:t>
      </w:r>
      <w:r w:rsidRPr="007627C1">
        <w:rPr>
          <w:sz w:val="20"/>
          <w:szCs w:val="20"/>
        </w:rPr>
        <w:t xml:space="preserve">for our purposes is places people with their race given as </w:t>
      </w:r>
      <w:r>
        <w:rPr>
          <w:sz w:val="20"/>
          <w:szCs w:val="20"/>
        </w:rPr>
        <w:t>“</w:t>
      </w:r>
      <w:r w:rsidRPr="007627C1">
        <w:rPr>
          <w:sz w:val="20"/>
          <w:szCs w:val="20"/>
        </w:rPr>
        <w:t>mulatto</w:t>
      </w:r>
      <w:r>
        <w:rPr>
          <w:sz w:val="20"/>
          <w:szCs w:val="20"/>
        </w:rPr>
        <w:t>”</w:t>
      </w:r>
      <w:r w:rsidRPr="007627C1">
        <w:rPr>
          <w:sz w:val="20"/>
          <w:szCs w:val="20"/>
        </w:rPr>
        <w:t xml:space="preserve"> in the same category as people with their race given as </w:t>
      </w:r>
      <w:r>
        <w:rPr>
          <w:sz w:val="20"/>
          <w:szCs w:val="20"/>
        </w:rPr>
        <w:t>“black</w:t>
      </w:r>
      <w:r w:rsidRPr="007627C1">
        <w:rPr>
          <w:sz w:val="20"/>
          <w:szCs w:val="20"/>
        </w:rPr>
        <w:t>.</w:t>
      </w:r>
      <w:r>
        <w:rPr>
          <w:sz w:val="20"/>
          <w:szCs w:val="20"/>
        </w:rPr>
        <w:t xml:space="preserve">” </w:t>
      </w:r>
      <w:r w:rsidRPr="007627C1">
        <w:rPr>
          <w:sz w:val="20"/>
          <w:szCs w:val="20"/>
        </w:rPr>
        <w:t>So a black individual living next to two neighbors listed on the census as mulatto would be considered to be of the same race as his neighbors.</w:t>
      </w:r>
    </w:p>
  </w:footnote>
  <w:footnote w:id="2">
    <w:p w14:paraId="59C6EBF7" w14:textId="027D5D3A" w:rsidR="00DD50CD" w:rsidRPr="007627C1" w:rsidRDefault="00DD50CD" w:rsidP="00791C45">
      <w:pPr>
        <w:pStyle w:val="FootnoteText"/>
        <w:jc w:val="both"/>
        <w:rPr>
          <w:sz w:val="20"/>
          <w:szCs w:val="20"/>
        </w:rPr>
      </w:pPr>
      <w:r w:rsidRPr="007627C1">
        <w:rPr>
          <w:rStyle w:val="FootnoteReference"/>
          <w:sz w:val="20"/>
          <w:szCs w:val="20"/>
        </w:rPr>
        <w:t>2</w:t>
      </w:r>
      <w:r w:rsidRPr="007627C1">
        <w:rPr>
          <w:sz w:val="20"/>
          <w:szCs w:val="20"/>
        </w:rPr>
        <w:t xml:space="preserve"> Note that a county can</w:t>
      </w:r>
      <w:r>
        <w:rPr>
          <w:sz w:val="20"/>
          <w:szCs w:val="20"/>
        </w:rPr>
        <w:t xml:space="preserve"> be more integrated than this. </w:t>
      </w:r>
      <w:r w:rsidRPr="007627C1">
        <w:rPr>
          <w:sz w:val="20"/>
          <w:szCs w:val="20"/>
        </w:rPr>
        <w:t xml:space="preserve">We have chosen to focus on random assignment of neighbors by race as the relevant bound because we generally think of people choosing to self-segregate, making this the appropriate counterfactual </w:t>
      </w:r>
      <w:r>
        <w:rPr>
          <w:sz w:val="20"/>
          <w:szCs w:val="20"/>
        </w:rPr>
        <w:t xml:space="preserve">of no segregation. </w:t>
      </w:r>
      <w:r w:rsidRPr="007627C1">
        <w:rPr>
          <w:sz w:val="20"/>
          <w:szCs w:val="20"/>
        </w:rPr>
        <w:t>However, you could conceive of policies designed to move a community toward further integration leading to more black households having white neighbors than we would pr</w:t>
      </w:r>
      <w:r>
        <w:rPr>
          <w:sz w:val="20"/>
          <w:szCs w:val="20"/>
        </w:rPr>
        <w:t xml:space="preserve">edict under random assignment. </w:t>
      </w:r>
      <w:r w:rsidRPr="007627C1">
        <w:rPr>
          <w:sz w:val="20"/>
          <w:szCs w:val="20"/>
        </w:rPr>
        <w:t>The theoretical maximum number of black households with white neighbors is the minimum of either the number of black households or two times the number of white households in the case of a majority-black area (in this case, two black households would lie between white households, giving every black</w:t>
      </w:r>
      <w:r>
        <w:rPr>
          <w:sz w:val="20"/>
          <w:szCs w:val="20"/>
        </w:rPr>
        <w:t xml:space="preserve"> household one white neighbor. </w:t>
      </w:r>
      <w:r w:rsidRPr="007627C1">
        <w:rPr>
          <w:sz w:val="20"/>
          <w:szCs w:val="20"/>
        </w:rPr>
        <w:t>Table A</w:t>
      </w:r>
      <w:r w:rsidR="00100EA8">
        <w:rPr>
          <w:sz w:val="20"/>
          <w:szCs w:val="20"/>
        </w:rPr>
        <w:t>7</w:t>
      </w:r>
      <w:r w:rsidRPr="007627C1">
        <w:rPr>
          <w:sz w:val="20"/>
          <w:szCs w:val="20"/>
        </w:rPr>
        <w:t xml:space="preserve"> compares the segregation measure using our upper bound of random assignment and using</w:t>
      </w:r>
      <w:r>
        <w:rPr>
          <w:sz w:val="20"/>
          <w:szCs w:val="20"/>
        </w:rPr>
        <w:t xml:space="preserve"> this alternative upper bound. </w:t>
      </w:r>
      <w:r w:rsidRPr="007627C1">
        <w:rPr>
          <w:sz w:val="20"/>
          <w:szCs w:val="20"/>
        </w:rPr>
        <w:t>Using the alternative upper bound increases the levels of segregation but leaves all of the patterns we identify in the paper unchanged.</w:t>
      </w:r>
    </w:p>
  </w:footnote>
  <w:footnote w:id="3">
    <w:p w14:paraId="1BF1591F" w14:textId="0DCAF5CE" w:rsidR="00DD50CD" w:rsidRPr="007627C1" w:rsidRDefault="00DD50CD" w:rsidP="00251264">
      <w:pPr>
        <w:pStyle w:val="FootnoteText"/>
        <w:jc w:val="both"/>
        <w:rPr>
          <w:sz w:val="20"/>
          <w:szCs w:val="20"/>
        </w:rPr>
      </w:pPr>
      <w:r w:rsidRPr="007627C1">
        <w:rPr>
          <w:rStyle w:val="FootnoteReference"/>
          <w:sz w:val="20"/>
          <w:szCs w:val="20"/>
        </w:rPr>
        <w:t>3</w:t>
      </w:r>
      <w:r w:rsidRPr="007627C1">
        <w:rPr>
          <w:sz w:val="20"/>
          <w:szCs w:val="20"/>
        </w:rPr>
        <w:t xml:space="preserve"> Given the evidence that population counts of the size of the African American community in census returns is biased, we are concerned about the problem of missing African Americans (</w:t>
      </w:r>
      <w:proofErr w:type="spellStart"/>
      <w:r w:rsidRPr="007627C1">
        <w:rPr>
          <w:sz w:val="20"/>
          <w:szCs w:val="20"/>
        </w:rPr>
        <w:t>Coale</w:t>
      </w:r>
      <w:proofErr w:type="spellEnd"/>
      <w:r w:rsidRPr="007627C1">
        <w:rPr>
          <w:sz w:val="20"/>
          <w:szCs w:val="20"/>
        </w:rPr>
        <w:t xml:space="preserve"> </w:t>
      </w:r>
      <w:r>
        <w:rPr>
          <w:sz w:val="20"/>
          <w:szCs w:val="20"/>
        </w:rPr>
        <w:t>and</w:t>
      </w:r>
      <w:r w:rsidRPr="007627C1">
        <w:rPr>
          <w:sz w:val="20"/>
          <w:szCs w:val="20"/>
        </w:rPr>
        <w:t xml:space="preserve"> Rives 1973; </w:t>
      </w:r>
      <w:proofErr w:type="spellStart"/>
      <w:r w:rsidRPr="007627C1">
        <w:rPr>
          <w:sz w:val="20"/>
          <w:szCs w:val="20"/>
        </w:rPr>
        <w:t>Eblen</w:t>
      </w:r>
      <w:proofErr w:type="spellEnd"/>
      <w:r w:rsidRPr="007627C1">
        <w:rPr>
          <w:sz w:val="20"/>
          <w:szCs w:val="20"/>
        </w:rPr>
        <w:t xml:space="preserve"> 1974; Preston et al. 1998). While it would appear that under-reporting of African Americans would be a concern, it would only bias estimates of the segregation measure if the missing African American h</w:t>
      </w:r>
      <w:r>
        <w:rPr>
          <w:sz w:val="20"/>
          <w:szCs w:val="20"/>
        </w:rPr>
        <w:t xml:space="preserve">ouseholds had white neighbors. </w:t>
      </w:r>
      <w:r w:rsidRPr="007627C1">
        <w:rPr>
          <w:sz w:val="20"/>
          <w:szCs w:val="20"/>
        </w:rPr>
        <w:t xml:space="preserve">To see how, note that </w:t>
      </w:r>
      <m:oMath>
        <m:r>
          <w:rPr>
            <w:rFonts w:ascii="Cambria Math" w:hAnsi="Cambria Math"/>
            <w:sz w:val="20"/>
            <w:szCs w:val="20"/>
          </w:rPr>
          <m:t>E(</m:t>
        </m:r>
        <m:bar>
          <m:barPr>
            <m:ctrlPr>
              <w:rPr>
                <w:rFonts w:ascii="Cambria Math" w:hAnsi="Cambria Math"/>
                <w:i/>
                <w:sz w:val="20"/>
                <w:szCs w:val="20"/>
              </w:rPr>
            </m:ctrlPr>
          </m:bar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b</m:t>
                </m:r>
              </m:sub>
            </m:sSub>
          </m:e>
        </m:bar>
        <m:r>
          <w:rPr>
            <w:rFonts w:ascii="Cambria Math" w:hAnsi="Cambria Math"/>
            <w:sz w:val="20"/>
            <w:szCs w:val="20"/>
          </w:rPr>
          <m:t>)</m:t>
        </m:r>
      </m:oMath>
      <w:r w:rsidRPr="007627C1">
        <w:rPr>
          <w:sz w:val="20"/>
          <w:szCs w:val="20"/>
        </w:rPr>
        <w:t xml:space="preserve"> is invariant to the number of black and white households as it estimates the minimum number of households who would have opposite race neighbors, which itself is not a functio</w:t>
      </w:r>
      <w:r>
        <w:rPr>
          <w:sz w:val="20"/>
          <w:szCs w:val="20"/>
        </w:rPr>
        <w:t xml:space="preserve">n of the size of either group. </w:t>
      </w:r>
      <w:r w:rsidRPr="007627C1">
        <w:rPr>
          <w:sz w:val="20"/>
          <w:szCs w:val="20"/>
        </w:rPr>
        <w:t>Since the measure of segregation is the ratio of the two differences (</w:t>
      </w:r>
      <m:oMath>
        <m:r>
          <w:rPr>
            <w:rFonts w:ascii="Cambria Math" w:hAnsi="Cambria Math"/>
            <w:sz w:val="20"/>
            <w:szCs w:val="20"/>
          </w:rPr>
          <m:t>E</m:t>
        </m:r>
        <m:d>
          <m:dPr>
            <m:ctrlPr>
              <w:rPr>
                <w:rFonts w:ascii="Cambria Math" w:hAnsi="Cambria Math"/>
                <w:i/>
                <w:sz w:val="20"/>
                <w:szCs w:val="20"/>
              </w:rPr>
            </m:ctrlPr>
          </m:dPr>
          <m:e>
            <m:bar>
              <m:barPr>
                <m:pos m:val="top"/>
                <m:ctrlPr>
                  <w:rPr>
                    <w:rFonts w:ascii="Cambria Math" w:hAnsi="Cambria Math"/>
                    <w:i/>
                    <w:sz w:val="20"/>
                    <w:szCs w:val="20"/>
                  </w:rPr>
                </m:ctrlPr>
              </m:bar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b</m:t>
                    </m:r>
                  </m:sub>
                </m:sSub>
              </m:e>
            </m:ba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b</m:t>
            </m:r>
          </m:sub>
        </m:sSub>
      </m:oMath>
      <w:r w:rsidRPr="007627C1">
        <w:rPr>
          <w:sz w:val="20"/>
          <w:szCs w:val="20"/>
        </w:rPr>
        <w:t xml:space="preserve"> and </w:t>
      </w:r>
      <m:oMath>
        <m:r>
          <w:rPr>
            <w:rFonts w:ascii="Cambria Math" w:hAnsi="Cambria Math"/>
            <w:sz w:val="20"/>
            <w:szCs w:val="20"/>
          </w:rPr>
          <m:t>E</m:t>
        </m:r>
        <m:d>
          <m:dPr>
            <m:ctrlPr>
              <w:rPr>
                <w:rFonts w:ascii="Cambria Math" w:hAnsi="Cambria Math"/>
                <w:i/>
                <w:sz w:val="20"/>
                <w:szCs w:val="20"/>
              </w:rPr>
            </m:ctrlPr>
          </m:dPr>
          <m:e>
            <m:bar>
              <m:barPr>
                <m:pos m:val="top"/>
                <m:ctrlPr>
                  <w:rPr>
                    <w:rFonts w:ascii="Cambria Math" w:hAnsi="Cambria Math"/>
                    <w:i/>
                    <w:sz w:val="20"/>
                    <w:szCs w:val="20"/>
                  </w:rPr>
                </m:ctrlPr>
              </m:bar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b</m:t>
                    </m:r>
                  </m:sub>
                </m:sSub>
              </m:e>
            </m:bar>
          </m:e>
        </m:d>
        <m:r>
          <w:rPr>
            <w:rFonts w:ascii="Cambria Math" w:hAnsi="Cambria Math"/>
            <w:sz w:val="20"/>
            <w:szCs w:val="20"/>
          </w:rPr>
          <m:t>-E(</m:t>
        </m:r>
        <m:bar>
          <m:barPr>
            <m:ctrlPr>
              <w:rPr>
                <w:rFonts w:ascii="Cambria Math" w:hAnsi="Cambria Math"/>
                <w:i/>
                <w:sz w:val="20"/>
                <w:szCs w:val="20"/>
              </w:rPr>
            </m:ctrlPr>
          </m:bar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b</m:t>
                </m:r>
              </m:sub>
            </m:sSub>
          </m:e>
        </m:bar>
        <m:r>
          <w:rPr>
            <w:rFonts w:ascii="Cambria Math" w:hAnsi="Cambria Math"/>
            <w:sz w:val="20"/>
            <w:szCs w:val="20"/>
          </w:rPr>
          <m:t>)</m:t>
        </m:r>
      </m:oMath>
      <w:r w:rsidRPr="007627C1">
        <w:rPr>
          <w:sz w:val="20"/>
          <w:szCs w:val="20"/>
        </w:rPr>
        <w:t xml:space="preserve">), only if the estimate of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b</m:t>
            </m:r>
          </m:sub>
        </m:sSub>
      </m:oMath>
      <w:r w:rsidRPr="007627C1">
        <w:rPr>
          <w:sz w:val="20"/>
          <w:szCs w:val="20"/>
        </w:rPr>
        <w:t xml:space="preserve"> is biased downward would missing black households have a material effect o</w:t>
      </w:r>
      <w:r>
        <w:rPr>
          <w:sz w:val="20"/>
          <w:szCs w:val="20"/>
        </w:rPr>
        <w:t xml:space="preserve">n the estimate of segregation. </w:t>
      </w:r>
      <w:r w:rsidRPr="007627C1">
        <w:rPr>
          <w:sz w:val="20"/>
          <w:szCs w:val="20"/>
        </w:rPr>
        <w:t>Given the reality of census enumeration, it is unlikely that enumerators deliberately skipped African American households in integrated communities as opposed to skipping entire groups of black households.</w:t>
      </w:r>
    </w:p>
  </w:footnote>
  <w:footnote w:id="4">
    <w:p w14:paraId="36F811DA" w14:textId="54066A63" w:rsidR="00DD50CD" w:rsidRPr="007627C1" w:rsidRDefault="00DD50CD">
      <w:pPr>
        <w:pStyle w:val="FootnoteText"/>
        <w:rPr>
          <w:sz w:val="20"/>
          <w:szCs w:val="20"/>
        </w:rPr>
      </w:pPr>
      <w:r w:rsidRPr="007627C1">
        <w:rPr>
          <w:rStyle w:val="FootnoteReference"/>
          <w:sz w:val="20"/>
          <w:szCs w:val="20"/>
        </w:rPr>
        <w:t>4</w:t>
      </w:r>
      <w:r w:rsidRPr="007627C1">
        <w:rPr>
          <w:sz w:val="20"/>
          <w:szCs w:val="20"/>
        </w:rPr>
        <w:t xml:space="preserve"> The results are the same when increasing the number of missing households to </w:t>
      </w:r>
      <w:r>
        <w:rPr>
          <w:sz w:val="20"/>
          <w:szCs w:val="20"/>
        </w:rPr>
        <w:t>20</w:t>
      </w:r>
      <w:r w:rsidRPr="007627C1">
        <w:rPr>
          <w:sz w:val="20"/>
          <w:szCs w:val="20"/>
        </w:rPr>
        <w:t xml:space="preserve"> percent.</w:t>
      </w:r>
    </w:p>
  </w:footnote>
  <w:footnote w:id="5">
    <w:p w14:paraId="4451A798" w14:textId="3A44F4CA" w:rsidR="00DD50CD" w:rsidRPr="007627C1" w:rsidRDefault="00DD50CD" w:rsidP="00051911">
      <w:pPr>
        <w:pStyle w:val="FootnoteText"/>
        <w:jc w:val="both"/>
        <w:rPr>
          <w:sz w:val="20"/>
          <w:szCs w:val="20"/>
        </w:rPr>
      </w:pPr>
      <w:r w:rsidRPr="007627C1">
        <w:rPr>
          <w:rStyle w:val="FootnoteReference"/>
          <w:sz w:val="20"/>
          <w:szCs w:val="20"/>
        </w:rPr>
        <w:t>5</w:t>
      </w:r>
      <w:r w:rsidRPr="007627C1">
        <w:rPr>
          <w:sz w:val="20"/>
          <w:szCs w:val="20"/>
        </w:rPr>
        <w:t xml:space="preserve"> One critique of traditional segregation measures is that they may fail to capture the emergence of separate neighborhoods housing members of the same race but of d</w:t>
      </w:r>
      <w:r>
        <w:rPr>
          <w:sz w:val="20"/>
          <w:szCs w:val="20"/>
        </w:rPr>
        <w:t xml:space="preserve">ifferent socioeconomic status. </w:t>
      </w:r>
      <w:r w:rsidRPr="007627C1">
        <w:rPr>
          <w:sz w:val="20"/>
          <w:szCs w:val="20"/>
        </w:rPr>
        <w:t>For example, Bayer</w:t>
      </w:r>
      <w:r>
        <w:rPr>
          <w:sz w:val="20"/>
          <w:szCs w:val="20"/>
        </w:rPr>
        <w:t>, Fang, and McMillan</w:t>
      </w:r>
      <w:r w:rsidRPr="007627C1">
        <w:rPr>
          <w:sz w:val="20"/>
          <w:szCs w:val="20"/>
        </w:rPr>
        <w:t xml:space="preserve"> (20</w:t>
      </w:r>
      <w:r>
        <w:rPr>
          <w:sz w:val="20"/>
          <w:szCs w:val="20"/>
        </w:rPr>
        <w:t>14</w:t>
      </w:r>
      <w:r w:rsidRPr="007627C1">
        <w:rPr>
          <w:sz w:val="20"/>
          <w:szCs w:val="20"/>
        </w:rPr>
        <w:t>) argue that increasing wealth among African Americans led to the development of middle-class black communities which increased measures of segregation.</w:t>
      </w:r>
    </w:p>
  </w:footnote>
  <w:footnote w:id="6">
    <w:p w14:paraId="58D15918" w14:textId="061784F6" w:rsidR="00DD50CD" w:rsidRPr="007627C1" w:rsidRDefault="00DD50CD" w:rsidP="00051911">
      <w:pPr>
        <w:pStyle w:val="FootnoteText"/>
        <w:jc w:val="both"/>
        <w:rPr>
          <w:sz w:val="20"/>
          <w:szCs w:val="20"/>
        </w:rPr>
      </w:pPr>
      <w:r w:rsidRPr="007627C1">
        <w:rPr>
          <w:rStyle w:val="FootnoteReference"/>
          <w:sz w:val="20"/>
          <w:szCs w:val="20"/>
        </w:rPr>
        <w:t>6</w:t>
      </w:r>
      <w:r w:rsidRPr="007627C1">
        <w:rPr>
          <w:sz w:val="20"/>
          <w:szCs w:val="20"/>
        </w:rPr>
        <w:t xml:space="preserve"> When calculating isolation, we follow the approach of Cutler</w:t>
      </w:r>
      <w:r>
        <w:rPr>
          <w:sz w:val="20"/>
          <w:szCs w:val="20"/>
        </w:rPr>
        <w:t xml:space="preserve">, </w:t>
      </w:r>
      <w:proofErr w:type="spellStart"/>
      <w:r>
        <w:rPr>
          <w:sz w:val="20"/>
          <w:szCs w:val="20"/>
        </w:rPr>
        <w:t>Glaeser</w:t>
      </w:r>
      <w:proofErr w:type="spellEnd"/>
      <w:r>
        <w:rPr>
          <w:sz w:val="20"/>
          <w:szCs w:val="20"/>
        </w:rPr>
        <w:t xml:space="preserve">, and </w:t>
      </w:r>
      <w:proofErr w:type="spellStart"/>
      <w:r>
        <w:rPr>
          <w:sz w:val="20"/>
          <w:szCs w:val="20"/>
        </w:rPr>
        <w:t>Vigdor</w:t>
      </w:r>
      <w:proofErr w:type="spellEnd"/>
      <w:r w:rsidRPr="007627C1">
        <w:rPr>
          <w:sz w:val="20"/>
          <w:szCs w:val="20"/>
        </w:rPr>
        <w:t xml:space="preserve"> (1999) and rescale and normalize the isolation index such that it is independent of the overall size of the black population and ranges between zero and one.</w:t>
      </w:r>
    </w:p>
  </w:footnote>
  <w:footnote w:id="7">
    <w:p w14:paraId="3EDF9B09" w14:textId="3AB124CC" w:rsidR="00DD50CD" w:rsidRPr="007627C1" w:rsidRDefault="00DD50CD" w:rsidP="00051911">
      <w:pPr>
        <w:pStyle w:val="FootnoteText"/>
        <w:jc w:val="both"/>
        <w:rPr>
          <w:sz w:val="20"/>
          <w:szCs w:val="20"/>
        </w:rPr>
      </w:pPr>
      <w:r w:rsidRPr="007627C1">
        <w:rPr>
          <w:rStyle w:val="FootnoteReference"/>
          <w:sz w:val="20"/>
          <w:szCs w:val="20"/>
        </w:rPr>
        <w:t>7</w:t>
      </w:r>
      <w:r w:rsidRPr="007627C1">
        <w:rPr>
          <w:sz w:val="20"/>
          <w:szCs w:val="20"/>
        </w:rPr>
        <w:t xml:space="preserve"> Note that the community is still completely segregated as only the two black households at the edge of the white communities have opposite race neighbors.</w:t>
      </w:r>
    </w:p>
  </w:footnote>
  <w:footnote w:id="8">
    <w:p w14:paraId="61F7BEEE" w14:textId="674BD9B8" w:rsidR="00DD50CD" w:rsidRDefault="00DD50CD" w:rsidP="00051911">
      <w:pPr>
        <w:pStyle w:val="FootnoteText"/>
        <w:jc w:val="both"/>
      </w:pPr>
      <w:r w:rsidRPr="007627C1">
        <w:rPr>
          <w:rStyle w:val="FootnoteReference"/>
          <w:sz w:val="20"/>
          <w:szCs w:val="20"/>
        </w:rPr>
        <w:t>8</w:t>
      </w:r>
      <w:r w:rsidRPr="007627C1">
        <w:rPr>
          <w:sz w:val="20"/>
          <w:szCs w:val="20"/>
        </w:rPr>
        <w:t xml:space="preserve"> Complete </w:t>
      </w:r>
      <w:r w:rsidRPr="00F272A5">
        <w:rPr>
          <w:sz w:val="20"/>
          <w:szCs w:val="20"/>
        </w:rPr>
        <w:t>simulation</w:t>
      </w:r>
      <w:r w:rsidRPr="007627C1">
        <w:rPr>
          <w:sz w:val="20"/>
          <w:szCs w:val="20"/>
        </w:rPr>
        <w:t xml:space="preserve"> results for all measures when varying area size, area </w:t>
      </w:r>
      <w:r w:rsidRPr="00F272A5">
        <w:rPr>
          <w:sz w:val="20"/>
          <w:szCs w:val="20"/>
        </w:rPr>
        <w:t>racial composition, ward size and ward boundary location are available from the authors.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D935E" w14:textId="77777777" w:rsidR="00DD50CD" w:rsidRPr="005E0605" w:rsidRDefault="00DD50CD" w:rsidP="00DD50CD">
    <w:pPr>
      <w:pStyle w:val="Header"/>
      <w:framePr w:wrap="none" w:vAnchor="text" w:hAnchor="margin" w:xAlign="outside" w:y="1"/>
      <w:rPr>
        <w:rStyle w:val="PageNumber"/>
        <w:rFonts w:ascii="Times New Roman" w:hAnsi="Times New Roman" w:cs="Times New Roman"/>
        <w:sz w:val="24"/>
        <w:szCs w:val="24"/>
      </w:rPr>
    </w:pPr>
    <w:r w:rsidRPr="005E0605">
      <w:rPr>
        <w:rStyle w:val="PageNumber"/>
        <w:rFonts w:ascii="Times New Roman" w:hAnsi="Times New Roman" w:cs="Times New Roman"/>
        <w:sz w:val="24"/>
        <w:szCs w:val="24"/>
      </w:rPr>
      <w:fldChar w:fldCharType="begin"/>
    </w:r>
    <w:r w:rsidRPr="005E0605">
      <w:rPr>
        <w:rStyle w:val="PageNumber"/>
        <w:rFonts w:ascii="Times New Roman" w:hAnsi="Times New Roman" w:cs="Times New Roman"/>
        <w:sz w:val="24"/>
        <w:szCs w:val="24"/>
      </w:rPr>
      <w:instrText xml:space="preserve">PAGE  </w:instrText>
    </w:r>
    <w:r w:rsidRPr="005E0605">
      <w:rPr>
        <w:rStyle w:val="PageNumber"/>
        <w:rFonts w:ascii="Times New Roman" w:hAnsi="Times New Roman" w:cs="Times New Roman"/>
        <w:sz w:val="24"/>
        <w:szCs w:val="24"/>
      </w:rPr>
      <w:fldChar w:fldCharType="separate"/>
    </w:r>
    <w:r w:rsidR="008E6CD1">
      <w:rPr>
        <w:rStyle w:val="PageNumber"/>
        <w:rFonts w:ascii="Times New Roman" w:hAnsi="Times New Roman" w:cs="Times New Roman"/>
        <w:noProof/>
        <w:sz w:val="24"/>
        <w:szCs w:val="24"/>
      </w:rPr>
      <w:t>2</w:t>
    </w:r>
    <w:r w:rsidRPr="005E0605">
      <w:rPr>
        <w:rStyle w:val="PageNumber"/>
        <w:rFonts w:ascii="Times New Roman" w:hAnsi="Times New Roman" w:cs="Times New Roman"/>
        <w:sz w:val="24"/>
        <w:szCs w:val="24"/>
      </w:rPr>
      <w:fldChar w:fldCharType="end"/>
    </w:r>
  </w:p>
  <w:p w14:paraId="1147FB14" w14:textId="1B04DF07" w:rsidR="00DD50CD" w:rsidRDefault="00DD50CD" w:rsidP="005E0605">
    <w:pPr>
      <w:pStyle w:val="Header"/>
      <w:ind w:right="360" w:firstLine="360"/>
      <w:jc w:val="center"/>
      <w:rPr>
        <w:rFonts w:ascii="Times New Roman" w:hAnsi="Times New Roman" w:cs="Times New Roman"/>
        <w:i/>
        <w:sz w:val="24"/>
        <w:szCs w:val="24"/>
      </w:rPr>
    </w:pPr>
    <w:r w:rsidRPr="005E0605">
      <w:rPr>
        <w:rFonts w:ascii="Times New Roman" w:hAnsi="Times New Roman" w:cs="Times New Roman"/>
        <w:i/>
        <w:sz w:val="24"/>
        <w:szCs w:val="24"/>
      </w:rPr>
      <w:t xml:space="preserve">Logan and </w:t>
    </w:r>
    <w:proofErr w:type="spellStart"/>
    <w:r w:rsidRPr="005E0605">
      <w:rPr>
        <w:rFonts w:ascii="Times New Roman" w:hAnsi="Times New Roman" w:cs="Times New Roman"/>
        <w:i/>
        <w:sz w:val="24"/>
        <w:szCs w:val="24"/>
      </w:rPr>
      <w:t>Parman</w:t>
    </w:r>
    <w:proofErr w:type="spellEnd"/>
  </w:p>
  <w:p w14:paraId="24ECC292" w14:textId="77777777" w:rsidR="00DD50CD" w:rsidRPr="005E0605" w:rsidRDefault="00DD50CD" w:rsidP="005E0605">
    <w:pPr>
      <w:pStyle w:val="Header"/>
      <w:ind w:right="360" w:firstLine="360"/>
      <w:jc w:val="center"/>
      <w:rPr>
        <w:rFonts w:ascii="Times New Roman" w:hAnsi="Times New Roman" w:cs="Times New Roman"/>
        <w:i/>
        <w:sz w:val="24"/>
        <w:szCs w:val="24"/>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B3A53" w14:textId="77777777" w:rsidR="00DD50CD" w:rsidRDefault="00DD50CD" w:rsidP="00DD50CD">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CD1">
      <w:rPr>
        <w:rStyle w:val="PageNumber"/>
        <w:noProof/>
      </w:rPr>
      <w:t>3</w:t>
    </w:r>
    <w:r>
      <w:rPr>
        <w:rStyle w:val="PageNumber"/>
      </w:rPr>
      <w:fldChar w:fldCharType="end"/>
    </w:r>
  </w:p>
  <w:p w14:paraId="405DF936" w14:textId="46BA1D7F" w:rsidR="00DD50CD" w:rsidRPr="005E0605" w:rsidRDefault="00DD50CD" w:rsidP="005E0605">
    <w:pPr>
      <w:pStyle w:val="Header"/>
      <w:ind w:right="360" w:firstLine="360"/>
      <w:jc w:val="center"/>
      <w:rPr>
        <w:rFonts w:ascii="Times New Roman" w:hAnsi="Times New Roman" w:cs="Times New Roman"/>
        <w:i/>
        <w:sz w:val="24"/>
        <w:szCs w:val="24"/>
      </w:rPr>
    </w:pPr>
    <w:r w:rsidRPr="005E0605">
      <w:rPr>
        <w:rFonts w:ascii="Times New Roman" w:hAnsi="Times New Roman" w:cs="Times New Roman"/>
        <w:i/>
        <w:sz w:val="24"/>
        <w:szCs w:val="24"/>
      </w:rPr>
      <w:t>The National Rise in Residential Segregation</w:t>
    </w:r>
  </w:p>
  <w:p w14:paraId="0E289A74" w14:textId="77777777" w:rsidR="00DD50CD" w:rsidRDefault="00DD50CD" w:rsidP="005E0605">
    <w:pPr>
      <w:pStyle w:val="Header"/>
      <w:ind w:right="360" w:firstLine="360"/>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091169"/>
    <w:multiLevelType w:val="multilevel"/>
    <w:tmpl w:val="2310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1"/>
  <w:proofState w:spelling="clean" w:grammar="clean"/>
  <w:defaultTabStop w:val="720"/>
  <w:evenAndOddHeaders/>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doNotWrapTextWithPunct/>
    <w:doNotUseEastAsianBreakRules/>
    <w:growAutofit/>
    <w:compatSetting w:name="compatibilityMode" w:uri="http://schemas.microsoft.com/office/word" w:val="14"/>
  </w:compat>
  <w:rsids>
    <w:rsidRoot w:val="00060DC1"/>
    <w:rsid w:val="0001401F"/>
    <w:rsid w:val="000413F4"/>
    <w:rsid w:val="00051911"/>
    <w:rsid w:val="00060DC1"/>
    <w:rsid w:val="00074DF1"/>
    <w:rsid w:val="00076064"/>
    <w:rsid w:val="00091908"/>
    <w:rsid w:val="000923BB"/>
    <w:rsid w:val="000B1860"/>
    <w:rsid w:val="000B6359"/>
    <w:rsid w:val="000B7137"/>
    <w:rsid w:val="000C7527"/>
    <w:rsid w:val="000E37EF"/>
    <w:rsid w:val="000E3CDF"/>
    <w:rsid w:val="000E6961"/>
    <w:rsid w:val="000E78B4"/>
    <w:rsid w:val="000F0562"/>
    <w:rsid w:val="00100EA8"/>
    <w:rsid w:val="0010716A"/>
    <w:rsid w:val="001109A0"/>
    <w:rsid w:val="001324EC"/>
    <w:rsid w:val="00132E1D"/>
    <w:rsid w:val="00136DD4"/>
    <w:rsid w:val="001427EA"/>
    <w:rsid w:val="0016555F"/>
    <w:rsid w:val="00171119"/>
    <w:rsid w:val="001745C9"/>
    <w:rsid w:val="0018502D"/>
    <w:rsid w:val="001861CD"/>
    <w:rsid w:val="00192FD9"/>
    <w:rsid w:val="00194605"/>
    <w:rsid w:val="001949D7"/>
    <w:rsid w:val="00196A49"/>
    <w:rsid w:val="001A19AE"/>
    <w:rsid w:val="001C2CFC"/>
    <w:rsid w:val="001C75C4"/>
    <w:rsid w:val="001E4089"/>
    <w:rsid w:val="001E7D6C"/>
    <w:rsid w:val="001F297C"/>
    <w:rsid w:val="001F42E0"/>
    <w:rsid w:val="00200D40"/>
    <w:rsid w:val="00205CA1"/>
    <w:rsid w:val="00206936"/>
    <w:rsid w:val="002236B3"/>
    <w:rsid w:val="00224D61"/>
    <w:rsid w:val="002320F0"/>
    <w:rsid w:val="00237EE9"/>
    <w:rsid w:val="002401A2"/>
    <w:rsid w:val="002405F5"/>
    <w:rsid w:val="00242B91"/>
    <w:rsid w:val="00251264"/>
    <w:rsid w:val="00255C98"/>
    <w:rsid w:val="00256DA8"/>
    <w:rsid w:val="00262B23"/>
    <w:rsid w:val="00262C81"/>
    <w:rsid w:val="002637E4"/>
    <w:rsid w:val="00265F04"/>
    <w:rsid w:val="0027060F"/>
    <w:rsid w:val="002710C9"/>
    <w:rsid w:val="00272A88"/>
    <w:rsid w:val="00281826"/>
    <w:rsid w:val="002948D4"/>
    <w:rsid w:val="0029507F"/>
    <w:rsid w:val="002B490A"/>
    <w:rsid w:val="002B7765"/>
    <w:rsid w:val="002C3966"/>
    <w:rsid w:val="002D4C26"/>
    <w:rsid w:val="002D6771"/>
    <w:rsid w:val="002E0960"/>
    <w:rsid w:val="002E1E67"/>
    <w:rsid w:val="002F4F41"/>
    <w:rsid w:val="002F71F3"/>
    <w:rsid w:val="0030737D"/>
    <w:rsid w:val="00323637"/>
    <w:rsid w:val="00323B3F"/>
    <w:rsid w:val="00326504"/>
    <w:rsid w:val="003350B4"/>
    <w:rsid w:val="00347AFE"/>
    <w:rsid w:val="003569B4"/>
    <w:rsid w:val="003637F0"/>
    <w:rsid w:val="003718F0"/>
    <w:rsid w:val="00391921"/>
    <w:rsid w:val="00395B35"/>
    <w:rsid w:val="00396C9E"/>
    <w:rsid w:val="003A3499"/>
    <w:rsid w:val="003F0A33"/>
    <w:rsid w:val="003F1BEC"/>
    <w:rsid w:val="003F4A1A"/>
    <w:rsid w:val="003F6080"/>
    <w:rsid w:val="003F799C"/>
    <w:rsid w:val="00403C2D"/>
    <w:rsid w:val="00405FD8"/>
    <w:rsid w:val="004158AC"/>
    <w:rsid w:val="00416E34"/>
    <w:rsid w:val="00433ABC"/>
    <w:rsid w:val="0044158E"/>
    <w:rsid w:val="004447CF"/>
    <w:rsid w:val="004507D8"/>
    <w:rsid w:val="004515F7"/>
    <w:rsid w:val="00452AF8"/>
    <w:rsid w:val="0045686B"/>
    <w:rsid w:val="00460689"/>
    <w:rsid w:val="00465D9D"/>
    <w:rsid w:val="004700F5"/>
    <w:rsid w:val="0047228F"/>
    <w:rsid w:val="00472B4D"/>
    <w:rsid w:val="00484E80"/>
    <w:rsid w:val="004854F1"/>
    <w:rsid w:val="004876A2"/>
    <w:rsid w:val="004A61FD"/>
    <w:rsid w:val="004B6BD3"/>
    <w:rsid w:val="004C6194"/>
    <w:rsid w:val="004D37F9"/>
    <w:rsid w:val="004E43FC"/>
    <w:rsid w:val="004F0A78"/>
    <w:rsid w:val="004F1E60"/>
    <w:rsid w:val="004F2427"/>
    <w:rsid w:val="004F7B52"/>
    <w:rsid w:val="005078C8"/>
    <w:rsid w:val="005139A4"/>
    <w:rsid w:val="0052281F"/>
    <w:rsid w:val="0052555D"/>
    <w:rsid w:val="005414B7"/>
    <w:rsid w:val="005541E3"/>
    <w:rsid w:val="00557B46"/>
    <w:rsid w:val="005637B4"/>
    <w:rsid w:val="00595DEC"/>
    <w:rsid w:val="005B1BAE"/>
    <w:rsid w:val="005B5A5E"/>
    <w:rsid w:val="005E0605"/>
    <w:rsid w:val="005E59C4"/>
    <w:rsid w:val="00603E66"/>
    <w:rsid w:val="00604A36"/>
    <w:rsid w:val="00605879"/>
    <w:rsid w:val="00623B8C"/>
    <w:rsid w:val="00631210"/>
    <w:rsid w:val="00631ED4"/>
    <w:rsid w:val="00632AE9"/>
    <w:rsid w:val="00647CE1"/>
    <w:rsid w:val="0065276C"/>
    <w:rsid w:val="00652D14"/>
    <w:rsid w:val="0065536C"/>
    <w:rsid w:val="00665FB9"/>
    <w:rsid w:val="00680ED0"/>
    <w:rsid w:val="0068366D"/>
    <w:rsid w:val="00684C0D"/>
    <w:rsid w:val="00686F2D"/>
    <w:rsid w:val="00687071"/>
    <w:rsid w:val="006A769C"/>
    <w:rsid w:val="006B2B73"/>
    <w:rsid w:val="006C105C"/>
    <w:rsid w:val="006E280E"/>
    <w:rsid w:val="006F0C59"/>
    <w:rsid w:val="006F3F8B"/>
    <w:rsid w:val="00714D12"/>
    <w:rsid w:val="0072049F"/>
    <w:rsid w:val="00723AC1"/>
    <w:rsid w:val="007270A4"/>
    <w:rsid w:val="007309D2"/>
    <w:rsid w:val="00752C0B"/>
    <w:rsid w:val="007570AB"/>
    <w:rsid w:val="007574EC"/>
    <w:rsid w:val="007627C1"/>
    <w:rsid w:val="0076712B"/>
    <w:rsid w:val="007743D4"/>
    <w:rsid w:val="00791C45"/>
    <w:rsid w:val="007B4E05"/>
    <w:rsid w:val="007C54F9"/>
    <w:rsid w:val="007C7390"/>
    <w:rsid w:val="007D210F"/>
    <w:rsid w:val="00802CF2"/>
    <w:rsid w:val="00805EB5"/>
    <w:rsid w:val="00814BA1"/>
    <w:rsid w:val="008163B6"/>
    <w:rsid w:val="008251F8"/>
    <w:rsid w:val="00831CE9"/>
    <w:rsid w:val="00832DA5"/>
    <w:rsid w:val="00843B46"/>
    <w:rsid w:val="00846A16"/>
    <w:rsid w:val="00855240"/>
    <w:rsid w:val="00857808"/>
    <w:rsid w:val="00857E1A"/>
    <w:rsid w:val="00863AB1"/>
    <w:rsid w:val="008735A4"/>
    <w:rsid w:val="00886968"/>
    <w:rsid w:val="00895891"/>
    <w:rsid w:val="008A4407"/>
    <w:rsid w:val="008B3688"/>
    <w:rsid w:val="008B4447"/>
    <w:rsid w:val="008C18EF"/>
    <w:rsid w:val="008D0E93"/>
    <w:rsid w:val="008E0A01"/>
    <w:rsid w:val="008E6CD1"/>
    <w:rsid w:val="008F656B"/>
    <w:rsid w:val="008F7E6E"/>
    <w:rsid w:val="0091239E"/>
    <w:rsid w:val="0091380D"/>
    <w:rsid w:val="00921A58"/>
    <w:rsid w:val="00926023"/>
    <w:rsid w:val="00944E3B"/>
    <w:rsid w:val="00952FF6"/>
    <w:rsid w:val="00953384"/>
    <w:rsid w:val="0096762D"/>
    <w:rsid w:val="009760D9"/>
    <w:rsid w:val="00982F75"/>
    <w:rsid w:val="00986A1B"/>
    <w:rsid w:val="00987C86"/>
    <w:rsid w:val="00994DC1"/>
    <w:rsid w:val="00995869"/>
    <w:rsid w:val="009A04B6"/>
    <w:rsid w:val="009A0FEE"/>
    <w:rsid w:val="009A2D2E"/>
    <w:rsid w:val="009A2D70"/>
    <w:rsid w:val="009A2EF2"/>
    <w:rsid w:val="009A79B6"/>
    <w:rsid w:val="009C1F41"/>
    <w:rsid w:val="009C415F"/>
    <w:rsid w:val="009C4D9C"/>
    <w:rsid w:val="009C5F8B"/>
    <w:rsid w:val="009D2BA9"/>
    <w:rsid w:val="009D344F"/>
    <w:rsid w:val="009E4A30"/>
    <w:rsid w:val="009F5F95"/>
    <w:rsid w:val="009F5FFD"/>
    <w:rsid w:val="009F7B21"/>
    <w:rsid w:val="00A145AF"/>
    <w:rsid w:val="00A157D9"/>
    <w:rsid w:val="00A37B66"/>
    <w:rsid w:val="00A55A51"/>
    <w:rsid w:val="00A6759F"/>
    <w:rsid w:val="00A85E45"/>
    <w:rsid w:val="00A92A6A"/>
    <w:rsid w:val="00AB24AD"/>
    <w:rsid w:val="00AB39DD"/>
    <w:rsid w:val="00AC0CC6"/>
    <w:rsid w:val="00AD7812"/>
    <w:rsid w:val="00B22922"/>
    <w:rsid w:val="00B23FDD"/>
    <w:rsid w:val="00B33CBC"/>
    <w:rsid w:val="00B43522"/>
    <w:rsid w:val="00B43DE7"/>
    <w:rsid w:val="00B46C8F"/>
    <w:rsid w:val="00B547E3"/>
    <w:rsid w:val="00B579D7"/>
    <w:rsid w:val="00B70792"/>
    <w:rsid w:val="00B961A1"/>
    <w:rsid w:val="00B979BC"/>
    <w:rsid w:val="00BA1C0A"/>
    <w:rsid w:val="00BA2B6F"/>
    <w:rsid w:val="00BA7C9F"/>
    <w:rsid w:val="00BB631E"/>
    <w:rsid w:val="00BC70CD"/>
    <w:rsid w:val="00BD3309"/>
    <w:rsid w:val="00BE05D8"/>
    <w:rsid w:val="00BF47A3"/>
    <w:rsid w:val="00BF57EF"/>
    <w:rsid w:val="00C0066E"/>
    <w:rsid w:val="00C034B4"/>
    <w:rsid w:val="00C066A1"/>
    <w:rsid w:val="00C2297F"/>
    <w:rsid w:val="00C24053"/>
    <w:rsid w:val="00C279A3"/>
    <w:rsid w:val="00C352E4"/>
    <w:rsid w:val="00C43BF2"/>
    <w:rsid w:val="00C5296E"/>
    <w:rsid w:val="00C62D8A"/>
    <w:rsid w:val="00C658CB"/>
    <w:rsid w:val="00C7082B"/>
    <w:rsid w:val="00C7147F"/>
    <w:rsid w:val="00C769F4"/>
    <w:rsid w:val="00C9293C"/>
    <w:rsid w:val="00C9399A"/>
    <w:rsid w:val="00CA4BA2"/>
    <w:rsid w:val="00CA55F8"/>
    <w:rsid w:val="00CB31E5"/>
    <w:rsid w:val="00CD1681"/>
    <w:rsid w:val="00CD45F3"/>
    <w:rsid w:val="00CE5FD2"/>
    <w:rsid w:val="00CE7A8F"/>
    <w:rsid w:val="00D078D2"/>
    <w:rsid w:val="00D40182"/>
    <w:rsid w:val="00D46F42"/>
    <w:rsid w:val="00D474E0"/>
    <w:rsid w:val="00D47BA9"/>
    <w:rsid w:val="00D73D5A"/>
    <w:rsid w:val="00D86C70"/>
    <w:rsid w:val="00D903D7"/>
    <w:rsid w:val="00D9071C"/>
    <w:rsid w:val="00DA2C6E"/>
    <w:rsid w:val="00DA7855"/>
    <w:rsid w:val="00DC099C"/>
    <w:rsid w:val="00DC18BE"/>
    <w:rsid w:val="00DD50CD"/>
    <w:rsid w:val="00DD61B9"/>
    <w:rsid w:val="00DE58AF"/>
    <w:rsid w:val="00DF3D95"/>
    <w:rsid w:val="00DF5BC6"/>
    <w:rsid w:val="00DF6983"/>
    <w:rsid w:val="00E073AD"/>
    <w:rsid w:val="00E20BA7"/>
    <w:rsid w:val="00E22C26"/>
    <w:rsid w:val="00E27C18"/>
    <w:rsid w:val="00E30C0C"/>
    <w:rsid w:val="00E311BE"/>
    <w:rsid w:val="00E666FA"/>
    <w:rsid w:val="00E67895"/>
    <w:rsid w:val="00E67A6C"/>
    <w:rsid w:val="00E73CDC"/>
    <w:rsid w:val="00E7637F"/>
    <w:rsid w:val="00E76CB5"/>
    <w:rsid w:val="00E96F28"/>
    <w:rsid w:val="00EA75D9"/>
    <w:rsid w:val="00EC3E81"/>
    <w:rsid w:val="00ED196F"/>
    <w:rsid w:val="00EE1861"/>
    <w:rsid w:val="00EE2137"/>
    <w:rsid w:val="00EE3876"/>
    <w:rsid w:val="00F02C54"/>
    <w:rsid w:val="00F0587F"/>
    <w:rsid w:val="00F05893"/>
    <w:rsid w:val="00F1525C"/>
    <w:rsid w:val="00F272A5"/>
    <w:rsid w:val="00F4463D"/>
    <w:rsid w:val="00F47018"/>
    <w:rsid w:val="00F47C0D"/>
    <w:rsid w:val="00F61711"/>
    <w:rsid w:val="00F941C2"/>
    <w:rsid w:val="00F965CF"/>
    <w:rsid w:val="00FC608C"/>
    <w:rsid w:val="00FD2AA5"/>
    <w:rsid w:val="00FD3679"/>
    <w:rsid w:val="00FE02B5"/>
    <w:rsid w:val="00FF07C4"/>
    <w:rsid w:val="00FF1105"/>
    <w:rsid w:val="00FF2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522B7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eastAsiaTheme="minorEastAsia" w:hAnsi="Times" w:cstheme="minorBidi"/>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customStyle="1" w:styleId="noindent">
    <w:name w:val="noindent"/>
    <w:basedOn w:val="Normal"/>
    <w:pPr>
      <w:spacing w:before="100" w:beforeAutospacing="1" w:after="100" w:afterAutospacing="1"/>
    </w:pPr>
  </w:style>
  <w:style w:type="paragraph" w:customStyle="1" w:styleId="nopar">
    <w:name w:val="nopar"/>
    <w:basedOn w:val="Normal"/>
    <w:pPr>
      <w:spacing w:before="100" w:beforeAutospacing="1" w:after="100" w:afterAutospacing="1"/>
    </w:pPr>
  </w:style>
  <w:style w:type="paragraph" w:customStyle="1" w:styleId="indent">
    <w:name w:val="indent"/>
    <w:basedOn w:val="Normal"/>
    <w:pPr>
      <w:spacing w:before="100" w:beforeAutospacing="1" w:after="100" w:afterAutospacing="1"/>
      <w:ind w:firstLine="360"/>
    </w:pPr>
  </w:style>
  <w:style w:type="paragraph" w:styleId="NormalWeb">
    <w:name w:val="Normal (Web)"/>
    <w:basedOn w:val="Normal"/>
    <w:uiPriority w:val="99"/>
    <w:semiHidden/>
    <w:unhideWhenUsed/>
    <w:pPr>
      <w:spacing w:before="100" w:beforeAutospacing="1" w:after="100" w:afterAutospacing="1"/>
    </w:pPr>
    <w:rPr>
      <w:rFonts w:cs="Times New Roman"/>
    </w:rPr>
  </w:style>
  <w:style w:type="paragraph" w:customStyle="1" w:styleId="bibitem">
    <w:name w:val="bibitem"/>
    <w:basedOn w:val="Normal"/>
    <w:pPr>
      <w:spacing w:before="144" w:after="144"/>
      <w:ind w:left="480" w:hanging="480"/>
    </w:pPr>
  </w:style>
  <w:style w:type="paragraph" w:customStyle="1" w:styleId="bibitem-p">
    <w:name w:val="bibitem-p"/>
    <w:basedOn w:val="Normal"/>
    <w:pPr>
      <w:spacing w:before="144" w:after="144"/>
      <w:ind w:left="480"/>
    </w:pPr>
  </w:style>
  <w:style w:type="paragraph" w:customStyle="1" w:styleId="cmex-10">
    <w:name w:val="cmex-10"/>
    <w:basedOn w:val="Normal"/>
    <w:pPr>
      <w:spacing w:before="100" w:beforeAutospacing="1" w:after="100" w:afterAutospacing="1"/>
    </w:pPr>
  </w:style>
  <w:style w:type="paragraph" w:customStyle="1" w:styleId="cmr-5">
    <w:name w:val="cmr-5"/>
    <w:basedOn w:val="Normal"/>
    <w:pPr>
      <w:spacing w:before="100" w:beforeAutospacing="1" w:after="100" w:afterAutospacing="1"/>
    </w:pPr>
    <w:rPr>
      <w:sz w:val="10"/>
      <w:szCs w:val="10"/>
    </w:rPr>
  </w:style>
  <w:style w:type="paragraph" w:customStyle="1" w:styleId="cmr-7">
    <w:name w:val="cmr-7"/>
    <w:basedOn w:val="Normal"/>
    <w:pPr>
      <w:spacing w:before="100" w:beforeAutospacing="1" w:after="100" w:afterAutospacing="1"/>
    </w:pPr>
    <w:rPr>
      <w:sz w:val="14"/>
      <w:szCs w:val="14"/>
    </w:rPr>
  </w:style>
  <w:style w:type="paragraph" w:customStyle="1" w:styleId="cmr-10">
    <w:name w:val="cmr-10"/>
    <w:basedOn w:val="Normal"/>
    <w:pPr>
      <w:spacing w:before="100" w:beforeAutospacing="1" w:after="100" w:afterAutospacing="1"/>
    </w:pPr>
  </w:style>
  <w:style w:type="paragraph" w:customStyle="1" w:styleId="cmmi-5">
    <w:name w:val="cmmi-5"/>
    <w:basedOn w:val="Normal"/>
    <w:pPr>
      <w:spacing w:before="100" w:beforeAutospacing="1" w:after="100" w:afterAutospacing="1"/>
    </w:pPr>
    <w:rPr>
      <w:i/>
      <w:iCs/>
      <w:sz w:val="10"/>
      <w:szCs w:val="10"/>
    </w:rPr>
  </w:style>
  <w:style w:type="paragraph" w:customStyle="1" w:styleId="cmmi-7">
    <w:name w:val="cmmi-7"/>
    <w:basedOn w:val="Normal"/>
    <w:pPr>
      <w:spacing w:before="100" w:beforeAutospacing="1" w:after="100" w:afterAutospacing="1"/>
    </w:pPr>
    <w:rPr>
      <w:i/>
      <w:iCs/>
      <w:sz w:val="14"/>
      <w:szCs w:val="14"/>
    </w:rPr>
  </w:style>
  <w:style w:type="paragraph" w:customStyle="1" w:styleId="cmmi-10">
    <w:name w:val="cmmi-10"/>
    <w:basedOn w:val="Normal"/>
    <w:pPr>
      <w:spacing w:before="100" w:beforeAutospacing="1" w:after="100" w:afterAutospacing="1"/>
    </w:pPr>
    <w:rPr>
      <w:i/>
      <w:iCs/>
    </w:rPr>
  </w:style>
  <w:style w:type="paragraph" w:customStyle="1" w:styleId="cmsy-7">
    <w:name w:val="cmsy-7"/>
    <w:basedOn w:val="Normal"/>
    <w:pPr>
      <w:spacing w:before="100" w:beforeAutospacing="1" w:after="100" w:afterAutospacing="1"/>
    </w:pPr>
    <w:rPr>
      <w:sz w:val="14"/>
      <w:szCs w:val="14"/>
    </w:rPr>
  </w:style>
  <w:style w:type="paragraph" w:customStyle="1" w:styleId="cmsy-10">
    <w:name w:val="cmsy-10"/>
    <w:basedOn w:val="Normal"/>
    <w:pPr>
      <w:spacing w:before="100" w:beforeAutospacing="1" w:after="100" w:afterAutospacing="1"/>
    </w:pPr>
  </w:style>
  <w:style w:type="paragraph" w:customStyle="1" w:styleId="cmr-17x-x-120">
    <w:name w:val="cmr-17x-x-120"/>
    <w:basedOn w:val="Normal"/>
    <w:pPr>
      <w:spacing w:before="100" w:beforeAutospacing="1" w:after="100" w:afterAutospacing="1"/>
    </w:pPr>
    <w:rPr>
      <w:sz w:val="41"/>
      <w:szCs w:val="41"/>
    </w:rPr>
  </w:style>
  <w:style w:type="paragraph" w:customStyle="1" w:styleId="cmr-12x-x-120">
    <w:name w:val="cmr-12x-x-120"/>
    <w:basedOn w:val="Normal"/>
    <w:pPr>
      <w:spacing w:before="100" w:beforeAutospacing="1" w:after="100" w:afterAutospacing="1"/>
    </w:pPr>
    <w:rPr>
      <w:sz w:val="29"/>
      <w:szCs w:val="29"/>
    </w:rPr>
  </w:style>
  <w:style w:type="paragraph" w:customStyle="1" w:styleId="cmsy-10x-x-144">
    <w:name w:val="cmsy-10x-x-144"/>
    <w:basedOn w:val="Normal"/>
    <w:pPr>
      <w:spacing w:before="100" w:beforeAutospacing="1" w:after="100" w:afterAutospacing="1"/>
    </w:pPr>
    <w:rPr>
      <w:sz w:val="29"/>
      <w:szCs w:val="29"/>
    </w:rPr>
  </w:style>
  <w:style w:type="paragraph" w:customStyle="1" w:styleId="cmr-8">
    <w:name w:val="cmr-8"/>
    <w:basedOn w:val="Normal"/>
    <w:pPr>
      <w:spacing w:before="100" w:beforeAutospacing="1" w:after="100" w:afterAutospacing="1"/>
    </w:pPr>
    <w:rPr>
      <w:sz w:val="16"/>
      <w:szCs w:val="16"/>
    </w:rPr>
  </w:style>
  <w:style w:type="paragraph" w:customStyle="1" w:styleId="cmr-6">
    <w:name w:val="cmr-6"/>
    <w:basedOn w:val="Normal"/>
    <w:pPr>
      <w:spacing w:before="100" w:beforeAutospacing="1" w:after="100" w:afterAutospacing="1"/>
    </w:pPr>
    <w:rPr>
      <w:sz w:val="12"/>
      <w:szCs w:val="12"/>
    </w:rPr>
  </w:style>
  <w:style w:type="paragraph" w:customStyle="1" w:styleId="cmmi-12">
    <w:name w:val="cmmi-12"/>
    <w:basedOn w:val="Normal"/>
    <w:pPr>
      <w:spacing w:before="100" w:beforeAutospacing="1" w:after="100" w:afterAutospacing="1"/>
    </w:pPr>
    <w:rPr>
      <w:i/>
      <w:iCs/>
    </w:rPr>
  </w:style>
  <w:style w:type="paragraph" w:customStyle="1" w:styleId="cmmi-8">
    <w:name w:val="cmmi-8"/>
    <w:basedOn w:val="Normal"/>
    <w:pPr>
      <w:spacing w:before="100" w:beforeAutospacing="1" w:after="100" w:afterAutospacing="1"/>
    </w:pPr>
    <w:rPr>
      <w:i/>
      <w:iCs/>
      <w:sz w:val="16"/>
      <w:szCs w:val="16"/>
    </w:rPr>
  </w:style>
  <w:style w:type="paragraph" w:customStyle="1" w:styleId="cmmi-6">
    <w:name w:val="cmmi-6"/>
    <w:basedOn w:val="Normal"/>
    <w:pPr>
      <w:spacing w:before="100" w:beforeAutospacing="1" w:after="100" w:afterAutospacing="1"/>
    </w:pPr>
    <w:rPr>
      <w:i/>
      <w:iCs/>
      <w:sz w:val="12"/>
      <w:szCs w:val="12"/>
    </w:rPr>
  </w:style>
  <w:style w:type="paragraph" w:customStyle="1" w:styleId="cmsy-8">
    <w:name w:val="cmsy-8"/>
    <w:basedOn w:val="Normal"/>
    <w:pPr>
      <w:spacing w:before="100" w:beforeAutospacing="1" w:after="100" w:afterAutospacing="1"/>
    </w:pPr>
    <w:rPr>
      <w:sz w:val="16"/>
      <w:szCs w:val="16"/>
    </w:rPr>
  </w:style>
  <w:style w:type="paragraph" w:customStyle="1" w:styleId="cmr-10x-x-109">
    <w:name w:val="cmr-10x-x-109"/>
    <w:basedOn w:val="Normal"/>
    <w:pPr>
      <w:spacing w:before="100" w:beforeAutospacing="1" w:after="100" w:afterAutospacing="1"/>
    </w:pPr>
    <w:rPr>
      <w:sz w:val="22"/>
      <w:szCs w:val="22"/>
    </w:rPr>
  </w:style>
  <w:style w:type="paragraph" w:customStyle="1" w:styleId="cmbx-10x-x-109">
    <w:name w:val="cmbx-10x-x-109"/>
    <w:basedOn w:val="Normal"/>
    <w:pPr>
      <w:spacing w:before="100" w:beforeAutospacing="1" w:after="100" w:afterAutospacing="1"/>
    </w:pPr>
    <w:rPr>
      <w:b/>
      <w:bCs/>
      <w:sz w:val="22"/>
      <w:szCs w:val="22"/>
    </w:rPr>
  </w:style>
  <w:style w:type="paragraph" w:customStyle="1" w:styleId="cmti-12">
    <w:name w:val="cmti-12"/>
    <w:basedOn w:val="Normal"/>
    <w:pPr>
      <w:spacing w:before="100" w:beforeAutospacing="1" w:after="100" w:afterAutospacing="1"/>
    </w:pPr>
    <w:rPr>
      <w:i/>
      <w:iCs/>
    </w:rPr>
  </w:style>
  <w:style w:type="paragraph" w:customStyle="1" w:styleId="cmti-10">
    <w:name w:val="cmti-10"/>
    <w:basedOn w:val="Normal"/>
    <w:pPr>
      <w:spacing w:before="100" w:beforeAutospacing="1" w:after="100" w:afterAutospacing="1"/>
    </w:pPr>
    <w:rPr>
      <w:i/>
      <w:iCs/>
    </w:rPr>
  </w:style>
  <w:style w:type="paragraph" w:customStyle="1" w:styleId="enumerate1">
    <w:name w:val="enumerate1"/>
    <w:basedOn w:val="Normal"/>
    <w:pPr>
      <w:spacing w:before="100" w:beforeAutospacing="1" w:after="100" w:afterAutospacing="1"/>
    </w:pPr>
  </w:style>
  <w:style w:type="paragraph" w:customStyle="1" w:styleId="enumerate2">
    <w:name w:val="enumerate2"/>
    <w:basedOn w:val="Normal"/>
    <w:pPr>
      <w:spacing w:before="100" w:beforeAutospacing="1" w:after="100" w:afterAutospacing="1"/>
    </w:pPr>
  </w:style>
  <w:style w:type="paragraph" w:customStyle="1" w:styleId="enumerate3">
    <w:name w:val="enumerate3"/>
    <w:basedOn w:val="Normal"/>
    <w:pPr>
      <w:spacing w:before="100" w:beforeAutospacing="1" w:after="100" w:afterAutospacing="1"/>
    </w:pPr>
  </w:style>
  <w:style w:type="paragraph" w:customStyle="1" w:styleId="enumerate4">
    <w:name w:val="enumerate4"/>
    <w:basedOn w:val="Normal"/>
    <w:pPr>
      <w:spacing w:before="100" w:beforeAutospacing="1" w:after="100" w:afterAutospacing="1"/>
    </w:pPr>
  </w:style>
  <w:style w:type="paragraph" w:customStyle="1" w:styleId="obeylines-h">
    <w:name w:val="obeylines-h"/>
    <w:basedOn w:val="Normal"/>
    <w:pPr>
      <w:spacing w:before="100" w:beforeAutospacing="1" w:after="100" w:afterAutospacing="1"/>
    </w:pPr>
  </w:style>
  <w:style w:type="paragraph" w:customStyle="1" w:styleId="obeylines-v">
    <w:name w:val="obeylines-v"/>
    <w:basedOn w:val="Normal"/>
    <w:pPr>
      <w:spacing w:before="100" w:beforeAutospacing="1" w:after="100" w:afterAutospacing="1"/>
    </w:pPr>
  </w:style>
  <w:style w:type="paragraph" w:customStyle="1" w:styleId="centerline">
    <w:name w:val="centerline"/>
    <w:basedOn w:val="Normal"/>
    <w:pPr>
      <w:spacing w:before="100" w:beforeAutospacing="1" w:after="100" w:afterAutospacing="1"/>
      <w:jc w:val="center"/>
    </w:pPr>
  </w:style>
  <w:style w:type="paragraph" w:customStyle="1" w:styleId="rightline">
    <w:name w:val="rightline"/>
    <w:basedOn w:val="Normal"/>
    <w:pPr>
      <w:spacing w:before="100" w:beforeAutospacing="1" w:after="100" w:afterAutospacing="1"/>
      <w:jc w:val="right"/>
    </w:pPr>
  </w:style>
  <w:style w:type="paragraph" w:customStyle="1" w:styleId="fbox">
    <w:name w:val="fbox"/>
    <w:basedOn w:val="Normal"/>
    <w:pPr>
      <w:pBdr>
        <w:top w:val="single" w:sz="2" w:space="0" w:color="000000"/>
        <w:left w:val="single" w:sz="2" w:space="3" w:color="000000"/>
        <w:bottom w:val="single" w:sz="2" w:space="0" w:color="000000"/>
        <w:right w:val="single" w:sz="2" w:space="3" w:color="000000"/>
      </w:pBdr>
      <w:spacing w:before="100" w:beforeAutospacing="1" w:after="100" w:afterAutospacing="1"/>
    </w:pPr>
  </w:style>
  <w:style w:type="paragraph" w:customStyle="1" w:styleId="underline">
    <w:name w:val="underline"/>
    <w:basedOn w:val="Normal"/>
    <w:pPr>
      <w:spacing w:before="100" w:beforeAutospacing="1" w:after="100" w:afterAutospacing="1"/>
    </w:pPr>
    <w:rPr>
      <w:u w:val="single"/>
    </w:rPr>
  </w:style>
  <w:style w:type="paragraph" w:customStyle="1" w:styleId="framebox-c">
    <w:name w:val="framebox-c"/>
    <w:basedOn w:val="Normal"/>
    <w:pPr>
      <w:pBdr>
        <w:top w:val="single" w:sz="2" w:space="0" w:color="000000"/>
        <w:left w:val="single" w:sz="2" w:space="3" w:color="000000"/>
        <w:bottom w:val="single" w:sz="2" w:space="0" w:color="000000"/>
        <w:right w:val="single" w:sz="2" w:space="3" w:color="000000"/>
      </w:pBdr>
      <w:spacing w:before="100" w:beforeAutospacing="1" w:after="100" w:afterAutospacing="1"/>
      <w:jc w:val="center"/>
    </w:pPr>
  </w:style>
  <w:style w:type="paragraph" w:customStyle="1" w:styleId="framebox-l">
    <w:name w:val="framebox-l"/>
    <w:basedOn w:val="Normal"/>
    <w:pPr>
      <w:pBdr>
        <w:top w:val="single" w:sz="2" w:space="0" w:color="000000"/>
        <w:left w:val="single" w:sz="2" w:space="3" w:color="000000"/>
        <w:bottom w:val="single" w:sz="2" w:space="0" w:color="000000"/>
        <w:right w:val="single" w:sz="2" w:space="3" w:color="000000"/>
      </w:pBdr>
      <w:spacing w:before="100" w:beforeAutospacing="1" w:after="100" w:afterAutospacing="1"/>
    </w:pPr>
  </w:style>
  <w:style w:type="paragraph" w:customStyle="1" w:styleId="framebox-r">
    <w:name w:val="framebox-r"/>
    <w:basedOn w:val="Normal"/>
    <w:pPr>
      <w:pBdr>
        <w:top w:val="single" w:sz="2" w:space="0" w:color="000000"/>
        <w:left w:val="single" w:sz="2" w:space="3" w:color="000000"/>
        <w:bottom w:val="single" w:sz="2" w:space="0" w:color="000000"/>
        <w:right w:val="single" w:sz="2" w:space="3" w:color="000000"/>
      </w:pBdr>
      <w:spacing w:before="100" w:beforeAutospacing="1" w:after="100" w:afterAutospacing="1"/>
      <w:jc w:val="right"/>
    </w:pPr>
  </w:style>
  <w:style w:type="paragraph" w:customStyle="1" w:styleId="tabbing-right">
    <w:name w:val="tabbing-right"/>
    <w:basedOn w:val="Normal"/>
    <w:pPr>
      <w:spacing w:before="100" w:beforeAutospacing="1" w:after="100" w:afterAutospacing="1"/>
      <w:jc w:val="right"/>
    </w:pPr>
  </w:style>
  <w:style w:type="paragraph" w:customStyle="1" w:styleId="marginpar">
    <w:name w:val="marginpar"/>
    <w:basedOn w:val="Normal"/>
    <w:pPr>
      <w:spacing w:before="120" w:after="100" w:afterAutospacing="1"/>
    </w:pPr>
    <w:rPr>
      <w:u w:val="single"/>
    </w:rPr>
  </w:style>
  <w:style w:type="paragraph" w:customStyle="1" w:styleId="parttoc">
    <w:name w:val="parttoc"/>
    <w:basedOn w:val="Normal"/>
    <w:pPr>
      <w:spacing w:before="100" w:beforeAutospacing="1" w:after="100" w:afterAutospacing="1" w:line="480" w:lineRule="auto"/>
    </w:pPr>
    <w:rPr>
      <w:b/>
      <w:bCs/>
      <w:sz w:val="26"/>
      <w:szCs w:val="26"/>
    </w:rPr>
  </w:style>
  <w:style w:type="paragraph" w:customStyle="1" w:styleId="likeparttoc">
    <w:name w:val="likeparttoc"/>
    <w:basedOn w:val="Normal"/>
    <w:pPr>
      <w:spacing w:before="100" w:beforeAutospacing="1" w:after="100" w:afterAutospacing="1" w:line="480" w:lineRule="auto"/>
    </w:pPr>
    <w:rPr>
      <w:b/>
      <w:bCs/>
      <w:sz w:val="26"/>
      <w:szCs w:val="26"/>
    </w:rPr>
  </w:style>
  <w:style w:type="paragraph" w:customStyle="1" w:styleId="index-item">
    <w:name w:val="index-item"/>
    <w:basedOn w:val="Normal"/>
    <w:pPr>
      <w:spacing w:before="100" w:beforeAutospacing="1" w:after="100" w:afterAutospacing="1"/>
    </w:pPr>
  </w:style>
  <w:style w:type="paragraph" w:customStyle="1" w:styleId="index-subitem">
    <w:name w:val="index-subitem"/>
    <w:basedOn w:val="Normal"/>
    <w:pPr>
      <w:spacing w:before="100" w:beforeAutospacing="1" w:after="100" w:afterAutospacing="1"/>
    </w:pPr>
  </w:style>
  <w:style w:type="paragraph" w:customStyle="1" w:styleId="index-subsubitem">
    <w:name w:val="index-subsubitem"/>
    <w:basedOn w:val="Normal"/>
    <w:pPr>
      <w:spacing w:before="100" w:beforeAutospacing="1" w:after="100" w:afterAutospacing="1"/>
    </w:pPr>
  </w:style>
  <w:style w:type="paragraph" w:customStyle="1" w:styleId="paragraphhead">
    <w:name w:val="paragraphhead"/>
    <w:basedOn w:val="Normal"/>
    <w:pPr>
      <w:spacing w:before="480" w:after="100" w:afterAutospacing="1"/>
    </w:pPr>
    <w:rPr>
      <w:b/>
      <w:bCs/>
    </w:rPr>
  </w:style>
  <w:style w:type="paragraph" w:customStyle="1" w:styleId="likeparagraphhead">
    <w:name w:val="likeparagraphhead"/>
    <w:basedOn w:val="Normal"/>
    <w:pPr>
      <w:spacing w:before="480" w:after="100" w:afterAutospacing="1"/>
    </w:pPr>
    <w:rPr>
      <w:b/>
      <w:bCs/>
    </w:rPr>
  </w:style>
  <w:style w:type="paragraph" w:customStyle="1" w:styleId="subparagraphhead">
    <w:name w:val="subparagraphhead"/>
    <w:basedOn w:val="Normal"/>
    <w:pPr>
      <w:spacing w:before="100" w:beforeAutospacing="1" w:after="100" w:afterAutospacing="1"/>
    </w:pPr>
    <w:rPr>
      <w:b/>
      <w:bCs/>
    </w:rPr>
  </w:style>
  <w:style w:type="paragraph" w:customStyle="1" w:styleId="likesubparagraphhead">
    <w:name w:val="likesubparagraphhead"/>
    <w:basedOn w:val="Normal"/>
    <w:pPr>
      <w:spacing w:before="100" w:beforeAutospacing="1" w:after="100" w:afterAutospacing="1"/>
    </w:pPr>
    <w:rPr>
      <w:b/>
      <w:bCs/>
    </w:rPr>
  </w:style>
  <w:style w:type="paragraph" w:styleId="Quote">
    <w:name w:val="Quote"/>
    <w:aliases w:val="quote"/>
    <w:basedOn w:val="Normal"/>
    <w:uiPriority w:val="29"/>
    <w:qFormat/>
    <w:pPr>
      <w:spacing w:before="60" w:after="60"/>
      <w:ind w:left="240" w:right="240"/>
      <w:jc w:val="both"/>
    </w:pPr>
  </w:style>
  <w:style w:type="character" w:customStyle="1" w:styleId="QuoteChar">
    <w:name w:val="Quote Char"/>
    <w:aliases w:val="quote Char"/>
    <w:basedOn w:val="DefaultParagraphFont"/>
    <w:uiPriority w:val="29"/>
    <w:rPr>
      <w:rFonts w:ascii="Times" w:eastAsiaTheme="minorEastAsia" w:hAnsi="Times" w:cstheme="minorBidi"/>
      <w:i/>
      <w:iCs/>
      <w:color w:val="000000" w:themeColor="text1"/>
    </w:rPr>
  </w:style>
  <w:style w:type="paragraph" w:customStyle="1" w:styleId="verse">
    <w:name w:val="verse"/>
    <w:basedOn w:val="Normal"/>
    <w:pPr>
      <w:spacing w:before="100" w:beforeAutospacing="1" w:after="100" w:afterAutospacing="1"/>
      <w:ind w:left="480"/>
    </w:pPr>
  </w:style>
  <w:style w:type="paragraph" w:customStyle="1" w:styleId="quotation">
    <w:name w:val="quotation"/>
    <w:basedOn w:val="Normal"/>
    <w:pPr>
      <w:spacing w:before="60" w:after="60"/>
      <w:ind w:left="240"/>
    </w:pPr>
  </w:style>
  <w:style w:type="character" w:customStyle="1" w:styleId="thank-mark">
    <w:name w:val="thank-mark"/>
    <w:basedOn w:val="DefaultParagraphFont"/>
    <w:rPr>
      <w:vertAlign w:val="superscript"/>
    </w:rPr>
  </w:style>
  <w:style w:type="character" w:customStyle="1" w:styleId="tex">
    <w:name w:val="tex"/>
    <w:basedOn w:val="DefaultParagraphFont"/>
    <w:rPr>
      <w:spacing w:val="-30"/>
    </w:rPr>
  </w:style>
  <w:style w:type="character" w:customStyle="1" w:styleId="a">
    <w:name w:val="a"/>
    <w:basedOn w:val="DefaultParagraphFont"/>
  </w:style>
  <w:style w:type="character" w:customStyle="1" w:styleId="id">
    <w:name w:val="id"/>
    <w:basedOn w:val="DefaultParagraphFont"/>
  </w:style>
  <w:style w:type="character" w:customStyle="1" w:styleId="e">
    <w:name w:val="e"/>
    <w:basedOn w:val="DefaultParagraphFont"/>
  </w:style>
  <w:style w:type="paragraph" w:customStyle="1" w:styleId="noindent1">
    <w:name w:val="noindent1"/>
    <w:basedOn w:val="Normal"/>
    <w:pPr>
      <w:spacing w:after="100" w:afterAutospacing="1"/>
    </w:pPr>
  </w:style>
  <w:style w:type="paragraph" w:customStyle="1" w:styleId="indent1">
    <w:name w:val="indent1"/>
    <w:basedOn w:val="Normal"/>
    <w:pPr>
      <w:spacing w:before="100" w:beforeAutospacing="1" w:after="100" w:afterAutospacing="1"/>
    </w:pPr>
  </w:style>
  <w:style w:type="character" w:customStyle="1" w:styleId="e1">
    <w:name w:val="e1"/>
    <w:basedOn w:val="DefaultParagraphFont"/>
    <w:rPr>
      <w:strike w:val="0"/>
      <w:dstrike w:val="0"/>
      <w:u w:val="none"/>
      <w:effect w:val="none"/>
    </w:rPr>
  </w:style>
  <w:style w:type="character" w:customStyle="1" w:styleId="a1">
    <w:name w:val="a1"/>
    <w:basedOn w:val="DefaultParagraphFont"/>
    <w:rPr>
      <w:sz w:val="20"/>
      <w:szCs w:val="20"/>
    </w:rPr>
  </w:style>
  <w:style w:type="character" w:customStyle="1" w:styleId="id1">
    <w:name w:val="id1"/>
    <w:basedOn w:val="DefaultParagraphFont"/>
    <w:rPr>
      <w:b/>
      <w:bCs/>
    </w:rPr>
  </w:style>
  <w:style w:type="character" w:customStyle="1" w:styleId="cmr-12x-x-1201">
    <w:name w:val="cmr-12x-x-1201"/>
    <w:basedOn w:val="DefaultParagraphFont"/>
    <w:rPr>
      <w:sz w:val="29"/>
      <w:szCs w:val="29"/>
    </w:rPr>
  </w:style>
  <w:style w:type="character" w:customStyle="1" w:styleId="cmsy-10x-x-1441">
    <w:name w:val="cmsy-10x-x-1441"/>
    <w:basedOn w:val="DefaultParagraphFont"/>
    <w:rPr>
      <w:sz w:val="29"/>
      <w:szCs w:val="29"/>
    </w:rPr>
  </w:style>
  <w:style w:type="character" w:customStyle="1" w:styleId="cmsy-10x-x-120">
    <w:name w:val="cmsy-10x-x-120"/>
    <w:basedOn w:val="DefaultParagraphFont"/>
  </w:style>
  <w:style w:type="character" w:customStyle="1" w:styleId="cmbx-10x-x-1091">
    <w:name w:val="cmbx-10x-x-1091"/>
    <w:basedOn w:val="DefaultParagraphFont"/>
    <w:rPr>
      <w:b/>
      <w:bCs/>
      <w:sz w:val="22"/>
      <w:szCs w:val="22"/>
    </w:rPr>
  </w:style>
  <w:style w:type="character" w:customStyle="1" w:styleId="cmr-10x-x-1091">
    <w:name w:val="cmr-10x-x-1091"/>
    <w:basedOn w:val="DefaultParagraphFont"/>
    <w:rPr>
      <w:sz w:val="22"/>
      <w:szCs w:val="2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titlemark">
    <w:name w:val="titlemark"/>
    <w:basedOn w:val="DefaultParagraphFont"/>
  </w:style>
  <w:style w:type="character" w:customStyle="1" w:styleId="cmti-121">
    <w:name w:val="cmti-121"/>
    <w:basedOn w:val="DefaultParagraphFont"/>
    <w:rPr>
      <w:i/>
      <w:iC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footnote-mark">
    <w:name w:val="footnote-mark"/>
    <w:basedOn w:val="DefaultParagraphFont"/>
  </w:style>
  <w:style w:type="character" w:customStyle="1" w:styleId="cmmi-121">
    <w:name w:val="cmmi-121"/>
    <w:basedOn w:val="DefaultParagraphFont"/>
    <w:rPr>
      <w:i/>
      <w:iCs/>
    </w:rPr>
  </w:style>
  <w:style w:type="character" w:customStyle="1" w:styleId="cmmi-81">
    <w:name w:val="cmmi-81"/>
    <w:basedOn w:val="DefaultParagraphFont"/>
    <w:rPr>
      <w:i/>
      <w:iCs/>
      <w:sz w:val="16"/>
      <w:szCs w:val="16"/>
    </w:rPr>
  </w:style>
  <w:style w:type="character" w:customStyle="1" w:styleId="underline1">
    <w:name w:val="underline1"/>
    <w:basedOn w:val="DefaultParagraphFont"/>
    <w:rPr>
      <w:u w:val="single"/>
    </w:rPr>
  </w:style>
  <w:style w:type="character" w:customStyle="1" w:styleId="overline">
    <w:name w:val="overline"/>
    <w:basedOn w:val="DefaultParagraphFont"/>
  </w:style>
  <w:style w:type="character" w:customStyle="1" w:styleId="biblabel">
    <w:name w:val="biblabel"/>
    <w:basedOn w:val="DefaultParagraphFont"/>
  </w:style>
  <w:style w:type="character" w:customStyle="1" w:styleId="bibsp">
    <w:name w:val="bibsp"/>
    <w:basedOn w:val="DefaultParagraphFont"/>
  </w:style>
  <w:style w:type="character" w:customStyle="1" w:styleId="content">
    <w:name w:val="content"/>
    <w:basedOn w:val="DefaultParagraphFont"/>
  </w:style>
  <w:style w:type="character" w:customStyle="1" w:styleId="cmr-101">
    <w:name w:val="cmr-101"/>
    <w:basedOn w:val="DefaultParagraphFont"/>
    <w:rPr>
      <w:sz w:val="20"/>
      <w:szCs w:val="20"/>
    </w:rPr>
  </w:style>
  <w:style w:type="character" w:customStyle="1" w:styleId="cmti-101">
    <w:name w:val="cmti-101"/>
    <w:basedOn w:val="DefaultParagraphFont"/>
    <w:rPr>
      <w:i/>
      <w:iCs/>
      <w:sz w:val="20"/>
      <w:szCs w:val="20"/>
    </w:rPr>
  </w:style>
  <w:style w:type="character" w:customStyle="1" w:styleId="cmr-81">
    <w:name w:val="cmr-81"/>
    <w:basedOn w:val="DefaultParagraphFont"/>
    <w:rPr>
      <w:sz w:val="16"/>
      <w:szCs w:val="16"/>
    </w:rPr>
  </w:style>
  <w:style w:type="character" w:customStyle="1" w:styleId="cmex-10x-x-120">
    <w:name w:val="cmex-10x-x-120"/>
    <w:basedOn w:val="DefaultParagraphFont"/>
  </w:style>
  <w:style w:type="character" w:customStyle="1" w:styleId="cmmi-61">
    <w:name w:val="cmmi-61"/>
    <w:basedOn w:val="DefaultParagraphFont"/>
    <w:rPr>
      <w:i/>
      <w:iCs/>
      <w:sz w:val="12"/>
      <w:szCs w:val="12"/>
    </w:rPr>
  </w:style>
  <w:style w:type="character" w:customStyle="1" w:styleId="cmsy-81">
    <w:name w:val="cmsy-81"/>
    <w:basedOn w:val="DefaultParagraphFont"/>
    <w:rPr>
      <w:sz w:val="16"/>
      <w:szCs w:val="16"/>
    </w:rPr>
  </w:style>
  <w:style w:type="character" w:customStyle="1" w:styleId="cmmi-101">
    <w:name w:val="cmmi-101"/>
    <w:basedOn w:val="DefaultParagraphFont"/>
    <w:rPr>
      <w:i/>
      <w:iCs/>
      <w:sz w:val="20"/>
      <w:szCs w:val="20"/>
    </w:rPr>
  </w:style>
  <w:style w:type="character" w:customStyle="1" w:styleId="cmmi-71">
    <w:name w:val="cmmi-71"/>
    <w:basedOn w:val="DefaultParagraphFont"/>
    <w:rPr>
      <w:i/>
      <w:iCs/>
      <w:sz w:val="14"/>
      <w:szCs w:val="14"/>
    </w:rPr>
  </w:style>
  <w:style w:type="paragraph" w:styleId="FootnoteText">
    <w:name w:val="footnote text"/>
    <w:basedOn w:val="Normal"/>
    <w:link w:val="FootnoteTextChar"/>
    <w:uiPriority w:val="99"/>
    <w:unhideWhenUsed/>
    <w:rsid w:val="009C4D9C"/>
    <w:rPr>
      <w:sz w:val="24"/>
      <w:szCs w:val="24"/>
    </w:rPr>
  </w:style>
  <w:style w:type="character" w:customStyle="1" w:styleId="FootnoteTextChar">
    <w:name w:val="Footnote Text Char"/>
    <w:basedOn w:val="DefaultParagraphFont"/>
    <w:link w:val="FootnoteText"/>
    <w:uiPriority w:val="99"/>
    <w:rsid w:val="009C4D9C"/>
    <w:rPr>
      <w:rFonts w:ascii="Times" w:eastAsiaTheme="minorEastAsia" w:hAnsi="Times" w:cstheme="minorBidi"/>
      <w:sz w:val="24"/>
      <w:szCs w:val="24"/>
    </w:rPr>
  </w:style>
  <w:style w:type="character" w:styleId="FootnoteReference">
    <w:name w:val="footnote reference"/>
    <w:basedOn w:val="DefaultParagraphFont"/>
    <w:uiPriority w:val="99"/>
    <w:unhideWhenUsed/>
    <w:rsid w:val="009C4D9C"/>
    <w:rPr>
      <w:vertAlign w:val="superscript"/>
    </w:rPr>
  </w:style>
  <w:style w:type="paragraph" w:styleId="BalloonText">
    <w:name w:val="Balloon Text"/>
    <w:basedOn w:val="Normal"/>
    <w:link w:val="BalloonTextChar"/>
    <w:uiPriority w:val="99"/>
    <w:semiHidden/>
    <w:unhideWhenUsed/>
    <w:rsid w:val="00BB631E"/>
    <w:rPr>
      <w:rFonts w:ascii="Lucida Grande" w:hAnsi="Lucida Grande"/>
      <w:sz w:val="18"/>
      <w:szCs w:val="18"/>
    </w:rPr>
  </w:style>
  <w:style w:type="character" w:customStyle="1" w:styleId="BalloonTextChar">
    <w:name w:val="Balloon Text Char"/>
    <w:basedOn w:val="DefaultParagraphFont"/>
    <w:link w:val="BalloonText"/>
    <w:uiPriority w:val="99"/>
    <w:semiHidden/>
    <w:rsid w:val="00BB631E"/>
    <w:rPr>
      <w:rFonts w:ascii="Lucida Grande" w:eastAsiaTheme="minorEastAsia" w:hAnsi="Lucida Grande" w:cstheme="minorBidi"/>
      <w:sz w:val="18"/>
      <w:szCs w:val="18"/>
    </w:rPr>
  </w:style>
  <w:style w:type="character" w:styleId="PlaceholderText">
    <w:name w:val="Placeholder Text"/>
    <w:basedOn w:val="DefaultParagraphFont"/>
    <w:uiPriority w:val="99"/>
    <w:semiHidden/>
    <w:rsid w:val="00D86C70"/>
    <w:rPr>
      <w:color w:val="808080"/>
    </w:rPr>
  </w:style>
  <w:style w:type="character" w:styleId="CommentReference">
    <w:name w:val="annotation reference"/>
    <w:basedOn w:val="DefaultParagraphFont"/>
    <w:uiPriority w:val="99"/>
    <w:semiHidden/>
    <w:unhideWhenUsed/>
    <w:rsid w:val="002D4C26"/>
    <w:rPr>
      <w:sz w:val="16"/>
      <w:szCs w:val="16"/>
    </w:rPr>
  </w:style>
  <w:style w:type="paragraph" w:styleId="CommentText">
    <w:name w:val="annotation text"/>
    <w:basedOn w:val="Normal"/>
    <w:link w:val="CommentTextChar"/>
    <w:uiPriority w:val="99"/>
    <w:semiHidden/>
    <w:unhideWhenUsed/>
    <w:rsid w:val="002D4C26"/>
  </w:style>
  <w:style w:type="character" w:customStyle="1" w:styleId="CommentTextChar">
    <w:name w:val="Comment Text Char"/>
    <w:basedOn w:val="DefaultParagraphFont"/>
    <w:link w:val="CommentText"/>
    <w:uiPriority w:val="99"/>
    <w:semiHidden/>
    <w:rsid w:val="002D4C26"/>
    <w:rPr>
      <w:rFonts w:ascii="Times" w:eastAsiaTheme="minorEastAsia" w:hAnsi="Times" w:cstheme="minorBidi"/>
    </w:rPr>
  </w:style>
  <w:style w:type="paragraph" w:styleId="CommentSubject">
    <w:name w:val="annotation subject"/>
    <w:basedOn w:val="CommentText"/>
    <w:next w:val="CommentText"/>
    <w:link w:val="CommentSubjectChar"/>
    <w:uiPriority w:val="99"/>
    <w:semiHidden/>
    <w:unhideWhenUsed/>
    <w:rsid w:val="002D4C26"/>
    <w:rPr>
      <w:b/>
      <w:bCs/>
    </w:rPr>
  </w:style>
  <w:style w:type="character" w:customStyle="1" w:styleId="CommentSubjectChar">
    <w:name w:val="Comment Subject Char"/>
    <w:basedOn w:val="CommentTextChar"/>
    <w:link w:val="CommentSubject"/>
    <w:uiPriority w:val="99"/>
    <w:semiHidden/>
    <w:rsid w:val="002D4C26"/>
    <w:rPr>
      <w:rFonts w:ascii="Times" w:eastAsiaTheme="minorEastAsia" w:hAnsi="Times" w:cstheme="minorBidi"/>
      <w:b/>
      <w:bCs/>
    </w:rPr>
  </w:style>
  <w:style w:type="paragraph" w:styleId="Revision">
    <w:name w:val="Revision"/>
    <w:hidden/>
    <w:uiPriority w:val="99"/>
    <w:semiHidden/>
    <w:rsid w:val="00623B8C"/>
    <w:rPr>
      <w:rFonts w:ascii="Times" w:eastAsiaTheme="minorEastAsia" w:hAnsi="Times" w:cstheme="minorBidi"/>
    </w:rPr>
  </w:style>
  <w:style w:type="paragraph" w:styleId="Header">
    <w:name w:val="header"/>
    <w:basedOn w:val="Normal"/>
    <w:link w:val="HeaderChar"/>
    <w:uiPriority w:val="99"/>
    <w:unhideWhenUsed/>
    <w:rsid w:val="00EE1861"/>
    <w:pPr>
      <w:tabs>
        <w:tab w:val="center" w:pos="4680"/>
        <w:tab w:val="right" w:pos="9360"/>
      </w:tabs>
    </w:pPr>
  </w:style>
  <w:style w:type="character" w:customStyle="1" w:styleId="HeaderChar">
    <w:name w:val="Header Char"/>
    <w:basedOn w:val="DefaultParagraphFont"/>
    <w:link w:val="Header"/>
    <w:uiPriority w:val="99"/>
    <w:rsid w:val="00EE1861"/>
    <w:rPr>
      <w:rFonts w:ascii="Times" w:eastAsiaTheme="minorEastAsia" w:hAnsi="Times" w:cstheme="minorBidi"/>
    </w:rPr>
  </w:style>
  <w:style w:type="paragraph" w:styleId="Footer">
    <w:name w:val="footer"/>
    <w:basedOn w:val="Normal"/>
    <w:link w:val="FooterChar"/>
    <w:uiPriority w:val="99"/>
    <w:unhideWhenUsed/>
    <w:rsid w:val="00EE1861"/>
    <w:pPr>
      <w:tabs>
        <w:tab w:val="center" w:pos="4680"/>
        <w:tab w:val="right" w:pos="9360"/>
      </w:tabs>
    </w:pPr>
  </w:style>
  <w:style w:type="character" w:customStyle="1" w:styleId="FooterChar">
    <w:name w:val="Footer Char"/>
    <w:basedOn w:val="DefaultParagraphFont"/>
    <w:link w:val="Footer"/>
    <w:uiPriority w:val="99"/>
    <w:rsid w:val="00EE1861"/>
    <w:rPr>
      <w:rFonts w:ascii="Times" w:eastAsiaTheme="minorEastAsia" w:hAnsi="Times" w:cstheme="minorBidi"/>
    </w:rPr>
  </w:style>
  <w:style w:type="character" w:styleId="PageNumber">
    <w:name w:val="page number"/>
    <w:basedOn w:val="DefaultParagraphFont"/>
    <w:uiPriority w:val="99"/>
    <w:semiHidden/>
    <w:unhideWhenUsed/>
    <w:rsid w:val="00EE1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8967">
      <w:marLeft w:val="0"/>
      <w:marRight w:val="0"/>
      <w:marTop w:val="0"/>
      <w:marBottom w:val="0"/>
      <w:divBdr>
        <w:top w:val="none" w:sz="0" w:space="0" w:color="auto"/>
        <w:left w:val="none" w:sz="0" w:space="0" w:color="auto"/>
        <w:bottom w:val="none" w:sz="0" w:space="0" w:color="auto"/>
        <w:right w:val="none" w:sz="0" w:space="0" w:color="auto"/>
      </w:divBdr>
      <w:divsChild>
        <w:div w:id="1001659337">
          <w:marLeft w:val="720"/>
          <w:marRight w:val="240"/>
          <w:marTop w:val="0"/>
          <w:marBottom w:val="0"/>
          <w:divBdr>
            <w:top w:val="none" w:sz="0" w:space="0" w:color="auto"/>
            <w:left w:val="none" w:sz="0" w:space="0" w:color="auto"/>
            <w:bottom w:val="none" w:sz="0" w:space="0" w:color="auto"/>
            <w:right w:val="none" w:sz="0" w:space="0" w:color="auto"/>
          </w:divBdr>
        </w:div>
      </w:divsChild>
    </w:div>
    <w:div w:id="13925725">
      <w:marLeft w:val="0"/>
      <w:marRight w:val="0"/>
      <w:marTop w:val="0"/>
      <w:marBottom w:val="0"/>
      <w:divBdr>
        <w:top w:val="none" w:sz="0" w:space="0" w:color="auto"/>
        <w:left w:val="none" w:sz="0" w:space="0" w:color="auto"/>
        <w:bottom w:val="none" w:sz="0" w:space="0" w:color="auto"/>
        <w:right w:val="none" w:sz="0" w:space="0" w:color="auto"/>
      </w:divBdr>
      <w:divsChild>
        <w:div w:id="116923040">
          <w:marLeft w:val="0"/>
          <w:marRight w:val="0"/>
          <w:marTop w:val="0"/>
          <w:marBottom w:val="0"/>
          <w:divBdr>
            <w:top w:val="none" w:sz="0" w:space="0" w:color="auto"/>
            <w:left w:val="none" w:sz="0" w:space="0" w:color="auto"/>
            <w:bottom w:val="none" w:sz="0" w:space="0" w:color="auto"/>
            <w:right w:val="none" w:sz="0" w:space="0" w:color="auto"/>
          </w:divBdr>
          <w:divsChild>
            <w:div w:id="1781737">
              <w:marLeft w:val="240"/>
              <w:marRight w:val="240"/>
              <w:marTop w:val="0"/>
              <w:marBottom w:val="0"/>
              <w:divBdr>
                <w:top w:val="none" w:sz="0" w:space="0" w:color="auto"/>
                <w:left w:val="none" w:sz="0" w:space="0" w:color="auto"/>
                <w:bottom w:val="none" w:sz="0" w:space="0" w:color="auto"/>
                <w:right w:val="none" w:sz="0" w:space="0" w:color="auto"/>
              </w:divBdr>
              <w:divsChild>
                <w:div w:id="1243490360">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12792861">
      <w:marLeft w:val="0"/>
      <w:marRight w:val="0"/>
      <w:marTop w:val="0"/>
      <w:marBottom w:val="0"/>
      <w:divBdr>
        <w:top w:val="none" w:sz="0" w:space="0" w:color="auto"/>
        <w:left w:val="none" w:sz="0" w:space="0" w:color="auto"/>
        <w:bottom w:val="none" w:sz="0" w:space="0" w:color="auto"/>
        <w:right w:val="none" w:sz="0" w:space="0" w:color="auto"/>
      </w:divBdr>
      <w:divsChild>
        <w:div w:id="555240497">
          <w:marLeft w:val="240"/>
          <w:marRight w:val="240"/>
          <w:marTop w:val="0"/>
          <w:marBottom w:val="0"/>
          <w:divBdr>
            <w:top w:val="none" w:sz="0" w:space="0" w:color="auto"/>
            <w:left w:val="none" w:sz="0" w:space="0" w:color="auto"/>
            <w:bottom w:val="none" w:sz="0" w:space="0" w:color="auto"/>
            <w:right w:val="none" w:sz="0" w:space="0" w:color="auto"/>
          </w:divBdr>
          <w:divsChild>
            <w:div w:id="1485126681">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 w:id="275479973">
      <w:marLeft w:val="0"/>
      <w:marRight w:val="0"/>
      <w:marTop w:val="0"/>
      <w:marBottom w:val="0"/>
      <w:divBdr>
        <w:top w:val="none" w:sz="0" w:space="0" w:color="auto"/>
        <w:left w:val="none" w:sz="0" w:space="0" w:color="auto"/>
        <w:bottom w:val="none" w:sz="0" w:space="0" w:color="auto"/>
        <w:right w:val="none" w:sz="0" w:space="0" w:color="auto"/>
      </w:divBdr>
      <w:divsChild>
        <w:div w:id="1718120973">
          <w:marLeft w:val="720"/>
          <w:marRight w:val="240"/>
          <w:marTop w:val="0"/>
          <w:marBottom w:val="0"/>
          <w:divBdr>
            <w:top w:val="none" w:sz="0" w:space="0" w:color="auto"/>
            <w:left w:val="none" w:sz="0" w:space="0" w:color="auto"/>
            <w:bottom w:val="none" w:sz="0" w:space="0" w:color="auto"/>
            <w:right w:val="none" w:sz="0" w:space="0" w:color="auto"/>
          </w:divBdr>
        </w:div>
      </w:divsChild>
    </w:div>
    <w:div w:id="287245057">
      <w:marLeft w:val="0"/>
      <w:marRight w:val="0"/>
      <w:marTop w:val="0"/>
      <w:marBottom w:val="0"/>
      <w:divBdr>
        <w:top w:val="none" w:sz="0" w:space="0" w:color="auto"/>
        <w:left w:val="none" w:sz="0" w:space="0" w:color="auto"/>
        <w:bottom w:val="none" w:sz="0" w:space="0" w:color="auto"/>
        <w:right w:val="none" w:sz="0" w:space="0" w:color="auto"/>
      </w:divBdr>
      <w:divsChild>
        <w:div w:id="1209688825">
          <w:marLeft w:val="240"/>
          <w:marRight w:val="240"/>
          <w:marTop w:val="0"/>
          <w:marBottom w:val="0"/>
          <w:divBdr>
            <w:top w:val="none" w:sz="0" w:space="0" w:color="auto"/>
            <w:left w:val="none" w:sz="0" w:space="0" w:color="auto"/>
            <w:bottom w:val="none" w:sz="0" w:space="0" w:color="auto"/>
            <w:right w:val="none" w:sz="0" w:space="0" w:color="auto"/>
          </w:divBdr>
          <w:divsChild>
            <w:div w:id="1802577097">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 w:id="319316061">
      <w:marLeft w:val="0"/>
      <w:marRight w:val="0"/>
      <w:marTop w:val="0"/>
      <w:marBottom w:val="0"/>
      <w:divBdr>
        <w:top w:val="none" w:sz="0" w:space="0" w:color="auto"/>
        <w:left w:val="none" w:sz="0" w:space="0" w:color="auto"/>
        <w:bottom w:val="none" w:sz="0" w:space="0" w:color="auto"/>
        <w:right w:val="none" w:sz="0" w:space="0" w:color="auto"/>
      </w:divBdr>
      <w:divsChild>
        <w:div w:id="1888830349">
          <w:marLeft w:val="240"/>
          <w:marRight w:val="240"/>
          <w:marTop w:val="0"/>
          <w:marBottom w:val="0"/>
          <w:divBdr>
            <w:top w:val="none" w:sz="0" w:space="0" w:color="auto"/>
            <w:left w:val="none" w:sz="0" w:space="0" w:color="auto"/>
            <w:bottom w:val="none" w:sz="0" w:space="0" w:color="auto"/>
            <w:right w:val="none" w:sz="0" w:space="0" w:color="auto"/>
          </w:divBdr>
          <w:divsChild>
            <w:div w:id="963195213">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 w:id="323120683">
      <w:marLeft w:val="0"/>
      <w:marRight w:val="0"/>
      <w:marTop w:val="0"/>
      <w:marBottom w:val="0"/>
      <w:divBdr>
        <w:top w:val="none" w:sz="0" w:space="0" w:color="auto"/>
        <w:left w:val="none" w:sz="0" w:space="0" w:color="auto"/>
        <w:bottom w:val="none" w:sz="0" w:space="0" w:color="auto"/>
        <w:right w:val="none" w:sz="0" w:space="0" w:color="auto"/>
      </w:divBdr>
      <w:divsChild>
        <w:div w:id="385103956">
          <w:marLeft w:val="0"/>
          <w:marRight w:val="0"/>
          <w:marTop w:val="0"/>
          <w:marBottom w:val="0"/>
          <w:divBdr>
            <w:top w:val="none" w:sz="0" w:space="0" w:color="auto"/>
            <w:left w:val="none" w:sz="0" w:space="0" w:color="auto"/>
            <w:bottom w:val="none" w:sz="0" w:space="0" w:color="auto"/>
            <w:right w:val="none" w:sz="0" w:space="0" w:color="auto"/>
          </w:divBdr>
          <w:divsChild>
            <w:div w:id="1759248935">
              <w:marLeft w:val="240"/>
              <w:marRight w:val="240"/>
              <w:marTop w:val="0"/>
              <w:marBottom w:val="0"/>
              <w:divBdr>
                <w:top w:val="none" w:sz="0" w:space="0" w:color="auto"/>
                <w:left w:val="none" w:sz="0" w:space="0" w:color="auto"/>
                <w:bottom w:val="none" w:sz="0" w:space="0" w:color="auto"/>
                <w:right w:val="none" w:sz="0" w:space="0" w:color="auto"/>
              </w:divBdr>
              <w:divsChild>
                <w:div w:id="1178957611">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464156318">
      <w:marLeft w:val="0"/>
      <w:marRight w:val="0"/>
      <w:marTop w:val="0"/>
      <w:marBottom w:val="0"/>
      <w:divBdr>
        <w:top w:val="none" w:sz="0" w:space="0" w:color="auto"/>
        <w:left w:val="none" w:sz="0" w:space="0" w:color="auto"/>
        <w:bottom w:val="none" w:sz="0" w:space="0" w:color="auto"/>
        <w:right w:val="none" w:sz="0" w:space="0" w:color="auto"/>
      </w:divBdr>
      <w:divsChild>
        <w:div w:id="498421810">
          <w:marLeft w:val="0"/>
          <w:marRight w:val="0"/>
          <w:marTop w:val="0"/>
          <w:marBottom w:val="0"/>
          <w:divBdr>
            <w:top w:val="none" w:sz="0" w:space="0" w:color="auto"/>
            <w:left w:val="none" w:sz="0" w:space="0" w:color="auto"/>
            <w:bottom w:val="none" w:sz="0" w:space="0" w:color="auto"/>
            <w:right w:val="none" w:sz="0" w:space="0" w:color="auto"/>
          </w:divBdr>
          <w:divsChild>
            <w:div w:id="2049793331">
              <w:marLeft w:val="240"/>
              <w:marRight w:val="240"/>
              <w:marTop w:val="0"/>
              <w:marBottom w:val="0"/>
              <w:divBdr>
                <w:top w:val="none" w:sz="0" w:space="0" w:color="auto"/>
                <w:left w:val="none" w:sz="0" w:space="0" w:color="auto"/>
                <w:bottom w:val="none" w:sz="0" w:space="0" w:color="auto"/>
                <w:right w:val="none" w:sz="0" w:space="0" w:color="auto"/>
              </w:divBdr>
              <w:divsChild>
                <w:div w:id="1621910238">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90698771">
      <w:marLeft w:val="0"/>
      <w:marRight w:val="0"/>
      <w:marTop w:val="0"/>
      <w:marBottom w:val="0"/>
      <w:divBdr>
        <w:top w:val="none" w:sz="0" w:space="0" w:color="auto"/>
        <w:left w:val="none" w:sz="0" w:space="0" w:color="auto"/>
        <w:bottom w:val="none" w:sz="0" w:space="0" w:color="auto"/>
        <w:right w:val="none" w:sz="0" w:space="0" w:color="auto"/>
      </w:divBdr>
      <w:divsChild>
        <w:div w:id="1321081935">
          <w:marLeft w:val="240"/>
          <w:marRight w:val="240"/>
          <w:marTop w:val="0"/>
          <w:marBottom w:val="0"/>
          <w:divBdr>
            <w:top w:val="none" w:sz="0" w:space="0" w:color="auto"/>
            <w:left w:val="none" w:sz="0" w:space="0" w:color="auto"/>
            <w:bottom w:val="none" w:sz="0" w:space="0" w:color="auto"/>
            <w:right w:val="none" w:sz="0" w:space="0" w:color="auto"/>
          </w:divBdr>
          <w:divsChild>
            <w:div w:id="217018401">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 w:id="597830119">
      <w:marLeft w:val="0"/>
      <w:marRight w:val="0"/>
      <w:marTop w:val="0"/>
      <w:marBottom w:val="0"/>
      <w:divBdr>
        <w:top w:val="none" w:sz="0" w:space="0" w:color="auto"/>
        <w:left w:val="none" w:sz="0" w:space="0" w:color="auto"/>
        <w:bottom w:val="none" w:sz="0" w:space="0" w:color="auto"/>
        <w:right w:val="none" w:sz="0" w:space="0" w:color="auto"/>
      </w:divBdr>
      <w:divsChild>
        <w:div w:id="841117781">
          <w:marLeft w:val="240"/>
          <w:marRight w:val="240"/>
          <w:marTop w:val="0"/>
          <w:marBottom w:val="0"/>
          <w:divBdr>
            <w:top w:val="none" w:sz="0" w:space="0" w:color="auto"/>
            <w:left w:val="none" w:sz="0" w:space="0" w:color="auto"/>
            <w:bottom w:val="none" w:sz="0" w:space="0" w:color="auto"/>
            <w:right w:val="none" w:sz="0" w:space="0" w:color="auto"/>
          </w:divBdr>
          <w:divsChild>
            <w:div w:id="1317371050">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 w:id="607853325">
      <w:marLeft w:val="0"/>
      <w:marRight w:val="0"/>
      <w:marTop w:val="0"/>
      <w:marBottom w:val="0"/>
      <w:divBdr>
        <w:top w:val="none" w:sz="0" w:space="0" w:color="auto"/>
        <w:left w:val="none" w:sz="0" w:space="0" w:color="auto"/>
        <w:bottom w:val="none" w:sz="0" w:space="0" w:color="auto"/>
        <w:right w:val="none" w:sz="0" w:space="0" w:color="auto"/>
      </w:divBdr>
    </w:div>
    <w:div w:id="652566640">
      <w:marLeft w:val="0"/>
      <w:marRight w:val="0"/>
      <w:marTop w:val="0"/>
      <w:marBottom w:val="0"/>
      <w:divBdr>
        <w:top w:val="none" w:sz="0" w:space="0" w:color="auto"/>
        <w:left w:val="none" w:sz="0" w:space="0" w:color="auto"/>
        <w:bottom w:val="none" w:sz="0" w:space="0" w:color="auto"/>
        <w:right w:val="none" w:sz="0" w:space="0" w:color="auto"/>
      </w:divBdr>
      <w:divsChild>
        <w:div w:id="690490623">
          <w:marLeft w:val="240"/>
          <w:marRight w:val="240"/>
          <w:marTop w:val="0"/>
          <w:marBottom w:val="0"/>
          <w:divBdr>
            <w:top w:val="none" w:sz="0" w:space="0" w:color="auto"/>
            <w:left w:val="none" w:sz="0" w:space="0" w:color="auto"/>
            <w:bottom w:val="none" w:sz="0" w:space="0" w:color="auto"/>
            <w:right w:val="none" w:sz="0" w:space="0" w:color="auto"/>
          </w:divBdr>
          <w:divsChild>
            <w:div w:id="1413815723">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 w:id="669719631">
      <w:marLeft w:val="0"/>
      <w:marRight w:val="0"/>
      <w:marTop w:val="0"/>
      <w:marBottom w:val="0"/>
      <w:divBdr>
        <w:top w:val="none" w:sz="0" w:space="0" w:color="auto"/>
        <w:left w:val="none" w:sz="0" w:space="0" w:color="auto"/>
        <w:bottom w:val="none" w:sz="0" w:space="0" w:color="auto"/>
        <w:right w:val="none" w:sz="0" w:space="0" w:color="auto"/>
      </w:divBdr>
      <w:divsChild>
        <w:div w:id="1122378759">
          <w:marLeft w:val="240"/>
          <w:marRight w:val="240"/>
          <w:marTop w:val="0"/>
          <w:marBottom w:val="0"/>
          <w:divBdr>
            <w:top w:val="none" w:sz="0" w:space="0" w:color="auto"/>
            <w:left w:val="none" w:sz="0" w:space="0" w:color="auto"/>
            <w:bottom w:val="none" w:sz="0" w:space="0" w:color="auto"/>
            <w:right w:val="none" w:sz="0" w:space="0" w:color="auto"/>
          </w:divBdr>
          <w:divsChild>
            <w:div w:id="1086071358">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 w:id="848713737">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260453978">
              <w:marLeft w:val="240"/>
              <w:marRight w:val="240"/>
              <w:marTop w:val="0"/>
              <w:marBottom w:val="0"/>
              <w:divBdr>
                <w:top w:val="none" w:sz="0" w:space="0" w:color="auto"/>
                <w:left w:val="none" w:sz="0" w:space="0" w:color="auto"/>
                <w:bottom w:val="none" w:sz="0" w:space="0" w:color="auto"/>
                <w:right w:val="none" w:sz="0" w:space="0" w:color="auto"/>
              </w:divBdr>
              <w:divsChild>
                <w:div w:id="400179288">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892959165">
      <w:marLeft w:val="0"/>
      <w:marRight w:val="0"/>
      <w:marTop w:val="0"/>
      <w:marBottom w:val="0"/>
      <w:divBdr>
        <w:top w:val="none" w:sz="0" w:space="0" w:color="auto"/>
        <w:left w:val="none" w:sz="0" w:space="0" w:color="auto"/>
        <w:bottom w:val="none" w:sz="0" w:space="0" w:color="auto"/>
        <w:right w:val="none" w:sz="0" w:space="0" w:color="auto"/>
      </w:divBdr>
      <w:divsChild>
        <w:div w:id="1505439835">
          <w:marLeft w:val="240"/>
          <w:marRight w:val="240"/>
          <w:marTop w:val="0"/>
          <w:marBottom w:val="0"/>
          <w:divBdr>
            <w:top w:val="none" w:sz="0" w:space="0" w:color="auto"/>
            <w:left w:val="none" w:sz="0" w:space="0" w:color="auto"/>
            <w:bottom w:val="none" w:sz="0" w:space="0" w:color="auto"/>
            <w:right w:val="none" w:sz="0" w:space="0" w:color="auto"/>
          </w:divBdr>
          <w:divsChild>
            <w:div w:id="1573346032">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 w:id="948005539">
      <w:marLeft w:val="0"/>
      <w:marRight w:val="0"/>
      <w:marTop w:val="0"/>
      <w:marBottom w:val="0"/>
      <w:divBdr>
        <w:top w:val="none" w:sz="0" w:space="0" w:color="auto"/>
        <w:left w:val="none" w:sz="0" w:space="0" w:color="auto"/>
        <w:bottom w:val="none" w:sz="0" w:space="0" w:color="auto"/>
        <w:right w:val="none" w:sz="0" w:space="0" w:color="auto"/>
      </w:divBdr>
      <w:divsChild>
        <w:div w:id="819347168">
          <w:marLeft w:val="240"/>
          <w:marRight w:val="240"/>
          <w:marTop w:val="0"/>
          <w:marBottom w:val="0"/>
          <w:divBdr>
            <w:top w:val="none" w:sz="0" w:space="0" w:color="auto"/>
            <w:left w:val="none" w:sz="0" w:space="0" w:color="auto"/>
            <w:bottom w:val="none" w:sz="0" w:space="0" w:color="auto"/>
            <w:right w:val="none" w:sz="0" w:space="0" w:color="auto"/>
          </w:divBdr>
          <w:divsChild>
            <w:div w:id="1358390247">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 w:id="1068459783">
      <w:marLeft w:val="0"/>
      <w:marRight w:val="0"/>
      <w:marTop w:val="0"/>
      <w:marBottom w:val="0"/>
      <w:divBdr>
        <w:top w:val="none" w:sz="0" w:space="0" w:color="auto"/>
        <w:left w:val="none" w:sz="0" w:space="0" w:color="auto"/>
        <w:bottom w:val="none" w:sz="0" w:space="0" w:color="auto"/>
        <w:right w:val="none" w:sz="0" w:space="0" w:color="auto"/>
      </w:divBdr>
      <w:divsChild>
        <w:div w:id="1271858518">
          <w:marLeft w:val="720"/>
          <w:marRight w:val="240"/>
          <w:marTop w:val="0"/>
          <w:marBottom w:val="0"/>
          <w:divBdr>
            <w:top w:val="none" w:sz="0" w:space="0" w:color="auto"/>
            <w:left w:val="none" w:sz="0" w:space="0" w:color="auto"/>
            <w:bottom w:val="none" w:sz="0" w:space="0" w:color="auto"/>
            <w:right w:val="none" w:sz="0" w:space="0" w:color="auto"/>
          </w:divBdr>
        </w:div>
      </w:divsChild>
    </w:div>
    <w:div w:id="1198156753">
      <w:marLeft w:val="0"/>
      <w:marRight w:val="0"/>
      <w:marTop w:val="0"/>
      <w:marBottom w:val="0"/>
      <w:divBdr>
        <w:top w:val="none" w:sz="0" w:space="0" w:color="auto"/>
        <w:left w:val="none" w:sz="0" w:space="0" w:color="auto"/>
        <w:bottom w:val="none" w:sz="0" w:space="0" w:color="auto"/>
        <w:right w:val="none" w:sz="0" w:space="0" w:color="auto"/>
      </w:divBdr>
      <w:divsChild>
        <w:div w:id="432283335">
          <w:marLeft w:val="240"/>
          <w:marRight w:val="240"/>
          <w:marTop w:val="0"/>
          <w:marBottom w:val="0"/>
          <w:divBdr>
            <w:top w:val="none" w:sz="0" w:space="0" w:color="auto"/>
            <w:left w:val="none" w:sz="0" w:space="0" w:color="auto"/>
            <w:bottom w:val="none" w:sz="0" w:space="0" w:color="auto"/>
            <w:right w:val="none" w:sz="0" w:space="0" w:color="auto"/>
          </w:divBdr>
          <w:divsChild>
            <w:div w:id="962420777">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 w:id="1314140283">
      <w:marLeft w:val="0"/>
      <w:marRight w:val="0"/>
      <w:marTop w:val="0"/>
      <w:marBottom w:val="0"/>
      <w:divBdr>
        <w:top w:val="none" w:sz="0" w:space="0" w:color="auto"/>
        <w:left w:val="none" w:sz="0" w:space="0" w:color="auto"/>
        <w:bottom w:val="none" w:sz="0" w:space="0" w:color="auto"/>
        <w:right w:val="none" w:sz="0" w:space="0" w:color="auto"/>
      </w:divBdr>
      <w:divsChild>
        <w:div w:id="1900358137">
          <w:marLeft w:val="0"/>
          <w:marRight w:val="0"/>
          <w:marTop w:val="0"/>
          <w:marBottom w:val="0"/>
          <w:divBdr>
            <w:top w:val="none" w:sz="0" w:space="0" w:color="auto"/>
            <w:left w:val="none" w:sz="0" w:space="0" w:color="auto"/>
            <w:bottom w:val="none" w:sz="0" w:space="0" w:color="auto"/>
            <w:right w:val="none" w:sz="0" w:space="0" w:color="auto"/>
          </w:divBdr>
          <w:divsChild>
            <w:div w:id="755324760">
              <w:marLeft w:val="240"/>
              <w:marRight w:val="240"/>
              <w:marTop w:val="0"/>
              <w:marBottom w:val="0"/>
              <w:divBdr>
                <w:top w:val="none" w:sz="0" w:space="0" w:color="auto"/>
                <w:left w:val="none" w:sz="0" w:space="0" w:color="auto"/>
                <w:bottom w:val="none" w:sz="0" w:space="0" w:color="auto"/>
                <w:right w:val="none" w:sz="0" w:space="0" w:color="auto"/>
              </w:divBdr>
              <w:divsChild>
                <w:div w:id="1714496332">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22849073">
      <w:marLeft w:val="0"/>
      <w:marRight w:val="0"/>
      <w:marTop w:val="0"/>
      <w:marBottom w:val="0"/>
      <w:divBdr>
        <w:top w:val="none" w:sz="0" w:space="0" w:color="auto"/>
        <w:left w:val="none" w:sz="0" w:space="0" w:color="auto"/>
        <w:bottom w:val="none" w:sz="0" w:space="0" w:color="auto"/>
        <w:right w:val="none" w:sz="0" w:space="0" w:color="auto"/>
      </w:divBdr>
      <w:divsChild>
        <w:div w:id="397434165">
          <w:marLeft w:val="0"/>
          <w:marRight w:val="0"/>
          <w:marTop w:val="0"/>
          <w:marBottom w:val="0"/>
          <w:divBdr>
            <w:top w:val="none" w:sz="0" w:space="0" w:color="auto"/>
            <w:left w:val="none" w:sz="0" w:space="0" w:color="auto"/>
            <w:bottom w:val="none" w:sz="0" w:space="0" w:color="auto"/>
            <w:right w:val="none" w:sz="0" w:space="0" w:color="auto"/>
          </w:divBdr>
          <w:divsChild>
            <w:div w:id="1793552145">
              <w:marLeft w:val="240"/>
              <w:marRight w:val="240"/>
              <w:marTop w:val="0"/>
              <w:marBottom w:val="0"/>
              <w:divBdr>
                <w:top w:val="none" w:sz="0" w:space="0" w:color="auto"/>
                <w:left w:val="none" w:sz="0" w:space="0" w:color="auto"/>
                <w:bottom w:val="none" w:sz="0" w:space="0" w:color="auto"/>
                <w:right w:val="none" w:sz="0" w:space="0" w:color="auto"/>
              </w:divBdr>
              <w:divsChild>
                <w:div w:id="135032726">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80398366">
      <w:marLeft w:val="0"/>
      <w:marRight w:val="0"/>
      <w:marTop w:val="0"/>
      <w:marBottom w:val="0"/>
      <w:divBdr>
        <w:top w:val="none" w:sz="0" w:space="0" w:color="auto"/>
        <w:left w:val="none" w:sz="0" w:space="0" w:color="auto"/>
        <w:bottom w:val="none" w:sz="0" w:space="0" w:color="auto"/>
        <w:right w:val="none" w:sz="0" w:space="0" w:color="auto"/>
      </w:divBdr>
      <w:divsChild>
        <w:div w:id="1826554602">
          <w:marLeft w:val="240"/>
          <w:marRight w:val="240"/>
          <w:marTop w:val="0"/>
          <w:marBottom w:val="0"/>
          <w:divBdr>
            <w:top w:val="none" w:sz="0" w:space="0" w:color="auto"/>
            <w:left w:val="none" w:sz="0" w:space="0" w:color="auto"/>
            <w:bottom w:val="none" w:sz="0" w:space="0" w:color="auto"/>
            <w:right w:val="none" w:sz="0" w:space="0" w:color="auto"/>
          </w:divBdr>
          <w:divsChild>
            <w:div w:id="2063744294">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 w:id="1545874676">
      <w:marLeft w:val="0"/>
      <w:marRight w:val="0"/>
      <w:marTop w:val="0"/>
      <w:marBottom w:val="480"/>
      <w:divBdr>
        <w:top w:val="none" w:sz="0" w:space="0" w:color="auto"/>
        <w:left w:val="none" w:sz="0" w:space="0" w:color="auto"/>
        <w:bottom w:val="none" w:sz="0" w:space="0" w:color="auto"/>
        <w:right w:val="none" w:sz="0" w:space="0" w:color="auto"/>
      </w:divBdr>
      <w:divsChild>
        <w:div w:id="313729786">
          <w:marLeft w:val="10"/>
          <w:marRight w:val="0"/>
          <w:marTop w:val="0"/>
          <w:marBottom w:val="0"/>
          <w:divBdr>
            <w:top w:val="none" w:sz="0" w:space="0" w:color="auto"/>
            <w:left w:val="none" w:sz="0" w:space="0" w:color="auto"/>
            <w:bottom w:val="none" w:sz="0" w:space="0" w:color="auto"/>
            <w:right w:val="none" w:sz="0" w:space="0" w:color="auto"/>
          </w:divBdr>
        </w:div>
      </w:divsChild>
    </w:div>
    <w:div w:id="1546598919">
      <w:marLeft w:val="0"/>
      <w:marRight w:val="0"/>
      <w:marTop w:val="0"/>
      <w:marBottom w:val="0"/>
      <w:divBdr>
        <w:top w:val="none" w:sz="0" w:space="0" w:color="auto"/>
        <w:left w:val="none" w:sz="0" w:space="0" w:color="auto"/>
        <w:bottom w:val="none" w:sz="0" w:space="0" w:color="auto"/>
        <w:right w:val="none" w:sz="0" w:space="0" w:color="auto"/>
      </w:divBdr>
      <w:divsChild>
        <w:div w:id="1576553243">
          <w:marLeft w:val="240"/>
          <w:marRight w:val="240"/>
          <w:marTop w:val="0"/>
          <w:marBottom w:val="0"/>
          <w:divBdr>
            <w:top w:val="none" w:sz="0" w:space="0" w:color="auto"/>
            <w:left w:val="none" w:sz="0" w:space="0" w:color="auto"/>
            <w:bottom w:val="none" w:sz="0" w:space="0" w:color="auto"/>
            <w:right w:val="none" w:sz="0" w:space="0" w:color="auto"/>
          </w:divBdr>
          <w:divsChild>
            <w:div w:id="879166717">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 w:id="1743410971">
      <w:marLeft w:val="0"/>
      <w:marRight w:val="0"/>
      <w:marTop w:val="0"/>
      <w:marBottom w:val="0"/>
      <w:divBdr>
        <w:top w:val="none" w:sz="0" w:space="0" w:color="auto"/>
        <w:left w:val="none" w:sz="0" w:space="0" w:color="auto"/>
        <w:bottom w:val="none" w:sz="0" w:space="0" w:color="auto"/>
        <w:right w:val="none" w:sz="0" w:space="0" w:color="auto"/>
      </w:divBdr>
      <w:divsChild>
        <w:div w:id="765342429">
          <w:marLeft w:val="240"/>
          <w:marRight w:val="240"/>
          <w:marTop w:val="0"/>
          <w:marBottom w:val="0"/>
          <w:divBdr>
            <w:top w:val="none" w:sz="0" w:space="0" w:color="auto"/>
            <w:left w:val="none" w:sz="0" w:space="0" w:color="auto"/>
            <w:bottom w:val="none" w:sz="0" w:space="0" w:color="auto"/>
            <w:right w:val="none" w:sz="0" w:space="0" w:color="auto"/>
          </w:divBdr>
        </w:div>
      </w:divsChild>
    </w:div>
    <w:div w:id="1755207141">
      <w:marLeft w:val="0"/>
      <w:marRight w:val="0"/>
      <w:marTop w:val="0"/>
      <w:marBottom w:val="0"/>
      <w:divBdr>
        <w:top w:val="none" w:sz="0" w:space="0" w:color="auto"/>
        <w:left w:val="none" w:sz="0" w:space="0" w:color="auto"/>
        <w:bottom w:val="none" w:sz="0" w:space="0" w:color="auto"/>
        <w:right w:val="none" w:sz="0" w:space="0" w:color="auto"/>
      </w:divBdr>
      <w:divsChild>
        <w:div w:id="2080593578">
          <w:marLeft w:val="0"/>
          <w:marRight w:val="0"/>
          <w:marTop w:val="0"/>
          <w:marBottom w:val="0"/>
          <w:divBdr>
            <w:top w:val="none" w:sz="0" w:space="0" w:color="auto"/>
            <w:left w:val="none" w:sz="0" w:space="0" w:color="auto"/>
            <w:bottom w:val="none" w:sz="0" w:space="0" w:color="auto"/>
            <w:right w:val="none" w:sz="0" w:space="0" w:color="auto"/>
          </w:divBdr>
          <w:divsChild>
            <w:div w:id="513760993">
              <w:marLeft w:val="240"/>
              <w:marRight w:val="240"/>
              <w:marTop w:val="0"/>
              <w:marBottom w:val="0"/>
              <w:divBdr>
                <w:top w:val="none" w:sz="0" w:space="0" w:color="auto"/>
                <w:left w:val="none" w:sz="0" w:space="0" w:color="auto"/>
                <w:bottom w:val="none" w:sz="0" w:space="0" w:color="auto"/>
                <w:right w:val="none" w:sz="0" w:space="0" w:color="auto"/>
              </w:divBdr>
              <w:divsChild>
                <w:div w:id="430862391">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83259701">
      <w:marLeft w:val="0"/>
      <w:marRight w:val="0"/>
      <w:marTop w:val="0"/>
      <w:marBottom w:val="0"/>
      <w:divBdr>
        <w:top w:val="none" w:sz="0" w:space="0" w:color="auto"/>
        <w:left w:val="none" w:sz="0" w:space="0" w:color="auto"/>
        <w:bottom w:val="none" w:sz="0" w:space="0" w:color="auto"/>
        <w:right w:val="none" w:sz="0" w:space="0" w:color="auto"/>
      </w:divBdr>
      <w:divsChild>
        <w:div w:id="2098283224">
          <w:marLeft w:val="240"/>
          <w:marRight w:val="240"/>
          <w:marTop w:val="0"/>
          <w:marBottom w:val="0"/>
          <w:divBdr>
            <w:top w:val="none" w:sz="0" w:space="0" w:color="auto"/>
            <w:left w:val="none" w:sz="0" w:space="0" w:color="auto"/>
            <w:bottom w:val="none" w:sz="0" w:space="0" w:color="auto"/>
            <w:right w:val="none" w:sz="0" w:space="0" w:color="auto"/>
          </w:divBdr>
          <w:divsChild>
            <w:div w:id="1968852484">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 w:id="1809669769">
      <w:marLeft w:val="0"/>
      <w:marRight w:val="0"/>
      <w:marTop w:val="0"/>
      <w:marBottom w:val="0"/>
      <w:divBdr>
        <w:top w:val="none" w:sz="0" w:space="0" w:color="auto"/>
        <w:left w:val="none" w:sz="0" w:space="0" w:color="auto"/>
        <w:bottom w:val="none" w:sz="0" w:space="0" w:color="auto"/>
        <w:right w:val="none" w:sz="0" w:space="0" w:color="auto"/>
      </w:divBdr>
      <w:divsChild>
        <w:div w:id="1214197039">
          <w:marLeft w:val="240"/>
          <w:marRight w:val="240"/>
          <w:marTop w:val="0"/>
          <w:marBottom w:val="0"/>
          <w:divBdr>
            <w:top w:val="none" w:sz="0" w:space="0" w:color="auto"/>
            <w:left w:val="none" w:sz="0" w:space="0" w:color="auto"/>
            <w:bottom w:val="none" w:sz="0" w:space="0" w:color="auto"/>
            <w:right w:val="none" w:sz="0" w:space="0" w:color="auto"/>
          </w:divBdr>
          <w:divsChild>
            <w:div w:id="1152713576">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 w:id="1962225532">
      <w:marLeft w:val="0"/>
      <w:marRight w:val="0"/>
      <w:marTop w:val="0"/>
      <w:marBottom w:val="0"/>
      <w:divBdr>
        <w:top w:val="none" w:sz="0" w:space="0" w:color="auto"/>
        <w:left w:val="none" w:sz="0" w:space="0" w:color="auto"/>
        <w:bottom w:val="none" w:sz="0" w:space="0" w:color="auto"/>
        <w:right w:val="none" w:sz="0" w:space="0" w:color="auto"/>
      </w:divBdr>
      <w:divsChild>
        <w:div w:id="720249541">
          <w:marLeft w:val="240"/>
          <w:marRight w:val="240"/>
          <w:marTop w:val="0"/>
          <w:marBottom w:val="0"/>
          <w:divBdr>
            <w:top w:val="none" w:sz="0" w:space="0" w:color="auto"/>
            <w:left w:val="none" w:sz="0" w:space="0" w:color="auto"/>
            <w:bottom w:val="none" w:sz="0" w:space="0" w:color="auto"/>
            <w:right w:val="none" w:sz="0" w:space="0" w:color="auto"/>
          </w:divBdr>
          <w:divsChild>
            <w:div w:id="348916598">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 w:id="1981688855">
      <w:marLeft w:val="0"/>
      <w:marRight w:val="0"/>
      <w:marTop w:val="0"/>
      <w:marBottom w:val="0"/>
      <w:divBdr>
        <w:top w:val="none" w:sz="0" w:space="0" w:color="auto"/>
        <w:left w:val="none" w:sz="0" w:space="0" w:color="auto"/>
        <w:bottom w:val="none" w:sz="0" w:space="0" w:color="auto"/>
        <w:right w:val="none" w:sz="0" w:space="0" w:color="auto"/>
      </w:divBdr>
      <w:divsChild>
        <w:div w:id="79721426">
          <w:marLeft w:val="240"/>
          <w:marRight w:val="240"/>
          <w:marTop w:val="0"/>
          <w:marBottom w:val="0"/>
          <w:divBdr>
            <w:top w:val="none" w:sz="0" w:space="0" w:color="auto"/>
            <w:left w:val="none" w:sz="0" w:space="0" w:color="auto"/>
            <w:bottom w:val="none" w:sz="0" w:space="0" w:color="auto"/>
            <w:right w:val="none" w:sz="0" w:space="0" w:color="auto"/>
          </w:divBdr>
          <w:divsChild>
            <w:div w:id="1035736849">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 w:id="2127651998">
      <w:marLeft w:val="0"/>
      <w:marRight w:val="0"/>
      <w:marTop w:val="0"/>
      <w:marBottom w:val="0"/>
      <w:divBdr>
        <w:top w:val="none" w:sz="0" w:space="0" w:color="auto"/>
        <w:left w:val="none" w:sz="0" w:space="0" w:color="auto"/>
        <w:bottom w:val="none" w:sz="0" w:space="0" w:color="auto"/>
        <w:right w:val="none" w:sz="0" w:space="0" w:color="auto"/>
      </w:divBdr>
      <w:divsChild>
        <w:div w:id="1641884742">
          <w:marLeft w:val="0"/>
          <w:marRight w:val="0"/>
          <w:marTop w:val="0"/>
          <w:marBottom w:val="0"/>
          <w:divBdr>
            <w:top w:val="none" w:sz="0" w:space="0" w:color="auto"/>
            <w:left w:val="none" w:sz="0" w:space="0" w:color="auto"/>
            <w:bottom w:val="none" w:sz="0" w:space="0" w:color="auto"/>
            <w:right w:val="none" w:sz="0" w:space="0" w:color="auto"/>
          </w:divBdr>
          <w:divsChild>
            <w:div w:id="618604746">
              <w:marLeft w:val="240"/>
              <w:marRight w:val="240"/>
              <w:marTop w:val="0"/>
              <w:marBottom w:val="0"/>
              <w:divBdr>
                <w:top w:val="none" w:sz="0" w:space="0" w:color="auto"/>
                <w:left w:val="none" w:sz="0" w:space="0" w:color="auto"/>
                <w:bottom w:val="none" w:sz="0" w:space="0" w:color="auto"/>
                <w:right w:val="none" w:sz="0" w:space="0" w:color="auto"/>
              </w:divBdr>
              <w:divsChild>
                <w:div w:id="479738398">
                  <w:marLeft w:val="72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emf"/><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065C1-D838-B94D-A6A1-B0579E619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4129</Words>
  <Characters>23538</Characters>
  <Application>Microsoft Macintosh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The National Rise in Residential Segregation</vt:lpstr>
    </vt:vector>
  </TitlesOfParts>
  <Company/>
  <LinksUpToDate>false</LinksUpToDate>
  <CharactersWithSpaces>27612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Rise in Residential Segregation</dc:title>
  <dc:creator>logan.155</dc:creator>
  <cp:lastModifiedBy>Microsoft Office User</cp:lastModifiedBy>
  <cp:revision>4</cp:revision>
  <cp:lastPrinted>2016-08-23T14:47:00Z</cp:lastPrinted>
  <dcterms:created xsi:type="dcterms:W3CDTF">2016-11-23T17:10:00Z</dcterms:created>
  <dcterms:modified xsi:type="dcterms:W3CDTF">2016-12-10T23:17:00Z</dcterms:modified>
</cp:coreProperties>
</file>